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8200" w14:textId="77777777" w:rsidR="00BC7B13" w:rsidRDefault="00BC7B13">
      <w:pPr>
        <w:ind w:left="567" w:hanging="567"/>
      </w:pPr>
    </w:p>
    <w:p w14:paraId="69263734" w14:textId="77777777" w:rsidR="00BC7B13" w:rsidRDefault="00BC7B13">
      <w:pPr>
        <w:ind w:left="567" w:hanging="567"/>
      </w:pPr>
    </w:p>
    <w:p w14:paraId="7A20B3CF" w14:textId="77777777" w:rsidR="00BC7B13" w:rsidRDefault="00BC7B13">
      <w:pPr>
        <w:ind w:left="567" w:hanging="567"/>
      </w:pPr>
    </w:p>
    <w:p w14:paraId="539EF7F2" w14:textId="77777777" w:rsidR="00BC7B13" w:rsidRDefault="00BC7B13">
      <w:pPr>
        <w:ind w:left="567" w:hanging="567"/>
      </w:pPr>
    </w:p>
    <w:p w14:paraId="149AE08C" w14:textId="77777777" w:rsidR="00BC7B13" w:rsidRDefault="00BC7B13">
      <w:pPr>
        <w:ind w:left="567" w:hanging="567"/>
      </w:pPr>
    </w:p>
    <w:p w14:paraId="14A52857" w14:textId="77777777" w:rsidR="00BC7B13" w:rsidRDefault="00BC7B13">
      <w:pPr>
        <w:ind w:left="567" w:hanging="567"/>
      </w:pPr>
    </w:p>
    <w:p w14:paraId="1F093E0A" w14:textId="77777777" w:rsidR="00BC7B13" w:rsidRDefault="00BC7B13">
      <w:pPr>
        <w:ind w:left="567" w:hanging="567"/>
      </w:pPr>
    </w:p>
    <w:p w14:paraId="409DD475" w14:textId="77777777" w:rsidR="00BC7B13" w:rsidRDefault="00BC7B13">
      <w:pPr>
        <w:ind w:left="567" w:hanging="567"/>
      </w:pPr>
    </w:p>
    <w:p w14:paraId="01EC69A5" w14:textId="77777777" w:rsidR="00BC7B13" w:rsidRDefault="00BC7B13">
      <w:pPr>
        <w:ind w:left="567" w:hanging="567"/>
      </w:pPr>
    </w:p>
    <w:p w14:paraId="659D89F3" w14:textId="77777777" w:rsidR="00BC7B13" w:rsidRDefault="00BC7B13">
      <w:pPr>
        <w:ind w:left="567" w:hanging="567"/>
      </w:pPr>
    </w:p>
    <w:p w14:paraId="67C21328" w14:textId="77777777" w:rsidR="00BC7B13" w:rsidRDefault="00BC7B13">
      <w:pPr>
        <w:ind w:left="567" w:hanging="567"/>
      </w:pPr>
    </w:p>
    <w:p w14:paraId="1B65DB3F" w14:textId="77777777" w:rsidR="00BC7B13" w:rsidRDefault="00BC7B13">
      <w:pPr>
        <w:ind w:left="567" w:hanging="567"/>
      </w:pPr>
    </w:p>
    <w:p w14:paraId="2D98C113" w14:textId="77777777" w:rsidR="00BC7B13" w:rsidRDefault="00BC7B13">
      <w:pPr>
        <w:ind w:left="567" w:hanging="567"/>
      </w:pPr>
    </w:p>
    <w:p w14:paraId="5833D0CA" w14:textId="77777777" w:rsidR="00BC7B13" w:rsidRDefault="00BC7B13">
      <w:pPr>
        <w:ind w:left="567" w:hanging="567"/>
      </w:pPr>
    </w:p>
    <w:p w14:paraId="56DDBBE2" w14:textId="77777777" w:rsidR="00BC7B13" w:rsidRDefault="00BC7B13">
      <w:pPr>
        <w:ind w:left="567" w:hanging="567"/>
      </w:pPr>
    </w:p>
    <w:p w14:paraId="137DB987" w14:textId="77777777" w:rsidR="00BC7B13" w:rsidRDefault="00BC7B13">
      <w:pPr>
        <w:ind w:left="567" w:hanging="567"/>
      </w:pPr>
    </w:p>
    <w:p w14:paraId="59431D26" w14:textId="77777777" w:rsidR="00BC7B13" w:rsidRDefault="00BC7B13">
      <w:pPr>
        <w:ind w:left="567" w:hanging="567"/>
      </w:pPr>
    </w:p>
    <w:p w14:paraId="7EC221FA" w14:textId="77777777" w:rsidR="00BC7B13" w:rsidRDefault="00BC7B13">
      <w:pPr>
        <w:ind w:left="567" w:hanging="567"/>
      </w:pPr>
    </w:p>
    <w:p w14:paraId="789E7897" w14:textId="77777777" w:rsidR="00BC7B13" w:rsidRDefault="00BC7B13">
      <w:pPr>
        <w:ind w:left="567" w:hanging="567"/>
      </w:pPr>
    </w:p>
    <w:p w14:paraId="728533F6" w14:textId="77777777" w:rsidR="00BC7B13" w:rsidRDefault="00BC7B13">
      <w:pPr>
        <w:ind w:left="567" w:hanging="567"/>
      </w:pPr>
    </w:p>
    <w:p w14:paraId="7B274EFD" w14:textId="77777777" w:rsidR="00BC7B13" w:rsidRDefault="00BC7B13">
      <w:pPr>
        <w:ind w:left="567" w:hanging="567"/>
      </w:pPr>
    </w:p>
    <w:p w14:paraId="2E0E2C08" w14:textId="77777777" w:rsidR="00BC7B13" w:rsidRDefault="00BC7B13">
      <w:pPr>
        <w:ind w:left="567" w:hanging="567"/>
      </w:pPr>
    </w:p>
    <w:p w14:paraId="70BC0CF0" w14:textId="77777777" w:rsidR="00BC7B13" w:rsidRDefault="00BC7B13">
      <w:pPr>
        <w:ind w:left="567" w:hanging="567"/>
      </w:pPr>
    </w:p>
    <w:p w14:paraId="794951D0" w14:textId="77777777" w:rsidR="00BC7B13" w:rsidRDefault="00BC7B13">
      <w:pPr>
        <w:ind w:left="567" w:hanging="567"/>
      </w:pPr>
    </w:p>
    <w:p w14:paraId="0CD497DE" w14:textId="77777777" w:rsidR="00BC7B13" w:rsidRDefault="004E7EF9">
      <w:pPr>
        <w:ind w:left="567" w:hanging="567"/>
        <w:jc w:val="center"/>
        <w:rPr>
          <w:b/>
        </w:rPr>
      </w:pPr>
      <w:r>
        <w:rPr>
          <w:b/>
        </w:rPr>
        <w:t>I PRIEDAS</w:t>
      </w:r>
    </w:p>
    <w:p w14:paraId="52D2EA80" w14:textId="77777777" w:rsidR="00BC7B13" w:rsidRDefault="00BC7B13">
      <w:pPr>
        <w:ind w:left="567" w:hanging="567"/>
      </w:pPr>
    </w:p>
    <w:p w14:paraId="007B1BF4" w14:textId="77777777" w:rsidR="00BC7B13" w:rsidRDefault="004E7EF9">
      <w:pPr>
        <w:ind w:left="567" w:hanging="567"/>
        <w:jc w:val="center"/>
      </w:pPr>
      <w:r>
        <w:rPr>
          <w:b/>
          <w:bCs/>
        </w:rPr>
        <w:t>PREPARATO CHARAKTERISTIKŲ SANTRAUKA</w:t>
      </w:r>
    </w:p>
    <w:p w14:paraId="0DEBFEE4" w14:textId="77777777" w:rsidR="00BC7B13" w:rsidRDefault="004E7EF9">
      <w:pPr>
        <w:rPr>
          <w:szCs w:val="22"/>
        </w:rPr>
      </w:pPr>
      <w:r>
        <w:br w:type="page"/>
      </w:r>
    </w:p>
    <w:p w14:paraId="319E1A7E" w14:textId="77777777" w:rsidR="00BC7B13" w:rsidRDefault="004E7EF9">
      <w:pPr>
        <w:ind w:left="567" w:hanging="567"/>
        <w:rPr>
          <w:b/>
        </w:rPr>
      </w:pPr>
      <w:r>
        <w:rPr>
          <w:b/>
        </w:rPr>
        <w:lastRenderedPageBreak/>
        <w:t>1.</w:t>
      </w:r>
      <w:r>
        <w:rPr>
          <w:b/>
        </w:rPr>
        <w:tab/>
      </w:r>
      <w:r>
        <w:rPr>
          <w:b/>
          <w:caps/>
        </w:rPr>
        <w:t>VAISTINIO</w:t>
      </w:r>
      <w:r>
        <w:rPr>
          <w:b/>
        </w:rPr>
        <w:t xml:space="preserve"> PREPARATO PAVADINIMAS</w:t>
      </w:r>
    </w:p>
    <w:p w14:paraId="196B1274" w14:textId="77777777" w:rsidR="00BC7B13" w:rsidRDefault="00BC7B13">
      <w:pPr>
        <w:ind w:left="567" w:hanging="567"/>
      </w:pPr>
    </w:p>
    <w:p w14:paraId="3BAFB097" w14:textId="77777777" w:rsidR="00BC7B13" w:rsidRDefault="004E7EF9">
      <w:pPr>
        <w:ind w:left="567" w:hanging="567"/>
      </w:pPr>
      <w:proofErr w:type="spellStart"/>
      <w:r>
        <w:t>Varesta</w:t>
      </w:r>
      <w:proofErr w:type="spellEnd"/>
      <w:r>
        <w:t xml:space="preserve"> 5 mg plėvele dengtos tabletės</w:t>
      </w:r>
    </w:p>
    <w:p w14:paraId="5E1654C7" w14:textId="77777777" w:rsidR="00BC7B13" w:rsidRDefault="004E7EF9">
      <w:pPr>
        <w:ind w:left="567" w:hanging="567"/>
      </w:pPr>
      <w:proofErr w:type="spellStart"/>
      <w:r>
        <w:t>Varesta</w:t>
      </w:r>
      <w:proofErr w:type="spellEnd"/>
      <w:r>
        <w:t xml:space="preserve"> 10 mg plėvele dengtos tabletės</w:t>
      </w:r>
    </w:p>
    <w:p w14:paraId="19BF3634" w14:textId="77777777" w:rsidR="00BC7B13" w:rsidRDefault="004E7EF9">
      <w:pPr>
        <w:ind w:left="567" w:hanging="567"/>
      </w:pPr>
      <w:proofErr w:type="spellStart"/>
      <w:r>
        <w:t>Varesta</w:t>
      </w:r>
      <w:proofErr w:type="spellEnd"/>
      <w:r>
        <w:t xml:space="preserve"> 15 mg plėvele dengtos tabletės</w:t>
      </w:r>
    </w:p>
    <w:p w14:paraId="578F2F8C" w14:textId="77777777" w:rsidR="00BC7B13" w:rsidRDefault="004E7EF9">
      <w:pPr>
        <w:ind w:left="567" w:hanging="567"/>
      </w:pPr>
      <w:proofErr w:type="spellStart"/>
      <w:r>
        <w:t>Varesta</w:t>
      </w:r>
      <w:proofErr w:type="spellEnd"/>
      <w:r>
        <w:t xml:space="preserve"> 20 mg plėvele dengtos tabletės</w:t>
      </w:r>
    </w:p>
    <w:p w14:paraId="2B1FF2B7" w14:textId="77777777" w:rsidR="00BC7B13" w:rsidRDefault="00BC7B13">
      <w:pPr>
        <w:ind w:left="567" w:hanging="567"/>
      </w:pPr>
    </w:p>
    <w:p w14:paraId="03AF1CB1" w14:textId="77777777" w:rsidR="00BC7B13" w:rsidRDefault="00BC7B13">
      <w:pPr>
        <w:ind w:left="567" w:hanging="567"/>
      </w:pPr>
    </w:p>
    <w:p w14:paraId="6FEC6D57" w14:textId="77777777" w:rsidR="00BC7B13" w:rsidRDefault="004E7EF9">
      <w:pPr>
        <w:ind w:left="567" w:hanging="567"/>
        <w:rPr>
          <w:b/>
          <w:caps/>
        </w:rPr>
      </w:pPr>
      <w:r>
        <w:rPr>
          <w:b/>
          <w:caps/>
        </w:rPr>
        <w:t>2.</w:t>
      </w:r>
      <w:r>
        <w:rPr>
          <w:b/>
          <w:caps/>
        </w:rPr>
        <w:tab/>
        <w:t>kokybinė ir kiekybinė sudėtis</w:t>
      </w:r>
    </w:p>
    <w:p w14:paraId="5C2BA7E7" w14:textId="77777777" w:rsidR="00BC7B13" w:rsidRDefault="00BC7B13"/>
    <w:p w14:paraId="11D52828"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Varesta</w:t>
      </w:r>
      <w:proofErr w:type="spellEnd"/>
      <w:r>
        <w:rPr>
          <w:rFonts w:eastAsia="TimesNewRoman"/>
          <w:szCs w:val="22"/>
          <w:u w:val="single"/>
          <w:lang w:eastAsia="lt-LT"/>
        </w:rPr>
        <w:t xml:space="preserve"> 5 mg plėvele dengtos tabletės</w:t>
      </w:r>
    </w:p>
    <w:p w14:paraId="397234D6" w14:textId="77777777" w:rsidR="00BC7B13" w:rsidRDefault="004E7EF9">
      <w:pPr>
        <w:autoSpaceDE w:val="0"/>
        <w:autoSpaceDN w:val="0"/>
        <w:adjustRightInd w:val="0"/>
        <w:rPr>
          <w:rFonts w:eastAsia="TimesNewRoman"/>
          <w:szCs w:val="22"/>
          <w:lang w:eastAsia="lt-LT"/>
        </w:rPr>
      </w:pPr>
      <w:bookmarkStart w:id="0" w:name="_Hlk157605083"/>
      <w:r>
        <w:rPr>
          <w:rFonts w:eastAsia="TimesNewRoman"/>
          <w:szCs w:val="22"/>
          <w:lang w:eastAsia="lt-LT"/>
        </w:rPr>
        <w:t xml:space="preserve">Kiekvienoje plėvele dengtoje tabletėje yra 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bookmarkEnd w:id="0"/>
    <w:p w14:paraId="6D61D952" w14:textId="77777777" w:rsidR="00BC7B13" w:rsidRDefault="00BC7B13">
      <w:pPr>
        <w:autoSpaceDE w:val="0"/>
        <w:autoSpaceDN w:val="0"/>
        <w:adjustRightInd w:val="0"/>
        <w:rPr>
          <w:rFonts w:eastAsia="TimesNewRoman"/>
          <w:szCs w:val="22"/>
          <w:lang w:eastAsia="lt-LT"/>
        </w:rPr>
      </w:pPr>
    </w:p>
    <w:p w14:paraId="5DDB07FD"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Varesta</w:t>
      </w:r>
      <w:proofErr w:type="spellEnd"/>
      <w:r>
        <w:rPr>
          <w:rFonts w:eastAsia="TimesNewRoman"/>
          <w:szCs w:val="22"/>
          <w:u w:val="single"/>
          <w:lang w:eastAsia="lt-LT"/>
        </w:rPr>
        <w:t xml:space="preserve"> 10 mg plėvele dengtos tabletės</w:t>
      </w:r>
    </w:p>
    <w:p w14:paraId="36CE4FA6"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23D26BDF" w14:textId="77777777" w:rsidR="00BC7B13" w:rsidRDefault="00BC7B13">
      <w:pPr>
        <w:autoSpaceDE w:val="0"/>
        <w:autoSpaceDN w:val="0"/>
        <w:adjustRightInd w:val="0"/>
        <w:rPr>
          <w:rFonts w:eastAsia="TimesNewRoman"/>
          <w:szCs w:val="22"/>
          <w:lang w:eastAsia="lt-LT"/>
        </w:rPr>
      </w:pPr>
    </w:p>
    <w:p w14:paraId="5A81184F"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Varesta</w:t>
      </w:r>
      <w:proofErr w:type="spellEnd"/>
      <w:r>
        <w:rPr>
          <w:rFonts w:eastAsia="TimesNewRoman"/>
          <w:szCs w:val="22"/>
          <w:u w:val="single"/>
          <w:lang w:eastAsia="lt-LT"/>
        </w:rPr>
        <w:t xml:space="preserve"> 15 mg plėvele dengtos tabletės</w:t>
      </w:r>
    </w:p>
    <w:p w14:paraId="258E87C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67FBF1E0" w14:textId="77777777" w:rsidR="00BC7B13" w:rsidRDefault="00BC7B13">
      <w:pPr>
        <w:autoSpaceDE w:val="0"/>
        <w:autoSpaceDN w:val="0"/>
        <w:adjustRightInd w:val="0"/>
        <w:rPr>
          <w:rFonts w:eastAsia="TimesNewRoman"/>
          <w:szCs w:val="22"/>
          <w:lang w:eastAsia="lt-LT"/>
        </w:rPr>
      </w:pPr>
    </w:p>
    <w:p w14:paraId="477AFFA2"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Varesta</w:t>
      </w:r>
      <w:proofErr w:type="spellEnd"/>
      <w:r>
        <w:rPr>
          <w:rFonts w:eastAsia="TimesNewRoman"/>
          <w:szCs w:val="22"/>
          <w:u w:val="single"/>
          <w:lang w:eastAsia="lt-LT"/>
        </w:rPr>
        <w:t xml:space="preserve"> 20 mg plėvele dengtos tabletės</w:t>
      </w:r>
    </w:p>
    <w:p w14:paraId="54ADBAD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20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27E5FE3C" w14:textId="77777777" w:rsidR="00BC7B13" w:rsidRDefault="00BC7B13"/>
    <w:p w14:paraId="3D5710C0" w14:textId="77777777" w:rsidR="00BC7B13" w:rsidRDefault="004E7EF9">
      <w:r>
        <w:t>Visos pagalbinės medžiagos išvardytos 6.1 skyriuje.</w:t>
      </w:r>
    </w:p>
    <w:p w14:paraId="502A5E21" w14:textId="77777777" w:rsidR="00BC7B13" w:rsidRDefault="00BC7B13"/>
    <w:p w14:paraId="046A03AA" w14:textId="77777777" w:rsidR="00BC7B13" w:rsidRDefault="00BC7B13">
      <w:pPr>
        <w:ind w:left="567" w:hanging="567"/>
      </w:pPr>
    </w:p>
    <w:p w14:paraId="721B44E8" w14:textId="77777777" w:rsidR="00BC7B13" w:rsidRDefault="004E7EF9">
      <w:pPr>
        <w:ind w:left="567" w:hanging="567"/>
        <w:rPr>
          <w:b/>
          <w:caps/>
        </w:rPr>
      </w:pPr>
      <w:r>
        <w:rPr>
          <w:b/>
          <w:caps/>
        </w:rPr>
        <w:t>3.</w:t>
      </w:r>
      <w:r>
        <w:rPr>
          <w:b/>
          <w:caps/>
        </w:rPr>
        <w:tab/>
      </w:r>
      <w:r>
        <w:rPr>
          <w:b/>
          <w:caps/>
          <w:noProof/>
        </w:rPr>
        <w:t>FARMACINĖ</w:t>
      </w:r>
      <w:r>
        <w:rPr>
          <w:b/>
          <w:caps/>
        </w:rPr>
        <w:t xml:space="preserve"> forma</w:t>
      </w:r>
    </w:p>
    <w:p w14:paraId="1B2F624F" w14:textId="77777777" w:rsidR="00BC7B13" w:rsidRDefault="00BC7B13">
      <w:pPr>
        <w:rPr>
          <w:highlight w:val="yellow"/>
        </w:rPr>
      </w:pPr>
    </w:p>
    <w:p w14:paraId="03DB2514" w14:textId="77777777" w:rsidR="00BC7B13" w:rsidRDefault="004E7EF9">
      <w:pPr>
        <w:autoSpaceDE w:val="0"/>
        <w:autoSpaceDN w:val="0"/>
        <w:adjustRightInd w:val="0"/>
        <w:rPr>
          <w:rFonts w:eastAsia="TimesNewRoman"/>
          <w:szCs w:val="22"/>
          <w:lang w:eastAsia="lt-LT"/>
        </w:rPr>
      </w:pPr>
      <w:r>
        <w:rPr>
          <w:rFonts w:eastAsia="TimesNewRoman"/>
          <w:szCs w:val="22"/>
          <w:lang w:eastAsia="lt-LT"/>
        </w:rPr>
        <w:t>Plėvele dengta tabletė (tabletė)</w:t>
      </w:r>
    </w:p>
    <w:p w14:paraId="092A2279" w14:textId="77777777" w:rsidR="00BC7B13" w:rsidRDefault="00BC7B13">
      <w:pPr>
        <w:autoSpaceDE w:val="0"/>
        <w:autoSpaceDN w:val="0"/>
        <w:adjustRightInd w:val="0"/>
        <w:rPr>
          <w:rFonts w:eastAsia="TimesNewRoman"/>
          <w:szCs w:val="22"/>
          <w:lang w:eastAsia="lt-LT"/>
        </w:rPr>
      </w:pPr>
    </w:p>
    <w:p w14:paraId="307923E5" w14:textId="77777777" w:rsidR="00BC7B13" w:rsidRDefault="004E7EF9">
      <w:pPr>
        <w:rPr>
          <w:noProof/>
          <w:u w:val="single"/>
        </w:rPr>
      </w:pPr>
      <w:bookmarkStart w:id="1" w:name="_Hlk157607228"/>
      <w:proofErr w:type="spellStart"/>
      <w:r>
        <w:rPr>
          <w:rFonts w:eastAsia="TimesNewRoman"/>
          <w:szCs w:val="22"/>
          <w:u w:val="single"/>
          <w:lang w:eastAsia="lt-LT"/>
        </w:rPr>
        <w:t>Varesta</w:t>
      </w:r>
      <w:proofErr w:type="spellEnd"/>
      <w:r>
        <w:rPr>
          <w:rFonts w:eastAsia="TimesNewRoman"/>
          <w:szCs w:val="22"/>
          <w:u w:val="single"/>
          <w:lang w:eastAsia="lt-LT"/>
        </w:rPr>
        <w:t xml:space="preserve"> 5 mg plėvele dengtos tabletės</w:t>
      </w:r>
    </w:p>
    <w:p w14:paraId="3262DAEA" w14:textId="77777777" w:rsidR="00BC7B13" w:rsidRDefault="004E7EF9">
      <w:r>
        <w:t>Blyškiai pilkšvai rausvos, ovalios, abipus išgaubtos plėvele dengtos tabletės, kurių vienoje pusėje pažymėta 5.</w:t>
      </w:r>
    </w:p>
    <w:p w14:paraId="15750ADE" w14:textId="77777777" w:rsidR="00BC7B13" w:rsidRDefault="004E7EF9">
      <w:r>
        <w:t>Tabletės matmenys: maždaug 9 mm x 6 mm</w:t>
      </w:r>
    </w:p>
    <w:p w14:paraId="462EA18B" w14:textId="77777777" w:rsidR="00BC7B13" w:rsidRDefault="00BC7B13">
      <w:pPr>
        <w:ind w:left="567" w:hanging="567"/>
      </w:pPr>
    </w:p>
    <w:p w14:paraId="05F8227F" w14:textId="77777777" w:rsidR="00BC7B13" w:rsidRDefault="004E7EF9">
      <w:pPr>
        <w:rPr>
          <w:noProof/>
          <w:u w:val="single"/>
        </w:rPr>
      </w:pPr>
      <w:proofErr w:type="spellStart"/>
      <w:r>
        <w:rPr>
          <w:rFonts w:eastAsia="TimesNewRoman"/>
          <w:szCs w:val="22"/>
          <w:u w:val="single"/>
          <w:lang w:eastAsia="lt-LT"/>
        </w:rPr>
        <w:t>Varesta</w:t>
      </w:r>
      <w:proofErr w:type="spellEnd"/>
      <w:r>
        <w:rPr>
          <w:rFonts w:eastAsia="TimesNewRoman"/>
          <w:szCs w:val="22"/>
          <w:u w:val="single"/>
          <w:lang w:eastAsia="lt-LT"/>
        </w:rPr>
        <w:t xml:space="preserve"> 10 mg plėvele dengtos tabletės</w:t>
      </w:r>
    </w:p>
    <w:p w14:paraId="1B50232D" w14:textId="77777777" w:rsidR="00BC7B13" w:rsidRDefault="004E7EF9">
      <w:r>
        <w:t>Blyškiai rusvai geltonos, ovalios, abipus išgaubtos plėvele dengtos tabletės, kurių vienoje pusėje pažymėta 10, o kitoje pusėje yra vagelė.</w:t>
      </w:r>
    </w:p>
    <w:p w14:paraId="6C62424C" w14:textId="77777777" w:rsidR="00BC7B13" w:rsidRDefault="004E7EF9">
      <w:r>
        <w:t>Tabletės matmenys: maždaug 9 mm x 6 mm.</w:t>
      </w:r>
    </w:p>
    <w:p w14:paraId="10964C5B" w14:textId="77777777" w:rsidR="00BC7B13" w:rsidRDefault="004E7EF9">
      <w:pPr>
        <w:ind w:left="567" w:hanging="567"/>
      </w:pPr>
      <w:r>
        <w:t>Tabletę galima padalyti į lygias dozes.</w:t>
      </w:r>
    </w:p>
    <w:p w14:paraId="70FC0484" w14:textId="77777777" w:rsidR="00BC7B13" w:rsidRDefault="00BC7B13">
      <w:pPr>
        <w:ind w:left="567" w:hanging="567"/>
      </w:pPr>
    </w:p>
    <w:p w14:paraId="0F462468" w14:textId="77777777" w:rsidR="00BC7B13" w:rsidRDefault="004E7EF9">
      <w:pPr>
        <w:rPr>
          <w:noProof/>
          <w:u w:val="single"/>
        </w:rPr>
      </w:pPr>
      <w:proofErr w:type="spellStart"/>
      <w:r>
        <w:rPr>
          <w:rFonts w:eastAsia="TimesNewRoman"/>
          <w:szCs w:val="22"/>
          <w:u w:val="single"/>
          <w:lang w:eastAsia="lt-LT"/>
        </w:rPr>
        <w:t>Varesta</w:t>
      </w:r>
      <w:proofErr w:type="spellEnd"/>
      <w:r>
        <w:rPr>
          <w:rFonts w:eastAsia="TimesNewRoman"/>
          <w:szCs w:val="22"/>
          <w:u w:val="single"/>
          <w:lang w:eastAsia="lt-LT"/>
        </w:rPr>
        <w:t xml:space="preserve"> 15 mg plėvele dengtos tabletės</w:t>
      </w:r>
    </w:p>
    <w:p w14:paraId="10EF655A" w14:textId="77777777" w:rsidR="00BC7B13" w:rsidRDefault="004E7EF9">
      <w:r>
        <w:t>Blyškiai rusvai oranžinės spalvos, ovalios, abipus išgaubtos plėvele dengtos tabletės, kurių vienoje pusėje pažymėta 15, o kitoje – vagelė.</w:t>
      </w:r>
    </w:p>
    <w:p w14:paraId="4B0FF0AE" w14:textId="77777777" w:rsidR="00BC7B13" w:rsidRDefault="004E7EF9">
      <w:pPr>
        <w:ind w:left="567" w:hanging="567"/>
      </w:pPr>
      <w:r>
        <w:t>Tabletės matmenys: maždaug 9 mm x 6 mm.</w:t>
      </w:r>
    </w:p>
    <w:p w14:paraId="3D912BE3" w14:textId="77777777" w:rsidR="00BC7B13" w:rsidRDefault="004E7EF9">
      <w:pPr>
        <w:ind w:left="567" w:hanging="567"/>
      </w:pPr>
      <w:r>
        <w:t>Tabletę galima padalyti į lygias dozes.</w:t>
      </w:r>
    </w:p>
    <w:p w14:paraId="054D73CB" w14:textId="77777777" w:rsidR="00BC7B13" w:rsidRDefault="00BC7B13">
      <w:pPr>
        <w:ind w:left="567" w:hanging="567"/>
      </w:pPr>
    </w:p>
    <w:p w14:paraId="075FDB70" w14:textId="77777777" w:rsidR="00BC7B13" w:rsidRDefault="004E7EF9">
      <w:pPr>
        <w:rPr>
          <w:noProof/>
          <w:u w:val="single"/>
        </w:rPr>
      </w:pPr>
      <w:proofErr w:type="spellStart"/>
      <w:r>
        <w:rPr>
          <w:rFonts w:eastAsia="TimesNewRoman"/>
          <w:szCs w:val="22"/>
          <w:u w:val="single"/>
          <w:lang w:eastAsia="lt-LT"/>
        </w:rPr>
        <w:t>Varesta</w:t>
      </w:r>
      <w:proofErr w:type="spellEnd"/>
      <w:r>
        <w:rPr>
          <w:rFonts w:eastAsia="TimesNewRoman"/>
          <w:szCs w:val="22"/>
          <w:u w:val="single"/>
          <w:lang w:eastAsia="lt-LT"/>
        </w:rPr>
        <w:t xml:space="preserve"> 20 mg plėvele dengtos tabletės</w:t>
      </w:r>
    </w:p>
    <w:p w14:paraId="0371FD01" w14:textId="77777777" w:rsidR="00BC7B13" w:rsidRDefault="004E7EF9">
      <w:r>
        <w:t>Rudai raudonos, ovalios, abipus išgaubtos plėvele dengtos tabletės, kurių vienoje pusėje pažymėta 20, o kitoje – vagelė.</w:t>
      </w:r>
    </w:p>
    <w:p w14:paraId="4703D45F" w14:textId="77777777" w:rsidR="00BC7B13" w:rsidRDefault="004E7EF9">
      <w:pPr>
        <w:ind w:left="567" w:hanging="567"/>
      </w:pPr>
      <w:r>
        <w:t>Tabletės matmenys: maždaug 9 mm x 6 mm.</w:t>
      </w:r>
    </w:p>
    <w:p w14:paraId="78F72583" w14:textId="77777777" w:rsidR="00BC7B13" w:rsidRDefault="004E7EF9">
      <w:pPr>
        <w:ind w:left="567" w:hanging="567"/>
      </w:pPr>
      <w:r>
        <w:t>Tabletę galima padalyti į lygias dozes.</w:t>
      </w:r>
    </w:p>
    <w:bookmarkEnd w:id="1"/>
    <w:p w14:paraId="3C670D19" w14:textId="77777777" w:rsidR="00BC7B13" w:rsidRDefault="00BC7B13">
      <w:pPr>
        <w:ind w:left="567" w:hanging="567"/>
      </w:pPr>
    </w:p>
    <w:p w14:paraId="586E5152" w14:textId="77777777" w:rsidR="00BC7B13" w:rsidRDefault="00BC7B13">
      <w:pPr>
        <w:ind w:left="567" w:hanging="567"/>
      </w:pPr>
    </w:p>
    <w:p w14:paraId="1B329D72" w14:textId="77777777" w:rsidR="00BC7B13" w:rsidRDefault="004E7EF9">
      <w:pPr>
        <w:ind w:left="567" w:hanging="567"/>
        <w:rPr>
          <w:b/>
          <w:caps/>
        </w:rPr>
      </w:pPr>
      <w:r>
        <w:rPr>
          <w:b/>
          <w:caps/>
        </w:rPr>
        <w:t>4.</w:t>
      </w:r>
      <w:r>
        <w:rPr>
          <w:b/>
          <w:caps/>
        </w:rPr>
        <w:tab/>
        <w:t>klinikinĖ informacija</w:t>
      </w:r>
    </w:p>
    <w:p w14:paraId="7FCECC0B" w14:textId="77777777" w:rsidR="00BC7B13" w:rsidRDefault="00BC7B13">
      <w:pPr>
        <w:ind w:left="567" w:hanging="567"/>
      </w:pPr>
    </w:p>
    <w:p w14:paraId="3B76B397" w14:textId="77777777" w:rsidR="00BC7B13" w:rsidRDefault="004E7EF9">
      <w:pPr>
        <w:ind w:left="567" w:hanging="567"/>
        <w:rPr>
          <w:b/>
        </w:rPr>
      </w:pPr>
      <w:r>
        <w:rPr>
          <w:b/>
        </w:rPr>
        <w:t>4.1</w:t>
      </w:r>
      <w:r>
        <w:rPr>
          <w:b/>
        </w:rPr>
        <w:tab/>
        <w:t>Terapinės indikacijos</w:t>
      </w:r>
    </w:p>
    <w:p w14:paraId="53D4696B" w14:textId="77777777" w:rsidR="00BC7B13" w:rsidRDefault="00BC7B13">
      <w:pPr>
        <w:ind w:left="567" w:hanging="567"/>
      </w:pPr>
    </w:p>
    <w:p w14:paraId="16DD053E" w14:textId="77777777" w:rsidR="00BC7B13" w:rsidRDefault="004E7EF9">
      <w:pPr>
        <w:ind w:left="567" w:hanging="567"/>
        <w:rPr>
          <w:rFonts w:eastAsia="TimesNewRoman"/>
          <w:szCs w:val="22"/>
          <w:lang w:eastAsia="lt-LT"/>
        </w:rPr>
      </w:pPr>
      <w:proofErr w:type="spellStart"/>
      <w:r>
        <w:rPr>
          <w:rFonts w:eastAsia="TimesNewRoman"/>
          <w:szCs w:val="22"/>
          <w:lang w:eastAsia="lt-LT"/>
        </w:rPr>
        <w:lastRenderedPageBreak/>
        <w:t>Varesta</w:t>
      </w:r>
      <w:proofErr w:type="spellEnd"/>
      <w:r>
        <w:rPr>
          <w:rFonts w:eastAsia="TimesNewRoman"/>
          <w:szCs w:val="22"/>
          <w:lang w:eastAsia="lt-LT"/>
        </w:rPr>
        <w:t xml:space="preserve"> skirtas suaugusiųjų didžiosios depresijos epizodų gydymui.</w:t>
      </w:r>
    </w:p>
    <w:p w14:paraId="381EC70F" w14:textId="77777777" w:rsidR="00BC7B13" w:rsidRDefault="00BC7B13">
      <w:pPr>
        <w:ind w:left="567" w:hanging="567"/>
      </w:pPr>
    </w:p>
    <w:p w14:paraId="0FC75262" w14:textId="77777777" w:rsidR="00BC7B13" w:rsidRDefault="004E7EF9">
      <w:pPr>
        <w:ind w:left="567" w:hanging="567"/>
        <w:rPr>
          <w:b/>
        </w:rPr>
      </w:pPr>
      <w:r>
        <w:rPr>
          <w:b/>
        </w:rPr>
        <w:t>4.2</w:t>
      </w:r>
      <w:r>
        <w:rPr>
          <w:b/>
        </w:rPr>
        <w:tab/>
        <w:t>Dozavimas ir vartojimo metodas</w:t>
      </w:r>
    </w:p>
    <w:p w14:paraId="6CB03B76" w14:textId="77777777" w:rsidR="00BC7B13" w:rsidRDefault="00BC7B13">
      <w:pPr>
        <w:ind w:left="567" w:hanging="567"/>
        <w:rPr>
          <w:b/>
        </w:rPr>
      </w:pPr>
    </w:p>
    <w:p w14:paraId="3FE6111B" w14:textId="77777777" w:rsidR="00BC7B13" w:rsidRDefault="004E7EF9">
      <w:pPr>
        <w:rPr>
          <w:noProof/>
          <w:szCs w:val="22"/>
          <w:u w:val="single"/>
        </w:rPr>
      </w:pPr>
      <w:r>
        <w:rPr>
          <w:noProof/>
          <w:szCs w:val="22"/>
          <w:u w:val="single"/>
        </w:rPr>
        <w:t>Dozavimas</w:t>
      </w:r>
    </w:p>
    <w:p w14:paraId="782B20BB" w14:textId="77777777" w:rsidR="00BC7B13" w:rsidRDefault="00BC7B13"/>
    <w:p w14:paraId="2993A3AA"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Pradinė ir rekomenduojama </w:t>
      </w:r>
      <w:proofErr w:type="spellStart"/>
      <w:r>
        <w:rPr>
          <w:rFonts w:eastAsia="TimesNewRoman"/>
          <w:szCs w:val="22"/>
          <w:lang w:eastAsia="lt-LT"/>
        </w:rPr>
        <w:t>Varesta</w:t>
      </w:r>
      <w:proofErr w:type="spellEnd"/>
      <w:r>
        <w:rPr>
          <w:rFonts w:eastAsia="TimesNewRoman"/>
          <w:szCs w:val="22"/>
          <w:lang w:eastAsia="lt-LT"/>
        </w:rPr>
        <w:t xml:space="preserve"> dozė jaunesniems kaip 65 metų suaugusiesiems yra 10 mg </w:t>
      </w:r>
      <w:proofErr w:type="spellStart"/>
      <w:r>
        <w:rPr>
          <w:rFonts w:eastAsia="TimesNewRoman"/>
          <w:szCs w:val="22"/>
          <w:lang w:eastAsia="lt-LT"/>
        </w:rPr>
        <w:t>vortioksetino</w:t>
      </w:r>
      <w:proofErr w:type="spellEnd"/>
      <w:r>
        <w:rPr>
          <w:rFonts w:eastAsia="TimesNewRoman"/>
          <w:szCs w:val="22"/>
          <w:lang w:eastAsia="lt-LT"/>
        </w:rPr>
        <w:t xml:space="preserve"> vieną kartą per parą.</w:t>
      </w:r>
    </w:p>
    <w:p w14:paraId="1FFA82CE" w14:textId="77777777" w:rsidR="00BC7B13" w:rsidRDefault="00BC7B13">
      <w:pPr>
        <w:autoSpaceDE w:val="0"/>
        <w:autoSpaceDN w:val="0"/>
        <w:adjustRightInd w:val="0"/>
        <w:rPr>
          <w:rFonts w:eastAsia="TimesNewRoman"/>
          <w:szCs w:val="22"/>
          <w:lang w:eastAsia="lt-LT"/>
        </w:rPr>
      </w:pPr>
    </w:p>
    <w:p w14:paraId="6878EEB4"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Atsižvelgiant į individualų paciento organizmo atsaką, dozę galima padidinti iki didžiausios vieną kartą per parą vartojamos 20 mg </w:t>
      </w:r>
      <w:proofErr w:type="spellStart"/>
      <w:r>
        <w:rPr>
          <w:rFonts w:eastAsia="TimesNewRoman"/>
          <w:szCs w:val="22"/>
          <w:lang w:eastAsia="lt-LT"/>
        </w:rPr>
        <w:t>vortioksetino</w:t>
      </w:r>
      <w:proofErr w:type="spellEnd"/>
      <w:r>
        <w:rPr>
          <w:rFonts w:eastAsia="TimesNewRoman"/>
          <w:szCs w:val="22"/>
          <w:lang w:eastAsia="lt-LT"/>
        </w:rPr>
        <w:t xml:space="preserve"> dozės arba sumažinti iki mažiausios vieną kartą per parą vartojamos 5 mg </w:t>
      </w:r>
      <w:proofErr w:type="spellStart"/>
      <w:r>
        <w:rPr>
          <w:rFonts w:eastAsia="TimesNewRoman"/>
          <w:szCs w:val="22"/>
          <w:lang w:eastAsia="lt-LT"/>
        </w:rPr>
        <w:t>vortioksetino</w:t>
      </w:r>
      <w:proofErr w:type="spellEnd"/>
      <w:r>
        <w:rPr>
          <w:rFonts w:eastAsia="TimesNewRoman"/>
          <w:szCs w:val="22"/>
          <w:lang w:eastAsia="lt-LT"/>
        </w:rPr>
        <w:t xml:space="preserve"> dozės.</w:t>
      </w:r>
    </w:p>
    <w:p w14:paraId="026A4F61" w14:textId="77777777" w:rsidR="00BC7B13" w:rsidRDefault="00BC7B13">
      <w:pPr>
        <w:autoSpaceDE w:val="0"/>
        <w:autoSpaceDN w:val="0"/>
        <w:adjustRightInd w:val="0"/>
        <w:rPr>
          <w:rFonts w:eastAsia="TimesNewRoman"/>
          <w:szCs w:val="22"/>
          <w:lang w:eastAsia="lt-LT"/>
        </w:rPr>
      </w:pPr>
    </w:p>
    <w:p w14:paraId="4373E380"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Išnykus depresijos simptomams, rekomenduojama gydyti ne trumpiau kaip 6 mėnesius, kad sustiprėtų </w:t>
      </w:r>
      <w:proofErr w:type="spellStart"/>
      <w:r>
        <w:rPr>
          <w:rFonts w:eastAsia="TimesNewRoman"/>
          <w:szCs w:val="22"/>
          <w:lang w:eastAsia="lt-LT"/>
        </w:rPr>
        <w:t>antidepresinis</w:t>
      </w:r>
      <w:proofErr w:type="spellEnd"/>
      <w:r>
        <w:rPr>
          <w:rFonts w:eastAsia="TimesNewRoman"/>
          <w:szCs w:val="22"/>
          <w:lang w:eastAsia="lt-LT"/>
        </w:rPr>
        <w:t xml:space="preserve"> organizmo atsakas.</w:t>
      </w:r>
    </w:p>
    <w:p w14:paraId="4FEB863C" w14:textId="77777777" w:rsidR="00BC7B13" w:rsidRDefault="00BC7B13">
      <w:pPr>
        <w:autoSpaceDE w:val="0"/>
        <w:autoSpaceDN w:val="0"/>
        <w:adjustRightInd w:val="0"/>
        <w:rPr>
          <w:rFonts w:eastAsia="TimesNewRoman"/>
          <w:szCs w:val="22"/>
          <w:lang w:eastAsia="lt-LT"/>
        </w:rPr>
      </w:pPr>
    </w:p>
    <w:p w14:paraId="19898963"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Gydymo nutraukimas</w:t>
      </w:r>
    </w:p>
    <w:p w14:paraId="4C68496C"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Siekiant išvengti nutraukimo simptomų (žr. 4.8 skyrių), galima apsvarstyti nutraukimą laipsniškai mažinant dozę. Tačiau duomenų nepakanka, kad būtų galima teikti konkrečių rekomendacijų nutraukti vartojimą palaipsniui mažinant dozę </w:t>
      </w:r>
      <w:proofErr w:type="spellStart"/>
      <w:r>
        <w:rPr>
          <w:rFonts w:eastAsia="TimesNewRoman"/>
          <w:szCs w:val="22"/>
          <w:lang w:eastAsia="lt-LT"/>
        </w:rPr>
        <w:t>Varesta</w:t>
      </w:r>
      <w:proofErr w:type="spellEnd"/>
      <w:r>
        <w:rPr>
          <w:rFonts w:eastAsia="TimesNewRoman"/>
          <w:szCs w:val="22"/>
          <w:lang w:eastAsia="lt-LT"/>
        </w:rPr>
        <w:t xml:space="preserve"> gydomiems pacientams.</w:t>
      </w:r>
    </w:p>
    <w:p w14:paraId="57D57F63" w14:textId="77777777" w:rsidR="00BC7B13" w:rsidRDefault="00BC7B13">
      <w:pPr>
        <w:autoSpaceDE w:val="0"/>
        <w:autoSpaceDN w:val="0"/>
        <w:adjustRightInd w:val="0"/>
        <w:rPr>
          <w:rFonts w:eastAsia="TimesNewRoman"/>
          <w:szCs w:val="22"/>
          <w:lang w:eastAsia="lt-LT"/>
        </w:rPr>
      </w:pPr>
    </w:p>
    <w:p w14:paraId="3484D9EC"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Ypatingos populiacijos</w:t>
      </w:r>
    </w:p>
    <w:p w14:paraId="67A90E38" w14:textId="77777777" w:rsidR="00BC7B13" w:rsidRDefault="00BC7B13">
      <w:pPr>
        <w:autoSpaceDE w:val="0"/>
        <w:autoSpaceDN w:val="0"/>
        <w:adjustRightInd w:val="0"/>
        <w:rPr>
          <w:rFonts w:eastAsia="TimesNewRoman"/>
          <w:szCs w:val="22"/>
          <w:lang w:eastAsia="lt-LT"/>
        </w:rPr>
      </w:pPr>
    </w:p>
    <w:p w14:paraId="5B93723A"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Senyviems pacientams</w:t>
      </w:r>
    </w:p>
    <w:p w14:paraId="42920CE3"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 65 metų pacientams visada būtina pradėti vartoti mažiausią veiksmingą vieną kartą per parą vartojamą 5 mg </w:t>
      </w:r>
      <w:proofErr w:type="spellStart"/>
      <w:r>
        <w:rPr>
          <w:rFonts w:eastAsia="TimesNewRoman"/>
          <w:szCs w:val="22"/>
          <w:lang w:eastAsia="lt-LT"/>
        </w:rPr>
        <w:t>vortioksetino</w:t>
      </w:r>
      <w:proofErr w:type="spellEnd"/>
      <w:r>
        <w:rPr>
          <w:rFonts w:eastAsia="TimesNewRoman"/>
          <w:szCs w:val="22"/>
          <w:lang w:eastAsia="lt-LT"/>
        </w:rPr>
        <w:t xml:space="preserve"> dozę. ≥ 65 metų pacientus gydyti didesne kaip vieną kartą per parą vartojama 10 mg </w:t>
      </w:r>
      <w:proofErr w:type="spellStart"/>
      <w:r>
        <w:rPr>
          <w:rFonts w:eastAsia="TimesNewRoman"/>
          <w:szCs w:val="22"/>
          <w:lang w:eastAsia="lt-LT"/>
        </w:rPr>
        <w:t>vortioksetino</w:t>
      </w:r>
      <w:proofErr w:type="spellEnd"/>
      <w:r>
        <w:rPr>
          <w:rFonts w:eastAsia="TimesNewRoman"/>
          <w:szCs w:val="22"/>
          <w:lang w:eastAsia="lt-LT"/>
        </w:rPr>
        <w:t xml:space="preserve"> doze būtina laikantis atsargumo priemonių, kadangi duomenų apie tokių dozių vartojimą yra nedaug (žr. 4.4 skyrių).</w:t>
      </w:r>
    </w:p>
    <w:p w14:paraId="780536EE" w14:textId="77777777" w:rsidR="00BC7B13" w:rsidRDefault="00BC7B13">
      <w:pPr>
        <w:autoSpaceDE w:val="0"/>
        <w:autoSpaceDN w:val="0"/>
        <w:adjustRightInd w:val="0"/>
        <w:rPr>
          <w:rFonts w:eastAsia="TimesNewRoman"/>
          <w:i/>
          <w:iCs/>
          <w:szCs w:val="22"/>
          <w:lang w:eastAsia="lt-LT"/>
        </w:rPr>
      </w:pPr>
    </w:p>
    <w:p w14:paraId="7B1939D3" w14:textId="77777777" w:rsidR="00BC7B13" w:rsidRDefault="004E7EF9">
      <w:pPr>
        <w:autoSpaceDE w:val="0"/>
        <w:autoSpaceDN w:val="0"/>
        <w:adjustRightInd w:val="0"/>
        <w:rPr>
          <w:rFonts w:eastAsia="TimesNewRoman"/>
          <w:i/>
          <w:iCs/>
          <w:szCs w:val="22"/>
          <w:lang w:eastAsia="lt-LT"/>
        </w:rPr>
      </w:pPr>
      <w:proofErr w:type="spellStart"/>
      <w:r>
        <w:rPr>
          <w:rFonts w:eastAsia="TimesNewRoman"/>
          <w:i/>
          <w:iCs/>
          <w:szCs w:val="22"/>
          <w:lang w:eastAsia="lt-LT"/>
        </w:rPr>
        <w:t>Citochromo</w:t>
      </w:r>
      <w:proofErr w:type="spellEnd"/>
      <w:r>
        <w:rPr>
          <w:rFonts w:eastAsia="TimesNewRoman"/>
          <w:i/>
          <w:iCs/>
          <w:szCs w:val="22"/>
          <w:lang w:eastAsia="lt-LT"/>
        </w:rPr>
        <w:t xml:space="preserve"> P450 inhibitoriai</w:t>
      </w:r>
    </w:p>
    <w:p w14:paraId="11CC4D1D"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Atsižvelgiant į individualų paciento organizmo atsaką, galima apsvarstyti mažesnės </w:t>
      </w:r>
      <w:proofErr w:type="spellStart"/>
      <w:r>
        <w:rPr>
          <w:rFonts w:eastAsia="TimesNewRoman"/>
          <w:szCs w:val="22"/>
          <w:lang w:eastAsia="lt-LT"/>
        </w:rPr>
        <w:t>vortioksetino</w:t>
      </w:r>
      <w:proofErr w:type="spellEnd"/>
      <w:r>
        <w:rPr>
          <w:rFonts w:eastAsia="TimesNewRoman"/>
          <w:szCs w:val="22"/>
          <w:lang w:eastAsia="lt-LT"/>
        </w:rPr>
        <w:t xml:space="preserve"> dozės skyrimą, jeigu gydant </w:t>
      </w:r>
      <w:proofErr w:type="spellStart"/>
      <w:r>
        <w:rPr>
          <w:rFonts w:eastAsia="TimesNewRoman"/>
          <w:szCs w:val="22"/>
          <w:lang w:eastAsia="lt-LT"/>
        </w:rPr>
        <w:t>vortioksetinu</w:t>
      </w:r>
      <w:proofErr w:type="spellEnd"/>
      <w:r>
        <w:rPr>
          <w:rFonts w:eastAsia="TimesNewRoman"/>
          <w:szCs w:val="22"/>
          <w:lang w:eastAsia="lt-LT"/>
        </w:rPr>
        <w:t xml:space="preserve">, papildomai skiriama vartoti stipriai veikiančių CYP2D6 inhibitorių (pvz.: </w:t>
      </w:r>
      <w:proofErr w:type="spellStart"/>
      <w:r>
        <w:rPr>
          <w:rFonts w:eastAsia="TimesNewRoman"/>
          <w:szCs w:val="22"/>
          <w:lang w:eastAsia="lt-LT"/>
        </w:rPr>
        <w:t>bupropiono</w:t>
      </w:r>
      <w:proofErr w:type="spellEnd"/>
      <w:r>
        <w:rPr>
          <w:rFonts w:eastAsia="TimesNewRoman"/>
          <w:szCs w:val="22"/>
          <w:lang w:eastAsia="lt-LT"/>
        </w:rPr>
        <w:t xml:space="preserve">, </w:t>
      </w:r>
      <w:proofErr w:type="spellStart"/>
      <w:r>
        <w:rPr>
          <w:rFonts w:eastAsia="TimesNewRoman"/>
          <w:szCs w:val="22"/>
          <w:lang w:eastAsia="lt-LT"/>
        </w:rPr>
        <w:t>chinidino</w:t>
      </w:r>
      <w:proofErr w:type="spellEnd"/>
      <w:r>
        <w:rPr>
          <w:rFonts w:eastAsia="TimesNewRoman"/>
          <w:szCs w:val="22"/>
          <w:lang w:eastAsia="lt-LT"/>
        </w:rPr>
        <w:t xml:space="preserve">, </w:t>
      </w:r>
      <w:proofErr w:type="spellStart"/>
      <w:r>
        <w:rPr>
          <w:rFonts w:eastAsia="TimesNewRoman"/>
          <w:szCs w:val="22"/>
          <w:lang w:eastAsia="lt-LT"/>
        </w:rPr>
        <w:t>fluoksetino</w:t>
      </w:r>
      <w:proofErr w:type="spellEnd"/>
      <w:r>
        <w:rPr>
          <w:rFonts w:eastAsia="TimesNewRoman"/>
          <w:szCs w:val="22"/>
          <w:lang w:eastAsia="lt-LT"/>
        </w:rPr>
        <w:t xml:space="preserve">, </w:t>
      </w:r>
      <w:proofErr w:type="spellStart"/>
      <w:r>
        <w:rPr>
          <w:rFonts w:eastAsia="TimesNewRoman"/>
          <w:szCs w:val="22"/>
          <w:lang w:eastAsia="lt-LT"/>
        </w:rPr>
        <w:t>paroksetino</w:t>
      </w:r>
      <w:proofErr w:type="spellEnd"/>
      <w:r>
        <w:rPr>
          <w:rFonts w:eastAsia="TimesNewRoman"/>
          <w:szCs w:val="22"/>
          <w:lang w:eastAsia="lt-LT"/>
        </w:rPr>
        <w:t>) (žr. 4.5 skyrių).</w:t>
      </w:r>
    </w:p>
    <w:p w14:paraId="65B715F1" w14:textId="77777777" w:rsidR="00BC7B13" w:rsidRDefault="00BC7B13">
      <w:pPr>
        <w:autoSpaceDE w:val="0"/>
        <w:autoSpaceDN w:val="0"/>
        <w:adjustRightInd w:val="0"/>
        <w:rPr>
          <w:rFonts w:eastAsia="TimesNewRoman"/>
          <w:i/>
          <w:iCs/>
          <w:szCs w:val="22"/>
          <w:lang w:eastAsia="lt-LT"/>
        </w:rPr>
      </w:pPr>
    </w:p>
    <w:p w14:paraId="3BD1B889" w14:textId="77777777" w:rsidR="00BC7B13" w:rsidRDefault="004E7EF9">
      <w:pPr>
        <w:autoSpaceDE w:val="0"/>
        <w:autoSpaceDN w:val="0"/>
        <w:adjustRightInd w:val="0"/>
        <w:rPr>
          <w:rFonts w:eastAsia="TimesNewRoman"/>
          <w:i/>
          <w:iCs/>
          <w:szCs w:val="22"/>
          <w:lang w:eastAsia="lt-LT"/>
        </w:rPr>
      </w:pPr>
      <w:proofErr w:type="spellStart"/>
      <w:r>
        <w:rPr>
          <w:rFonts w:eastAsia="TimesNewRoman"/>
          <w:i/>
          <w:iCs/>
          <w:szCs w:val="22"/>
          <w:lang w:eastAsia="lt-LT"/>
        </w:rPr>
        <w:t>Citochromo</w:t>
      </w:r>
      <w:proofErr w:type="spellEnd"/>
      <w:r>
        <w:rPr>
          <w:rFonts w:eastAsia="TimesNewRoman"/>
          <w:i/>
          <w:iCs/>
          <w:szCs w:val="22"/>
          <w:lang w:eastAsia="lt-LT"/>
        </w:rPr>
        <w:t xml:space="preserve"> P450 </w:t>
      </w:r>
      <w:proofErr w:type="spellStart"/>
      <w:r>
        <w:rPr>
          <w:rFonts w:eastAsia="TimesNewRoman"/>
          <w:i/>
          <w:iCs/>
          <w:szCs w:val="22"/>
          <w:lang w:eastAsia="lt-LT"/>
        </w:rPr>
        <w:t>induktoriai</w:t>
      </w:r>
      <w:proofErr w:type="spellEnd"/>
    </w:p>
    <w:p w14:paraId="77A12E84"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Atsižvelgiant į individualų paciento organizmo atsaką, galima apsvarstyti </w:t>
      </w:r>
      <w:proofErr w:type="spellStart"/>
      <w:r>
        <w:rPr>
          <w:rFonts w:eastAsia="TimesNewRoman"/>
          <w:szCs w:val="22"/>
          <w:lang w:eastAsia="lt-LT"/>
        </w:rPr>
        <w:t>vortioksetino</w:t>
      </w:r>
      <w:proofErr w:type="spellEnd"/>
      <w:r>
        <w:rPr>
          <w:rFonts w:eastAsia="TimesNewRoman"/>
          <w:szCs w:val="22"/>
          <w:lang w:eastAsia="lt-LT"/>
        </w:rPr>
        <w:t xml:space="preserve"> dozės koregavimą, jeigu gydant </w:t>
      </w:r>
      <w:proofErr w:type="spellStart"/>
      <w:r>
        <w:rPr>
          <w:rFonts w:eastAsia="TimesNewRoman"/>
          <w:szCs w:val="22"/>
          <w:lang w:eastAsia="lt-LT"/>
        </w:rPr>
        <w:t>vortioksetinu</w:t>
      </w:r>
      <w:proofErr w:type="spellEnd"/>
      <w:r>
        <w:rPr>
          <w:rFonts w:eastAsia="TimesNewRoman"/>
          <w:szCs w:val="22"/>
          <w:lang w:eastAsia="lt-LT"/>
        </w:rPr>
        <w:t xml:space="preserve">, papildomai skiriama vartoti plataus veikimo spektro </w:t>
      </w:r>
      <w:proofErr w:type="spellStart"/>
      <w:r>
        <w:rPr>
          <w:rFonts w:eastAsia="TimesNewRoman"/>
          <w:szCs w:val="22"/>
          <w:lang w:eastAsia="lt-LT"/>
        </w:rPr>
        <w:t>citochromo</w:t>
      </w:r>
      <w:proofErr w:type="spellEnd"/>
      <w:r>
        <w:rPr>
          <w:rFonts w:eastAsia="TimesNewRoman"/>
          <w:szCs w:val="22"/>
          <w:lang w:eastAsia="lt-LT"/>
        </w:rPr>
        <w:t xml:space="preserve"> P450 </w:t>
      </w:r>
      <w:proofErr w:type="spellStart"/>
      <w:r>
        <w:rPr>
          <w:rFonts w:eastAsia="TimesNewRoman"/>
          <w:szCs w:val="22"/>
          <w:lang w:eastAsia="lt-LT"/>
        </w:rPr>
        <w:t>induktorių</w:t>
      </w:r>
      <w:proofErr w:type="spellEnd"/>
      <w:r>
        <w:rPr>
          <w:rFonts w:eastAsia="TimesNewRoman"/>
          <w:szCs w:val="22"/>
          <w:lang w:eastAsia="lt-LT"/>
        </w:rPr>
        <w:t xml:space="preserve"> (pvz.: </w:t>
      </w:r>
      <w:proofErr w:type="spellStart"/>
      <w:r>
        <w:rPr>
          <w:rFonts w:eastAsia="TimesNewRoman"/>
          <w:szCs w:val="22"/>
          <w:lang w:eastAsia="lt-LT"/>
        </w:rPr>
        <w:t>rifampicino</w:t>
      </w:r>
      <w:proofErr w:type="spellEnd"/>
      <w:r>
        <w:rPr>
          <w:rFonts w:eastAsia="TimesNewRoman"/>
          <w:szCs w:val="22"/>
          <w:lang w:eastAsia="lt-LT"/>
        </w:rPr>
        <w:t xml:space="preserve">, </w:t>
      </w:r>
      <w:proofErr w:type="spellStart"/>
      <w:r>
        <w:rPr>
          <w:rFonts w:eastAsia="TimesNewRoman"/>
          <w:szCs w:val="22"/>
          <w:lang w:eastAsia="lt-LT"/>
        </w:rPr>
        <w:t>karbamazepino</w:t>
      </w:r>
      <w:proofErr w:type="spellEnd"/>
      <w:r>
        <w:rPr>
          <w:rFonts w:eastAsia="TimesNewRoman"/>
          <w:szCs w:val="22"/>
          <w:lang w:eastAsia="lt-LT"/>
        </w:rPr>
        <w:t xml:space="preserve">, </w:t>
      </w:r>
      <w:proofErr w:type="spellStart"/>
      <w:r>
        <w:rPr>
          <w:rFonts w:eastAsia="TimesNewRoman"/>
          <w:szCs w:val="22"/>
          <w:lang w:eastAsia="lt-LT"/>
        </w:rPr>
        <w:t>fenitoino</w:t>
      </w:r>
      <w:proofErr w:type="spellEnd"/>
      <w:r>
        <w:rPr>
          <w:rFonts w:eastAsia="TimesNewRoman"/>
          <w:szCs w:val="22"/>
          <w:lang w:eastAsia="lt-LT"/>
        </w:rPr>
        <w:t>) (žr. 4.5 skyrių).</w:t>
      </w:r>
    </w:p>
    <w:p w14:paraId="7D827A7B" w14:textId="77777777" w:rsidR="00BC7B13" w:rsidRDefault="00BC7B13">
      <w:pPr>
        <w:autoSpaceDE w:val="0"/>
        <w:autoSpaceDN w:val="0"/>
        <w:adjustRightInd w:val="0"/>
        <w:rPr>
          <w:rFonts w:eastAsia="TimesNewRoman"/>
          <w:i/>
          <w:iCs/>
          <w:szCs w:val="22"/>
          <w:lang w:eastAsia="lt-LT"/>
        </w:rPr>
      </w:pPr>
    </w:p>
    <w:p w14:paraId="11A1BCB1"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Vaikų populiacija</w:t>
      </w:r>
    </w:p>
    <w:p w14:paraId="04D09D75"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negalima vartoti vaikams (jaunesniems kaip 18 metų), sergantiems didžiosios depresijos sutrikimu (DDS), nes veiksmingumas nebuvo įrodytas (žr. 5.1 skyrių). </w:t>
      </w:r>
      <w:proofErr w:type="spellStart"/>
      <w:r>
        <w:rPr>
          <w:rFonts w:eastAsia="TimesNewRoman"/>
          <w:szCs w:val="22"/>
          <w:lang w:eastAsia="lt-LT"/>
        </w:rPr>
        <w:t>Varesta</w:t>
      </w:r>
      <w:proofErr w:type="spellEnd"/>
      <w:r>
        <w:rPr>
          <w:rFonts w:eastAsia="TimesNewRoman"/>
          <w:szCs w:val="22"/>
          <w:lang w:eastAsia="lt-LT"/>
        </w:rPr>
        <w:t xml:space="preserve"> saugumas vaikams aprašytas 4.4, 4.8 ir 5.1 skyriuose.</w:t>
      </w:r>
    </w:p>
    <w:p w14:paraId="52354C19" w14:textId="77777777" w:rsidR="00BC7B13" w:rsidRDefault="00BC7B13">
      <w:pPr>
        <w:autoSpaceDE w:val="0"/>
        <w:autoSpaceDN w:val="0"/>
        <w:adjustRightInd w:val="0"/>
        <w:rPr>
          <w:rFonts w:eastAsia="TimesNewRoman"/>
          <w:i/>
          <w:iCs/>
          <w:szCs w:val="22"/>
          <w:lang w:eastAsia="lt-LT"/>
        </w:rPr>
      </w:pPr>
    </w:p>
    <w:p w14:paraId="61B53691"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Pacientams, kurių inkstų arba kepenų funkcija sutrikusi</w:t>
      </w:r>
    </w:p>
    <w:p w14:paraId="7FFB508F" w14:textId="77777777" w:rsidR="00BC7B13" w:rsidRDefault="004E7EF9">
      <w:pPr>
        <w:autoSpaceDE w:val="0"/>
        <w:autoSpaceDN w:val="0"/>
        <w:adjustRightInd w:val="0"/>
        <w:rPr>
          <w:rFonts w:eastAsia="TimesNewRoman"/>
          <w:szCs w:val="22"/>
          <w:lang w:eastAsia="lt-LT"/>
        </w:rPr>
      </w:pPr>
      <w:r>
        <w:rPr>
          <w:rFonts w:eastAsia="TimesNewRoman"/>
          <w:szCs w:val="22"/>
          <w:lang w:eastAsia="lt-LT"/>
        </w:rPr>
        <w:t>Atsižvelgiant į inkstų ar kepenų funkciją dozės koreguoti nereikia (žr. 4.4 ir 5.2 skyrius).</w:t>
      </w:r>
    </w:p>
    <w:p w14:paraId="674E6FC3" w14:textId="77777777" w:rsidR="00BC7B13" w:rsidRDefault="00BC7B13">
      <w:pPr>
        <w:autoSpaceDE w:val="0"/>
        <w:autoSpaceDN w:val="0"/>
        <w:adjustRightInd w:val="0"/>
        <w:rPr>
          <w:rFonts w:eastAsia="TimesNewRoman"/>
          <w:szCs w:val="22"/>
          <w:lang w:eastAsia="lt-LT"/>
        </w:rPr>
      </w:pPr>
    </w:p>
    <w:p w14:paraId="472288BF"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Vartojimo metodas</w:t>
      </w:r>
    </w:p>
    <w:p w14:paraId="12E4D95D"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Varesta</w:t>
      </w:r>
      <w:proofErr w:type="spellEnd"/>
      <w:r>
        <w:rPr>
          <w:rFonts w:eastAsia="TimesNewRoman"/>
          <w:szCs w:val="22"/>
          <w:lang w:eastAsia="lt-LT"/>
        </w:rPr>
        <w:t xml:space="preserve"> skiriamas vartoti per burną.</w:t>
      </w:r>
    </w:p>
    <w:p w14:paraId="70736D52" w14:textId="77777777" w:rsidR="00BC7B13" w:rsidRDefault="004E7EF9">
      <w:pPr>
        <w:rPr>
          <w:rFonts w:eastAsia="TimesNewRoman"/>
          <w:szCs w:val="22"/>
          <w:lang w:eastAsia="lt-LT"/>
        </w:rPr>
      </w:pPr>
      <w:r>
        <w:rPr>
          <w:rFonts w:eastAsia="TimesNewRoman"/>
          <w:szCs w:val="22"/>
          <w:lang w:eastAsia="lt-LT"/>
        </w:rPr>
        <w:t>Plėvele dengtų tablečių galima vartoti valgant ar nevalgius.</w:t>
      </w:r>
    </w:p>
    <w:p w14:paraId="1735C6E5" w14:textId="77777777" w:rsidR="00BC7B13" w:rsidRDefault="00BC7B13"/>
    <w:p w14:paraId="051C0C72" w14:textId="77777777" w:rsidR="00BC7B13" w:rsidRDefault="004E7EF9">
      <w:pPr>
        <w:ind w:left="567" w:hanging="567"/>
        <w:rPr>
          <w:b/>
        </w:rPr>
      </w:pPr>
      <w:r>
        <w:rPr>
          <w:b/>
        </w:rPr>
        <w:t>4.3</w:t>
      </w:r>
      <w:r>
        <w:rPr>
          <w:b/>
        </w:rPr>
        <w:tab/>
        <w:t>Kontraindikacijos</w:t>
      </w:r>
    </w:p>
    <w:p w14:paraId="20162F4F" w14:textId="77777777" w:rsidR="00BC7B13" w:rsidRDefault="00BC7B13">
      <w:pPr>
        <w:ind w:left="567" w:hanging="567"/>
      </w:pPr>
    </w:p>
    <w:p w14:paraId="0E219E87" w14:textId="77777777" w:rsidR="00BC7B13" w:rsidRDefault="004E7EF9">
      <w:pPr>
        <w:autoSpaceDE w:val="0"/>
        <w:autoSpaceDN w:val="0"/>
        <w:adjustRightInd w:val="0"/>
        <w:rPr>
          <w:rFonts w:eastAsia="TimesNewRoman"/>
          <w:szCs w:val="22"/>
          <w:lang w:eastAsia="lt-LT"/>
        </w:rPr>
      </w:pPr>
      <w:r>
        <w:rPr>
          <w:rFonts w:eastAsia="TimesNewRoman"/>
          <w:szCs w:val="22"/>
          <w:lang w:eastAsia="lt-LT"/>
        </w:rPr>
        <w:t>Padidėjęs jautrumas veikliajai arba bet kuriai 6.1 skyriuje nurodytai pagalbinei medžiagai.</w:t>
      </w:r>
    </w:p>
    <w:p w14:paraId="3ACB56B1" w14:textId="77777777" w:rsidR="00BC7B13" w:rsidRDefault="00BC7B13">
      <w:pPr>
        <w:autoSpaceDE w:val="0"/>
        <w:autoSpaceDN w:val="0"/>
        <w:adjustRightInd w:val="0"/>
        <w:rPr>
          <w:rFonts w:eastAsia="TimesNewRoman"/>
          <w:szCs w:val="22"/>
          <w:lang w:eastAsia="lt-LT"/>
        </w:rPr>
      </w:pPr>
    </w:p>
    <w:p w14:paraId="25C9A03D"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Vartojimas kartu su neselektyviaisiais </w:t>
      </w:r>
      <w:proofErr w:type="spellStart"/>
      <w:r>
        <w:rPr>
          <w:rFonts w:eastAsia="TimesNewRoman"/>
          <w:szCs w:val="22"/>
          <w:lang w:eastAsia="lt-LT"/>
        </w:rPr>
        <w:t>monoamino</w:t>
      </w:r>
      <w:proofErr w:type="spellEnd"/>
      <w:r>
        <w:rPr>
          <w:rFonts w:eastAsia="TimesNewRoman"/>
          <w:szCs w:val="22"/>
          <w:lang w:eastAsia="lt-LT"/>
        </w:rPr>
        <w:t xml:space="preserve"> </w:t>
      </w:r>
      <w:proofErr w:type="spellStart"/>
      <w:r>
        <w:rPr>
          <w:rFonts w:eastAsia="TimesNewRoman"/>
          <w:szCs w:val="22"/>
          <w:lang w:eastAsia="lt-LT"/>
        </w:rPr>
        <w:t>oksidazės</w:t>
      </w:r>
      <w:proofErr w:type="spellEnd"/>
      <w:r>
        <w:rPr>
          <w:rFonts w:eastAsia="TimesNewRoman"/>
          <w:szCs w:val="22"/>
          <w:lang w:eastAsia="lt-LT"/>
        </w:rPr>
        <w:t xml:space="preserve"> (MAO) inhibitoriais arba selektyviaisiais</w:t>
      </w:r>
    </w:p>
    <w:p w14:paraId="43151921" w14:textId="77777777" w:rsidR="00BC7B13" w:rsidRDefault="004E7EF9">
      <w:pPr>
        <w:ind w:left="567" w:hanging="567"/>
        <w:rPr>
          <w:rFonts w:eastAsia="TimesNewRoman"/>
          <w:szCs w:val="22"/>
          <w:lang w:eastAsia="lt-LT"/>
        </w:rPr>
      </w:pPr>
      <w:r>
        <w:rPr>
          <w:rFonts w:eastAsia="TimesNewRoman"/>
          <w:szCs w:val="22"/>
          <w:lang w:eastAsia="lt-LT"/>
        </w:rPr>
        <w:t>MAO-A inhibitoriais (žr. 4.5 skyrių).</w:t>
      </w:r>
    </w:p>
    <w:p w14:paraId="1B71E015" w14:textId="77777777" w:rsidR="00BC7B13" w:rsidRDefault="00BC7B13">
      <w:pPr>
        <w:ind w:left="567" w:hanging="567"/>
        <w:rPr>
          <w:rFonts w:eastAsia="TimesNewRoman"/>
          <w:szCs w:val="22"/>
          <w:lang w:eastAsia="lt-LT"/>
        </w:rPr>
      </w:pPr>
    </w:p>
    <w:p w14:paraId="7AAE37FA" w14:textId="77777777" w:rsidR="00BC7B13" w:rsidRDefault="004E7EF9">
      <w:pPr>
        <w:ind w:left="567" w:hanging="567"/>
        <w:rPr>
          <w:b/>
        </w:rPr>
      </w:pPr>
      <w:r>
        <w:rPr>
          <w:b/>
        </w:rPr>
        <w:t>4.4</w:t>
      </w:r>
      <w:r>
        <w:rPr>
          <w:b/>
        </w:rPr>
        <w:tab/>
        <w:t>Specialūs įspėjimai ir atsargumo priemonės</w:t>
      </w:r>
    </w:p>
    <w:p w14:paraId="08A6746D" w14:textId="77777777" w:rsidR="00BC7B13" w:rsidRDefault="00BC7B13">
      <w:pPr>
        <w:ind w:left="567" w:hanging="567"/>
        <w:rPr>
          <w:b/>
        </w:rPr>
      </w:pPr>
    </w:p>
    <w:p w14:paraId="74CD1DC9"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Vaikų populiacija</w:t>
      </w:r>
    </w:p>
    <w:p w14:paraId="7BFC9DF4"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negalima vartoti vaikams ir paaugliams nuo 7 iki 17 metų, sergantiems didžiosios depresijos sutrikimu (DDS), nes veiksmingumas nebuvo įrodytas (žr. 5.1 skyrių). Apskritai, </w:t>
      </w:r>
      <w:proofErr w:type="spellStart"/>
      <w:r>
        <w:rPr>
          <w:rFonts w:eastAsia="TimesNewRoman"/>
          <w:szCs w:val="22"/>
          <w:lang w:eastAsia="lt-LT"/>
        </w:rPr>
        <w:t>vortioksetino</w:t>
      </w:r>
      <w:proofErr w:type="spellEnd"/>
      <w:r>
        <w:rPr>
          <w:rFonts w:eastAsia="TimesNewRoman"/>
          <w:szCs w:val="22"/>
          <w:lang w:eastAsia="lt-LT"/>
        </w:rPr>
        <w:t xml:space="preserve"> nepageidaujamų reakcijų pobūdis vaikams ir paaugliams buvo panašus kaip ir suaugusiesiems, išskyrus tai, kad dažniau pasireiškė su pilvo skausmu susijusių reiškinių ir dažnesnių minčių apie savižudybę, ypač paaugliams, palyginti su suaugusiaisiais (žr. 4.8 ir 5.1 skyrius). Klinikinių tyrimų su vaikais ir paaugliais, kurie buvo gydyti antidepresantais, duomenimis, su savižudybe siejamo elgesio (bandymas žudytis ir mintys apie savižudybę) ir priešiškumo (ypač agresyvumo, opozicinio elgesio, pykčio) apraiškos buvo dažnesnės nei vartojusiems placebo.</w:t>
      </w:r>
    </w:p>
    <w:p w14:paraId="25449640" w14:textId="77777777" w:rsidR="00BC7B13" w:rsidRDefault="00BC7B13">
      <w:pPr>
        <w:autoSpaceDE w:val="0"/>
        <w:autoSpaceDN w:val="0"/>
        <w:adjustRightInd w:val="0"/>
        <w:rPr>
          <w:rFonts w:eastAsia="TimesNewRoman"/>
          <w:szCs w:val="22"/>
          <w:lang w:eastAsia="lt-LT"/>
        </w:rPr>
      </w:pPr>
    </w:p>
    <w:p w14:paraId="5344CB6C"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Savižudybė / mintys apie savižudybę arba klinikinės būklės pablogėjimas</w:t>
      </w:r>
    </w:p>
    <w:p w14:paraId="113CD497" w14:textId="77777777" w:rsidR="00BC7B13" w:rsidRDefault="004E7EF9">
      <w:pPr>
        <w:autoSpaceDE w:val="0"/>
        <w:autoSpaceDN w:val="0"/>
        <w:adjustRightInd w:val="0"/>
        <w:rPr>
          <w:rFonts w:eastAsia="TimesNewRoman"/>
          <w:szCs w:val="22"/>
          <w:lang w:eastAsia="lt-LT"/>
        </w:rPr>
      </w:pPr>
      <w:r>
        <w:rPr>
          <w:rFonts w:eastAsia="TimesNewRoman"/>
          <w:szCs w:val="22"/>
          <w:lang w:eastAsia="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65B45CFA"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kontroliuojamųjų klinikinių tyrimų, kuriuose dalyvavo suaugę psichikos sutrikimais sergantys pacientai, </w:t>
      </w:r>
      <w:proofErr w:type="spellStart"/>
      <w:r>
        <w:rPr>
          <w:rFonts w:eastAsia="TimesNewRoman"/>
          <w:szCs w:val="22"/>
          <w:lang w:eastAsia="lt-LT"/>
        </w:rPr>
        <w:t>metaanalizės</w:t>
      </w:r>
      <w:proofErr w:type="spellEnd"/>
      <w:r>
        <w:rPr>
          <w:rFonts w:eastAsia="TimesNewRoman"/>
          <w:szCs w:val="22"/>
          <w:lang w:eastAsia="lt-LT"/>
        </w:rPr>
        <w:t xml:space="preserve"> duomenys parodė, kad jaunesniems kaip 25 metų pacientams vartojant antidepresantų su savižudybe siejamo elgesio rizika yra didesnė, palyginti su vartojusiais placebo.</w:t>
      </w:r>
    </w:p>
    <w:p w14:paraId="535FBE88" w14:textId="77777777" w:rsidR="00BC7B13" w:rsidRDefault="004E7EF9">
      <w:pPr>
        <w:autoSpaceDE w:val="0"/>
        <w:autoSpaceDN w:val="0"/>
        <w:adjustRightInd w:val="0"/>
        <w:rPr>
          <w:rFonts w:eastAsia="TimesNewRoman"/>
          <w:szCs w:val="22"/>
          <w:lang w:eastAsia="lt-LT"/>
        </w:rPr>
      </w:pPr>
      <w:r>
        <w:rPr>
          <w:rFonts w:eastAsia="TimesNewRoman"/>
          <w:szCs w:val="22"/>
          <w:lang w:eastAsia="lt-LT"/>
        </w:rPr>
        <w:t>Gydomus pacientus, ypač priklausančius didelės rizikos grupei, būtina atidžiai stebėti gydymo pradžioje ir po dozės pakeitimo. Pacientus (ir jų globėjus) reikia perspėti, kad stebėtų, ar būklė nesunkėja, ar neatsiranda su savižudybe siejamo elgesio ir mąstymo apie savižudybę apraiškų, neįprastų elgesio pokyčių, o pastebėjus tokių simptomų, patariama nedelsiant kreiptis pagalbos į medicinos specialistus.</w:t>
      </w:r>
    </w:p>
    <w:p w14:paraId="1B1D4DD6" w14:textId="77777777" w:rsidR="00BC7B13" w:rsidRDefault="00BC7B13">
      <w:pPr>
        <w:autoSpaceDE w:val="0"/>
        <w:autoSpaceDN w:val="0"/>
        <w:adjustRightInd w:val="0"/>
        <w:rPr>
          <w:rFonts w:eastAsia="TimesNewRoman"/>
          <w:szCs w:val="22"/>
          <w:lang w:eastAsia="lt-LT"/>
        </w:rPr>
      </w:pPr>
    </w:p>
    <w:p w14:paraId="4E3FC9D5"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Traukuliai</w:t>
      </w:r>
    </w:p>
    <w:p w14:paraId="002EC7F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Antidepresantų vartojimas gali būti susijęs su traukulių pasireiškimo rizika. Todėl pradėti gydyti </w:t>
      </w:r>
      <w:proofErr w:type="spellStart"/>
      <w:r>
        <w:rPr>
          <w:rFonts w:eastAsia="TimesNewRoman"/>
          <w:szCs w:val="22"/>
          <w:lang w:eastAsia="lt-LT"/>
        </w:rPr>
        <w:t>vortioksetinu</w:t>
      </w:r>
      <w:proofErr w:type="spellEnd"/>
      <w:r>
        <w:rPr>
          <w:rFonts w:eastAsia="TimesNewRoman"/>
          <w:szCs w:val="22"/>
          <w:lang w:eastAsia="lt-LT"/>
        </w:rPr>
        <w:t xml:space="preserve"> pacientus, kuriems anksčiau yra buvę traukulių, arba pacientus, kurie serga nestabilia epilepsija, reikia laikantis atsargumo priemonių (žr. 4.5 skyrių). Gydymą reikia nutraukti visiems pacientams, kuriems pasireiškia traukulių arba jie padažnėja.</w:t>
      </w:r>
    </w:p>
    <w:p w14:paraId="1DBA5BE6" w14:textId="77777777" w:rsidR="00BC7B13" w:rsidRDefault="00BC7B13">
      <w:pPr>
        <w:autoSpaceDE w:val="0"/>
        <w:autoSpaceDN w:val="0"/>
        <w:adjustRightInd w:val="0"/>
        <w:rPr>
          <w:rFonts w:eastAsia="TimesNewRoman"/>
          <w:szCs w:val="22"/>
          <w:lang w:eastAsia="lt-LT"/>
        </w:rPr>
      </w:pPr>
    </w:p>
    <w:p w14:paraId="11644221"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Serotonino</w:t>
      </w:r>
      <w:proofErr w:type="spellEnd"/>
      <w:r>
        <w:rPr>
          <w:rFonts w:eastAsia="TimesNewRoman"/>
          <w:szCs w:val="22"/>
          <w:u w:val="single"/>
          <w:lang w:eastAsia="lt-LT"/>
        </w:rPr>
        <w:t xml:space="preserve"> sindromas (SS) arba piktybinis </w:t>
      </w:r>
      <w:proofErr w:type="spellStart"/>
      <w:r>
        <w:rPr>
          <w:rFonts w:eastAsia="TimesNewRoman"/>
          <w:szCs w:val="22"/>
          <w:u w:val="single"/>
          <w:lang w:eastAsia="lt-LT"/>
        </w:rPr>
        <w:t>neurolepsinis</w:t>
      </w:r>
      <w:proofErr w:type="spellEnd"/>
      <w:r>
        <w:rPr>
          <w:rFonts w:eastAsia="TimesNewRoman"/>
          <w:szCs w:val="22"/>
          <w:u w:val="single"/>
          <w:lang w:eastAsia="lt-LT"/>
        </w:rPr>
        <w:t xml:space="preserve"> sindromas (PNS)</w:t>
      </w:r>
    </w:p>
    <w:p w14:paraId="4E4996FF"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Vartojant </w:t>
      </w:r>
      <w:proofErr w:type="spellStart"/>
      <w:r>
        <w:rPr>
          <w:rFonts w:eastAsia="TimesNewRoman"/>
          <w:szCs w:val="22"/>
          <w:lang w:eastAsia="lt-LT"/>
        </w:rPr>
        <w:t>vortioksetino</w:t>
      </w:r>
      <w:proofErr w:type="spellEnd"/>
      <w:r>
        <w:rPr>
          <w:rFonts w:eastAsia="TimesNewRoman"/>
          <w:szCs w:val="22"/>
          <w:lang w:eastAsia="lt-LT"/>
        </w:rPr>
        <w:t xml:space="preserve">, gali pasireikšti gyvybei pavojų galinčių kelti būklių </w:t>
      </w:r>
      <w:proofErr w:type="spellStart"/>
      <w:r>
        <w:rPr>
          <w:rFonts w:eastAsia="TimesNewRoman"/>
          <w:szCs w:val="22"/>
          <w:lang w:eastAsia="lt-LT"/>
        </w:rPr>
        <w:t>serotonino</w:t>
      </w:r>
      <w:proofErr w:type="spellEnd"/>
      <w:r>
        <w:rPr>
          <w:rFonts w:eastAsia="TimesNewRoman"/>
          <w:szCs w:val="22"/>
          <w:lang w:eastAsia="lt-LT"/>
        </w:rPr>
        <w:t xml:space="preserve"> sindromas (SS) arba piktybinis </w:t>
      </w:r>
      <w:proofErr w:type="spellStart"/>
      <w:r>
        <w:rPr>
          <w:rFonts w:eastAsia="TimesNewRoman"/>
          <w:szCs w:val="22"/>
          <w:lang w:eastAsia="lt-LT"/>
        </w:rPr>
        <w:t>neurolepsinis</w:t>
      </w:r>
      <w:proofErr w:type="spellEnd"/>
      <w:r>
        <w:rPr>
          <w:rFonts w:eastAsia="TimesNewRoman"/>
          <w:szCs w:val="22"/>
          <w:lang w:eastAsia="lt-LT"/>
        </w:rPr>
        <w:t xml:space="preserve"> sindromas (PNS). SS ar PNS rizika yra didesnė vartojant kartu </w:t>
      </w:r>
      <w:proofErr w:type="spellStart"/>
      <w:r>
        <w:rPr>
          <w:rFonts w:eastAsia="TimesNewRoman"/>
          <w:szCs w:val="22"/>
          <w:lang w:eastAsia="lt-LT"/>
        </w:rPr>
        <w:t>serotoninerginių</w:t>
      </w:r>
      <w:proofErr w:type="spellEnd"/>
      <w:r>
        <w:rPr>
          <w:rFonts w:eastAsia="TimesNewRoman"/>
          <w:szCs w:val="22"/>
          <w:lang w:eastAsia="lt-LT"/>
        </w:rPr>
        <w:t xml:space="preserve"> veikliųjų medžiagų (įskaitant </w:t>
      </w:r>
      <w:proofErr w:type="spellStart"/>
      <w:r>
        <w:rPr>
          <w:rFonts w:eastAsia="TimesNewRoman"/>
          <w:szCs w:val="22"/>
          <w:lang w:eastAsia="lt-LT"/>
        </w:rPr>
        <w:t>opioidus</w:t>
      </w:r>
      <w:proofErr w:type="spellEnd"/>
      <w:r>
        <w:rPr>
          <w:rFonts w:eastAsia="TimesNewRoman"/>
          <w:szCs w:val="22"/>
          <w:lang w:eastAsia="lt-LT"/>
        </w:rPr>
        <w:t xml:space="preserve"> ir </w:t>
      </w:r>
      <w:proofErr w:type="spellStart"/>
      <w:r>
        <w:rPr>
          <w:rFonts w:eastAsia="TimesNewRoman"/>
          <w:szCs w:val="22"/>
          <w:lang w:eastAsia="lt-LT"/>
        </w:rPr>
        <w:t>triptanus</w:t>
      </w:r>
      <w:proofErr w:type="spellEnd"/>
      <w:r>
        <w:rPr>
          <w:rFonts w:eastAsia="TimesNewRoman"/>
          <w:szCs w:val="22"/>
          <w:lang w:eastAsia="lt-LT"/>
        </w:rPr>
        <w:t xml:space="preserve">), vaistinių preparatų, kurie gali sutrikdyti </w:t>
      </w:r>
      <w:proofErr w:type="spellStart"/>
      <w:r>
        <w:rPr>
          <w:rFonts w:eastAsia="TimesNewRoman"/>
          <w:szCs w:val="22"/>
          <w:lang w:eastAsia="lt-LT"/>
        </w:rPr>
        <w:t>serotonino</w:t>
      </w:r>
      <w:proofErr w:type="spellEnd"/>
      <w:r>
        <w:rPr>
          <w:rFonts w:eastAsia="TimesNewRoman"/>
          <w:szCs w:val="22"/>
          <w:lang w:eastAsia="lt-LT"/>
        </w:rPr>
        <w:t xml:space="preserve"> metabolizmą (įskaitant MAO inhibitorius), </w:t>
      </w:r>
      <w:proofErr w:type="spellStart"/>
      <w:r>
        <w:rPr>
          <w:rFonts w:eastAsia="TimesNewRoman"/>
          <w:szCs w:val="22"/>
          <w:lang w:eastAsia="lt-LT"/>
        </w:rPr>
        <w:t>antipsichozinių</w:t>
      </w:r>
      <w:proofErr w:type="spellEnd"/>
      <w:r>
        <w:rPr>
          <w:rFonts w:eastAsia="TimesNewRoman"/>
          <w:szCs w:val="22"/>
          <w:lang w:eastAsia="lt-LT"/>
        </w:rPr>
        <w:t xml:space="preserve"> vaistinių preparatų ir kitų dopamino antagonistų. Reikia stebėti, ar pacientams neatsiranda SS ar PNS požymių ir simptomų (žr. 4.3 ir 4.5 skyrius).</w:t>
      </w:r>
    </w:p>
    <w:p w14:paraId="78329883"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Serotonino</w:t>
      </w:r>
      <w:proofErr w:type="spellEnd"/>
      <w:r>
        <w:rPr>
          <w:rFonts w:eastAsia="TimesNewRoman"/>
          <w:szCs w:val="22"/>
          <w:lang w:eastAsia="lt-LT"/>
        </w:rPr>
        <w:t xml:space="preserve"> sindromo simptomai yra psichinės būklės pokyčiai (pvz.: susijaudinimas [</w:t>
      </w:r>
      <w:proofErr w:type="spellStart"/>
      <w:r>
        <w:rPr>
          <w:rFonts w:eastAsia="TimesNewRoman"/>
          <w:szCs w:val="22"/>
          <w:lang w:eastAsia="lt-LT"/>
        </w:rPr>
        <w:t>ažitacija</w:t>
      </w:r>
      <w:proofErr w:type="spellEnd"/>
      <w:r>
        <w:rPr>
          <w:rFonts w:eastAsia="TimesNewRoman"/>
          <w:szCs w:val="22"/>
          <w:lang w:eastAsia="lt-LT"/>
        </w:rPr>
        <w:t xml:space="preserve">], haliucinacijos, koma), autonominės nervų sistemos nestabilumas (pvz.: tachikardija, kraujospūdžio nepastovumas, hipertermija), nervų ir raumenų jungties sutrikimai (pvz.: </w:t>
      </w:r>
      <w:proofErr w:type="spellStart"/>
      <w:r>
        <w:rPr>
          <w:rFonts w:eastAsia="TimesNewRoman"/>
          <w:szCs w:val="22"/>
          <w:lang w:eastAsia="lt-LT"/>
        </w:rPr>
        <w:t>hiperrefleksija</w:t>
      </w:r>
      <w:proofErr w:type="spellEnd"/>
      <w:r>
        <w:rPr>
          <w:rFonts w:eastAsia="TimesNewRoman"/>
          <w:szCs w:val="22"/>
          <w:lang w:eastAsia="lt-LT"/>
        </w:rPr>
        <w:t xml:space="preserve">, koordinacijos nebuvimas) ir (arba) virškinimo sutrikimų simptomai (pvz.: pykinimas, vėmimas, viduriavimas). Jeigu pasireiškia tokių sutrikimų, gydymą </w:t>
      </w:r>
      <w:proofErr w:type="spellStart"/>
      <w:r>
        <w:rPr>
          <w:rFonts w:eastAsia="TimesNewRoman"/>
          <w:szCs w:val="22"/>
          <w:lang w:eastAsia="lt-LT"/>
        </w:rPr>
        <w:t>vortioksetinu</w:t>
      </w:r>
      <w:proofErr w:type="spellEnd"/>
      <w:r>
        <w:rPr>
          <w:rFonts w:eastAsia="TimesNewRoman"/>
          <w:szCs w:val="22"/>
          <w:lang w:eastAsia="lt-LT"/>
        </w:rPr>
        <w:t xml:space="preserve"> reikia nedelsiant nutraukti ir pradėti simptominį gydymą.</w:t>
      </w:r>
    </w:p>
    <w:p w14:paraId="4811DEAA" w14:textId="77777777" w:rsidR="00BC7B13" w:rsidRDefault="00BC7B13">
      <w:pPr>
        <w:autoSpaceDE w:val="0"/>
        <w:autoSpaceDN w:val="0"/>
        <w:adjustRightInd w:val="0"/>
        <w:rPr>
          <w:rFonts w:eastAsia="TimesNewRoman"/>
          <w:szCs w:val="22"/>
          <w:lang w:eastAsia="lt-LT"/>
        </w:rPr>
      </w:pPr>
    </w:p>
    <w:p w14:paraId="7097EA02"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 xml:space="preserve">Manija / </w:t>
      </w:r>
      <w:proofErr w:type="spellStart"/>
      <w:r>
        <w:rPr>
          <w:rFonts w:eastAsia="TimesNewRoman"/>
          <w:szCs w:val="22"/>
          <w:u w:val="single"/>
          <w:lang w:eastAsia="lt-LT"/>
        </w:rPr>
        <w:t>hipomanija</w:t>
      </w:r>
      <w:proofErr w:type="spellEnd"/>
    </w:p>
    <w:p w14:paraId="0EF94F28"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reikia laikantis atsargumo priemonių vartoti pacientams, kuriems anksčiau buvo pasireiškusi manija / </w:t>
      </w:r>
      <w:proofErr w:type="spellStart"/>
      <w:r>
        <w:rPr>
          <w:rFonts w:eastAsia="TimesNewRoman"/>
          <w:szCs w:val="22"/>
          <w:lang w:eastAsia="lt-LT"/>
        </w:rPr>
        <w:t>hipomanija</w:t>
      </w:r>
      <w:proofErr w:type="spellEnd"/>
      <w:r>
        <w:rPr>
          <w:rFonts w:eastAsia="TimesNewRoman"/>
          <w:szCs w:val="22"/>
          <w:lang w:eastAsia="lt-LT"/>
        </w:rPr>
        <w:t>, ir vaistinio preparato vartojimą reikia nutraukti visiems pacientams, kuriems pasireiškia manijos fazė.</w:t>
      </w:r>
    </w:p>
    <w:p w14:paraId="0D5E71E6" w14:textId="77777777" w:rsidR="00BC7B13" w:rsidRDefault="00BC7B13">
      <w:pPr>
        <w:autoSpaceDE w:val="0"/>
        <w:autoSpaceDN w:val="0"/>
        <w:adjustRightInd w:val="0"/>
        <w:rPr>
          <w:rFonts w:eastAsia="TimesNewRoman"/>
          <w:szCs w:val="22"/>
          <w:lang w:eastAsia="lt-LT"/>
        </w:rPr>
      </w:pPr>
    </w:p>
    <w:p w14:paraId="7B443927"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Agresyvumas / susijaudinimas (</w:t>
      </w:r>
      <w:proofErr w:type="spellStart"/>
      <w:r>
        <w:rPr>
          <w:rFonts w:eastAsia="TimesNewRoman"/>
          <w:szCs w:val="22"/>
          <w:u w:val="single"/>
          <w:lang w:eastAsia="lt-LT"/>
        </w:rPr>
        <w:t>ažitacija</w:t>
      </w:r>
      <w:proofErr w:type="spellEnd"/>
      <w:r>
        <w:rPr>
          <w:rFonts w:eastAsia="TimesNewRoman"/>
          <w:szCs w:val="22"/>
          <w:u w:val="single"/>
          <w:lang w:eastAsia="lt-LT"/>
        </w:rPr>
        <w:t>)</w:t>
      </w:r>
    </w:p>
    <w:p w14:paraId="03517AA4" w14:textId="77777777" w:rsidR="00BC7B13" w:rsidRDefault="004E7EF9">
      <w:pPr>
        <w:autoSpaceDE w:val="0"/>
        <w:autoSpaceDN w:val="0"/>
        <w:adjustRightInd w:val="0"/>
        <w:rPr>
          <w:rFonts w:eastAsia="TimesNewRoman"/>
          <w:szCs w:val="22"/>
          <w:lang w:eastAsia="lt-LT"/>
        </w:rPr>
      </w:pPr>
      <w:r>
        <w:rPr>
          <w:rFonts w:eastAsia="TimesNewRoman"/>
          <w:szCs w:val="22"/>
          <w:lang w:eastAsia="lt-LT"/>
        </w:rPr>
        <w:lastRenderedPageBreak/>
        <w:t xml:space="preserve">Antidepresantais, įskaitant </w:t>
      </w:r>
      <w:proofErr w:type="spellStart"/>
      <w:r>
        <w:rPr>
          <w:rFonts w:eastAsia="TimesNewRoman"/>
          <w:szCs w:val="22"/>
          <w:lang w:eastAsia="lt-LT"/>
        </w:rPr>
        <w:t>vortioksetiną</w:t>
      </w:r>
      <w:proofErr w:type="spellEnd"/>
      <w:r>
        <w:rPr>
          <w:rFonts w:eastAsia="TimesNewRoman"/>
          <w:szCs w:val="22"/>
          <w:lang w:eastAsia="lt-LT"/>
        </w:rPr>
        <w:t>, gydomi pacientai taip pat gali jausti agresyvumą, pyktį, susijaudinimą (</w:t>
      </w:r>
      <w:proofErr w:type="spellStart"/>
      <w:r>
        <w:rPr>
          <w:rFonts w:eastAsia="TimesNewRoman"/>
          <w:szCs w:val="22"/>
          <w:lang w:eastAsia="lt-LT"/>
        </w:rPr>
        <w:t>ažitaciją</w:t>
      </w:r>
      <w:proofErr w:type="spellEnd"/>
      <w:r>
        <w:rPr>
          <w:rFonts w:eastAsia="TimesNewRoman"/>
          <w:szCs w:val="22"/>
          <w:lang w:eastAsia="lt-LT"/>
        </w:rPr>
        <w:t>) ir irzlumą. Reikia atidžiai stebėti paciento būklę ir ligos eigą. Pacientus (ir pacientus prižiūrinčius asmenis) reikia įspėti, kad kreiptųsi pagalbos į gydytoją, jeigu atsiranda arba sustiprėja agresyvus elgesys ir susijaudinimas.</w:t>
      </w:r>
    </w:p>
    <w:p w14:paraId="67DAA796" w14:textId="77777777" w:rsidR="00BC7B13" w:rsidRDefault="00BC7B13">
      <w:pPr>
        <w:autoSpaceDE w:val="0"/>
        <w:autoSpaceDN w:val="0"/>
        <w:adjustRightInd w:val="0"/>
        <w:rPr>
          <w:rFonts w:eastAsia="TimesNewRoman"/>
          <w:szCs w:val="22"/>
          <w:lang w:eastAsia="lt-LT"/>
        </w:rPr>
      </w:pPr>
    </w:p>
    <w:p w14:paraId="4A5C26AC"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Kraujavimas</w:t>
      </w:r>
    </w:p>
    <w:p w14:paraId="4C4464A8"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Gauta retų pranešimų apie su antidepresantų, kurie sukelia </w:t>
      </w:r>
      <w:proofErr w:type="spellStart"/>
      <w:r>
        <w:rPr>
          <w:rFonts w:eastAsia="TimesNewRoman"/>
          <w:szCs w:val="22"/>
          <w:lang w:eastAsia="lt-LT"/>
        </w:rPr>
        <w:t>serotoninerginį</w:t>
      </w:r>
      <w:proofErr w:type="spellEnd"/>
      <w:r>
        <w:rPr>
          <w:rFonts w:eastAsia="TimesNewRoman"/>
          <w:szCs w:val="22"/>
          <w:lang w:eastAsia="lt-LT"/>
        </w:rPr>
        <w:t xml:space="preserve"> poveikį (įskaitant </w:t>
      </w:r>
      <w:proofErr w:type="spellStart"/>
      <w:r>
        <w:rPr>
          <w:rFonts w:eastAsia="TimesNewRoman"/>
          <w:szCs w:val="22"/>
          <w:lang w:eastAsia="lt-LT"/>
        </w:rPr>
        <w:t>vortioksetiną</w:t>
      </w:r>
      <w:proofErr w:type="spellEnd"/>
      <w:r>
        <w:rPr>
          <w:rFonts w:eastAsia="TimesNewRoman"/>
          <w:szCs w:val="22"/>
          <w:lang w:eastAsia="lt-LT"/>
        </w:rPr>
        <w:t xml:space="preserve">), vartojimu susijusius kraujavimo sutrikimus, pavyzdžiui: </w:t>
      </w:r>
      <w:proofErr w:type="spellStart"/>
      <w:r>
        <w:rPr>
          <w:rFonts w:eastAsia="TimesNewRoman"/>
          <w:szCs w:val="22"/>
          <w:lang w:eastAsia="lt-LT"/>
        </w:rPr>
        <w:t>ekchimozes</w:t>
      </w:r>
      <w:proofErr w:type="spellEnd"/>
      <w:r>
        <w:rPr>
          <w:rFonts w:eastAsia="TimesNewRoman"/>
          <w:szCs w:val="22"/>
          <w:lang w:eastAsia="lt-LT"/>
        </w:rPr>
        <w:t xml:space="preserve">, purpurą ir kitus kraujavimo reiškinius (pvz.: kraujavimą iš virškinimo trakto ir lytinių organų). Vartojant selektyviųjų </w:t>
      </w:r>
      <w:proofErr w:type="spellStart"/>
      <w:r>
        <w:rPr>
          <w:rFonts w:eastAsia="TimesNewRoman"/>
          <w:szCs w:val="22"/>
          <w:lang w:eastAsia="lt-LT"/>
        </w:rPr>
        <w:t>serotonino</w:t>
      </w:r>
      <w:proofErr w:type="spellEnd"/>
      <w:r>
        <w:rPr>
          <w:rFonts w:eastAsia="TimesNewRoman"/>
          <w:szCs w:val="22"/>
          <w:lang w:eastAsia="lt-LT"/>
        </w:rPr>
        <w:t xml:space="preserve"> reabsorbcijos inhibitorių (SSRI) / </w:t>
      </w:r>
      <w:proofErr w:type="spellStart"/>
      <w:r>
        <w:rPr>
          <w:rFonts w:eastAsia="TimesNewRoman"/>
          <w:szCs w:val="22"/>
          <w:lang w:eastAsia="lt-LT"/>
        </w:rPr>
        <w:t>serotonino</w:t>
      </w:r>
      <w:proofErr w:type="spellEnd"/>
      <w:r>
        <w:rPr>
          <w:rFonts w:eastAsia="TimesNewRoman"/>
          <w:szCs w:val="22"/>
          <w:lang w:eastAsia="lt-LT"/>
        </w:rPr>
        <w:t xml:space="preserve"> ir </w:t>
      </w:r>
      <w:proofErr w:type="spellStart"/>
      <w:r>
        <w:rPr>
          <w:rFonts w:eastAsia="TimesNewRoman"/>
          <w:szCs w:val="22"/>
          <w:lang w:eastAsia="lt-LT"/>
        </w:rPr>
        <w:t>norepinefrino</w:t>
      </w:r>
      <w:proofErr w:type="spellEnd"/>
      <w:r>
        <w:rPr>
          <w:rFonts w:eastAsia="TimesNewRoman"/>
          <w:szCs w:val="22"/>
          <w:lang w:eastAsia="lt-LT"/>
        </w:rPr>
        <w:t xml:space="preserve"> reabsorbcijos inhibitorių (SNRI), gali padidėti kraujavimo po gimdymo pavojus; tokią riziką gali kelti ir </w:t>
      </w:r>
      <w:proofErr w:type="spellStart"/>
      <w:r>
        <w:rPr>
          <w:rFonts w:eastAsia="TimesNewRoman"/>
          <w:szCs w:val="22"/>
          <w:lang w:eastAsia="lt-LT"/>
        </w:rPr>
        <w:t>vortioksetinas</w:t>
      </w:r>
      <w:proofErr w:type="spellEnd"/>
      <w:r>
        <w:rPr>
          <w:rFonts w:eastAsia="TimesNewRoman"/>
          <w:szCs w:val="22"/>
          <w:lang w:eastAsia="lt-LT"/>
        </w:rPr>
        <w:t xml:space="preserve"> (žr. 4.6 skyrių). Pacientus, kurie vartoja antikoaguliantų ir (arba) vaistinių preparatų, kurie veikia trombocitų funkciją [pvz.: atipinių </w:t>
      </w:r>
      <w:proofErr w:type="spellStart"/>
      <w:r>
        <w:rPr>
          <w:rFonts w:eastAsia="TimesNewRoman"/>
          <w:szCs w:val="22"/>
          <w:lang w:eastAsia="lt-LT"/>
        </w:rPr>
        <w:t>antipsichozinių</w:t>
      </w:r>
      <w:proofErr w:type="spellEnd"/>
      <w:r>
        <w:rPr>
          <w:rFonts w:eastAsia="TimesNewRoman"/>
          <w:szCs w:val="22"/>
          <w:lang w:eastAsia="lt-LT"/>
        </w:rPr>
        <w:t xml:space="preserve"> vaistinių preparatų ir </w:t>
      </w:r>
      <w:proofErr w:type="spellStart"/>
      <w:r>
        <w:rPr>
          <w:rFonts w:eastAsia="TimesNewRoman"/>
          <w:szCs w:val="22"/>
          <w:lang w:eastAsia="lt-LT"/>
        </w:rPr>
        <w:t>fenotiazinų</w:t>
      </w:r>
      <w:proofErr w:type="spellEnd"/>
      <w:r>
        <w:rPr>
          <w:rFonts w:eastAsia="TimesNewRoman"/>
          <w:szCs w:val="22"/>
          <w:lang w:eastAsia="lt-LT"/>
        </w:rPr>
        <w:t xml:space="preserve">, daugumos </w:t>
      </w:r>
      <w:proofErr w:type="spellStart"/>
      <w:r>
        <w:rPr>
          <w:rFonts w:eastAsia="TimesNewRoman"/>
          <w:szCs w:val="22"/>
          <w:lang w:eastAsia="lt-LT"/>
        </w:rPr>
        <w:t>triciklių</w:t>
      </w:r>
      <w:proofErr w:type="spellEnd"/>
      <w:r>
        <w:rPr>
          <w:rFonts w:eastAsia="TimesNewRoman"/>
          <w:szCs w:val="22"/>
          <w:lang w:eastAsia="lt-LT"/>
        </w:rPr>
        <w:t xml:space="preserve"> antidepresantų, nesteroidinių vaistinių preparatų nuo uždegimo (NVPNU), </w:t>
      </w:r>
      <w:proofErr w:type="spellStart"/>
      <w:r>
        <w:rPr>
          <w:rFonts w:eastAsia="TimesNewRoman"/>
          <w:szCs w:val="22"/>
          <w:lang w:eastAsia="lt-LT"/>
        </w:rPr>
        <w:t>acetilsalicilo</w:t>
      </w:r>
      <w:proofErr w:type="spellEnd"/>
      <w:r>
        <w:rPr>
          <w:rFonts w:eastAsia="TimesNewRoman"/>
          <w:szCs w:val="22"/>
          <w:lang w:eastAsia="lt-LT"/>
        </w:rPr>
        <w:t xml:space="preserve"> rūgšties (ASR)] (žr. 4.5 skyrių) ir pacientus, kuriems pasireiškia kraujavimo tendencijų ar sutrikimų, gydyti reikia laikantis atsargumo priemonių.</w:t>
      </w:r>
    </w:p>
    <w:p w14:paraId="76D66881" w14:textId="77777777" w:rsidR="00BC7B13" w:rsidRDefault="00BC7B13">
      <w:pPr>
        <w:autoSpaceDE w:val="0"/>
        <w:autoSpaceDN w:val="0"/>
        <w:adjustRightInd w:val="0"/>
        <w:rPr>
          <w:rFonts w:eastAsia="TimesNewRoman"/>
          <w:szCs w:val="22"/>
          <w:lang w:eastAsia="lt-LT"/>
        </w:rPr>
      </w:pPr>
    </w:p>
    <w:p w14:paraId="1A741726"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Hiponatremija</w:t>
      </w:r>
      <w:proofErr w:type="spellEnd"/>
    </w:p>
    <w:p w14:paraId="72A8D110"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Vartojant antidepresantų, kurie sukelia </w:t>
      </w:r>
      <w:proofErr w:type="spellStart"/>
      <w:r>
        <w:rPr>
          <w:rFonts w:eastAsia="TimesNewRoman"/>
          <w:szCs w:val="22"/>
          <w:lang w:eastAsia="lt-LT"/>
        </w:rPr>
        <w:t>serotoninerginį</w:t>
      </w:r>
      <w:proofErr w:type="spellEnd"/>
      <w:r>
        <w:rPr>
          <w:rFonts w:eastAsia="TimesNewRoman"/>
          <w:szCs w:val="22"/>
          <w:lang w:eastAsia="lt-LT"/>
        </w:rPr>
        <w:t xml:space="preserve"> poveikį (SSRI, SNRI), retais atvejais buvo pranešta apie </w:t>
      </w:r>
      <w:proofErr w:type="spellStart"/>
      <w:r>
        <w:rPr>
          <w:rFonts w:eastAsia="TimesNewRoman"/>
          <w:szCs w:val="22"/>
          <w:lang w:eastAsia="lt-LT"/>
        </w:rPr>
        <w:t>hiponatremiją</w:t>
      </w:r>
      <w:proofErr w:type="spellEnd"/>
      <w:r>
        <w:rPr>
          <w:rFonts w:eastAsia="TimesNewRoman"/>
          <w:szCs w:val="22"/>
          <w:lang w:eastAsia="lt-LT"/>
        </w:rPr>
        <w:t xml:space="preserve">, kuri greičiausiai pasireiškia dėl sutrikusios </w:t>
      </w:r>
      <w:proofErr w:type="spellStart"/>
      <w:r>
        <w:rPr>
          <w:rFonts w:eastAsia="TimesNewRoman"/>
          <w:szCs w:val="22"/>
          <w:lang w:eastAsia="lt-LT"/>
        </w:rPr>
        <w:t>antidiurezinio</w:t>
      </w:r>
      <w:proofErr w:type="spellEnd"/>
      <w:r>
        <w:rPr>
          <w:rFonts w:eastAsia="TimesNewRoman"/>
          <w:szCs w:val="22"/>
          <w:lang w:eastAsia="lt-LT"/>
        </w:rPr>
        <w:t xml:space="preserve"> hormono sekrecijos (SADHS). Reikia imtis atsargumo priemonių gydant rizikos grupės pacientus, pavyzdžiui: senyvus pacientus, kepenų ciroze sergančius pacientus ar pacientus, kurie kartu gydomi vaistiniais preparatais, kurie sukelia </w:t>
      </w:r>
      <w:proofErr w:type="spellStart"/>
      <w:r>
        <w:rPr>
          <w:rFonts w:eastAsia="TimesNewRoman"/>
          <w:szCs w:val="22"/>
          <w:lang w:eastAsia="lt-LT"/>
        </w:rPr>
        <w:t>hiponatremiją</w:t>
      </w:r>
      <w:proofErr w:type="spellEnd"/>
      <w:r>
        <w:rPr>
          <w:rFonts w:eastAsia="TimesNewRoman"/>
          <w:szCs w:val="22"/>
          <w:lang w:eastAsia="lt-LT"/>
        </w:rPr>
        <w:t xml:space="preserve">. Pacientams, kuriems pasireiškia </w:t>
      </w:r>
      <w:proofErr w:type="spellStart"/>
      <w:r>
        <w:rPr>
          <w:rFonts w:eastAsia="TimesNewRoman"/>
          <w:szCs w:val="22"/>
          <w:lang w:eastAsia="lt-LT"/>
        </w:rPr>
        <w:t>hiponatremijos</w:t>
      </w:r>
      <w:proofErr w:type="spellEnd"/>
      <w:r>
        <w:rPr>
          <w:rFonts w:eastAsia="TimesNewRoman"/>
          <w:szCs w:val="22"/>
          <w:lang w:eastAsia="lt-LT"/>
        </w:rPr>
        <w:t xml:space="preserve"> simptomų, reikia apsvarstyti </w:t>
      </w:r>
      <w:proofErr w:type="spellStart"/>
      <w:r>
        <w:rPr>
          <w:rFonts w:eastAsia="TimesNewRoman"/>
          <w:szCs w:val="22"/>
          <w:lang w:eastAsia="lt-LT"/>
        </w:rPr>
        <w:t>vortioksetino</w:t>
      </w:r>
      <w:proofErr w:type="spellEnd"/>
      <w:r>
        <w:rPr>
          <w:rFonts w:eastAsia="TimesNewRoman"/>
          <w:szCs w:val="22"/>
          <w:lang w:eastAsia="lt-LT"/>
        </w:rPr>
        <w:t xml:space="preserve"> vartojimo nutraukimą ir jiems skirti tinkamą medicininę pagalbą.</w:t>
      </w:r>
    </w:p>
    <w:p w14:paraId="51693EDC" w14:textId="77777777" w:rsidR="00BC7B13" w:rsidRDefault="00BC7B13">
      <w:pPr>
        <w:autoSpaceDE w:val="0"/>
        <w:autoSpaceDN w:val="0"/>
        <w:adjustRightInd w:val="0"/>
        <w:rPr>
          <w:rFonts w:eastAsia="TimesNewRoman"/>
          <w:szCs w:val="22"/>
          <w:lang w:eastAsia="lt-LT"/>
        </w:rPr>
      </w:pPr>
    </w:p>
    <w:p w14:paraId="4D9D5510"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Glaukoma</w:t>
      </w:r>
    </w:p>
    <w:p w14:paraId="27D52A2B"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Gauta pranešimų apie pasireiškusią </w:t>
      </w:r>
      <w:proofErr w:type="spellStart"/>
      <w:r>
        <w:rPr>
          <w:rFonts w:eastAsia="TimesNewRoman"/>
          <w:szCs w:val="22"/>
          <w:lang w:eastAsia="lt-LT"/>
        </w:rPr>
        <w:t>midriazę</w:t>
      </w:r>
      <w:proofErr w:type="spellEnd"/>
      <w:r>
        <w:rPr>
          <w:rFonts w:eastAsia="TimesNewRoman"/>
          <w:szCs w:val="22"/>
          <w:lang w:eastAsia="lt-LT"/>
        </w:rPr>
        <w:t xml:space="preserve">, vartojant antidepresantų, įskaitant </w:t>
      </w:r>
      <w:proofErr w:type="spellStart"/>
      <w:r>
        <w:rPr>
          <w:rFonts w:eastAsia="TimesNewRoman"/>
          <w:szCs w:val="22"/>
          <w:lang w:eastAsia="lt-LT"/>
        </w:rPr>
        <w:t>vortioksetiną</w:t>
      </w:r>
      <w:proofErr w:type="spellEnd"/>
      <w:r>
        <w:rPr>
          <w:rFonts w:eastAsia="TimesNewRoman"/>
          <w:szCs w:val="22"/>
          <w:lang w:eastAsia="lt-LT"/>
        </w:rPr>
        <w:t xml:space="preserve"> Dėl šio vyzdžių plėtimo poveikio gali siaurėti odenos veninis antis, dėl ko gali pakilti akispūdis ir išsivystyti uždaro kampo glaukoma. Pacientams, kurių akispūdis padidėjęs arba kuriems kyla ūminės uždaro kampo glaukomos rizika, </w:t>
      </w:r>
      <w:proofErr w:type="spellStart"/>
      <w:r>
        <w:rPr>
          <w:rFonts w:eastAsia="TimesNewRoman"/>
          <w:szCs w:val="22"/>
          <w:lang w:eastAsia="lt-LT"/>
        </w:rPr>
        <w:t>vortioksetino</w:t>
      </w:r>
      <w:proofErr w:type="spellEnd"/>
      <w:r>
        <w:rPr>
          <w:rFonts w:eastAsia="TimesNewRoman"/>
          <w:szCs w:val="22"/>
          <w:lang w:eastAsia="lt-LT"/>
        </w:rPr>
        <w:t xml:space="preserve"> reikia skirti laikantis atsargumo priemonių.</w:t>
      </w:r>
    </w:p>
    <w:p w14:paraId="37BF87EB" w14:textId="77777777" w:rsidR="00BC7B13" w:rsidRDefault="00BC7B13">
      <w:pPr>
        <w:autoSpaceDE w:val="0"/>
        <w:autoSpaceDN w:val="0"/>
        <w:adjustRightInd w:val="0"/>
        <w:rPr>
          <w:rFonts w:eastAsia="TimesNewRoman"/>
          <w:szCs w:val="22"/>
          <w:lang w:eastAsia="lt-LT"/>
        </w:rPr>
      </w:pPr>
    </w:p>
    <w:p w14:paraId="49CE031C"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Senyvi pacientai</w:t>
      </w:r>
    </w:p>
    <w:p w14:paraId="7F5A209C"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Duomenų apie senyvų pacientų didžiosios depresijos epizodo gydymą </w:t>
      </w:r>
      <w:proofErr w:type="spellStart"/>
      <w:r>
        <w:rPr>
          <w:rFonts w:eastAsia="TimesNewRoman"/>
          <w:szCs w:val="22"/>
          <w:lang w:eastAsia="lt-LT"/>
        </w:rPr>
        <w:t>vortioksetinu</w:t>
      </w:r>
      <w:proofErr w:type="spellEnd"/>
      <w:r>
        <w:rPr>
          <w:rFonts w:eastAsia="TimesNewRoman"/>
          <w:szCs w:val="22"/>
          <w:lang w:eastAsia="lt-LT"/>
        </w:rPr>
        <w:t xml:space="preserve"> yra nedaug. Dėl šios priežasties ≥ 65 metų pacientus gydyti didesne kaip vieną kartą per parą vartojama 10 mg </w:t>
      </w:r>
      <w:proofErr w:type="spellStart"/>
      <w:r>
        <w:rPr>
          <w:rFonts w:eastAsia="TimesNewRoman"/>
          <w:szCs w:val="22"/>
          <w:lang w:eastAsia="lt-LT"/>
        </w:rPr>
        <w:t>vortioksetino</w:t>
      </w:r>
      <w:proofErr w:type="spellEnd"/>
      <w:r>
        <w:rPr>
          <w:rFonts w:eastAsia="TimesNewRoman"/>
          <w:szCs w:val="22"/>
          <w:lang w:eastAsia="lt-LT"/>
        </w:rPr>
        <w:t xml:space="preserve"> doze būtina laikantis atsargumo priemonių (žr. 4.2, 4.8 ir 5.2 skyrius).</w:t>
      </w:r>
    </w:p>
    <w:p w14:paraId="3FA1FFE7" w14:textId="77777777" w:rsidR="00BC7B13" w:rsidRDefault="00BC7B13">
      <w:pPr>
        <w:autoSpaceDE w:val="0"/>
        <w:autoSpaceDN w:val="0"/>
        <w:adjustRightInd w:val="0"/>
        <w:rPr>
          <w:rFonts w:eastAsia="TimesNewRoman"/>
          <w:szCs w:val="22"/>
          <w:lang w:eastAsia="lt-LT"/>
        </w:rPr>
      </w:pPr>
    </w:p>
    <w:p w14:paraId="44E304E1"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Sutrikusi inkstų arba kepenų funkcija</w:t>
      </w:r>
    </w:p>
    <w:p w14:paraId="543EFBE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Atsižvelgiant į tai, kad pacientai, kurių inkstų ar kepenų funkcija sutrikusi, yra labiau pažeidžiami ir duomenų apie </w:t>
      </w:r>
      <w:proofErr w:type="spellStart"/>
      <w:r>
        <w:rPr>
          <w:rFonts w:eastAsia="TimesNewRoman"/>
          <w:szCs w:val="22"/>
          <w:lang w:eastAsia="lt-LT"/>
        </w:rPr>
        <w:t>vortioksetino</w:t>
      </w:r>
      <w:proofErr w:type="spellEnd"/>
      <w:r>
        <w:rPr>
          <w:rFonts w:eastAsia="TimesNewRoman"/>
          <w:szCs w:val="22"/>
          <w:lang w:eastAsia="lt-LT"/>
        </w:rPr>
        <w:t xml:space="preserve"> vartojimą šiose pacientų populiacijose nepakanka, tokius pacientus šiuo vaistiniu preparatu būtina gydyti laikantis atsargumo priemonių (žr. 4.2 ir 5.2 skyrius).</w:t>
      </w:r>
    </w:p>
    <w:p w14:paraId="0F530120" w14:textId="77777777" w:rsidR="00BC7B13" w:rsidRDefault="00BC7B13"/>
    <w:p w14:paraId="7E5ED62E"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Natris</w:t>
      </w:r>
    </w:p>
    <w:p w14:paraId="174B8D56" w14:textId="77777777" w:rsidR="00BC7B13" w:rsidRDefault="004E7EF9">
      <w:r>
        <w:rPr>
          <w:rFonts w:eastAsia="TimesNewRoman"/>
          <w:szCs w:val="22"/>
          <w:lang w:eastAsia="lt-LT"/>
        </w:rPr>
        <w:t>Šio vaistinio preparato plėvele dengtoje tabletėje yra mažiau kaip 1 </w:t>
      </w:r>
      <w:proofErr w:type="spellStart"/>
      <w:r>
        <w:rPr>
          <w:rFonts w:eastAsia="TimesNewRoman"/>
          <w:szCs w:val="22"/>
          <w:lang w:eastAsia="lt-LT"/>
        </w:rPr>
        <w:t>mmol</w:t>
      </w:r>
      <w:proofErr w:type="spellEnd"/>
      <w:r>
        <w:rPr>
          <w:rFonts w:eastAsia="TimesNewRoman"/>
          <w:szCs w:val="22"/>
          <w:lang w:eastAsia="lt-LT"/>
        </w:rPr>
        <w:t xml:space="preserve"> (23 mg) natrio, t. y. jis beveik neturi reikšmės.</w:t>
      </w:r>
    </w:p>
    <w:p w14:paraId="4879E200" w14:textId="77777777" w:rsidR="00BC7B13" w:rsidRDefault="00BC7B13"/>
    <w:p w14:paraId="06DFF7F7" w14:textId="77777777" w:rsidR="00BC7B13" w:rsidRDefault="004E7EF9">
      <w:pPr>
        <w:ind w:left="567" w:hanging="567"/>
        <w:rPr>
          <w:b/>
        </w:rPr>
      </w:pPr>
      <w:r>
        <w:rPr>
          <w:b/>
        </w:rPr>
        <w:t>4.5</w:t>
      </w:r>
      <w:r>
        <w:rPr>
          <w:b/>
        </w:rPr>
        <w:tab/>
        <w:t>Sąveika su kitais vaistiniais preparatais ir kitokia sąveika</w:t>
      </w:r>
    </w:p>
    <w:p w14:paraId="593869AA" w14:textId="77777777" w:rsidR="00BC7B13" w:rsidRDefault="00BC7B13">
      <w:pPr>
        <w:ind w:left="567" w:hanging="567"/>
        <w:rPr>
          <w:b/>
        </w:rPr>
      </w:pPr>
    </w:p>
    <w:p w14:paraId="643A7BAB"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Vortioksetinas</w:t>
      </w:r>
      <w:proofErr w:type="spellEnd"/>
      <w:r>
        <w:rPr>
          <w:rFonts w:eastAsia="TimesNewRoman"/>
          <w:szCs w:val="22"/>
          <w:lang w:eastAsia="lt-LT"/>
        </w:rPr>
        <w:t xml:space="preserve"> ekstensyviai </w:t>
      </w:r>
      <w:proofErr w:type="spellStart"/>
      <w:r>
        <w:rPr>
          <w:rFonts w:eastAsia="TimesNewRoman"/>
          <w:szCs w:val="22"/>
          <w:lang w:eastAsia="lt-LT"/>
        </w:rPr>
        <w:t>metabolizuojamas</w:t>
      </w:r>
      <w:proofErr w:type="spellEnd"/>
      <w:r>
        <w:rPr>
          <w:rFonts w:eastAsia="TimesNewRoman"/>
          <w:szCs w:val="22"/>
          <w:lang w:eastAsia="lt-LT"/>
        </w:rPr>
        <w:t xml:space="preserve"> kepenyse daugiausia oksidacijos būdu, katalizuojant CYP2D6 ir kiek mažiau CYP3A4/5 bei CYP2C9 (žr. 5.2 skyrių).</w:t>
      </w:r>
    </w:p>
    <w:p w14:paraId="32A731F4" w14:textId="77777777" w:rsidR="00BC7B13" w:rsidRDefault="00BC7B13">
      <w:pPr>
        <w:autoSpaceDE w:val="0"/>
        <w:autoSpaceDN w:val="0"/>
        <w:adjustRightInd w:val="0"/>
        <w:rPr>
          <w:rFonts w:eastAsia="TimesNewRoman"/>
          <w:szCs w:val="22"/>
          <w:lang w:eastAsia="lt-LT"/>
        </w:rPr>
      </w:pPr>
    </w:p>
    <w:p w14:paraId="53342785"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 xml:space="preserve">Kitų vaistinių preparatų poveikio </w:t>
      </w:r>
      <w:proofErr w:type="spellStart"/>
      <w:r>
        <w:rPr>
          <w:rFonts w:eastAsia="TimesNewRoman"/>
          <w:szCs w:val="22"/>
          <w:u w:val="single"/>
          <w:lang w:eastAsia="lt-LT"/>
        </w:rPr>
        <w:t>vortioksetinui</w:t>
      </w:r>
      <w:proofErr w:type="spellEnd"/>
      <w:r>
        <w:rPr>
          <w:rFonts w:eastAsia="TimesNewRoman"/>
          <w:szCs w:val="22"/>
          <w:u w:val="single"/>
          <w:lang w:eastAsia="lt-LT"/>
        </w:rPr>
        <w:t xml:space="preserve"> galimybės</w:t>
      </w:r>
    </w:p>
    <w:p w14:paraId="12DCF6E8" w14:textId="77777777" w:rsidR="00BC7B13" w:rsidRDefault="00BC7B13">
      <w:pPr>
        <w:autoSpaceDE w:val="0"/>
        <w:autoSpaceDN w:val="0"/>
        <w:adjustRightInd w:val="0"/>
        <w:rPr>
          <w:rFonts w:eastAsia="TimesNewRoman"/>
          <w:szCs w:val="22"/>
          <w:lang w:eastAsia="lt-LT"/>
        </w:rPr>
      </w:pPr>
    </w:p>
    <w:p w14:paraId="41F8D0BD"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Negrįžtamojo poveikio neselektyvieji MAO inhibitoriai</w:t>
      </w:r>
    </w:p>
    <w:p w14:paraId="016CADD1"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Dėl </w:t>
      </w:r>
      <w:proofErr w:type="spellStart"/>
      <w:r>
        <w:rPr>
          <w:rFonts w:eastAsia="TimesNewRoman"/>
          <w:szCs w:val="22"/>
          <w:lang w:eastAsia="lt-LT"/>
        </w:rPr>
        <w:t>serotonino</w:t>
      </w:r>
      <w:proofErr w:type="spellEnd"/>
      <w:r>
        <w:rPr>
          <w:rFonts w:eastAsia="TimesNewRoman"/>
          <w:szCs w:val="22"/>
          <w:lang w:eastAsia="lt-LT"/>
        </w:rPr>
        <w:t xml:space="preserve"> sindromo rizikos </w:t>
      </w:r>
      <w:proofErr w:type="spellStart"/>
      <w:r>
        <w:rPr>
          <w:rFonts w:eastAsia="TimesNewRoman"/>
          <w:szCs w:val="22"/>
          <w:lang w:eastAsia="lt-LT"/>
        </w:rPr>
        <w:t>vortioksetino</w:t>
      </w:r>
      <w:proofErr w:type="spellEnd"/>
      <w:r>
        <w:rPr>
          <w:rFonts w:eastAsia="TimesNewRoman"/>
          <w:szCs w:val="22"/>
          <w:lang w:eastAsia="lt-LT"/>
        </w:rPr>
        <w:t xml:space="preserve"> draudžiama vartoti kartu su bet kuriais negrįžtamojo poveikio neselektyviaisiais MAO inhibitoriais. </w:t>
      </w:r>
      <w:proofErr w:type="spellStart"/>
      <w:r>
        <w:rPr>
          <w:rFonts w:eastAsia="TimesNewRoman"/>
          <w:szCs w:val="22"/>
          <w:lang w:eastAsia="lt-LT"/>
        </w:rPr>
        <w:t>Vortioksetino</w:t>
      </w:r>
      <w:proofErr w:type="spellEnd"/>
      <w:r>
        <w:rPr>
          <w:rFonts w:eastAsia="TimesNewRoman"/>
          <w:szCs w:val="22"/>
          <w:lang w:eastAsia="lt-LT"/>
        </w:rPr>
        <w:t xml:space="preserve"> draudžiama pradėti vartoti, kol nepraėjo 14 dienų po gydymo negrįžtamojo poveikio neselektyviaisiais MAO inhibitoriais nutraukimo. </w:t>
      </w:r>
      <w:proofErr w:type="spellStart"/>
      <w:r>
        <w:rPr>
          <w:rFonts w:eastAsia="TimesNewRoman"/>
          <w:szCs w:val="22"/>
          <w:lang w:eastAsia="lt-LT"/>
        </w:rPr>
        <w:lastRenderedPageBreak/>
        <w:t>Vortioksetino</w:t>
      </w:r>
      <w:proofErr w:type="spellEnd"/>
      <w:r>
        <w:rPr>
          <w:rFonts w:eastAsia="TimesNewRoman"/>
          <w:szCs w:val="22"/>
          <w:lang w:eastAsia="lt-LT"/>
        </w:rPr>
        <w:t xml:space="preserve"> vartojimą būtina nutraukti, likus ne mažiau kaip 14 dienų iki gydymo negrįžtamojo poveikio neselektyviaisiais MAO inhibitoriais pradžios (žr. 4.3 skyrių).</w:t>
      </w:r>
    </w:p>
    <w:p w14:paraId="4154E585" w14:textId="77777777" w:rsidR="00BC7B13" w:rsidRDefault="00BC7B13">
      <w:pPr>
        <w:autoSpaceDE w:val="0"/>
        <w:autoSpaceDN w:val="0"/>
        <w:adjustRightInd w:val="0"/>
        <w:rPr>
          <w:rFonts w:eastAsia="TimesNewRoman"/>
          <w:i/>
          <w:iCs/>
          <w:szCs w:val="22"/>
          <w:lang w:eastAsia="lt-LT"/>
        </w:rPr>
      </w:pPr>
    </w:p>
    <w:p w14:paraId="70F5FACD"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Grįžtamojo poveikio selektyvieji MAO-A inhibitoriai (</w:t>
      </w:r>
      <w:proofErr w:type="spellStart"/>
      <w:r>
        <w:rPr>
          <w:rFonts w:eastAsia="TimesNewRoman"/>
          <w:i/>
          <w:iCs/>
          <w:szCs w:val="22"/>
          <w:lang w:eastAsia="lt-LT"/>
        </w:rPr>
        <w:t>moklobemidas</w:t>
      </w:r>
      <w:proofErr w:type="spellEnd"/>
      <w:r>
        <w:rPr>
          <w:rFonts w:eastAsia="TimesNewRoman"/>
          <w:i/>
          <w:iCs/>
          <w:szCs w:val="22"/>
          <w:lang w:eastAsia="lt-LT"/>
        </w:rPr>
        <w:t>)</w:t>
      </w:r>
    </w:p>
    <w:p w14:paraId="27A38DD3"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vartoti kartu su grįžtamojo poveikio selektyviaisiais MAO-A inhibitoriais, pavyzdžiui: </w:t>
      </w:r>
      <w:proofErr w:type="spellStart"/>
      <w:r>
        <w:rPr>
          <w:rFonts w:eastAsia="TimesNewRoman"/>
          <w:szCs w:val="22"/>
          <w:lang w:eastAsia="lt-LT"/>
        </w:rPr>
        <w:t>moklobemidu</w:t>
      </w:r>
      <w:proofErr w:type="spellEnd"/>
      <w:r>
        <w:rPr>
          <w:rFonts w:eastAsia="TimesNewRoman"/>
          <w:szCs w:val="22"/>
          <w:lang w:eastAsia="lt-LT"/>
        </w:rPr>
        <w:t xml:space="preserve">, draudžiama (žr. 4.3 skyrių). Jei tokio derinio vartoti būtina, papildomai vartoti pradėto vaistinio preparato dozė turi būti mažiausia ir reikia atidžiai stebėti paciento klinikinę būklę, ar nepasireiškia </w:t>
      </w:r>
      <w:proofErr w:type="spellStart"/>
      <w:r>
        <w:rPr>
          <w:rFonts w:eastAsia="TimesNewRoman"/>
          <w:szCs w:val="22"/>
          <w:lang w:eastAsia="lt-LT"/>
        </w:rPr>
        <w:t>serotonino</w:t>
      </w:r>
      <w:proofErr w:type="spellEnd"/>
      <w:r>
        <w:rPr>
          <w:rFonts w:eastAsia="TimesNewRoman"/>
          <w:szCs w:val="22"/>
          <w:lang w:eastAsia="lt-LT"/>
        </w:rPr>
        <w:t xml:space="preserve"> sindromas (žr. 4.4 skyrių).</w:t>
      </w:r>
    </w:p>
    <w:p w14:paraId="48849B2A" w14:textId="77777777" w:rsidR="00BC7B13" w:rsidRDefault="00BC7B13">
      <w:pPr>
        <w:autoSpaceDE w:val="0"/>
        <w:autoSpaceDN w:val="0"/>
        <w:adjustRightInd w:val="0"/>
        <w:rPr>
          <w:rFonts w:eastAsia="TimesNewRoman"/>
          <w:i/>
          <w:iCs/>
          <w:szCs w:val="22"/>
          <w:lang w:eastAsia="lt-LT"/>
        </w:rPr>
      </w:pPr>
    </w:p>
    <w:p w14:paraId="224166FD"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Grįžtamojo poveikio neselektyvieji MAO inhibitoriai (</w:t>
      </w:r>
      <w:proofErr w:type="spellStart"/>
      <w:r>
        <w:rPr>
          <w:rFonts w:eastAsia="TimesNewRoman"/>
          <w:i/>
          <w:iCs/>
          <w:szCs w:val="22"/>
          <w:lang w:eastAsia="lt-LT"/>
        </w:rPr>
        <w:t>linezolidas</w:t>
      </w:r>
      <w:proofErr w:type="spellEnd"/>
      <w:r>
        <w:rPr>
          <w:rFonts w:eastAsia="TimesNewRoman"/>
          <w:i/>
          <w:iCs/>
          <w:szCs w:val="22"/>
          <w:lang w:eastAsia="lt-LT"/>
        </w:rPr>
        <w:t>)</w:t>
      </w:r>
    </w:p>
    <w:p w14:paraId="4218AB63"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vartoti kartu su silpnais grįžtamojo poveikio neselektyviaisiais MAO inhibitoriais, pavyzdžiui, antibiotiku </w:t>
      </w:r>
      <w:proofErr w:type="spellStart"/>
      <w:r>
        <w:rPr>
          <w:rFonts w:eastAsia="TimesNewRoman"/>
          <w:szCs w:val="22"/>
          <w:lang w:eastAsia="lt-LT"/>
        </w:rPr>
        <w:t>linezolidu</w:t>
      </w:r>
      <w:proofErr w:type="spellEnd"/>
      <w:r>
        <w:rPr>
          <w:rFonts w:eastAsia="TimesNewRoman"/>
          <w:szCs w:val="22"/>
          <w:lang w:eastAsia="lt-LT"/>
        </w:rPr>
        <w:t xml:space="preserve">, draudžiama (žr. 4.3 skyrių). Jei tokio derinio vartoti būtina, papildomai vartoti pradėto vaistinio preparato dozė turi būti mažiausia ir reikia atidžiai stebėti paciento klinikinę būklę, ar nepasireiškia </w:t>
      </w:r>
      <w:proofErr w:type="spellStart"/>
      <w:r>
        <w:rPr>
          <w:rFonts w:eastAsia="TimesNewRoman"/>
          <w:szCs w:val="22"/>
          <w:lang w:eastAsia="lt-LT"/>
        </w:rPr>
        <w:t>serotonino</w:t>
      </w:r>
      <w:proofErr w:type="spellEnd"/>
      <w:r>
        <w:rPr>
          <w:rFonts w:eastAsia="TimesNewRoman"/>
          <w:szCs w:val="22"/>
          <w:lang w:eastAsia="lt-LT"/>
        </w:rPr>
        <w:t xml:space="preserve"> sindromas (žr. 4.4 skyrių).</w:t>
      </w:r>
    </w:p>
    <w:p w14:paraId="4773C6A3" w14:textId="77777777" w:rsidR="00BC7B13" w:rsidRDefault="00BC7B13">
      <w:pPr>
        <w:autoSpaceDE w:val="0"/>
        <w:autoSpaceDN w:val="0"/>
        <w:adjustRightInd w:val="0"/>
        <w:rPr>
          <w:rFonts w:eastAsia="TimesNewRoman"/>
          <w:i/>
          <w:iCs/>
          <w:szCs w:val="22"/>
          <w:lang w:eastAsia="lt-LT"/>
        </w:rPr>
      </w:pPr>
    </w:p>
    <w:p w14:paraId="3F98349B"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Negrįžtamojo poveikio selektyvieji MAO-B inhibitoriai (</w:t>
      </w:r>
      <w:proofErr w:type="spellStart"/>
      <w:r>
        <w:rPr>
          <w:rFonts w:eastAsia="TimesNewRoman"/>
          <w:i/>
          <w:iCs/>
          <w:szCs w:val="22"/>
          <w:lang w:eastAsia="lt-LT"/>
        </w:rPr>
        <w:t>selegilinas</w:t>
      </w:r>
      <w:proofErr w:type="spellEnd"/>
      <w:r>
        <w:rPr>
          <w:rFonts w:eastAsia="TimesNewRoman"/>
          <w:i/>
          <w:iCs/>
          <w:szCs w:val="22"/>
          <w:lang w:eastAsia="lt-LT"/>
        </w:rPr>
        <w:t xml:space="preserve">, </w:t>
      </w:r>
      <w:proofErr w:type="spellStart"/>
      <w:r>
        <w:rPr>
          <w:rFonts w:eastAsia="TimesNewRoman"/>
          <w:i/>
          <w:iCs/>
          <w:szCs w:val="22"/>
          <w:lang w:eastAsia="lt-LT"/>
        </w:rPr>
        <w:t>razagilinas</w:t>
      </w:r>
      <w:proofErr w:type="spellEnd"/>
      <w:r>
        <w:rPr>
          <w:rFonts w:eastAsia="TimesNewRoman"/>
          <w:i/>
          <w:iCs/>
          <w:szCs w:val="22"/>
          <w:lang w:eastAsia="lt-LT"/>
        </w:rPr>
        <w:t>)</w:t>
      </w:r>
    </w:p>
    <w:p w14:paraId="4D26EC8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Nors vartojant selektyviųjų MAO-B inhibitorių tikimasi mažesnės </w:t>
      </w:r>
      <w:proofErr w:type="spellStart"/>
      <w:r>
        <w:rPr>
          <w:rFonts w:eastAsia="TimesNewRoman"/>
          <w:szCs w:val="22"/>
          <w:lang w:eastAsia="lt-LT"/>
        </w:rPr>
        <w:t>serotonino</w:t>
      </w:r>
      <w:proofErr w:type="spellEnd"/>
      <w:r>
        <w:rPr>
          <w:rFonts w:eastAsia="TimesNewRoman"/>
          <w:szCs w:val="22"/>
          <w:lang w:eastAsia="lt-LT"/>
        </w:rPr>
        <w:t xml:space="preserve"> sindromo rizikos nei vartojant MAO-A inhibitorių, </w:t>
      </w:r>
      <w:proofErr w:type="spellStart"/>
      <w:r>
        <w:rPr>
          <w:rFonts w:eastAsia="TimesNewRoman"/>
          <w:szCs w:val="22"/>
          <w:lang w:eastAsia="lt-LT"/>
        </w:rPr>
        <w:t>vortioksetino</w:t>
      </w:r>
      <w:proofErr w:type="spellEnd"/>
      <w:r>
        <w:rPr>
          <w:rFonts w:eastAsia="TimesNewRoman"/>
          <w:szCs w:val="22"/>
          <w:lang w:eastAsia="lt-LT"/>
        </w:rPr>
        <w:t xml:space="preserve"> vartoti kartu su negrįžtamojo poveikio MAO-B inhibitoriais, pavyzdžiui, </w:t>
      </w:r>
      <w:proofErr w:type="spellStart"/>
      <w:r>
        <w:rPr>
          <w:rFonts w:eastAsia="TimesNewRoman"/>
          <w:szCs w:val="22"/>
          <w:lang w:eastAsia="lt-LT"/>
        </w:rPr>
        <w:t>selegilinu</w:t>
      </w:r>
      <w:proofErr w:type="spellEnd"/>
      <w:r>
        <w:rPr>
          <w:rFonts w:eastAsia="TimesNewRoman"/>
          <w:szCs w:val="22"/>
          <w:lang w:eastAsia="lt-LT"/>
        </w:rPr>
        <w:t xml:space="preserve"> arba </w:t>
      </w:r>
      <w:proofErr w:type="spellStart"/>
      <w:r>
        <w:rPr>
          <w:rFonts w:eastAsia="TimesNewRoman"/>
          <w:szCs w:val="22"/>
          <w:lang w:eastAsia="lt-LT"/>
        </w:rPr>
        <w:t>razagilinu</w:t>
      </w:r>
      <w:proofErr w:type="spellEnd"/>
      <w:r>
        <w:rPr>
          <w:rFonts w:eastAsia="TimesNewRoman"/>
          <w:szCs w:val="22"/>
          <w:lang w:eastAsia="lt-LT"/>
        </w:rPr>
        <w:t xml:space="preserve">, reikia laikantis atsargumo priemonių. Jeigu šių vaistinių preparatų vartojama kartu, reikia atidžiai stebėti, ar nepasireiškia </w:t>
      </w:r>
      <w:proofErr w:type="spellStart"/>
      <w:r>
        <w:rPr>
          <w:rFonts w:eastAsia="TimesNewRoman"/>
          <w:szCs w:val="22"/>
          <w:lang w:eastAsia="lt-LT"/>
        </w:rPr>
        <w:t>serotonino</w:t>
      </w:r>
      <w:proofErr w:type="spellEnd"/>
      <w:r>
        <w:rPr>
          <w:rFonts w:eastAsia="TimesNewRoman"/>
          <w:szCs w:val="22"/>
          <w:lang w:eastAsia="lt-LT"/>
        </w:rPr>
        <w:t xml:space="preserve"> sindromas (žr. 4.4 skyrių).</w:t>
      </w:r>
    </w:p>
    <w:p w14:paraId="694D0F85" w14:textId="77777777" w:rsidR="00BC7B13" w:rsidRDefault="00BC7B13">
      <w:pPr>
        <w:autoSpaceDE w:val="0"/>
        <w:autoSpaceDN w:val="0"/>
        <w:adjustRightInd w:val="0"/>
        <w:rPr>
          <w:rFonts w:eastAsia="TimesNewRoman"/>
          <w:i/>
          <w:iCs/>
          <w:szCs w:val="22"/>
          <w:lang w:eastAsia="lt-LT"/>
        </w:rPr>
      </w:pPr>
    </w:p>
    <w:p w14:paraId="4C5953A8" w14:textId="77777777" w:rsidR="00BC7B13" w:rsidRDefault="004E7EF9">
      <w:pPr>
        <w:autoSpaceDE w:val="0"/>
        <w:autoSpaceDN w:val="0"/>
        <w:adjustRightInd w:val="0"/>
        <w:rPr>
          <w:rFonts w:eastAsia="TimesNewRoman"/>
          <w:i/>
          <w:iCs/>
          <w:szCs w:val="22"/>
          <w:lang w:eastAsia="lt-LT"/>
        </w:rPr>
      </w:pPr>
      <w:proofErr w:type="spellStart"/>
      <w:r>
        <w:rPr>
          <w:rFonts w:eastAsia="TimesNewRoman"/>
          <w:i/>
          <w:iCs/>
          <w:szCs w:val="22"/>
          <w:lang w:eastAsia="lt-LT"/>
        </w:rPr>
        <w:t>Serotoninerginiai</w:t>
      </w:r>
      <w:proofErr w:type="spellEnd"/>
      <w:r>
        <w:rPr>
          <w:rFonts w:eastAsia="TimesNewRoman"/>
          <w:i/>
          <w:iCs/>
          <w:szCs w:val="22"/>
          <w:lang w:eastAsia="lt-LT"/>
        </w:rPr>
        <w:t xml:space="preserve"> vaistiniai preparatai</w:t>
      </w:r>
    </w:p>
    <w:p w14:paraId="19EB34EB"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Vartojimas kartu su vaistiniais preparatais, kurie sukelia </w:t>
      </w:r>
      <w:proofErr w:type="spellStart"/>
      <w:r>
        <w:rPr>
          <w:rFonts w:eastAsia="TimesNewRoman"/>
          <w:szCs w:val="22"/>
          <w:lang w:eastAsia="lt-LT"/>
        </w:rPr>
        <w:t>serotoninerginį</w:t>
      </w:r>
      <w:proofErr w:type="spellEnd"/>
      <w:r>
        <w:rPr>
          <w:rFonts w:eastAsia="TimesNewRoman"/>
          <w:szCs w:val="22"/>
          <w:lang w:eastAsia="lt-LT"/>
        </w:rPr>
        <w:t xml:space="preserve"> poveikį pvz., </w:t>
      </w:r>
      <w:proofErr w:type="spellStart"/>
      <w:r>
        <w:rPr>
          <w:rFonts w:eastAsia="TimesNewRoman"/>
          <w:szCs w:val="22"/>
          <w:lang w:eastAsia="lt-LT"/>
        </w:rPr>
        <w:t>opioidais</w:t>
      </w:r>
      <w:proofErr w:type="spellEnd"/>
      <w:r>
        <w:rPr>
          <w:rFonts w:eastAsia="TimesNewRoman"/>
          <w:szCs w:val="22"/>
          <w:lang w:eastAsia="lt-LT"/>
        </w:rPr>
        <w:t xml:space="preserve"> (įskaitant </w:t>
      </w:r>
      <w:proofErr w:type="spellStart"/>
      <w:r>
        <w:rPr>
          <w:rFonts w:eastAsia="TimesNewRoman"/>
          <w:szCs w:val="22"/>
          <w:lang w:eastAsia="lt-LT"/>
        </w:rPr>
        <w:t>tramadolį</w:t>
      </w:r>
      <w:proofErr w:type="spellEnd"/>
      <w:r>
        <w:rPr>
          <w:rFonts w:eastAsia="TimesNewRoman"/>
          <w:szCs w:val="22"/>
          <w:lang w:eastAsia="lt-LT"/>
        </w:rPr>
        <w:t xml:space="preserve">) ir </w:t>
      </w:r>
      <w:proofErr w:type="spellStart"/>
      <w:r>
        <w:rPr>
          <w:rFonts w:eastAsia="TimesNewRoman"/>
          <w:szCs w:val="22"/>
          <w:lang w:eastAsia="lt-LT"/>
        </w:rPr>
        <w:t>triptanais</w:t>
      </w:r>
      <w:proofErr w:type="spellEnd"/>
      <w:r>
        <w:rPr>
          <w:rFonts w:eastAsia="TimesNewRoman"/>
          <w:szCs w:val="22"/>
          <w:lang w:eastAsia="lt-LT"/>
        </w:rPr>
        <w:t xml:space="preserve"> (įskaitant </w:t>
      </w:r>
      <w:proofErr w:type="spellStart"/>
      <w:r>
        <w:rPr>
          <w:rFonts w:eastAsia="TimesNewRoman"/>
          <w:szCs w:val="22"/>
          <w:lang w:eastAsia="lt-LT"/>
        </w:rPr>
        <w:t>sumatriptaną</w:t>
      </w:r>
      <w:proofErr w:type="spellEnd"/>
      <w:r>
        <w:rPr>
          <w:rFonts w:eastAsia="TimesNewRoman"/>
          <w:szCs w:val="22"/>
          <w:lang w:eastAsia="lt-LT"/>
        </w:rPr>
        <w:t xml:space="preserve">), gali sukelti </w:t>
      </w:r>
      <w:proofErr w:type="spellStart"/>
      <w:r>
        <w:rPr>
          <w:rFonts w:eastAsia="TimesNewRoman"/>
          <w:szCs w:val="22"/>
          <w:lang w:eastAsia="lt-LT"/>
        </w:rPr>
        <w:t>serotonino</w:t>
      </w:r>
      <w:proofErr w:type="spellEnd"/>
      <w:r>
        <w:rPr>
          <w:rFonts w:eastAsia="TimesNewRoman"/>
          <w:szCs w:val="22"/>
          <w:lang w:eastAsia="lt-LT"/>
        </w:rPr>
        <w:t xml:space="preserve"> sindromą (žr. 4.4 skyrių).</w:t>
      </w:r>
    </w:p>
    <w:p w14:paraId="6F59C986" w14:textId="77777777" w:rsidR="00BC7B13" w:rsidRDefault="00BC7B13">
      <w:pPr>
        <w:autoSpaceDE w:val="0"/>
        <w:autoSpaceDN w:val="0"/>
        <w:adjustRightInd w:val="0"/>
        <w:rPr>
          <w:rFonts w:eastAsia="TimesNewRoman"/>
          <w:i/>
          <w:iCs/>
          <w:szCs w:val="22"/>
          <w:lang w:eastAsia="lt-LT"/>
        </w:rPr>
      </w:pPr>
    </w:p>
    <w:p w14:paraId="629515AF"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Jonažolės vaistiniai preparatai</w:t>
      </w:r>
    </w:p>
    <w:p w14:paraId="0C6DCC18"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Antidepresantų, kurie sukelia </w:t>
      </w:r>
      <w:proofErr w:type="spellStart"/>
      <w:r>
        <w:rPr>
          <w:rFonts w:eastAsia="TimesNewRoman"/>
          <w:szCs w:val="22"/>
          <w:lang w:eastAsia="lt-LT"/>
        </w:rPr>
        <w:t>serotoninerginį</w:t>
      </w:r>
      <w:proofErr w:type="spellEnd"/>
      <w:r>
        <w:rPr>
          <w:rFonts w:eastAsia="TimesNewRoman"/>
          <w:szCs w:val="22"/>
          <w:lang w:eastAsia="lt-LT"/>
        </w:rPr>
        <w:t xml:space="preserve"> poveikį, vartojant kartu su vaistažolių vaistiniais preparatais, kurių sudėtyje yra jonažolės (</w:t>
      </w:r>
      <w:proofErr w:type="spellStart"/>
      <w:r>
        <w:rPr>
          <w:rFonts w:eastAsia="TimesNewRoman"/>
          <w:i/>
          <w:iCs/>
          <w:szCs w:val="22"/>
          <w:lang w:eastAsia="lt-LT"/>
        </w:rPr>
        <w:t>Hypericum</w:t>
      </w:r>
      <w:proofErr w:type="spellEnd"/>
      <w:r>
        <w:rPr>
          <w:rFonts w:eastAsia="TimesNewRoman"/>
          <w:i/>
          <w:iCs/>
          <w:szCs w:val="22"/>
          <w:lang w:eastAsia="lt-LT"/>
        </w:rPr>
        <w:t xml:space="preserve"> </w:t>
      </w:r>
      <w:proofErr w:type="spellStart"/>
      <w:r>
        <w:rPr>
          <w:rFonts w:eastAsia="TimesNewRoman"/>
          <w:i/>
          <w:iCs/>
          <w:szCs w:val="22"/>
          <w:lang w:eastAsia="lt-LT"/>
        </w:rPr>
        <w:t>perforatum</w:t>
      </w:r>
      <w:proofErr w:type="spellEnd"/>
      <w:r>
        <w:rPr>
          <w:rFonts w:eastAsia="TimesNewRoman"/>
          <w:szCs w:val="22"/>
          <w:lang w:eastAsia="lt-LT"/>
        </w:rPr>
        <w:t xml:space="preserve">), gali dažniau pasireikšti nepageidaujamų reakcijų, įskaitant </w:t>
      </w:r>
      <w:proofErr w:type="spellStart"/>
      <w:r>
        <w:rPr>
          <w:rFonts w:eastAsia="TimesNewRoman"/>
          <w:szCs w:val="22"/>
          <w:lang w:eastAsia="lt-LT"/>
        </w:rPr>
        <w:t>serotonino</w:t>
      </w:r>
      <w:proofErr w:type="spellEnd"/>
      <w:r>
        <w:rPr>
          <w:rFonts w:eastAsia="TimesNewRoman"/>
          <w:szCs w:val="22"/>
          <w:lang w:eastAsia="lt-LT"/>
        </w:rPr>
        <w:t xml:space="preserve"> sindromą (žr. 4.4 skyrių).</w:t>
      </w:r>
    </w:p>
    <w:p w14:paraId="6B3B6F4F" w14:textId="77777777" w:rsidR="00BC7B13" w:rsidRDefault="00BC7B13">
      <w:pPr>
        <w:autoSpaceDE w:val="0"/>
        <w:autoSpaceDN w:val="0"/>
        <w:adjustRightInd w:val="0"/>
        <w:rPr>
          <w:rFonts w:eastAsia="TimesNewRoman"/>
          <w:i/>
          <w:iCs/>
          <w:szCs w:val="22"/>
          <w:lang w:eastAsia="lt-LT"/>
        </w:rPr>
      </w:pPr>
    </w:p>
    <w:p w14:paraId="622A2B8C"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Vaistiniai preparatai, kurie mažina traukulių pasireiškimo slenkstį</w:t>
      </w:r>
    </w:p>
    <w:p w14:paraId="06D591D3"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Antidepresantai, kurie sukelia </w:t>
      </w:r>
      <w:proofErr w:type="spellStart"/>
      <w:r>
        <w:rPr>
          <w:rFonts w:eastAsia="TimesNewRoman"/>
          <w:szCs w:val="22"/>
          <w:lang w:eastAsia="lt-LT"/>
        </w:rPr>
        <w:t>serotoninerginį</w:t>
      </w:r>
      <w:proofErr w:type="spellEnd"/>
      <w:r>
        <w:rPr>
          <w:rFonts w:eastAsia="TimesNewRoman"/>
          <w:szCs w:val="22"/>
          <w:lang w:eastAsia="lt-LT"/>
        </w:rPr>
        <w:t xml:space="preserve"> poveikį, gali mažinti traukulių pasireiškimo slenkstį. Jeigu šio vaistinio preparato vartojama kartu su kitais vaistiniais preparatais, kurie gali mažinti traukulių pasireiškimo slenkstį (pvz.: antidepresantais [</w:t>
      </w:r>
      <w:proofErr w:type="spellStart"/>
      <w:r>
        <w:rPr>
          <w:rFonts w:eastAsia="TimesNewRoman"/>
          <w:szCs w:val="22"/>
          <w:lang w:eastAsia="lt-LT"/>
        </w:rPr>
        <w:t>tricikliais</w:t>
      </w:r>
      <w:proofErr w:type="spellEnd"/>
      <w:r>
        <w:rPr>
          <w:rFonts w:eastAsia="TimesNewRoman"/>
          <w:szCs w:val="22"/>
          <w:lang w:eastAsia="lt-LT"/>
        </w:rPr>
        <w:t xml:space="preserve">, SSRI, SNRI], </w:t>
      </w:r>
      <w:proofErr w:type="spellStart"/>
      <w:r>
        <w:rPr>
          <w:rFonts w:eastAsia="TimesNewRoman"/>
          <w:szCs w:val="22"/>
          <w:lang w:eastAsia="lt-LT"/>
        </w:rPr>
        <w:t>neuroleptikais</w:t>
      </w:r>
      <w:proofErr w:type="spellEnd"/>
      <w:r>
        <w:rPr>
          <w:rFonts w:eastAsia="TimesNewRoman"/>
          <w:szCs w:val="22"/>
          <w:lang w:eastAsia="lt-LT"/>
        </w:rPr>
        <w:t xml:space="preserve"> [</w:t>
      </w:r>
      <w:proofErr w:type="spellStart"/>
      <w:r>
        <w:rPr>
          <w:rFonts w:eastAsia="TimesNewRoman"/>
          <w:szCs w:val="22"/>
          <w:lang w:eastAsia="lt-LT"/>
        </w:rPr>
        <w:t>fenotiazinais</w:t>
      </w:r>
      <w:proofErr w:type="spellEnd"/>
      <w:r>
        <w:rPr>
          <w:rFonts w:eastAsia="TimesNewRoman"/>
          <w:szCs w:val="22"/>
          <w:lang w:eastAsia="lt-LT"/>
        </w:rPr>
        <w:t xml:space="preserve">, </w:t>
      </w:r>
      <w:proofErr w:type="spellStart"/>
      <w:r>
        <w:rPr>
          <w:rFonts w:eastAsia="TimesNewRoman"/>
          <w:szCs w:val="22"/>
          <w:lang w:eastAsia="lt-LT"/>
        </w:rPr>
        <w:t>tioksantenais</w:t>
      </w:r>
      <w:proofErr w:type="spellEnd"/>
      <w:r>
        <w:rPr>
          <w:rFonts w:eastAsia="TimesNewRoman"/>
          <w:szCs w:val="22"/>
          <w:lang w:eastAsia="lt-LT"/>
        </w:rPr>
        <w:t xml:space="preserve"> ir </w:t>
      </w:r>
      <w:proofErr w:type="spellStart"/>
      <w:r>
        <w:rPr>
          <w:rFonts w:eastAsia="TimesNewRoman"/>
          <w:szCs w:val="22"/>
          <w:lang w:eastAsia="lt-LT"/>
        </w:rPr>
        <w:t>butirofenonais</w:t>
      </w:r>
      <w:proofErr w:type="spellEnd"/>
      <w:r>
        <w:rPr>
          <w:rFonts w:eastAsia="TimesNewRoman"/>
          <w:szCs w:val="22"/>
          <w:lang w:eastAsia="lt-LT"/>
        </w:rPr>
        <w:t xml:space="preserve">], </w:t>
      </w:r>
      <w:proofErr w:type="spellStart"/>
      <w:r>
        <w:rPr>
          <w:rFonts w:eastAsia="TimesNewRoman"/>
          <w:szCs w:val="22"/>
          <w:lang w:eastAsia="lt-LT"/>
        </w:rPr>
        <w:t>meflokvinu</w:t>
      </w:r>
      <w:proofErr w:type="spellEnd"/>
      <w:r>
        <w:rPr>
          <w:rFonts w:eastAsia="TimesNewRoman"/>
          <w:szCs w:val="22"/>
          <w:lang w:eastAsia="lt-LT"/>
        </w:rPr>
        <w:t xml:space="preserve">, </w:t>
      </w:r>
      <w:proofErr w:type="spellStart"/>
      <w:r>
        <w:rPr>
          <w:rFonts w:eastAsia="TimesNewRoman"/>
          <w:szCs w:val="22"/>
          <w:lang w:eastAsia="lt-LT"/>
        </w:rPr>
        <w:t>bupropionu</w:t>
      </w:r>
      <w:proofErr w:type="spellEnd"/>
      <w:r>
        <w:rPr>
          <w:rFonts w:eastAsia="TimesNewRoman"/>
          <w:szCs w:val="22"/>
          <w:lang w:eastAsia="lt-LT"/>
        </w:rPr>
        <w:t xml:space="preserve">, </w:t>
      </w:r>
      <w:proofErr w:type="spellStart"/>
      <w:r>
        <w:rPr>
          <w:rFonts w:eastAsia="TimesNewRoman"/>
          <w:szCs w:val="22"/>
          <w:lang w:eastAsia="lt-LT"/>
        </w:rPr>
        <w:t>tramadoliu</w:t>
      </w:r>
      <w:proofErr w:type="spellEnd"/>
      <w:r>
        <w:rPr>
          <w:rFonts w:eastAsia="TimesNewRoman"/>
          <w:szCs w:val="22"/>
          <w:lang w:eastAsia="lt-LT"/>
        </w:rPr>
        <w:t>), rekomenduojama laikytis atsargumo priemonių (žr. 4.4 skyrių).</w:t>
      </w:r>
    </w:p>
    <w:p w14:paraId="4A47F7B6" w14:textId="77777777" w:rsidR="00BC7B13" w:rsidRDefault="00BC7B13">
      <w:pPr>
        <w:autoSpaceDE w:val="0"/>
        <w:autoSpaceDN w:val="0"/>
        <w:adjustRightInd w:val="0"/>
        <w:rPr>
          <w:rFonts w:eastAsia="TimesNewRoman"/>
          <w:i/>
          <w:iCs/>
          <w:szCs w:val="22"/>
          <w:lang w:eastAsia="lt-LT"/>
        </w:rPr>
      </w:pPr>
    </w:p>
    <w:p w14:paraId="45F6D377"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ETT (elektros traukulių terapija)</w:t>
      </w:r>
    </w:p>
    <w:p w14:paraId="291B479C" w14:textId="77777777" w:rsidR="00BC7B13" w:rsidRDefault="004E7EF9">
      <w:pPr>
        <w:rPr>
          <w:i/>
          <w:iCs/>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vartojimo kartu su ETT klinikinės patirties nėra, todėl rekomenduojama gydyti laikantis atsargumo priemonių.</w:t>
      </w:r>
    </w:p>
    <w:p w14:paraId="1696FB2C" w14:textId="77777777" w:rsidR="00BC7B13" w:rsidRDefault="00BC7B13">
      <w:pPr>
        <w:rPr>
          <w:i/>
          <w:iCs/>
          <w:szCs w:val="22"/>
          <w:lang w:eastAsia="lt-LT"/>
        </w:rPr>
      </w:pPr>
    </w:p>
    <w:p w14:paraId="392E961C" w14:textId="77777777" w:rsidR="00BC7B13" w:rsidRDefault="004E7EF9">
      <w:pPr>
        <w:rPr>
          <w:i/>
          <w:iCs/>
          <w:szCs w:val="22"/>
          <w:lang w:eastAsia="lt-LT"/>
        </w:rPr>
      </w:pPr>
      <w:r>
        <w:rPr>
          <w:i/>
          <w:iCs/>
          <w:szCs w:val="22"/>
          <w:lang w:eastAsia="lt-LT"/>
        </w:rPr>
        <w:t>CYP2D6 inhibitoriai</w:t>
      </w:r>
    </w:p>
    <w:p w14:paraId="4B4182D1"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Sveikų tiriamųjų, 14 dienų vartojusių 10 mg </w:t>
      </w:r>
      <w:proofErr w:type="spellStart"/>
      <w:r>
        <w:rPr>
          <w:rFonts w:eastAsia="TimesNewRoman"/>
          <w:szCs w:val="22"/>
          <w:lang w:eastAsia="lt-LT"/>
        </w:rPr>
        <w:t>vortioksetino</w:t>
      </w:r>
      <w:proofErr w:type="spellEnd"/>
      <w:r>
        <w:rPr>
          <w:rFonts w:eastAsia="TimesNewRoman"/>
          <w:szCs w:val="22"/>
          <w:lang w:eastAsia="lt-LT"/>
        </w:rPr>
        <w:t xml:space="preserve"> dozę per parą kartu su </w:t>
      </w:r>
      <w:proofErr w:type="spellStart"/>
      <w:r>
        <w:rPr>
          <w:rFonts w:eastAsia="TimesNewRoman"/>
          <w:szCs w:val="22"/>
          <w:lang w:eastAsia="lt-LT"/>
        </w:rPr>
        <w:t>bupropionu</w:t>
      </w:r>
      <w:proofErr w:type="spellEnd"/>
      <w:r>
        <w:rPr>
          <w:rFonts w:eastAsia="TimesNewRoman"/>
          <w:szCs w:val="22"/>
          <w:lang w:eastAsia="lt-LT"/>
        </w:rPr>
        <w:t xml:space="preserve"> (stipraus poveikio CYP2D6 inhibitoriumi, skiriamu po 150 mg du kartus per parą), organizme </w:t>
      </w:r>
      <w:proofErr w:type="spellStart"/>
      <w:r>
        <w:rPr>
          <w:rFonts w:eastAsia="TimesNewRoman"/>
          <w:szCs w:val="22"/>
          <w:lang w:eastAsia="lt-LT"/>
        </w:rPr>
        <w:t>vortioksetino</w:t>
      </w:r>
      <w:proofErr w:type="spellEnd"/>
      <w:r>
        <w:rPr>
          <w:rFonts w:eastAsia="TimesNewRoman"/>
          <w:szCs w:val="22"/>
          <w:lang w:eastAsia="lt-LT"/>
        </w:rPr>
        <w:t xml:space="preserve"> ekspozicija (plotas po kreive [AUC]) padidėjo 2,3 karto. Vartojimas kartu lėmė nepageidaujamų reakcijų padažnėjimą kartu su </w:t>
      </w:r>
      <w:proofErr w:type="spellStart"/>
      <w:r>
        <w:rPr>
          <w:rFonts w:eastAsia="TimesNewRoman"/>
          <w:szCs w:val="22"/>
          <w:lang w:eastAsia="lt-LT"/>
        </w:rPr>
        <w:t>vortioksetinu</w:t>
      </w:r>
      <w:proofErr w:type="spellEnd"/>
      <w:r>
        <w:rPr>
          <w:rFonts w:eastAsia="TimesNewRoman"/>
          <w:szCs w:val="22"/>
          <w:lang w:eastAsia="lt-LT"/>
        </w:rPr>
        <w:t xml:space="preserve"> paskyrus papildomai </w:t>
      </w:r>
      <w:proofErr w:type="spellStart"/>
      <w:r>
        <w:rPr>
          <w:rFonts w:eastAsia="TimesNewRoman"/>
          <w:szCs w:val="22"/>
          <w:lang w:eastAsia="lt-LT"/>
        </w:rPr>
        <w:t>bupropiono</w:t>
      </w:r>
      <w:proofErr w:type="spellEnd"/>
      <w:r>
        <w:rPr>
          <w:rFonts w:eastAsia="TimesNewRoman"/>
          <w:szCs w:val="22"/>
          <w:lang w:eastAsia="lt-LT"/>
        </w:rPr>
        <w:t xml:space="preserve">, palyginti su </w:t>
      </w:r>
      <w:proofErr w:type="spellStart"/>
      <w:r>
        <w:rPr>
          <w:rFonts w:eastAsia="TimesNewRoman"/>
          <w:szCs w:val="22"/>
          <w:lang w:eastAsia="lt-LT"/>
        </w:rPr>
        <w:t>vortioksetino</w:t>
      </w:r>
      <w:proofErr w:type="spellEnd"/>
      <w:r>
        <w:rPr>
          <w:rFonts w:eastAsia="TimesNewRoman"/>
          <w:szCs w:val="22"/>
          <w:lang w:eastAsia="lt-LT"/>
        </w:rPr>
        <w:t xml:space="preserve"> paskyrimu kartu su </w:t>
      </w:r>
      <w:proofErr w:type="spellStart"/>
      <w:r>
        <w:rPr>
          <w:rFonts w:eastAsia="TimesNewRoman"/>
          <w:szCs w:val="22"/>
          <w:lang w:eastAsia="lt-LT"/>
        </w:rPr>
        <w:t>bupropionu</w:t>
      </w:r>
      <w:proofErr w:type="spellEnd"/>
      <w:r>
        <w:rPr>
          <w:rFonts w:eastAsia="TimesNewRoman"/>
          <w:szCs w:val="22"/>
          <w:lang w:eastAsia="lt-LT"/>
        </w:rPr>
        <w:t xml:space="preserve">. Atsižvelgiant į individualų paciento organizmo atsaką, galima svarstyti mažesnės </w:t>
      </w:r>
      <w:proofErr w:type="spellStart"/>
      <w:r>
        <w:rPr>
          <w:rFonts w:eastAsia="TimesNewRoman"/>
          <w:szCs w:val="22"/>
          <w:lang w:eastAsia="lt-LT"/>
        </w:rPr>
        <w:t>vortioksetino</w:t>
      </w:r>
      <w:proofErr w:type="spellEnd"/>
      <w:r>
        <w:rPr>
          <w:rFonts w:eastAsia="TimesNewRoman"/>
          <w:szCs w:val="22"/>
          <w:lang w:eastAsia="lt-LT"/>
        </w:rPr>
        <w:t xml:space="preserve"> dozės skyrimą, jeigu gydant </w:t>
      </w:r>
      <w:proofErr w:type="spellStart"/>
      <w:r>
        <w:rPr>
          <w:rFonts w:eastAsia="TimesNewRoman"/>
          <w:szCs w:val="22"/>
          <w:lang w:eastAsia="lt-LT"/>
        </w:rPr>
        <w:t>vortioksetinu</w:t>
      </w:r>
      <w:proofErr w:type="spellEnd"/>
      <w:r>
        <w:rPr>
          <w:rFonts w:eastAsia="TimesNewRoman"/>
          <w:szCs w:val="22"/>
          <w:lang w:eastAsia="lt-LT"/>
        </w:rPr>
        <w:t xml:space="preserve">, skiriama kartu vartoti stipraus poveikio CYP2D6 inhibitorių (pvz.: </w:t>
      </w:r>
      <w:proofErr w:type="spellStart"/>
      <w:r>
        <w:rPr>
          <w:rFonts w:eastAsia="TimesNewRoman"/>
          <w:szCs w:val="22"/>
          <w:lang w:eastAsia="lt-LT"/>
        </w:rPr>
        <w:t>bupropiono</w:t>
      </w:r>
      <w:proofErr w:type="spellEnd"/>
      <w:r>
        <w:rPr>
          <w:rFonts w:eastAsia="TimesNewRoman"/>
          <w:szCs w:val="22"/>
          <w:lang w:eastAsia="lt-LT"/>
        </w:rPr>
        <w:t xml:space="preserve">, </w:t>
      </w:r>
      <w:proofErr w:type="spellStart"/>
      <w:r>
        <w:rPr>
          <w:rFonts w:eastAsia="TimesNewRoman"/>
          <w:szCs w:val="22"/>
          <w:lang w:eastAsia="lt-LT"/>
        </w:rPr>
        <w:t>chinidino</w:t>
      </w:r>
      <w:proofErr w:type="spellEnd"/>
      <w:r>
        <w:rPr>
          <w:rFonts w:eastAsia="TimesNewRoman"/>
          <w:szCs w:val="22"/>
          <w:lang w:eastAsia="lt-LT"/>
        </w:rPr>
        <w:t xml:space="preserve">, </w:t>
      </w:r>
      <w:proofErr w:type="spellStart"/>
      <w:r>
        <w:rPr>
          <w:rFonts w:eastAsia="TimesNewRoman"/>
          <w:szCs w:val="22"/>
          <w:lang w:eastAsia="lt-LT"/>
        </w:rPr>
        <w:t>fluoksetino</w:t>
      </w:r>
      <w:proofErr w:type="spellEnd"/>
      <w:r>
        <w:rPr>
          <w:rFonts w:eastAsia="TimesNewRoman"/>
          <w:szCs w:val="22"/>
          <w:lang w:eastAsia="lt-LT"/>
        </w:rPr>
        <w:t xml:space="preserve">, </w:t>
      </w:r>
      <w:proofErr w:type="spellStart"/>
      <w:r>
        <w:rPr>
          <w:rFonts w:eastAsia="TimesNewRoman"/>
          <w:szCs w:val="22"/>
          <w:lang w:eastAsia="lt-LT"/>
        </w:rPr>
        <w:t>paroksetino</w:t>
      </w:r>
      <w:proofErr w:type="spellEnd"/>
      <w:r>
        <w:rPr>
          <w:rFonts w:eastAsia="TimesNewRoman"/>
          <w:szCs w:val="22"/>
          <w:lang w:eastAsia="lt-LT"/>
        </w:rPr>
        <w:t>) (žr. 4.2 skyrių).</w:t>
      </w:r>
    </w:p>
    <w:p w14:paraId="2B44732E" w14:textId="77777777" w:rsidR="00BC7B13" w:rsidRDefault="00BC7B13">
      <w:pPr>
        <w:autoSpaceDE w:val="0"/>
        <w:autoSpaceDN w:val="0"/>
        <w:adjustRightInd w:val="0"/>
        <w:rPr>
          <w:i/>
          <w:iCs/>
          <w:szCs w:val="22"/>
          <w:lang w:eastAsia="lt-LT"/>
        </w:rPr>
      </w:pPr>
    </w:p>
    <w:p w14:paraId="7C036AB9" w14:textId="77777777" w:rsidR="00BC7B13" w:rsidRDefault="004E7EF9">
      <w:pPr>
        <w:autoSpaceDE w:val="0"/>
        <w:autoSpaceDN w:val="0"/>
        <w:adjustRightInd w:val="0"/>
        <w:rPr>
          <w:i/>
          <w:iCs/>
          <w:szCs w:val="22"/>
          <w:lang w:eastAsia="lt-LT"/>
        </w:rPr>
      </w:pPr>
      <w:r>
        <w:rPr>
          <w:i/>
          <w:iCs/>
          <w:szCs w:val="22"/>
          <w:lang w:eastAsia="lt-LT"/>
        </w:rPr>
        <w:t>CYP3A4 inhibitoriai, CYP2C9 ir CYP2C19 inhibitoriai</w:t>
      </w:r>
    </w:p>
    <w:p w14:paraId="2A223232"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Sveikiems tiriamiesiems po 6 dienų 400 mg </w:t>
      </w:r>
      <w:proofErr w:type="spellStart"/>
      <w:r>
        <w:rPr>
          <w:rFonts w:eastAsia="TimesNewRoman"/>
          <w:szCs w:val="22"/>
          <w:lang w:eastAsia="lt-LT"/>
        </w:rPr>
        <w:t>ketokonazolo</w:t>
      </w:r>
      <w:proofErr w:type="spellEnd"/>
      <w:r>
        <w:rPr>
          <w:rFonts w:eastAsia="TimesNewRoman"/>
          <w:szCs w:val="22"/>
          <w:lang w:eastAsia="lt-LT"/>
        </w:rPr>
        <w:t xml:space="preserve"> (CYP3A4/5 ir P-</w:t>
      </w:r>
      <w:proofErr w:type="spellStart"/>
      <w:r>
        <w:rPr>
          <w:rFonts w:eastAsia="TimesNewRoman"/>
          <w:szCs w:val="22"/>
          <w:lang w:eastAsia="lt-LT"/>
        </w:rPr>
        <w:t>glikoproteino</w:t>
      </w:r>
      <w:proofErr w:type="spellEnd"/>
      <w:r>
        <w:rPr>
          <w:rFonts w:eastAsia="TimesNewRoman"/>
          <w:szCs w:val="22"/>
          <w:lang w:eastAsia="lt-LT"/>
        </w:rPr>
        <w:t xml:space="preserve"> inhibitoriaus) dozės per parą vartojimo arba po 6 dienų 200 mg </w:t>
      </w:r>
      <w:proofErr w:type="spellStart"/>
      <w:r>
        <w:rPr>
          <w:rFonts w:eastAsia="TimesNewRoman"/>
          <w:szCs w:val="22"/>
          <w:lang w:eastAsia="lt-LT"/>
        </w:rPr>
        <w:t>flukonazolo</w:t>
      </w:r>
      <w:proofErr w:type="spellEnd"/>
      <w:r>
        <w:rPr>
          <w:rFonts w:eastAsia="TimesNewRoman"/>
          <w:szCs w:val="22"/>
          <w:lang w:eastAsia="lt-LT"/>
        </w:rPr>
        <w:t xml:space="preserve"> (CYP2C9, CYP2C19 ir </w:t>
      </w:r>
      <w:r>
        <w:rPr>
          <w:rFonts w:eastAsia="TimesNewRoman"/>
          <w:szCs w:val="22"/>
          <w:lang w:eastAsia="lt-LT"/>
        </w:rPr>
        <w:lastRenderedPageBreak/>
        <w:t xml:space="preserve">CYP3A4/5 inhibitoriaus) dozės per parą vartojimo paskyrus kartu vartoti </w:t>
      </w:r>
      <w:proofErr w:type="spellStart"/>
      <w:r>
        <w:rPr>
          <w:rFonts w:eastAsia="TimesNewRoman"/>
          <w:szCs w:val="22"/>
          <w:lang w:eastAsia="lt-LT"/>
        </w:rPr>
        <w:t>vortioksetino</w:t>
      </w:r>
      <w:proofErr w:type="spellEnd"/>
      <w:r>
        <w:rPr>
          <w:rFonts w:eastAsia="TimesNewRoman"/>
          <w:szCs w:val="22"/>
          <w:lang w:eastAsia="lt-LT"/>
        </w:rPr>
        <w:t xml:space="preserve">, buvo pastebėtas </w:t>
      </w:r>
      <w:proofErr w:type="spellStart"/>
      <w:r>
        <w:rPr>
          <w:rFonts w:eastAsia="TimesNewRoman"/>
          <w:szCs w:val="22"/>
          <w:lang w:eastAsia="lt-LT"/>
        </w:rPr>
        <w:t>vortioksetino</w:t>
      </w:r>
      <w:proofErr w:type="spellEnd"/>
      <w:r>
        <w:rPr>
          <w:rFonts w:eastAsia="TimesNewRoman"/>
          <w:szCs w:val="22"/>
          <w:lang w:eastAsia="lt-LT"/>
        </w:rPr>
        <w:t xml:space="preserve"> AUC padidėjimas atitinkamai 1,3 karto ir 1,5 karto. Dozės keisti nebūtina.</w:t>
      </w:r>
    </w:p>
    <w:p w14:paraId="7CEC6CB8" w14:textId="77777777" w:rsidR="00BC7B13" w:rsidRDefault="00BC7B13">
      <w:pPr>
        <w:autoSpaceDE w:val="0"/>
        <w:autoSpaceDN w:val="0"/>
        <w:adjustRightInd w:val="0"/>
        <w:rPr>
          <w:rFonts w:eastAsia="TimesNewRoman"/>
          <w:szCs w:val="22"/>
          <w:lang w:eastAsia="lt-LT"/>
        </w:rPr>
      </w:pPr>
    </w:p>
    <w:p w14:paraId="1513D6C4"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Slopinamojo 40 mg </w:t>
      </w:r>
      <w:proofErr w:type="spellStart"/>
      <w:r>
        <w:rPr>
          <w:rFonts w:eastAsia="TimesNewRoman"/>
          <w:szCs w:val="22"/>
          <w:lang w:eastAsia="lt-LT"/>
        </w:rPr>
        <w:t>omeprazolo</w:t>
      </w:r>
      <w:proofErr w:type="spellEnd"/>
      <w:r>
        <w:rPr>
          <w:rFonts w:eastAsia="TimesNewRoman"/>
          <w:szCs w:val="22"/>
          <w:lang w:eastAsia="lt-LT"/>
        </w:rPr>
        <w:t xml:space="preserve"> (CYP2C19 inhibitoriaus) vienkartinės dozės poveikio kartotinių </w:t>
      </w:r>
      <w:proofErr w:type="spellStart"/>
      <w:r>
        <w:rPr>
          <w:rFonts w:eastAsia="TimesNewRoman"/>
          <w:szCs w:val="22"/>
          <w:lang w:eastAsia="lt-LT"/>
        </w:rPr>
        <w:t>vortioksetino</w:t>
      </w:r>
      <w:proofErr w:type="spellEnd"/>
      <w:r>
        <w:rPr>
          <w:rFonts w:eastAsia="TimesNewRoman"/>
          <w:szCs w:val="22"/>
          <w:lang w:eastAsia="lt-LT"/>
        </w:rPr>
        <w:t xml:space="preserve"> dozių farmakokinetikai sveikų tiriamųjų organizme nepastebėta.</w:t>
      </w:r>
    </w:p>
    <w:p w14:paraId="3522E3DD" w14:textId="77777777" w:rsidR="00BC7B13" w:rsidRDefault="00BC7B13">
      <w:pPr>
        <w:autoSpaceDE w:val="0"/>
        <w:autoSpaceDN w:val="0"/>
        <w:adjustRightInd w:val="0"/>
        <w:rPr>
          <w:i/>
          <w:iCs/>
          <w:szCs w:val="22"/>
          <w:lang w:eastAsia="lt-LT"/>
        </w:rPr>
      </w:pPr>
    </w:p>
    <w:p w14:paraId="168C53C7" w14:textId="77777777" w:rsidR="00BC7B13" w:rsidRDefault="004E7EF9">
      <w:pPr>
        <w:autoSpaceDE w:val="0"/>
        <w:autoSpaceDN w:val="0"/>
        <w:adjustRightInd w:val="0"/>
        <w:rPr>
          <w:i/>
          <w:iCs/>
          <w:szCs w:val="22"/>
          <w:lang w:eastAsia="lt-LT"/>
        </w:rPr>
      </w:pPr>
      <w:r>
        <w:rPr>
          <w:i/>
          <w:iCs/>
          <w:szCs w:val="22"/>
          <w:lang w:eastAsia="lt-LT"/>
        </w:rPr>
        <w:t>Sąveika, jei CYP2D6 veikiamas metabolizmas yra silpnas</w:t>
      </w:r>
    </w:p>
    <w:p w14:paraId="2076BF81"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Pacientų, kurių organizme CYP2D6 veikiamas metabolizmas yra silpnas, gydymas deriniais su stipriais CYP3A4 inhibitoriais (pvz., </w:t>
      </w:r>
      <w:proofErr w:type="spellStart"/>
      <w:r>
        <w:rPr>
          <w:rFonts w:eastAsia="TimesNewRoman"/>
          <w:szCs w:val="22"/>
          <w:lang w:eastAsia="lt-LT"/>
        </w:rPr>
        <w:t>itrakonazolu</w:t>
      </w:r>
      <w:proofErr w:type="spellEnd"/>
      <w:r>
        <w:rPr>
          <w:rFonts w:eastAsia="TimesNewRoman"/>
          <w:szCs w:val="22"/>
          <w:lang w:eastAsia="lt-LT"/>
        </w:rPr>
        <w:t xml:space="preserve">, </w:t>
      </w:r>
      <w:proofErr w:type="spellStart"/>
      <w:r>
        <w:rPr>
          <w:rFonts w:eastAsia="TimesNewRoman"/>
          <w:szCs w:val="22"/>
          <w:lang w:eastAsia="lt-LT"/>
        </w:rPr>
        <w:t>vorikonazolu</w:t>
      </w:r>
      <w:proofErr w:type="spellEnd"/>
      <w:r>
        <w:rPr>
          <w:rFonts w:eastAsia="TimesNewRoman"/>
          <w:szCs w:val="22"/>
          <w:lang w:eastAsia="lt-LT"/>
        </w:rPr>
        <w:t xml:space="preserve">, </w:t>
      </w:r>
      <w:proofErr w:type="spellStart"/>
      <w:r>
        <w:rPr>
          <w:rFonts w:eastAsia="TimesNewRoman"/>
          <w:szCs w:val="22"/>
          <w:lang w:eastAsia="lt-LT"/>
        </w:rPr>
        <w:t>klaritromicinu</w:t>
      </w:r>
      <w:proofErr w:type="spellEnd"/>
      <w:r>
        <w:rPr>
          <w:rFonts w:eastAsia="TimesNewRoman"/>
          <w:szCs w:val="22"/>
          <w:lang w:eastAsia="lt-LT"/>
        </w:rPr>
        <w:t xml:space="preserve">, </w:t>
      </w:r>
      <w:proofErr w:type="spellStart"/>
      <w:r>
        <w:rPr>
          <w:rFonts w:eastAsia="TimesNewRoman"/>
          <w:szCs w:val="22"/>
          <w:lang w:eastAsia="lt-LT"/>
        </w:rPr>
        <w:t>telitromicinu</w:t>
      </w:r>
      <w:proofErr w:type="spellEnd"/>
      <w:r>
        <w:rPr>
          <w:rFonts w:eastAsia="TimesNewRoman"/>
          <w:szCs w:val="22"/>
          <w:lang w:eastAsia="lt-LT"/>
        </w:rPr>
        <w:t xml:space="preserve">, </w:t>
      </w:r>
      <w:proofErr w:type="spellStart"/>
      <w:r>
        <w:rPr>
          <w:rFonts w:eastAsia="TimesNewRoman"/>
          <w:szCs w:val="22"/>
          <w:lang w:eastAsia="lt-LT"/>
        </w:rPr>
        <w:t>nefazodonu</w:t>
      </w:r>
      <w:proofErr w:type="spellEnd"/>
      <w:r>
        <w:rPr>
          <w:rFonts w:eastAsia="TimesNewRoman"/>
          <w:szCs w:val="22"/>
          <w:lang w:eastAsia="lt-LT"/>
        </w:rPr>
        <w:t xml:space="preserve">, </w:t>
      </w:r>
      <w:proofErr w:type="spellStart"/>
      <w:r>
        <w:rPr>
          <w:rFonts w:eastAsia="TimesNewRoman"/>
          <w:szCs w:val="22"/>
          <w:lang w:eastAsia="lt-LT"/>
        </w:rPr>
        <w:t>konivaptanu</w:t>
      </w:r>
      <w:proofErr w:type="spellEnd"/>
      <w:r>
        <w:rPr>
          <w:rFonts w:eastAsia="TimesNewRoman"/>
          <w:szCs w:val="22"/>
          <w:lang w:eastAsia="lt-LT"/>
        </w:rPr>
        <w:t xml:space="preserve"> ir dauguma ŽIV proteazės inhibitorių) ir CYP2C9 inhibitoriais (pvz., </w:t>
      </w:r>
      <w:proofErr w:type="spellStart"/>
      <w:r>
        <w:rPr>
          <w:rFonts w:eastAsia="TimesNewRoman"/>
          <w:szCs w:val="22"/>
          <w:lang w:eastAsia="lt-LT"/>
        </w:rPr>
        <w:t>flukonazolu</w:t>
      </w:r>
      <w:proofErr w:type="spellEnd"/>
      <w:r>
        <w:rPr>
          <w:rFonts w:eastAsia="TimesNewRoman"/>
          <w:szCs w:val="22"/>
          <w:lang w:eastAsia="lt-LT"/>
        </w:rPr>
        <w:t xml:space="preserve"> ir </w:t>
      </w:r>
      <w:proofErr w:type="spellStart"/>
      <w:r>
        <w:rPr>
          <w:rFonts w:eastAsia="TimesNewRoman"/>
          <w:szCs w:val="22"/>
          <w:lang w:eastAsia="lt-LT"/>
        </w:rPr>
        <w:t>amjodaronu</w:t>
      </w:r>
      <w:proofErr w:type="spellEnd"/>
      <w:r>
        <w:rPr>
          <w:rFonts w:eastAsia="TimesNewRoman"/>
          <w:szCs w:val="22"/>
          <w:lang w:eastAsia="lt-LT"/>
        </w:rPr>
        <w:t xml:space="preserve">) (žr. 5.2 skyrių) specifiškai netirtas, tačiau tikėtina, kad tokiu atveju minėtų pacientų organizme </w:t>
      </w:r>
      <w:proofErr w:type="spellStart"/>
      <w:r>
        <w:rPr>
          <w:rFonts w:eastAsia="TimesNewRoman"/>
          <w:szCs w:val="22"/>
          <w:lang w:eastAsia="lt-LT"/>
        </w:rPr>
        <w:t>vortioksetino</w:t>
      </w:r>
      <w:proofErr w:type="spellEnd"/>
      <w:r>
        <w:rPr>
          <w:rFonts w:eastAsia="TimesNewRoman"/>
          <w:szCs w:val="22"/>
          <w:lang w:eastAsia="lt-LT"/>
        </w:rPr>
        <w:t xml:space="preserve"> ekspozicija padidės labiau nei vidutiniškai (kaip aprašyta ankščiau). Atsižvelgiant į individualų paciento organizmo atsaką, galima apsvarstyti mažesnės </w:t>
      </w:r>
      <w:proofErr w:type="spellStart"/>
      <w:r>
        <w:rPr>
          <w:rFonts w:eastAsia="TimesNewRoman"/>
          <w:szCs w:val="22"/>
          <w:lang w:eastAsia="lt-LT"/>
        </w:rPr>
        <w:t>vortioksetino</w:t>
      </w:r>
      <w:proofErr w:type="spellEnd"/>
      <w:r>
        <w:rPr>
          <w:rFonts w:eastAsia="TimesNewRoman"/>
          <w:szCs w:val="22"/>
          <w:lang w:eastAsia="lt-LT"/>
        </w:rPr>
        <w:t xml:space="preserve"> dozės skyrimo galimybę, jeigu pacientams, kurių organizme CYP2D6 veikiamas metabolizmas yra silpnas, kartu skiriama stipraus CYP3A4 arba CYP2C9 inhibitoriaus.</w:t>
      </w:r>
    </w:p>
    <w:p w14:paraId="069D72E9" w14:textId="77777777" w:rsidR="00BC7B13" w:rsidRDefault="00BC7B13">
      <w:pPr>
        <w:autoSpaceDE w:val="0"/>
        <w:autoSpaceDN w:val="0"/>
        <w:adjustRightInd w:val="0"/>
        <w:rPr>
          <w:i/>
          <w:iCs/>
          <w:szCs w:val="22"/>
          <w:lang w:eastAsia="lt-LT"/>
        </w:rPr>
      </w:pPr>
    </w:p>
    <w:p w14:paraId="614E0D37" w14:textId="77777777" w:rsidR="00BC7B13" w:rsidRDefault="004E7EF9">
      <w:pPr>
        <w:autoSpaceDE w:val="0"/>
        <w:autoSpaceDN w:val="0"/>
        <w:adjustRightInd w:val="0"/>
        <w:rPr>
          <w:i/>
          <w:iCs/>
          <w:szCs w:val="22"/>
          <w:lang w:eastAsia="lt-LT"/>
        </w:rPr>
      </w:pPr>
      <w:proofErr w:type="spellStart"/>
      <w:r>
        <w:rPr>
          <w:i/>
          <w:iCs/>
          <w:szCs w:val="22"/>
          <w:lang w:eastAsia="lt-LT"/>
        </w:rPr>
        <w:t>Citochromo</w:t>
      </w:r>
      <w:proofErr w:type="spellEnd"/>
      <w:r>
        <w:rPr>
          <w:i/>
          <w:iCs/>
          <w:szCs w:val="22"/>
          <w:lang w:eastAsia="lt-LT"/>
        </w:rPr>
        <w:t xml:space="preserve"> P450 </w:t>
      </w:r>
      <w:proofErr w:type="spellStart"/>
      <w:r>
        <w:rPr>
          <w:i/>
          <w:iCs/>
          <w:szCs w:val="22"/>
          <w:lang w:eastAsia="lt-LT"/>
        </w:rPr>
        <w:t>induktoriai</w:t>
      </w:r>
      <w:proofErr w:type="spellEnd"/>
    </w:p>
    <w:p w14:paraId="0A5DD625"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Sveikiems tiriamiesiems po 10 dienų 600 mg </w:t>
      </w:r>
      <w:proofErr w:type="spellStart"/>
      <w:r>
        <w:rPr>
          <w:rFonts w:eastAsia="TimesNewRoman"/>
          <w:szCs w:val="22"/>
          <w:lang w:eastAsia="lt-LT"/>
        </w:rPr>
        <w:t>rifampicino</w:t>
      </w:r>
      <w:proofErr w:type="spellEnd"/>
      <w:r>
        <w:rPr>
          <w:rFonts w:eastAsia="TimesNewRoman"/>
          <w:szCs w:val="22"/>
          <w:lang w:eastAsia="lt-LT"/>
        </w:rPr>
        <w:t xml:space="preserve"> (keleto CYP </w:t>
      </w:r>
      <w:proofErr w:type="spellStart"/>
      <w:r>
        <w:rPr>
          <w:rFonts w:eastAsia="TimesNewRoman"/>
          <w:szCs w:val="22"/>
          <w:lang w:eastAsia="lt-LT"/>
        </w:rPr>
        <w:t>izofermentų</w:t>
      </w:r>
      <w:proofErr w:type="spellEnd"/>
      <w:r>
        <w:rPr>
          <w:rFonts w:eastAsia="TimesNewRoman"/>
          <w:szCs w:val="22"/>
          <w:lang w:eastAsia="lt-LT"/>
        </w:rPr>
        <w:t xml:space="preserve"> </w:t>
      </w:r>
      <w:proofErr w:type="spellStart"/>
      <w:r>
        <w:rPr>
          <w:rFonts w:eastAsia="TimesNewRoman"/>
          <w:szCs w:val="22"/>
          <w:lang w:eastAsia="lt-LT"/>
        </w:rPr>
        <w:t>induktoriaus</w:t>
      </w:r>
      <w:proofErr w:type="spellEnd"/>
      <w:r>
        <w:rPr>
          <w:rFonts w:eastAsia="TimesNewRoman"/>
          <w:szCs w:val="22"/>
          <w:lang w:eastAsia="lt-LT"/>
        </w:rPr>
        <w:t xml:space="preserve">) dozės per parą vartojimo pavartojus vienkartinę 20 mg </w:t>
      </w:r>
      <w:proofErr w:type="spellStart"/>
      <w:r>
        <w:rPr>
          <w:rFonts w:eastAsia="TimesNewRoman"/>
          <w:szCs w:val="22"/>
          <w:lang w:eastAsia="lt-LT"/>
        </w:rPr>
        <w:t>vortioksetino</w:t>
      </w:r>
      <w:proofErr w:type="spellEnd"/>
      <w:r>
        <w:rPr>
          <w:rFonts w:eastAsia="TimesNewRoman"/>
          <w:szCs w:val="22"/>
          <w:lang w:eastAsia="lt-LT"/>
        </w:rPr>
        <w:t xml:space="preserve"> dozę, buvo pastebėtas </w:t>
      </w:r>
      <w:proofErr w:type="spellStart"/>
      <w:r>
        <w:rPr>
          <w:rFonts w:eastAsia="TimesNewRoman"/>
          <w:szCs w:val="22"/>
          <w:lang w:eastAsia="lt-LT"/>
        </w:rPr>
        <w:t>vortioksetino</w:t>
      </w:r>
      <w:proofErr w:type="spellEnd"/>
      <w:r>
        <w:rPr>
          <w:rFonts w:eastAsia="TimesNewRoman"/>
          <w:szCs w:val="22"/>
          <w:lang w:eastAsia="lt-LT"/>
        </w:rPr>
        <w:t xml:space="preserve"> AUC sumažėjimas 72 %. Atsižvelgiant į individualų paciento organizmo atsaką, gali prireikti svarstyti vaistinio preparato dozės keitimą, jeigu gydant </w:t>
      </w:r>
      <w:proofErr w:type="spellStart"/>
      <w:r>
        <w:rPr>
          <w:rFonts w:eastAsia="TimesNewRoman"/>
          <w:szCs w:val="22"/>
          <w:lang w:eastAsia="lt-LT"/>
        </w:rPr>
        <w:t>vortioksetinu</w:t>
      </w:r>
      <w:proofErr w:type="spellEnd"/>
      <w:r>
        <w:rPr>
          <w:rFonts w:eastAsia="TimesNewRoman"/>
          <w:szCs w:val="22"/>
          <w:lang w:eastAsia="lt-LT"/>
        </w:rPr>
        <w:t xml:space="preserve">, skiriama papildomai keleto </w:t>
      </w:r>
      <w:proofErr w:type="spellStart"/>
      <w:r>
        <w:rPr>
          <w:rFonts w:eastAsia="TimesNewRoman"/>
          <w:szCs w:val="22"/>
          <w:lang w:eastAsia="lt-LT"/>
        </w:rPr>
        <w:t>citochromo</w:t>
      </w:r>
      <w:proofErr w:type="spellEnd"/>
      <w:r>
        <w:rPr>
          <w:rFonts w:eastAsia="TimesNewRoman"/>
          <w:szCs w:val="22"/>
          <w:lang w:eastAsia="lt-LT"/>
        </w:rPr>
        <w:t xml:space="preserve"> P450 </w:t>
      </w:r>
      <w:proofErr w:type="spellStart"/>
      <w:r>
        <w:rPr>
          <w:rFonts w:eastAsia="TimesNewRoman"/>
          <w:szCs w:val="22"/>
          <w:lang w:eastAsia="lt-LT"/>
        </w:rPr>
        <w:t>izofermentų</w:t>
      </w:r>
      <w:proofErr w:type="spellEnd"/>
      <w:r>
        <w:rPr>
          <w:rFonts w:eastAsia="TimesNewRoman"/>
          <w:szCs w:val="22"/>
          <w:lang w:eastAsia="lt-LT"/>
        </w:rPr>
        <w:t xml:space="preserve"> </w:t>
      </w:r>
      <w:proofErr w:type="spellStart"/>
      <w:r>
        <w:rPr>
          <w:rFonts w:eastAsia="TimesNewRoman"/>
          <w:szCs w:val="22"/>
          <w:lang w:eastAsia="lt-LT"/>
        </w:rPr>
        <w:t>induktorių</w:t>
      </w:r>
      <w:proofErr w:type="spellEnd"/>
      <w:r>
        <w:rPr>
          <w:rFonts w:eastAsia="TimesNewRoman"/>
          <w:szCs w:val="22"/>
          <w:lang w:eastAsia="lt-LT"/>
        </w:rPr>
        <w:t xml:space="preserve"> (pvz.: </w:t>
      </w:r>
      <w:proofErr w:type="spellStart"/>
      <w:r>
        <w:rPr>
          <w:rFonts w:eastAsia="TimesNewRoman"/>
          <w:szCs w:val="22"/>
          <w:lang w:eastAsia="lt-LT"/>
        </w:rPr>
        <w:t>rifampicino</w:t>
      </w:r>
      <w:proofErr w:type="spellEnd"/>
      <w:r>
        <w:rPr>
          <w:rFonts w:eastAsia="TimesNewRoman"/>
          <w:szCs w:val="22"/>
          <w:lang w:eastAsia="lt-LT"/>
        </w:rPr>
        <w:t xml:space="preserve">, </w:t>
      </w:r>
      <w:proofErr w:type="spellStart"/>
      <w:r>
        <w:rPr>
          <w:rFonts w:eastAsia="TimesNewRoman"/>
          <w:szCs w:val="22"/>
          <w:lang w:eastAsia="lt-LT"/>
        </w:rPr>
        <w:t>karbamazepino</w:t>
      </w:r>
      <w:proofErr w:type="spellEnd"/>
      <w:r>
        <w:rPr>
          <w:rFonts w:eastAsia="TimesNewRoman"/>
          <w:szCs w:val="22"/>
          <w:lang w:eastAsia="lt-LT"/>
        </w:rPr>
        <w:t xml:space="preserve">, </w:t>
      </w:r>
      <w:proofErr w:type="spellStart"/>
      <w:r>
        <w:rPr>
          <w:rFonts w:eastAsia="TimesNewRoman"/>
          <w:szCs w:val="22"/>
          <w:lang w:eastAsia="lt-LT"/>
        </w:rPr>
        <w:t>fenitoino</w:t>
      </w:r>
      <w:proofErr w:type="spellEnd"/>
      <w:r>
        <w:rPr>
          <w:rFonts w:eastAsia="TimesNewRoman"/>
          <w:szCs w:val="22"/>
          <w:lang w:eastAsia="lt-LT"/>
        </w:rPr>
        <w:t>) (žr. 4.2 skyrių).</w:t>
      </w:r>
    </w:p>
    <w:p w14:paraId="4CECF0C7" w14:textId="77777777" w:rsidR="00BC7B13" w:rsidRDefault="00BC7B13">
      <w:pPr>
        <w:autoSpaceDE w:val="0"/>
        <w:autoSpaceDN w:val="0"/>
        <w:adjustRightInd w:val="0"/>
        <w:rPr>
          <w:i/>
          <w:iCs/>
          <w:szCs w:val="22"/>
          <w:lang w:eastAsia="lt-LT"/>
        </w:rPr>
      </w:pPr>
    </w:p>
    <w:p w14:paraId="38DDE9FF" w14:textId="77777777" w:rsidR="00BC7B13" w:rsidRDefault="004E7EF9">
      <w:pPr>
        <w:autoSpaceDE w:val="0"/>
        <w:autoSpaceDN w:val="0"/>
        <w:adjustRightInd w:val="0"/>
        <w:rPr>
          <w:i/>
          <w:iCs/>
          <w:szCs w:val="22"/>
          <w:lang w:eastAsia="lt-LT"/>
        </w:rPr>
      </w:pPr>
      <w:r>
        <w:rPr>
          <w:i/>
          <w:iCs/>
          <w:szCs w:val="22"/>
          <w:lang w:eastAsia="lt-LT"/>
        </w:rPr>
        <w:t>Alkoholis</w:t>
      </w:r>
    </w:p>
    <w:p w14:paraId="34669E1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Sveikiems tiriamiesiems pavartojus vienkartinę 20 mg ar 40 mg </w:t>
      </w:r>
      <w:proofErr w:type="spellStart"/>
      <w:r>
        <w:rPr>
          <w:rFonts w:eastAsia="TimesNewRoman"/>
          <w:szCs w:val="22"/>
          <w:lang w:eastAsia="lt-LT"/>
        </w:rPr>
        <w:t>vortioksetino</w:t>
      </w:r>
      <w:proofErr w:type="spellEnd"/>
      <w:r>
        <w:rPr>
          <w:rFonts w:eastAsia="TimesNewRoman"/>
          <w:szCs w:val="22"/>
          <w:lang w:eastAsia="lt-LT"/>
        </w:rPr>
        <w:t xml:space="preserve"> dozę kartu su vienkartine etanolio (0,6 g/kg kūno svorio) doze, poveikio </w:t>
      </w:r>
      <w:proofErr w:type="spellStart"/>
      <w:r>
        <w:rPr>
          <w:rFonts w:eastAsia="TimesNewRoman"/>
          <w:szCs w:val="22"/>
          <w:lang w:eastAsia="lt-LT"/>
        </w:rPr>
        <w:t>vortioksetino</w:t>
      </w:r>
      <w:proofErr w:type="spellEnd"/>
      <w:r>
        <w:rPr>
          <w:rFonts w:eastAsia="TimesNewRoman"/>
          <w:szCs w:val="22"/>
          <w:lang w:eastAsia="lt-LT"/>
        </w:rPr>
        <w:t xml:space="preserve"> ar etanolio farmakokinetikai bei reikšmingo kognityvinės funkcijos pablogėjimo (palyginti su placebo poveikiu) nepastebėta. Vis dėlto alkoholio vartoti gydymo antidepresantais metu nerekomenduojama.</w:t>
      </w:r>
    </w:p>
    <w:p w14:paraId="5FCC0357" w14:textId="77777777" w:rsidR="00BC7B13" w:rsidRDefault="00BC7B13">
      <w:pPr>
        <w:autoSpaceDE w:val="0"/>
        <w:autoSpaceDN w:val="0"/>
        <w:adjustRightInd w:val="0"/>
        <w:rPr>
          <w:i/>
          <w:iCs/>
          <w:szCs w:val="22"/>
          <w:lang w:eastAsia="lt-LT"/>
        </w:rPr>
      </w:pPr>
    </w:p>
    <w:p w14:paraId="30A90DC7" w14:textId="77777777" w:rsidR="00BC7B13" w:rsidRDefault="004E7EF9">
      <w:pPr>
        <w:autoSpaceDE w:val="0"/>
        <w:autoSpaceDN w:val="0"/>
        <w:adjustRightInd w:val="0"/>
        <w:rPr>
          <w:i/>
          <w:iCs/>
          <w:szCs w:val="22"/>
          <w:lang w:eastAsia="lt-LT"/>
        </w:rPr>
      </w:pPr>
      <w:proofErr w:type="spellStart"/>
      <w:r>
        <w:rPr>
          <w:i/>
          <w:iCs/>
          <w:szCs w:val="22"/>
          <w:lang w:eastAsia="lt-LT"/>
        </w:rPr>
        <w:t>Acetilsalicilo</w:t>
      </w:r>
      <w:proofErr w:type="spellEnd"/>
      <w:r>
        <w:rPr>
          <w:i/>
          <w:iCs/>
          <w:szCs w:val="22"/>
          <w:lang w:eastAsia="lt-LT"/>
        </w:rPr>
        <w:t xml:space="preserve"> rūgštis</w:t>
      </w:r>
    </w:p>
    <w:p w14:paraId="608257B8"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Kartotinės 15 mg </w:t>
      </w:r>
      <w:proofErr w:type="spellStart"/>
      <w:r>
        <w:rPr>
          <w:rFonts w:eastAsia="TimesNewRoman"/>
          <w:szCs w:val="22"/>
          <w:lang w:eastAsia="lt-LT"/>
        </w:rPr>
        <w:t>acetilsalicilo</w:t>
      </w:r>
      <w:proofErr w:type="spellEnd"/>
      <w:r>
        <w:rPr>
          <w:rFonts w:eastAsia="TimesNewRoman"/>
          <w:szCs w:val="22"/>
          <w:lang w:eastAsia="lt-LT"/>
        </w:rPr>
        <w:t xml:space="preserve"> rūgšties dozės per parą neveikė kartotinių </w:t>
      </w:r>
      <w:proofErr w:type="spellStart"/>
      <w:r>
        <w:rPr>
          <w:rFonts w:eastAsia="TimesNewRoman"/>
          <w:szCs w:val="22"/>
          <w:lang w:eastAsia="lt-LT"/>
        </w:rPr>
        <w:t>vortioksetino</w:t>
      </w:r>
      <w:proofErr w:type="spellEnd"/>
      <w:r>
        <w:rPr>
          <w:rFonts w:eastAsia="TimesNewRoman"/>
          <w:szCs w:val="22"/>
          <w:lang w:eastAsia="lt-LT"/>
        </w:rPr>
        <w:t xml:space="preserve"> dozių farmakokinetikos sveikų tiriamųjų organizme.</w:t>
      </w:r>
    </w:p>
    <w:p w14:paraId="036C122D" w14:textId="77777777" w:rsidR="00BC7B13" w:rsidRDefault="00BC7B13">
      <w:pPr>
        <w:autoSpaceDE w:val="0"/>
        <w:autoSpaceDN w:val="0"/>
        <w:adjustRightInd w:val="0"/>
        <w:rPr>
          <w:rFonts w:eastAsia="TimesNewRoman"/>
          <w:szCs w:val="22"/>
          <w:lang w:eastAsia="lt-LT"/>
        </w:rPr>
      </w:pPr>
    </w:p>
    <w:p w14:paraId="64020423" w14:textId="77777777" w:rsidR="00BC7B13" w:rsidRDefault="004E7EF9">
      <w:pPr>
        <w:autoSpaceDE w:val="0"/>
        <w:autoSpaceDN w:val="0"/>
        <w:adjustRightInd w:val="0"/>
        <w:rPr>
          <w:rFonts w:eastAsia="TimesNewRoman"/>
          <w:szCs w:val="22"/>
          <w:u w:val="single"/>
          <w:lang w:eastAsia="lt-LT"/>
        </w:rPr>
      </w:pPr>
      <w:proofErr w:type="spellStart"/>
      <w:r>
        <w:rPr>
          <w:rFonts w:eastAsia="TimesNewRoman"/>
          <w:szCs w:val="22"/>
          <w:u w:val="single"/>
          <w:lang w:eastAsia="lt-LT"/>
        </w:rPr>
        <w:t>Vortioksetino</w:t>
      </w:r>
      <w:proofErr w:type="spellEnd"/>
      <w:r>
        <w:rPr>
          <w:rFonts w:eastAsia="TimesNewRoman"/>
          <w:szCs w:val="22"/>
          <w:u w:val="single"/>
          <w:lang w:eastAsia="lt-LT"/>
        </w:rPr>
        <w:t xml:space="preserve"> poveikio kitiems vaistiniams preparatams galimybės</w:t>
      </w:r>
    </w:p>
    <w:p w14:paraId="3C65B0F8" w14:textId="77777777" w:rsidR="00BC7B13" w:rsidRDefault="00BC7B13">
      <w:pPr>
        <w:autoSpaceDE w:val="0"/>
        <w:autoSpaceDN w:val="0"/>
        <w:adjustRightInd w:val="0"/>
        <w:rPr>
          <w:i/>
          <w:iCs/>
          <w:szCs w:val="22"/>
          <w:lang w:eastAsia="lt-LT"/>
        </w:rPr>
      </w:pPr>
    </w:p>
    <w:p w14:paraId="2442F668" w14:textId="77777777" w:rsidR="00BC7B13" w:rsidRDefault="004E7EF9">
      <w:pPr>
        <w:autoSpaceDE w:val="0"/>
        <w:autoSpaceDN w:val="0"/>
        <w:adjustRightInd w:val="0"/>
        <w:rPr>
          <w:i/>
          <w:iCs/>
          <w:szCs w:val="22"/>
          <w:lang w:eastAsia="lt-LT"/>
        </w:rPr>
      </w:pPr>
      <w:r>
        <w:rPr>
          <w:i/>
          <w:iCs/>
          <w:szCs w:val="22"/>
          <w:lang w:eastAsia="lt-LT"/>
        </w:rPr>
        <w:t xml:space="preserve">Antikoaguliantai ir </w:t>
      </w:r>
      <w:proofErr w:type="spellStart"/>
      <w:r>
        <w:rPr>
          <w:i/>
          <w:iCs/>
          <w:szCs w:val="22"/>
          <w:lang w:eastAsia="lt-LT"/>
        </w:rPr>
        <w:t>antitrombocitiniai</w:t>
      </w:r>
      <w:proofErr w:type="spellEnd"/>
      <w:r>
        <w:rPr>
          <w:i/>
          <w:iCs/>
          <w:szCs w:val="22"/>
          <w:lang w:eastAsia="lt-LT"/>
        </w:rPr>
        <w:t xml:space="preserve"> vaistiniai preparatai</w:t>
      </w:r>
    </w:p>
    <w:p w14:paraId="37F3C53B"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Nepastebėta reikšmingo poveikio, palyginti su placebu, sveikų tiriamųjų tarptautinio normalizuotojo santykio (TNS), </w:t>
      </w:r>
      <w:proofErr w:type="spellStart"/>
      <w:r>
        <w:rPr>
          <w:rFonts w:eastAsia="TimesNewRoman"/>
          <w:szCs w:val="22"/>
          <w:lang w:eastAsia="lt-LT"/>
        </w:rPr>
        <w:t>protrombino</w:t>
      </w:r>
      <w:proofErr w:type="spellEnd"/>
      <w:r>
        <w:rPr>
          <w:rFonts w:eastAsia="TimesNewRoman"/>
          <w:szCs w:val="22"/>
          <w:lang w:eastAsia="lt-LT"/>
        </w:rPr>
        <w:t xml:space="preserve"> ar R–/S–varfarino koncentracijų plazmoje rodmenims po kartotinių </w:t>
      </w:r>
      <w:proofErr w:type="spellStart"/>
      <w:r>
        <w:rPr>
          <w:rFonts w:eastAsia="TimesNewRoman"/>
          <w:szCs w:val="22"/>
          <w:lang w:eastAsia="lt-LT"/>
        </w:rPr>
        <w:t>vortioksetino</w:t>
      </w:r>
      <w:proofErr w:type="spellEnd"/>
      <w:r>
        <w:rPr>
          <w:rFonts w:eastAsia="TimesNewRoman"/>
          <w:szCs w:val="22"/>
          <w:lang w:eastAsia="lt-LT"/>
        </w:rPr>
        <w:t xml:space="preserve"> dozių vartojimo kartu su pastoviomis varfarino dozėmis. Be to, sveikiems tiriamiesiems po kartotinių </w:t>
      </w:r>
      <w:proofErr w:type="spellStart"/>
      <w:r>
        <w:rPr>
          <w:rFonts w:eastAsia="TimesNewRoman"/>
          <w:szCs w:val="22"/>
          <w:lang w:eastAsia="lt-LT"/>
        </w:rPr>
        <w:t>vortioksetino</w:t>
      </w:r>
      <w:proofErr w:type="spellEnd"/>
      <w:r>
        <w:rPr>
          <w:rFonts w:eastAsia="TimesNewRoman"/>
          <w:szCs w:val="22"/>
          <w:lang w:eastAsia="lt-LT"/>
        </w:rPr>
        <w:t xml:space="preserve"> dozių vartojimo pavartojus 150 mg </w:t>
      </w:r>
      <w:proofErr w:type="spellStart"/>
      <w:r>
        <w:rPr>
          <w:rFonts w:eastAsia="TimesNewRoman"/>
          <w:szCs w:val="22"/>
          <w:lang w:eastAsia="lt-LT"/>
        </w:rPr>
        <w:t>acetilsalicilo</w:t>
      </w:r>
      <w:proofErr w:type="spellEnd"/>
      <w:r>
        <w:rPr>
          <w:rFonts w:eastAsia="TimesNewRoman"/>
          <w:szCs w:val="22"/>
          <w:lang w:eastAsia="lt-LT"/>
        </w:rPr>
        <w:t xml:space="preserve"> rūgšties dozę per parą, nepastebėta reikšmingo slopinamojo poveikio trombocitų </w:t>
      </w:r>
      <w:proofErr w:type="spellStart"/>
      <w:r>
        <w:rPr>
          <w:rFonts w:eastAsia="TimesNewRoman"/>
          <w:szCs w:val="22"/>
          <w:lang w:eastAsia="lt-LT"/>
        </w:rPr>
        <w:t>agregacijai</w:t>
      </w:r>
      <w:proofErr w:type="spellEnd"/>
      <w:r>
        <w:rPr>
          <w:rFonts w:eastAsia="TimesNewRoman"/>
          <w:szCs w:val="22"/>
          <w:lang w:eastAsia="lt-LT"/>
        </w:rPr>
        <w:t xml:space="preserve"> ar </w:t>
      </w:r>
      <w:proofErr w:type="spellStart"/>
      <w:r>
        <w:rPr>
          <w:rFonts w:eastAsia="TimesNewRoman"/>
          <w:szCs w:val="22"/>
          <w:lang w:eastAsia="lt-LT"/>
        </w:rPr>
        <w:t>acetilsalicilo</w:t>
      </w:r>
      <w:proofErr w:type="spellEnd"/>
      <w:r>
        <w:rPr>
          <w:rFonts w:eastAsia="TimesNewRoman"/>
          <w:szCs w:val="22"/>
          <w:lang w:eastAsia="lt-LT"/>
        </w:rPr>
        <w:t xml:space="preserve"> rūgšties arba salicilo rūgšties farmakokinetikai. Vis dėlto </w:t>
      </w:r>
      <w:proofErr w:type="spellStart"/>
      <w:r>
        <w:rPr>
          <w:rFonts w:eastAsia="TimesNewRoman"/>
          <w:szCs w:val="22"/>
          <w:lang w:eastAsia="lt-LT"/>
        </w:rPr>
        <w:t>vortioksetino</w:t>
      </w:r>
      <w:proofErr w:type="spellEnd"/>
      <w:r>
        <w:rPr>
          <w:rFonts w:eastAsia="TimesNewRoman"/>
          <w:szCs w:val="22"/>
          <w:lang w:eastAsia="lt-LT"/>
        </w:rPr>
        <w:t xml:space="preserve"> skiriant vartoti kartu su geriamaisiais antikoaguliantais ir </w:t>
      </w:r>
      <w:proofErr w:type="spellStart"/>
      <w:r>
        <w:rPr>
          <w:rFonts w:eastAsia="TimesNewRoman"/>
          <w:szCs w:val="22"/>
          <w:lang w:eastAsia="lt-LT"/>
        </w:rPr>
        <w:t>antitrombocitiniais</w:t>
      </w:r>
      <w:proofErr w:type="spellEnd"/>
      <w:r>
        <w:rPr>
          <w:rFonts w:eastAsia="TimesNewRoman"/>
          <w:szCs w:val="22"/>
          <w:lang w:eastAsia="lt-LT"/>
        </w:rPr>
        <w:t xml:space="preserve"> vaistiniais preparatais ar vaistiniais preparatais nuo skausmo (pvz., </w:t>
      </w:r>
      <w:proofErr w:type="spellStart"/>
      <w:r>
        <w:rPr>
          <w:rFonts w:eastAsia="TimesNewRoman"/>
          <w:szCs w:val="22"/>
          <w:lang w:eastAsia="lt-LT"/>
        </w:rPr>
        <w:t>acetilsalicilo</w:t>
      </w:r>
      <w:proofErr w:type="spellEnd"/>
      <w:r>
        <w:rPr>
          <w:rFonts w:eastAsia="TimesNewRoman"/>
          <w:szCs w:val="22"/>
          <w:lang w:eastAsia="lt-LT"/>
        </w:rPr>
        <w:t xml:space="preserve"> rūgštimi [ASR] ar NVPNU), dėl galimo kraujavimo rizikos padidėjimo, susijusio su </w:t>
      </w:r>
      <w:proofErr w:type="spellStart"/>
      <w:r>
        <w:rPr>
          <w:rFonts w:eastAsia="TimesNewRoman"/>
          <w:szCs w:val="22"/>
          <w:lang w:eastAsia="lt-LT"/>
        </w:rPr>
        <w:t>farmakodinamine</w:t>
      </w:r>
      <w:proofErr w:type="spellEnd"/>
      <w:r>
        <w:rPr>
          <w:rFonts w:eastAsia="TimesNewRoman"/>
          <w:szCs w:val="22"/>
          <w:lang w:eastAsia="lt-LT"/>
        </w:rPr>
        <w:t xml:space="preserve"> sąveika, reikia imtis atsargumo priemonių (žr. 4.4 skyrių).</w:t>
      </w:r>
    </w:p>
    <w:p w14:paraId="1DE22CEC" w14:textId="77777777" w:rsidR="00BC7B13" w:rsidRDefault="00BC7B13">
      <w:pPr>
        <w:autoSpaceDE w:val="0"/>
        <w:autoSpaceDN w:val="0"/>
        <w:adjustRightInd w:val="0"/>
        <w:rPr>
          <w:rFonts w:eastAsia="TimesNewRoman"/>
          <w:i/>
          <w:iCs/>
          <w:szCs w:val="22"/>
          <w:lang w:eastAsia="lt-LT"/>
        </w:rPr>
      </w:pPr>
    </w:p>
    <w:p w14:paraId="08E20DF7" w14:textId="77777777" w:rsidR="00BC7B13" w:rsidRDefault="004E7EF9">
      <w:pPr>
        <w:autoSpaceDE w:val="0"/>
        <w:autoSpaceDN w:val="0"/>
        <w:adjustRightInd w:val="0"/>
        <w:rPr>
          <w:rFonts w:eastAsia="TimesNewRoman"/>
          <w:i/>
          <w:iCs/>
          <w:szCs w:val="22"/>
          <w:lang w:eastAsia="lt-LT"/>
        </w:rPr>
      </w:pPr>
      <w:proofErr w:type="spellStart"/>
      <w:r>
        <w:rPr>
          <w:rFonts w:eastAsia="TimesNewRoman"/>
          <w:i/>
          <w:iCs/>
          <w:szCs w:val="22"/>
          <w:lang w:eastAsia="lt-LT"/>
        </w:rPr>
        <w:t>Citochromo</w:t>
      </w:r>
      <w:proofErr w:type="spellEnd"/>
      <w:r>
        <w:rPr>
          <w:rFonts w:eastAsia="TimesNewRoman"/>
          <w:i/>
          <w:iCs/>
          <w:szCs w:val="22"/>
          <w:lang w:eastAsia="lt-LT"/>
        </w:rPr>
        <w:t xml:space="preserve"> P450 substratai</w:t>
      </w:r>
    </w:p>
    <w:p w14:paraId="633E60FE"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Tyrimo </w:t>
      </w:r>
      <w:proofErr w:type="spellStart"/>
      <w:r>
        <w:rPr>
          <w:rFonts w:eastAsia="TimesNewRoman"/>
          <w:i/>
          <w:iCs/>
          <w:szCs w:val="22"/>
          <w:lang w:eastAsia="lt-LT"/>
        </w:rPr>
        <w:t>in</w:t>
      </w:r>
      <w:proofErr w:type="spellEnd"/>
      <w:r>
        <w:rPr>
          <w:rFonts w:eastAsia="TimesNewRoman"/>
          <w:i/>
          <w:iCs/>
          <w:szCs w:val="22"/>
          <w:lang w:eastAsia="lt-LT"/>
        </w:rPr>
        <w:t xml:space="preserve"> </w:t>
      </w:r>
      <w:proofErr w:type="spellStart"/>
      <w:r>
        <w:rPr>
          <w:rFonts w:eastAsia="TimesNewRoman"/>
          <w:i/>
          <w:iCs/>
          <w:szCs w:val="22"/>
          <w:lang w:eastAsia="lt-LT"/>
        </w:rPr>
        <w:t>vitro</w:t>
      </w:r>
      <w:proofErr w:type="spellEnd"/>
      <w:r>
        <w:rPr>
          <w:rFonts w:eastAsia="TimesNewRoman"/>
          <w:i/>
          <w:iCs/>
          <w:szCs w:val="22"/>
          <w:lang w:eastAsia="lt-LT"/>
        </w:rPr>
        <w:t xml:space="preserve"> </w:t>
      </w:r>
      <w:r>
        <w:rPr>
          <w:rFonts w:eastAsia="TimesNewRoman"/>
          <w:szCs w:val="22"/>
          <w:lang w:eastAsia="lt-LT"/>
        </w:rPr>
        <w:t xml:space="preserve">duomenimis, </w:t>
      </w:r>
      <w:proofErr w:type="spellStart"/>
      <w:r>
        <w:rPr>
          <w:rFonts w:eastAsia="TimesNewRoman"/>
          <w:szCs w:val="22"/>
          <w:lang w:eastAsia="lt-LT"/>
        </w:rPr>
        <w:t>vortioksetinas</w:t>
      </w:r>
      <w:proofErr w:type="spellEnd"/>
      <w:r>
        <w:rPr>
          <w:rFonts w:eastAsia="TimesNewRoman"/>
          <w:szCs w:val="22"/>
          <w:lang w:eastAsia="lt-LT"/>
        </w:rPr>
        <w:t xml:space="preserve"> neparodė jokių požymių, kad galėtų slopinti ar sužadinti </w:t>
      </w:r>
      <w:proofErr w:type="spellStart"/>
      <w:r>
        <w:rPr>
          <w:rFonts w:eastAsia="TimesNewRoman"/>
          <w:szCs w:val="22"/>
          <w:lang w:eastAsia="lt-LT"/>
        </w:rPr>
        <w:t>citochromo</w:t>
      </w:r>
      <w:proofErr w:type="spellEnd"/>
      <w:r>
        <w:rPr>
          <w:rFonts w:eastAsia="TimesNewRoman"/>
          <w:szCs w:val="22"/>
          <w:lang w:eastAsia="lt-LT"/>
        </w:rPr>
        <w:t xml:space="preserve"> P450 </w:t>
      </w:r>
      <w:proofErr w:type="spellStart"/>
      <w:r>
        <w:rPr>
          <w:rFonts w:eastAsia="TimesNewRoman"/>
          <w:szCs w:val="22"/>
          <w:lang w:eastAsia="lt-LT"/>
        </w:rPr>
        <w:t>izofermentus</w:t>
      </w:r>
      <w:proofErr w:type="spellEnd"/>
      <w:r>
        <w:rPr>
          <w:rFonts w:eastAsia="TimesNewRoman"/>
          <w:szCs w:val="22"/>
          <w:lang w:eastAsia="lt-LT"/>
        </w:rPr>
        <w:t xml:space="preserve"> (žr. 5.2 skyrių).</w:t>
      </w:r>
    </w:p>
    <w:p w14:paraId="6B1BED2D" w14:textId="77777777" w:rsidR="00BC7B13" w:rsidRDefault="00BC7B13">
      <w:pPr>
        <w:autoSpaceDE w:val="0"/>
        <w:autoSpaceDN w:val="0"/>
        <w:adjustRightInd w:val="0"/>
        <w:rPr>
          <w:rFonts w:eastAsia="TimesNewRoman"/>
          <w:szCs w:val="22"/>
          <w:lang w:eastAsia="lt-LT"/>
        </w:rPr>
      </w:pPr>
    </w:p>
    <w:p w14:paraId="2966CFAF"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Kartotinių </w:t>
      </w:r>
      <w:proofErr w:type="spellStart"/>
      <w:r>
        <w:rPr>
          <w:rFonts w:eastAsia="TimesNewRoman"/>
          <w:szCs w:val="22"/>
          <w:lang w:eastAsia="lt-LT"/>
        </w:rPr>
        <w:t>vortioksetino</w:t>
      </w:r>
      <w:proofErr w:type="spellEnd"/>
      <w:r>
        <w:rPr>
          <w:rFonts w:eastAsia="TimesNewRoman"/>
          <w:szCs w:val="22"/>
          <w:lang w:eastAsia="lt-LT"/>
        </w:rPr>
        <w:t xml:space="preserve"> dozių slopinamojo poveikio </w:t>
      </w:r>
      <w:proofErr w:type="spellStart"/>
      <w:r>
        <w:rPr>
          <w:rFonts w:eastAsia="TimesNewRoman"/>
          <w:szCs w:val="22"/>
          <w:lang w:eastAsia="lt-LT"/>
        </w:rPr>
        <w:t>citochromo</w:t>
      </w:r>
      <w:proofErr w:type="spellEnd"/>
      <w:r>
        <w:rPr>
          <w:rFonts w:eastAsia="TimesNewRoman"/>
          <w:szCs w:val="22"/>
          <w:lang w:eastAsia="lt-LT"/>
        </w:rPr>
        <w:t xml:space="preserve"> P450 CYP2C19 (</w:t>
      </w:r>
      <w:proofErr w:type="spellStart"/>
      <w:r>
        <w:rPr>
          <w:rFonts w:eastAsia="TimesNewRoman"/>
          <w:szCs w:val="22"/>
          <w:lang w:eastAsia="lt-LT"/>
        </w:rPr>
        <w:t>omeprazolas</w:t>
      </w:r>
      <w:proofErr w:type="spellEnd"/>
      <w:r>
        <w:rPr>
          <w:rFonts w:eastAsia="TimesNewRoman"/>
          <w:szCs w:val="22"/>
          <w:lang w:eastAsia="lt-LT"/>
        </w:rPr>
        <w:t xml:space="preserve">, </w:t>
      </w:r>
      <w:proofErr w:type="spellStart"/>
      <w:r>
        <w:rPr>
          <w:rFonts w:eastAsia="TimesNewRoman"/>
          <w:szCs w:val="22"/>
          <w:lang w:eastAsia="lt-LT"/>
        </w:rPr>
        <w:t>diazepamas</w:t>
      </w:r>
      <w:proofErr w:type="spellEnd"/>
      <w:r>
        <w:rPr>
          <w:rFonts w:eastAsia="TimesNewRoman"/>
          <w:szCs w:val="22"/>
          <w:lang w:eastAsia="lt-LT"/>
        </w:rPr>
        <w:t>), CYP3A4/5 (</w:t>
      </w:r>
      <w:proofErr w:type="spellStart"/>
      <w:r>
        <w:rPr>
          <w:rFonts w:eastAsia="TimesNewRoman"/>
          <w:szCs w:val="22"/>
          <w:lang w:eastAsia="lt-LT"/>
        </w:rPr>
        <w:t>etinilestradiolis</w:t>
      </w:r>
      <w:proofErr w:type="spellEnd"/>
      <w:r>
        <w:rPr>
          <w:rFonts w:eastAsia="TimesNewRoman"/>
          <w:szCs w:val="22"/>
          <w:lang w:eastAsia="lt-LT"/>
        </w:rPr>
        <w:t xml:space="preserve">, </w:t>
      </w:r>
      <w:proofErr w:type="spellStart"/>
      <w:r>
        <w:rPr>
          <w:rFonts w:eastAsia="TimesNewRoman"/>
          <w:szCs w:val="22"/>
          <w:lang w:eastAsia="lt-LT"/>
        </w:rPr>
        <w:t>midazolamas</w:t>
      </w:r>
      <w:proofErr w:type="spellEnd"/>
      <w:r>
        <w:rPr>
          <w:rFonts w:eastAsia="TimesNewRoman"/>
          <w:szCs w:val="22"/>
          <w:lang w:eastAsia="lt-LT"/>
        </w:rPr>
        <w:t>), CYP2B6 (</w:t>
      </w:r>
      <w:proofErr w:type="spellStart"/>
      <w:r>
        <w:rPr>
          <w:rFonts w:eastAsia="TimesNewRoman"/>
          <w:szCs w:val="22"/>
          <w:lang w:eastAsia="lt-LT"/>
        </w:rPr>
        <w:t>bupropionas</w:t>
      </w:r>
      <w:proofErr w:type="spellEnd"/>
      <w:r>
        <w:rPr>
          <w:rFonts w:eastAsia="TimesNewRoman"/>
          <w:szCs w:val="22"/>
          <w:lang w:eastAsia="lt-LT"/>
        </w:rPr>
        <w:t>) CYP2C9 (</w:t>
      </w:r>
      <w:proofErr w:type="spellStart"/>
      <w:r>
        <w:rPr>
          <w:rFonts w:eastAsia="TimesNewRoman"/>
          <w:szCs w:val="22"/>
          <w:lang w:eastAsia="lt-LT"/>
        </w:rPr>
        <w:t>tolbutamidas</w:t>
      </w:r>
      <w:proofErr w:type="spellEnd"/>
      <w:r>
        <w:rPr>
          <w:rFonts w:eastAsia="TimesNewRoman"/>
          <w:szCs w:val="22"/>
          <w:lang w:eastAsia="lt-LT"/>
        </w:rPr>
        <w:t>, S-varfarinas), CYP1A2 (kofeinas) ar CYP2D6 (</w:t>
      </w:r>
      <w:proofErr w:type="spellStart"/>
      <w:r>
        <w:rPr>
          <w:rFonts w:eastAsia="TimesNewRoman"/>
          <w:szCs w:val="22"/>
          <w:lang w:eastAsia="lt-LT"/>
        </w:rPr>
        <w:t>dekstrometorfanas</w:t>
      </w:r>
      <w:proofErr w:type="spellEnd"/>
      <w:r>
        <w:rPr>
          <w:rFonts w:eastAsia="TimesNewRoman"/>
          <w:szCs w:val="22"/>
          <w:lang w:eastAsia="lt-LT"/>
        </w:rPr>
        <w:t xml:space="preserve">) </w:t>
      </w:r>
      <w:proofErr w:type="spellStart"/>
      <w:r>
        <w:rPr>
          <w:rFonts w:eastAsia="TimesNewRoman"/>
          <w:szCs w:val="22"/>
          <w:lang w:eastAsia="lt-LT"/>
        </w:rPr>
        <w:t>izofermentams</w:t>
      </w:r>
      <w:proofErr w:type="spellEnd"/>
      <w:r>
        <w:rPr>
          <w:rFonts w:eastAsia="TimesNewRoman"/>
          <w:szCs w:val="22"/>
          <w:lang w:eastAsia="lt-LT"/>
        </w:rPr>
        <w:t xml:space="preserve"> nepastebėta.</w:t>
      </w:r>
    </w:p>
    <w:p w14:paraId="683A3B9F" w14:textId="77777777" w:rsidR="00BC7B13" w:rsidRDefault="00BC7B13">
      <w:pPr>
        <w:autoSpaceDE w:val="0"/>
        <w:autoSpaceDN w:val="0"/>
        <w:adjustRightInd w:val="0"/>
        <w:rPr>
          <w:rFonts w:eastAsia="TimesNewRoman"/>
          <w:szCs w:val="22"/>
          <w:lang w:eastAsia="lt-LT"/>
        </w:rPr>
      </w:pPr>
    </w:p>
    <w:p w14:paraId="1D0E34CE"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lastRenderedPageBreak/>
        <w:t>Farmakodinaminės</w:t>
      </w:r>
      <w:proofErr w:type="spellEnd"/>
      <w:r>
        <w:rPr>
          <w:rFonts w:eastAsia="TimesNewRoman"/>
          <w:szCs w:val="22"/>
          <w:lang w:eastAsia="lt-LT"/>
        </w:rPr>
        <w:t xml:space="preserve"> sąveikos nepastebėta. Reikšmingo pažintinių funkcijų sutrikimo po </w:t>
      </w:r>
      <w:proofErr w:type="spellStart"/>
      <w:r>
        <w:rPr>
          <w:rFonts w:eastAsia="TimesNewRoman"/>
          <w:szCs w:val="22"/>
          <w:lang w:eastAsia="lt-LT"/>
        </w:rPr>
        <w:t>vortioksetino</w:t>
      </w:r>
      <w:proofErr w:type="spellEnd"/>
      <w:r>
        <w:rPr>
          <w:rFonts w:eastAsia="TimesNewRoman"/>
          <w:szCs w:val="22"/>
          <w:lang w:eastAsia="lt-LT"/>
        </w:rPr>
        <w:t xml:space="preserve"> ir vienkartinės 10 mg </w:t>
      </w:r>
      <w:proofErr w:type="spellStart"/>
      <w:r>
        <w:rPr>
          <w:rFonts w:eastAsia="TimesNewRoman"/>
          <w:szCs w:val="22"/>
          <w:lang w:eastAsia="lt-LT"/>
        </w:rPr>
        <w:t>diazepamo</w:t>
      </w:r>
      <w:proofErr w:type="spellEnd"/>
      <w:r>
        <w:rPr>
          <w:rFonts w:eastAsia="TimesNewRoman"/>
          <w:szCs w:val="22"/>
          <w:lang w:eastAsia="lt-LT"/>
        </w:rPr>
        <w:t xml:space="preserve"> dozės pavartojimo, palyginti su placebo poveikiu, nepastebėta. Reikšmingo poveikio, palyginti su placebu, lytinių hormonų koncentracijai po </w:t>
      </w:r>
      <w:proofErr w:type="spellStart"/>
      <w:r>
        <w:rPr>
          <w:rFonts w:eastAsia="TimesNewRoman"/>
          <w:szCs w:val="22"/>
          <w:lang w:eastAsia="lt-LT"/>
        </w:rPr>
        <w:t>vortioksetino</w:t>
      </w:r>
      <w:proofErr w:type="spellEnd"/>
      <w:r>
        <w:rPr>
          <w:rFonts w:eastAsia="TimesNewRoman"/>
          <w:szCs w:val="22"/>
          <w:lang w:eastAsia="lt-LT"/>
        </w:rPr>
        <w:t xml:space="preserve"> vartojimo kartu su sudėtiniu geriamuoju kontraceptiku (30 </w:t>
      </w:r>
      <w:proofErr w:type="spellStart"/>
      <w:r>
        <w:rPr>
          <w:rFonts w:eastAsia="TimesNewRoman"/>
          <w:szCs w:val="22"/>
          <w:lang w:eastAsia="lt-LT"/>
        </w:rPr>
        <w:t>μg</w:t>
      </w:r>
      <w:proofErr w:type="spellEnd"/>
      <w:r>
        <w:rPr>
          <w:rFonts w:eastAsia="TimesNewRoman"/>
          <w:szCs w:val="22"/>
          <w:lang w:eastAsia="lt-LT"/>
        </w:rPr>
        <w:t xml:space="preserve"> </w:t>
      </w:r>
      <w:proofErr w:type="spellStart"/>
      <w:r>
        <w:rPr>
          <w:rFonts w:eastAsia="TimesNewRoman"/>
          <w:szCs w:val="22"/>
          <w:lang w:eastAsia="lt-LT"/>
        </w:rPr>
        <w:t>etinilestradiolio</w:t>
      </w:r>
      <w:proofErr w:type="spellEnd"/>
      <w:r>
        <w:rPr>
          <w:rFonts w:eastAsia="TimesNewRoman"/>
          <w:szCs w:val="22"/>
          <w:lang w:eastAsia="lt-LT"/>
        </w:rPr>
        <w:t xml:space="preserve"> / 150 </w:t>
      </w:r>
      <w:proofErr w:type="spellStart"/>
      <w:r>
        <w:rPr>
          <w:rFonts w:eastAsia="TimesNewRoman"/>
          <w:szCs w:val="22"/>
          <w:lang w:eastAsia="lt-LT"/>
        </w:rPr>
        <w:t>μg</w:t>
      </w:r>
      <w:proofErr w:type="spellEnd"/>
      <w:r>
        <w:rPr>
          <w:rFonts w:eastAsia="TimesNewRoman"/>
          <w:szCs w:val="22"/>
          <w:lang w:eastAsia="lt-LT"/>
        </w:rPr>
        <w:t xml:space="preserve"> </w:t>
      </w:r>
      <w:proofErr w:type="spellStart"/>
      <w:r>
        <w:rPr>
          <w:rFonts w:eastAsia="TimesNewRoman"/>
          <w:szCs w:val="22"/>
          <w:lang w:eastAsia="lt-LT"/>
        </w:rPr>
        <w:t>levonorgestrelio</w:t>
      </w:r>
      <w:proofErr w:type="spellEnd"/>
      <w:r>
        <w:rPr>
          <w:rFonts w:eastAsia="TimesNewRoman"/>
          <w:szCs w:val="22"/>
          <w:lang w:eastAsia="lt-LT"/>
        </w:rPr>
        <w:t>), nepastebėta.</w:t>
      </w:r>
    </w:p>
    <w:p w14:paraId="450C87D8" w14:textId="77777777" w:rsidR="00BC7B13" w:rsidRDefault="00BC7B13">
      <w:pPr>
        <w:autoSpaceDE w:val="0"/>
        <w:autoSpaceDN w:val="0"/>
        <w:adjustRightInd w:val="0"/>
        <w:rPr>
          <w:rFonts w:eastAsia="TimesNewRoman"/>
          <w:i/>
          <w:iCs/>
          <w:szCs w:val="22"/>
          <w:lang w:eastAsia="lt-LT"/>
        </w:rPr>
      </w:pPr>
    </w:p>
    <w:p w14:paraId="0CC44E7A"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 xml:space="preserve">Litis, </w:t>
      </w:r>
      <w:proofErr w:type="spellStart"/>
      <w:r>
        <w:rPr>
          <w:rFonts w:eastAsia="TimesNewRoman"/>
          <w:i/>
          <w:iCs/>
          <w:szCs w:val="22"/>
          <w:lang w:eastAsia="lt-LT"/>
        </w:rPr>
        <w:t>triptofanas</w:t>
      </w:r>
      <w:proofErr w:type="spellEnd"/>
    </w:p>
    <w:p w14:paraId="62034C1A"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Kliniškai reikšmingo poveikio sveikų tiriamųjų organizme po kartotinių </w:t>
      </w:r>
      <w:proofErr w:type="spellStart"/>
      <w:r>
        <w:rPr>
          <w:rFonts w:eastAsia="TimesNewRoman"/>
          <w:szCs w:val="22"/>
          <w:lang w:eastAsia="lt-LT"/>
        </w:rPr>
        <w:t>vortioksetino</w:t>
      </w:r>
      <w:proofErr w:type="spellEnd"/>
      <w:r>
        <w:rPr>
          <w:rFonts w:eastAsia="TimesNewRoman"/>
          <w:szCs w:val="22"/>
          <w:lang w:eastAsia="lt-LT"/>
        </w:rPr>
        <w:t xml:space="preserve"> dozių vartojimo ličio pusiausvyros apykaitos ekspozicijai nepastebėta. Vis dėlto gauta pranešimų apie poveikio sustiprėjimą, kai kartu su ličiu ar </w:t>
      </w:r>
      <w:proofErr w:type="spellStart"/>
      <w:r>
        <w:rPr>
          <w:rFonts w:eastAsia="TimesNewRoman"/>
          <w:szCs w:val="22"/>
          <w:lang w:eastAsia="lt-LT"/>
        </w:rPr>
        <w:t>triptofanu</w:t>
      </w:r>
      <w:proofErr w:type="spellEnd"/>
      <w:r>
        <w:rPr>
          <w:rFonts w:eastAsia="TimesNewRoman"/>
          <w:szCs w:val="22"/>
          <w:lang w:eastAsia="lt-LT"/>
        </w:rPr>
        <w:t xml:space="preserve"> buvo pavartota antidepresantų, sukeliančių </w:t>
      </w:r>
      <w:proofErr w:type="spellStart"/>
      <w:r>
        <w:rPr>
          <w:rFonts w:eastAsia="TimesNewRoman"/>
          <w:szCs w:val="22"/>
          <w:lang w:eastAsia="lt-LT"/>
        </w:rPr>
        <w:t>serotoninerginį</w:t>
      </w:r>
      <w:proofErr w:type="spellEnd"/>
      <w:r>
        <w:rPr>
          <w:rFonts w:eastAsia="TimesNewRoman"/>
          <w:szCs w:val="22"/>
          <w:lang w:eastAsia="lt-LT"/>
        </w:rPr>
        <w:t xml:space="preserve"> poveikį, todėl </w:t>
      </w:r>
      <w:proofErr w:type="spellStart"/>
      <w:r>
        <w:rPr>
          <w:rFonts w:eastAsia="TimesNewRoman"/>
          <w:szCs w:val="22"/>
          <w:lang w:eastAsia="lt-LT"/>
        </w:rPr>
        <w:t>vortioksetino</w:t>
      </w:r>
      <w:proofErr w:type="spellEnd"/>
      <w:r>
        <w:rPr>
          <w:rFonts w:eastAsia="TimesNewRoman"/>
          <w:szCs w:val="22"/>
          <w:lang w:eastAsia="lt-LT"/>
        </w:rPr>
        <w:t xml:space="preserve"> vartoti kartu su šiais vaistiniais preparatais reikia laikantis atsargumo priemonių.</w:t>
      </w:r>
    </w:p>
    <w:p w14:paraId="338B5A9C" w14:textId="77777777" w:rsidR="00BC7B13" w:rsidRDefault="00BC7B13">
      <w:pPr>
        <w:autoSpaceDE w:val="0"/>
        <w:autoSpaceDN w:val="0"/>
        <w:adjustRightInd w:val="0"/>
        <w:rPr>
          <w:rFonts w:eastAsia="TimesNewRoman"/>
          <w:i/>
          <w:iCs/>
          <w:szCs w:val="22"/>
          <w:lang w:eastAsia="lt-LT"/>
        </w:rPr>
      </w:pPr>
    </w:p>
    <w:p w14:paraId="041FF25C" w14:textId="77777777" w:rsidR="00BC7B13" w:rsidRDefault="004E7EF9">
      <w:pPr>
        <w:autoSpaceDE w:val="0"/>
        <w:autoSpaceDN w:val="0"/>
        <w:adjustRightInd w:val="0"/>
        <w:rPr>
          <w:rFonts w:eastAsia="TimesNewRoman"/>
          <w:i/>
          <w:iCs/>
          <w:szCs w:val="22"/>
          <w:lang w:eastAsia="lt-LT"/>
        </w:rPr>
      </w:pPr>
      <w:r>
        <w:rPr>
          <w:rFonts w:eastAsia="TimesNewRoman"/>
          <w:i/>
          <w:iCs/>
          <w:szCs w:val="22"/>
          <w:lang w:eastAsia="lt-LT"/>
        </w:rPr>
        <w:t>Sąveika su narkotikų nustatymo šlapime tyrimais</w:t>
      </w:r>
    </w:p>
    <w:p w14:paraId="58A1652C"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Gauta pranešimų apie </w:t>
      </w:r>
      <w:proofErr w:type="spellStart"/>
      <w:r>
        <w:rPr>
          <w:rFonts w:eastAsia="TimesNewRoman"/>
          <w:szCs w:val="22"/>
          <w:lang w:eastAsia="lt-LT"/>
        </w:rPr>
        <w:t>vortioksetino</w:t>
      </w:r>
      <w:proofErr w:type="spellEnd"/>
      <w:r>
        <w:rPr>
          <w:rFonts w:eastAsia="TimesNewRoman"/>
          <w:szCs w:val="22"/>
          <w:lang w:eastAsia="lt-LT"/>
        </w:rPr>
        <w:t xml:space="preserve"> vartojantiems pacientams nustatytus klaidingai teigiamus metadono rezultatus, atlikus šlapimo </w:t>
      </w:r>
      <w:proofErr w:type="spellStart"/>
      <w:r>
        <w:rPr>
          <w:rFonts w:eastAsia="TimesNewRoman"/>
          <w:szCs w:val="22"/>
          <w:lang w:eastAsia="lt-LT"/>
        </w:rPr>
        <w:t>imunofermentinius</w:t>
      </w:r>
      <w:proofErr w:type="spellEnd"/>
      <w:r>
        <w:rPr>
          <w:rFonts w:eastAsia="TimesNewRoman"/>
          <w:szCs w:val="22"/>
          <w:lang w:eastAsia="lt-LT"/>
        </w:rPr>
        <w:t xml:space="preserve"> tyrimus. Reikia laikantis atsargumo priemonių interpretuoti teigiamus narkotikų nustatymo šlapime tyrimų rezultatus ir atlikti patvirtinamąjį tyrimą taikant kitą analizės technologiją (pvz., chromatografijos metodus).</w:t>
      </w:r>
    </w:p>
    <w:p w14:paraId="42B33A34" w14:textId="77777777" w:rsidR="00BC7B13" w:rsidRDefault="00BC7B13">
      <w:pPr>
        <w:autoSpaceDE w:val="0"/>
        <w:autoSpaceDN w:val="0"/>
        <w:adjustRightInd w:val="0"/>
        <w:rPr>
          <w:b/>
          <w:bCs/>
        </w:rPr>
      </w:pPr>
    </w:p>
    <w:p w14:paraId="70CCA1F9" w14:textId="77777777" w:rsidR="00BC7B13" w:rsidRDefault="004E7EF9">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756EB96D" w14:textId="77777777" w:rsidR="00BC7B13" w:rsidRDefault="00BC7B13">
      <w:pPr>
        <w:rPr>
          <w:i/>
        </w:rPr>
      </w:pPr>
    </w:p>
    <w:p w14:paraId="33CC810F"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Nėštumas</w:t>
      </w:r>
    </w:p>
    <w:p w14:paraId="477FFD08"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Duomenų apie </w:t>
      </w:r>
      <w:proofErr w:type="spellStart"/>
      <w:r>
        <w:rPr>
          <w:rFonts w:eastAsia="TimesNewRoman"/>
          <w:szCs w:val="22"/>
          <w:lang w:eastAsia="lt-LT"/>
        </w:rPr>
        <w:t>vortioksetino</w:t>
      </w:r>
      <w:proofErr w:type="spellEnd"/>
      <w:r>
        <w:rPr>
          <w:rFonts w:eastAsia="TimesNewRoman"/>
          <w:szCs w:val="22"/>
          <w:lang w:eastAsia="lt-LT"/>
        </w:rPr>
        <w:t xml:space="preserve"> vartojimą nėštumo metu nepakanka. Su gyvūnais atlikti tyrimai parodė toksinį poveikį reprodukcijai (žr. 5.3 skyrių).</w:t>
      </w:r>
    </w:p>
    <w:p w14:paraId="141AFAEB" w14:textId="77777777" w:rsidR="00BC7B13" w:rsidRDefault="00BC7B13">
      <w:pPr>
        <w:autoSpaceDE w:val="0"/>
        <w:autoSpaceDN w:val="0"/>
        <w:adjustRightInd w:val="0"/>
        <w:rPr>
          <w:rFonts w:eastAsia="TimesNewRoman"/>
          <w:szCs w:val="22"/>
          <w:lang w:eastAsia="lt-LT"/>
        </w:rPr>
      </w:pPr>
    </w:p>
    <w:p w14:paraId="6A18C922"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Motinų, kurios nėštumo pabaigoje vartojo </w:t>
      </w:r>
      <w:proofErr w:type="spellStart"/>
      <w:r>
        <w:rPr>
          <w:rFonts w:eastAsia="TimesNewRoman"/>
          <w:szCs w:val="22"/>
          <w:lang w:eastAsia="lt-LT"/>
        </w:rPr>
        <w:t>serotoninerginių</w:t>
      </w:r>
      <w:proofErr w:type="spellEnd"/>
      <w:r>
        <w:rPr>
          <w:rFonts w:eastAsia="TimesNewRoman"/>
          <w:szCs w:val="22"/>
          <w:lang w:eastAsia="lt-LT"/>
        </w:rPr>
        <w:t xml:space="preserve"> vaistinių preparatų, naujagimiams gali pasireikšti toliau išvardytų simptomų: kvėpavimo sutrikimas (</w:t>
      </w:r>
      <w:proofErr w:type="spellStart"/>
      <w:r>
        <w:rPr>
          <w:rFonts w:eastAsia="TimesNewRoman"/>
          <w:szCs w:val="22"/>
          <w:lang w:eastAsia="lt-LT"/>
        </w:rPr>
        <w:t>distresas</w:t>
      </w:r>
      <w:proofErr w:type="spellEnd"/>
      <w:r>
        <w:rPr>
          <w:rFonts w:eastAsia="TimesNewRoman"/>
          <w:szCs w:val="22"/>
          <w:lang w:eastAsia="lt-LT"/>
        </w:rPr>
        <w:t xml:space="preserve">), cianozė, </w:t>
      </w:r>
      <w:proofErr w:type="spellStart"/>
      <w:r>
        <w:rPr>
          <w:rFonts w:eastAsia="TimesNewRoman"/>
          <w:szCs w:val="22"/>
          <w:lang w:eastAsia="lt-LT"/>
        </w:rPr>
        <w:t>apnėja</w:t>
      </w:r>
      <w:proofErr w:type="spellEnd"/>
      <w:r>
        <w:rPr>
          <w:rFonts w:eastAsia="TimesNewRoman"/>
          <w:szCs w:val="22"/>
          <w:lang w:eastAsia="lt-LT"/>
        </w:rPr>
        <w:t xml:space="preserve">, traukuliai, kūno temperatūros nepastovumas, žindymo sunkumai, vėmimas, hipoglikemija, hipertonija, hipotonija, </w:t>
      </w:r>
      <w:proofErr w:type="spellStart"/>
      <w:r>
        <w:rPr>
          <w:rFonts w:eastAsia="TimesNewRoman"/>
          <w:szCs w:val="22"/>
          <w:lang w:eastAsia="lt-LT"/>
        </w:rPr>
        <w:t>hiperrefleksija</w:t>
      </w:r>
      <w:proofErr w:type="spellEnd"/>
      <w:r>
        <w:rPr>
          <w:rFonts w:eastAsia="TimesNewRoman"/>
          <w:szCs w:val="22"/>
          <w:lang w:eastAsia="lt-LT"/>
        </w:rPr>
        <w:t xml:space="preserve">, tremoras, drebėjimas, irzlumas, letargija, nuolatinis verkimas, </w:t>
      </w:r>
      <w:proofErr w:type="spellStart"/>
      <w:r>
        <w:rPr>
          <w:rFonts w:eastAsia="TimesNewRoman"/>
          <w:szCs w:val="22"/>
          <w:lang w:eastAsia="lt-LT"/>
        </w:rPr>
        <w:t>somnolencija</w:t>
      </w:r>
      <w:proofErr w:type="spellEnd"/>
      <w:r>
        <w:rPr>
          <w:rFonts w:eastAsia="TimesNewRoman"/>
          <w:szCs w:val="22"/>
          <w:lang w:eastAsia="lt-LT"/>
        </w:rPr>
        <w:t xml:space="preserve"> ir miego sutrikimai. Šių simptomų gali pasireikšti arba dėl su vartojimo nutraukimu susijusio poveikio, arba dėl pernelyg didelio </w:t>
      </w:r>
      <w:proofErr w:type="spellStart"/>
      <w:r>
        <w:rPr>
          <w:rFonts w:eastAsia="TimesNewRoman"/>
          <w:szCs w:val="22"/>
          <w:lang w:eastAsia="lt-LT"/>
        </w:rPr>
        <w:t>serotoninerginio</w:t>
      </w:r>
      <w:proofErr w:type="spellEnd"/>
      <w:r>
        <w:rPr>
          <w:rFonts w:eastAsia="TimesNewRoman"/>
          <w:szCs w:val="22"/>
          <w:lang w:eastAsia="lt-LT"/>
        </w:rPr>
        <w:t xml:space="preserve"> aktyvumo. Dauguma atvejų šių komplikacijų pradeda reikštis netrukus arba iš karto (&lt; 24 valandų) po gimdymo.</w:t>
      </w:r>
    </w:p>
    <w:p w14:paraId="53E90D4B" w14:textId="77777777" w:rsidR="00BC7B13" w:rsidRDefault="00BC7B13">
      <w:pPr>
        <w:autoSpaceDE w:val="0"/>
        <w:autoSpaceDN w:val="0"/>
        <w:adjustRightInd w:val="0"/>
        <w:rPr>
          <w:rFonts w:eastAsia="TimesNewRoman"/>
          <w:szCs w:val="22"/>
          <w:lang w:eastAsia="lt-LT"/>
        </w:rPr>
      </w:pPr>
    </w:p>
    <w:p w14:paraId="2EAFDE53"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Epidemiologiniai duomenys rodo, kad SSRI vartojimas nėštumo metu, ypač nėštumo pabaigoje, gali didinti išlikusios naujagimių plaučių hipertenzijos (INPH) riziką. Nors tyrimų, tiriančių INPH ryšį su gydymu </w:t>
      </w:r>
      <w:proofErr w:type="spellStart"/>
      <w:r>
        <w:rPr>
          <w:rFonts w:eastAsia="TimesNewRoman"/>
          <w:szCs w:val="22"/>
          <w:lang w:eastAsia="lt-LT"/>
        </w:rPr>
        <w:t>vortioksetinu</w:t>
      </w:r>
      <w:proofErr w:type="spellEnd"/>
      <w:r>
        <w:rPr>
          <w:rFonts w:eastAsia="TimesNewRoman"/>
          <w:szCs w:val="22"/>
          <w:lang w:eastAsia="lt-LT"/>
        </w:rPr>
        <w:t>, neatlikta, atsižvelgiant į susijusį veikimo mechanizmą (</w:t>
      </w:r>
      <w:proofErr w:type="spellStart"/>
      <w:r>
        <w:rPr>
          <w:rFonts w:eastAsia="TimesNewRoman"/>
          <w:szCs w:val="22"/>
          <w:lang w:eastAsia="lt-LT"/>
        </w:rPr>
        <w:t>serotonino</w:t>
      </w:r>
      <w:proofErr w:type="spellEnd"/>
      <w:r>
        <w:rPr>
          <w:rFonts w:eastAsia="TimesNewRoman"/>
          <w:szCs w:val="22"/>
          <w:lang w:eastAsia="lt-LT"/>
        </w:rPr>
        <w:t xml:space="preserve"> koncentracijos padidėjimą), šios galimos rizikos paneigti negalima.</w:t>
      </w:r>
    </w:p>
    <w:p w14:paraId="2BF0D518" w14:textId="77777777" w:rsidR="00BC7B13" w:rsidRDefault="00BC7B13">
      <w:pPr>
        <w:autoSpaceDE w:val="0"/>
        <w:autoSpaceDN w:val="0"/>
        <w:adjustRightInd w:val="0"/>
        <w:rPr>
          <w:rFonts w:eastAsia="TimesNewRoman"/>
          <w:szCs w:val="22"/>
          <w:lang w:eastAsia="lt-LT"/>
        </w:rPr>
      </w:pPr>
    </w:p>
    <w:p w14:paraId="512BC35F" w14:textId="77777777" w:rsidR="00BC7B13" w:rsidRDefault="004E7EF9">
      <w:pPr>
        <w:autoSpaceDE w:val="0"/>
        <w:autoSpaceDN w:val="0"/>
        <w:adjustRightInd w:val="0"/>
        <w:rPr>
          <w:rFonts w:eastAsia="TimesNewRoman"/>
          <w:szCs w:val="22"/>
          <w:lang w:eastAsia="lt-LT"/>
        </w:rPr>
      </w:pPr>
      <w:proofErr w:type="spellStart"/>
      <w:r>
        <w:rPr>
          <w:rFonts w:eastAsia="TimesNewRoman"/>
          <w:szCs w:val="22"/>
          <w:lang w:eastAsia="lt-LT"/>
        </w:rPr>
        <w:t>Vortioksetino</w:t>
      </w:r>
      <w:proofErr w:type="spellEnd"/>
      <w:r>
        <w:rPr>
          <w:rFonts w:eastAsia="TimesNewRoman"/>
          <w:szCs w:val="22"/>
          <w:lang w:eastAsia="lt-LT"/>
        </w:rPr>
        <w:t xml:space="preserve"> nėštumo metu galima vartoti tik tada, jei numatoma nauda nusveria galimą riziką vaisiui.</w:t>
      </w:r>
    </w:p>
    <w:p w14:paraId="16F3028F" w14:textId="77777777" w:rsidR="00BC7B13" w:rsidRDefault="00BC7B13">
      <w:pPr>
        <w:autoSpaceDE w:val="0"/>
        <w:autoSpaceDN w:val="0"/>
        <w:adjustRightInd w:val="0"/>
        <w:rPr>
          <w:rFonts w:eastAsia="TimesNewRoman"/>
          <w:szCs w:val="22"/>
          <w:lang w:eastAsia="lt-LT"/>
        </w:rPr>
      </w:pPr>
    </w:p>
    <w:p w14:paraId="03B5E2C6" w14:textId="77777777" w:rsidR="00BC7B13" w:rsidRDefault="004E7EF9">
      <w:pPr>
        <w:autoSpaceDE w:val="0"/>
        <w:autoSpaceDN w:val="0"/>
        <w:adjustRightInd w:val="0"/>
      </w:pPr>
      <w:r>
        <w:rPr>
          <w:rFonts w:eastAsia="TimesNewRoman"/>
          <w:szCs w:val="22"/>
          <w:lang w:eastAsia="lt-LT"/>
        </w:rPr>
        <w:t xml:space="preserve">Remiantis stebimaisiais tyrimais surinkta įrodymų, kad vartojant SSRI arba SNRI likus mažiau kaip mėnesiui iki gimdymo, padidėja (mažiau kaip 2 kartus) kraujavimo po gimdymo pavojus. Nors neatlikta nė vieno tyrimo gydymo </w:t>
      </w:r>
      <w:bookmarkStart w:id="2" w:name="_Hlk156818064"/>
      <w:proofErr w:type="spellStart"/>
      <w:r>
        <w:rPr>
          <w:rFonts w:eastAsia="TimesNewRoman"/>
          <w:szCs w:val="22"/>
          <w:lang w:eastAsia="lt-LT"/>
        </w:rPr>
        <w:t>vortioksetinu</w:t>
      </w:r>
      <w:bookmarkEnd w:id="2"/>
      <w:proofErr w:type="spellEnd"/>
      <w:r>
        <w:rPr>
          <w:rFonts w:eastAsia="TimesNewRoman"/>
          <w:szCs w:val="22"/>
          <w:lang w:eastAsia="lt-LT"/>
        </w:rPr>
        <w:t xml:space="preserve"> sąsajai su kraujavimu po gimdymo ištirti, atsižvelgiant į susijusį veikimo mechanizmą, tokia rizika gali kilti (žr. 4.4 skyrių).</w:t>
      </w:r>
    </w:p>
    <w:p w14:paraId="73C96998" w14:textId="77777777" w:rsidR="00BC7B13" w:rsidRDefault="00BC7B13">
      <w:pPr>
        <w:rPr>
          <w:u w:val="single"/>
        </w:rPr>
      </w:pPr>
    </w:p>
    <w:p w14:paraId="10E4D7BE"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Žindymas</w:t>
      </w:r>
    </w:p>
    <w:p w14:paraId="363560AD"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Esami tyrimų su gyvūnais duomenys rodo, kad </w:t>
      </w:r>
      <w:proofErr w:type="spellStart"/>
      <w:r>
        <w:rPr>
          <w:rFonts w:eastAsia="TimesNewRoman"/>
          <w:szCs w:val="22"/>
          <w:lang w:eastAsia="lt-LT"/>
        </w:rPr>
        <w:t>vortioksetino</w:t>
      </w:r>
      <w:proofErr w:type="spellEnd"/>
      <w:r>
        <w:rPr>
          <w:rFonts w:eastAsia="TimesNewRoman"/>
          <w:szCs w:val="22"/>
          <w:lang w:eastAsia="lt-LT"/>
        </w:rPr>
        <w:t xml:space="preserve"> ar </w:t>
      </w:r>
      <w:proofErr w:type="spellStart"/>
      <w:r>
        <w:rPr>
          <w:rFonts w:eastAsia="TimesNewRoman"/>
          <w:szCs w:val="22"/>
          <w:lang w:eastAsia="lt-LT"/>
        </w:rPr>
        <w:t>vortioksetino</w:t>
      </w:r>
      <w:proofErr w:type="spellEnd"/>
      <w:r>
        <w:rPr>
          <w:rFonts w:eastAsia="TimesNewRoman"/>
          <w:szCs w:val="22"/>
          <w:lang w:eastAsia="lt-LT"/>
        </w:rPr>
        <w:t xml:space="preserve"> metabolitų išsiskiria į gyvūnų pieną. Numatoma, kad </w:t>
      </w:r>
      <w:proofErr w:type="spellStart"/>
      <w:r>
        <w:rPr>
          <w:rFonts w:eastAsia="TimesNewRoman"/>
          <w:szCs w:val="22"/>
          <w:lang w:eastAsia="lt-LT"/>
        </w:rPr>
        <w:t>vortioksetino</w:t>
      </w:r>
      <w:proofErr w:type="spellEnd"/>
      <w:r>
        <w:rPr>
          <w:rFonts w:eastAsia="TimesNewRoman"/>
          <w:szCs w:val="22"/>
          <w:lang w:eastAsia="lt-LT"/>
        </w:rPr>
        <w:t xml:space="preserve"> išsiskirs į gydytų moterų pieną (žr. 5.3 skyrių).</w:t>
      </w:r>
    </w:p>
    <w:p w14:paraId="38CA9FB8" w14:textId="77777777" w:rsidR="00BC7B13" w:rsidRDefault="00BC7B13">
      <w:pPr>
        <w:autoSpaceDE w:val="0"/>
        <w:autoSpaceDN w:val="0"/>
        <w:adjustRightInd w:val="0"/>
        <w:rPr>
          <w:rFonts w:eastAsia="TimesNewRoman"/>
          <w:szCs w:val="22"/>
          <w:lang w:eastAsia="lt-LT"/>
        </w:rPr>
      </w:pPr>
    </w:p>
    <w:p w14:paraId="505E2BA3" w14:textId="77777777" w:rsidR="00BC7B13" w:rsidRDefault="004E7EF9">
      <w:pPr>
        <w:autoSpaceDE w:val="0"/>
        <w:autoSpaceDN w:val="0"/>
        <w:adjustRightInd w:val="0"/>
        <w:rPr>
          <w:rFonts w:eastAsia="TimesNewRoman"/>
          <w:szCs w:val="22"/>
          <w:lang w:eastAsia="lt-LT"/>
        </w:rPr>
      </w:pPr>
      <w:r>
        <w:rPr>
          <w:rFonts w:eastAsia="TimesNewRoman"/>
          <w:szCs w:val="22"/>
          <w:lang w:eastAsia="lt-LT"/>
        </w:rPr>
        <w:t>Pavojaus žindomiems naujagimiams ar kūdikiams negalima atmesti.</w:t>
      </w:r>
    </w:p>
    <w:p w14:paraId="47BCE53B" w14:textId="77777777" w:rsidR="00BC7B13" w:rsidRDefault="00BC7B13">
      <w:pPr>
        <w:autoSpaceDE w:val="0"/>
        <w:autoSpaceDN w:val="0"/>
        <w:adjustRightInd w:val="0"/>
        <w:rPr>
          <w:rFonts w:eastAsia="TimesNewRoman"/>
          <w:szCs w:val="22"/>
          <w:lang w:eastAsia="lt-LT"/>
        </w:rPr>
      </w:pPr>
    </w:p>
    <w:p w14:paraId="34B2DA2E"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Atsižvelgiant į žindymo naudą kūdikiui ir gydymo naudą motinai, reikia nuspręsti, ar nutraukti žindymą, ar nutraukti arba susilaikyti nuo gydymo </w:t>
      </w:r>
      <w:proofErr w:type="spellStart"/>
      <w:r>
        <w:rPr>
          <w:rFonts w:eastAsia="TimesNewRoman"/>
          <w:szCs w:val="22"/>
          <w:lang w:eastAsia="lt-LT"/>
        </w:rPr>
        <w:t>vortioksetinu</w:t>
      </w:r>
      <w:proofErr w:type="spellEnd"/>
      <w:r>
        <w:rPr>
          <w:rFonts w:eastAsia="TimesNewRoman"/>
          <w:szCs w:val="22"/>
          <w:lang w:eastAsia="lt-LT"/>
        </w:rPr>
        <w:t>.</w:t>
      </w:r>
    </w:p>
    <w:p w14:paraId="4C68F711" w14:textId="77777777" w:rsidR="00BC7B13" w:rsidRDefault="00BC7B13">
      <w:pPr>
        <w:autoSpaceDE w:val="0"/>
        <w:autoSpaceDN w:val="0"/>
        <w:adjustRightInd w:val="0"/>
        <w:rPr>
          <w:rFonts w:eastAsia="TimesNewRoman"/>
          <w:szCs w:val="22"/>
          <w:lang w:eastAsia="lt-LT"/>
        </w:rPr>
      </w:pPr>
    </w:p>
    <w:p w14:paraId="71DB37A4" w14:textId="77777777" w:rsidR="00BC7B13" w:rsidRDefault="004E7EF9">
      <w:pPr>
        <w:autoSpaceDE w:val="0"/>
        <w:autoSpaceDN w:val="0"/>
        <w:adjustRightInd w:val="0"/>
        <w:rPr>
          <w:rFonts w:eastAsia="TimesNewRoman"/>
          <w:szCs w:val="22"/>
          <w:u w:val="single"/>
          <w:lang w:eastAsia="lt-LT"/>
        </w:rPr>
      </w:pPr>
      <w:r>
        <w:rPr>
          <w:rFonts w:eastAsia="TimesNewRoman"/>
          <w:szCs w:val="22"/>
          <w:u w:val="single"/>
          <w:lang w:eastAsia="lt-LT"/>
        </w:rPr>
        <w:t>Vaisingumas</w:t>
      </w:r>
    </w:p>
    <w:p w14:paraId="01F28113" w14:textId="77777777" w:rsidR="00BC7B13" w:rsidRDefault="004E7EF9">
      <w:pPr>
        <w:autoSpaceDE w:val="0"/>
        <w:autoSpaceDN w:val="0"/>
        <w:adjustRightInd w:val="0"/>
        <w:rPr>
          <w:rFonts w:eastAsia="TimesNewRoman"/>
          <w:szCs w:val="22"/>
          <w:lang w:eastAsia="lt-LT"/>
        </w:rPr>
      </w:pPr>
      <w:r>
        <w:rPr>
          <w:rFonts w:eastAsia="TimesNewRoman"/>
          <w:szCs w:val="22"/>
          <w:lang w:eastAsia="lt-LT"/>
        </w:rPr>
        <w:lastRenderedPageBreak/>
        <w:t xml:space="preserve">Vaisingumo tyrimai su žiurkių patinais ir patelėmis parodė, kad </w:t>
      </w:r>
      <w:proofErr w:type="spellStart"/>
      <w:r>
        <w:rPr>
          <w:rFonts w:eastAsia="TimesNewRoman"/>
          <w:szCs w:val="22"/>
          <w:lang w:eastAsia="lt-LT"/>
        </w:rPr>
        <w:t>vortioksetinas</w:t>
      </w:r>
      <w:proofErr w:type="spellEnd"/>
      <w:r>
        <w:rPr>
          <w:rFonts w:eastAsia="TimesNewRoman"/>
          <w:szCs w:val="22"/>
          <w:lang w:eastAsia="lt-LT"/>
        </w:rPr>
        <w:t xml:space="preserve"> neveikia vislumo, spermos kokybės ir poravimosi (žr. 5.3 skyrių).</w:t>
      </w:r>
    </w:p>
    <w:p w14:paraId="4F4E57FE" w14:textId="77777777" w:rsidR="00BC7B13" w:rsidRDefault="004E7EF9">
      <w:pPr>
        <w:autoSpaceDE w:val="0"/>
        <w:autoSpaceDN w:val="0"/>
        <w:adjustRightInd w:val="0"/>
        <w:rPr>
          <w:rFonts w:eastAsia="TimesNewRoman"/>
          <w:szCs w:val="22"/>
          <w:lang w:eastAsia="lt-LT"/>
        </w:rPr>
      </w:pPr>
      <w:r>
        <w:rPr>
          <w:rFonts w:eastAsia="TimesNewRoman"/>
          <w:szCs w:val="22"/>
          <w:lang w:eastAsia="lt-LT"/>
        </w:rPr>
        <w:t>Gauti pranešimai apie susijusios farmakologinės antidepresantų klasės (SSRI) vaistinių preparatų vartojusių žmonių atvejus parodė poveikį spermos kokybei (toks poveikis buvo laikinas). Poveikio žmonių vaisingumui iki šiol nepastebėta.</w:t>
      </w:r>
    </w:p>
    <w:p w14:paraId="0B929DEB" w14:textId="77777777" w:rsidR="00BC7B13" w:rsidRDefault="00BC7B13"/>
    <w:p w14:paraId="12C10768" w14:textId="77777777" w:rsidR="00BC7B13" w:rsidRDefault="004E7EF9">
      <w:pPr>
        <w:ind w:left="567" w:hanging="567"/>
        <w:rPr>
          <w:b/>
        </w:rPr>
      </w:pPr>
      <w:r>
        <w:rPr>
          <w:b/>
        </w:rPr>
        <w:t>4.7</w:t>
      </w:r>
      <w:r>
        <w:rPr>
          <w:b/>
        </w:rPr>
        <w:tab/>
        <w:t>Poveikis gebėjimui vairuoti ir valdyti mechanizmus</w:t>
      </w:r>
    </w:p>
    <w:p w14:paraId="1245DBC1" w14:textId="77777777" w:rsidR="00BC7B13" w:rsidRDefault="00BC7B13">
      <w:pPr>
        <w:ind w:left="567" w:hanging="567"/>
      </w:pPr>
    </w:p>
    <w:p w14:paraId="1D0C2CB8" w14:textId="77777777" w:rsidR="00BC7B13" w:rsidRDefault="004E7EF9">
      <w:pPr>
        <w:autoSpaceDE w:val="0"/>
        <w:autoSpaceDN w:val="0"/>
        <w:adjustRightInd w:val="0"/>
        <w:rPr>
          <w:rFonts w:eastAsia="TimesNewRoman"/>
          <w:color w:val="000000"/>
          <w:szCs w:val="22"/>
          <w:lang w:eastAsia="lt-LT"/>
        </w:rPr>
      </w:pPr>
      <w:proofErr w:type="spellStart"/>
      <w:r>
        <w:rPr>
          <w:rFonts w:eastAsia="TimesNewRoman"/>
          <w:color w:val="000000"/>
          <w:szCs w:val="22"/>
          <w:lang w:eastAsia="lt-LT"/>
        </w:rPr>
        <w:t>Vortioksetinas</w:t>
      </w:r>
      <w:proofErr w:type="spellEnd"/>
      <w:r>
        <w:rPr>
          <w:rFonts w:eastAsia="TimesNewRoman"/>
          <w:color w:val="000000"/>
          <w:szCs w:val="22"/>
          <w:lang w:eastAsia="lt-LT"/>
        </w:rPr>
        <w:t xml:space="preserve"> gebėjimo vairuoti ir valdyti mechanizmus neveikia arba veikia nereikšmingai. Vis dėlto </w:t>
      </w:r>
      <w:r>
        <w:rPr>
          <w:rFonts w:eastAsia="TimesNewRoman"/>
          <w:color w:val="222222"/>
          <w:szCs w:val="22"/>
          <w:lang w:eastAsia="lt-LT"/>
        </w:rPr>
        <w:t xml:space="preserve">buvo pranešta apie nepageidaujamas reakcijas, tokias kaip svaigulys, </w:t>
      </w:r>
      <w:r>
        <w:rPr>
          <w:rFonts w:eastAsia="TimesNewRoman"/>
          <w:color w:val="000000"/>
          <w:szCs w:val="22"/>
          <w:lang w:eastAsia="lt-LT"/>
        </w:rPr>
        <w:t xml:space="preserve">todėl pacientai turi laikytis atsargumo priemonių vairuodami ar valdydami pavojingus mechanizmus, ypač gydymo </w:t>
      </w:r>
      <w:proofErr w:type="spellStart"/>
      <w:r>
        <w:rPr>
          <w:rFonts w:eastAsia="TimesNewRoman"/>
          <w:color w:val="000000"/>
          <w:szCs w:val="22"/>
          <w:lang w:eastAsia="lt-LT"/>
        </w:rPr>
        <w:t>vortioksetinu</w:t>
      </w:r>
      <w:proofErr w:type="spellEnd"/>
      <w:r>
        <w:rPr>
          <w:rFonts w:eastAsia="TimesNewRoman"/>
          <w:color w:val="000000"/>
          <w:szCs w:val="22"/>
          <w:lang w:eastAsia="lt-LT"/>
        </w:rPr>
        <w:t xml:space="preserve"> pradžioje arba keičiant dozę.</w:t>
      </w:r>
    </w:p>
    <w:p w14:paraId="771C4BC2" w14:textId="77777777" w:rsidR="00BC7B13" w:rsidRDefault="00BC7B13">
      <w:pPr>
        <w:ind w:left="567" w:hanging="567"/>
      </w:pPr>
    </w:p>
    <w:p w14:paraId="1393452B" w14:textId="77777777" w:rsidR="00BC7B13" w:rsidRDefault="004E7EF9">
      <w:pPr>
        <w:ind w:left="567" w:hanging="567"/>
        <w:rPr>
          <w:b/>
        </w:rPr>
      </w:pPr>
      <w:r>
        <w:rPr>
          <w:b/>
        </w:rPr>
        <w:t>4.8</w:t>
      </w:r>
      <w:r>
        <w:rPr>
          <w:b/>
        </w:rPr>
        <w:tab/>
        <w:t>Nepageidaujamas poveikis</w:t>
      </w:r>
    </w:p>
    <w:p w14:paraId="13D1477C" w14:textId="77777777" w:rsidR="00BC7B13" w:rsidRDefault="00BC7B13">
      <w:pPr>
        <w:rPr>
          <w:i/>
        </w:rPr>
      </w:pPr>
    </w:p>
    <w:p w14:paraId="5EB010C0" w14:textId="77777777" w:rsidR="00BC7B13" w:rsidRDefault="004E7EF9">
      <w:pPr>
        <w:suppressLineNumbers/>
        <w:autoSpaceDE w:val="0"/>
        <w:autoSpaceDN w:val="0"/>
        <w:adjustRightInd w:val="0"/>
        <w:jc w:val="both"/>
        <w:rPr>
          <w:u w:val="single"/>
        </w:rPr>
      </w:pPr>
      <w:r>
        <w:rPr>
          <w:u w:val="single"/>
        </w:rPr>
        <w:t>Saugumo duomenų santrauka</w:t>
      </w:r>
    </w:p>
    <w:p w14:paraId="237F7223" w14:textId="77777777" w:rsidR="00BC7B13" w:rsidRDefault="00BC7B13">
      <w:pPr>
        <w:suppressLineNumbers/>
        <w:autoSpaceDE w:val="0"/>
        <w:autoSpaceDN w:val="0"/>
        <w:adjustRightInd w:val="0"/>
        <w:jc w:val="both"/>
      </w:pPr>
    </w:p>
    <w:p w14:paraId="6B4A8121" w14:textId="77777777" w:rsidR="00BC7B13" w:rsidRDefault="004E7EF9">
      <w:pPr>
        <w:ind w:left="567" w:hanging="567"/>
      </w:pPr>
      <w:r>
        <w:t>Dažniausia nepageidaujama reakcija buvo pykinimas.</w:t>
      </w:r>
    </w:p>
    <w:p w14:paraId="2448B5B8" w14:textId="77777777" w:rsidR="00BC7B13" w:rsidRDefault="00BC7B13">
      <w:pPr>
        <w:ind w:left="567" w:hanging="567"/>
        <w:rPr>
          <w:u w:val="single"/>
        </w:rPr>
      </w:pPr>
    </w:p>
    <w:p w14:paraId="14700885" w14:textId="77777777" w:rsidR="00BC7B13" w:rsidRDefault="004E7EF9">
      <w:pPr>
        <w:ind w:left="567" w:hanging="567"/>
        <w:rPr>
          <w:u w:val="single"/>
        </w:rPr>
      </w:pPr>
      <w:r>
        <w:rPr>
          <w:u w:val="single"/>
        </w:rPr>
        <w:t>Nepageidaujamų reakcijų santrauka lentelėje</w:t>
      </w:r>
    </w:p>
    <w:p w14:paraId="2903A465" w14:textId="77777777" w:rsidR="00BC7B13" w:rsidRDefault="00BC7B13"/>
    <w:p w14:paraId="0BC67483" w14:textId="77777777" w:rsidR="00BC7B13" w:rsidRDefault="004E7EF9">
      <w:pPr>
        <w:widowControl w:val="0"/>
        <w:kinsoku w:val="0"/>
        <w:overflowPunct w:val="0"/>
        <w:autoSpaceDE w:val="0"/>
        <w:autoSpaceDN w:val="0"/>
        <w:adjustRightInd w:val="0"/>
      </w:pPr>
      <w:r>
        <w:rPr>
          <w:snapToGrid w:val="0"/>
          <w:szCs w:val="22"/>
        </w:rPr>
        <w:t xml:space="preserve">Nepageidaujamo poveikio </w:t>
      </w:r>
      <w:r>
        <w:rPr>
          <w:snapToGrid w:val="0"/>
          <w:szCs w:val="20"/>
        </w:rPr>
        <w:t>dažnis apibūdinamas taip: labai dažnas (≥ 1/10), dažnas (nuo ≥ 1/100 iki &lt; 1/10), nedažnas (nuo ≥ 1/1 000 iki &lt; 1/100), retas (nuo ≥ 1/10 000 iki &lt; 1/1 000), labai retas (&lt; 1/10 000) ir nežinomas (negali būti apskaičiuotas pagal turimus duomenis)</w:t>
      </w:r>
      <w:r>
        <w:t>.</w:t>
      </w:r>
    </w:p>
    <w:p w14:paraId="57707372" w14:textId="77777777" w:rsidR="00BC7B13" w:rsidRDefault="004E7EF9">
      <w:r>
        <w:t xml:space="preserve">Santrauka pagrįsta klinikinių tyrimų informacija ir </w:t>
      </w:r>
      <w:proofErr w:type="spellStart"/>
      <w:r>
        <w:t>poregistracinio</w:t>
      </w:r>
      <w:proofErr w:type="spellEnd"/>
      <w:r>
        <w:t xml:space="preserve"> laikotarpio patirtimi.</w:t>
      </w:r>
    </w:p>
    <w:p w14:paraId="1009BC8D" w14:textId="77777777" w:rsidR="00BC7B13" w:rsidRDefault="00BC7B13"/>
    <w:tbl>
      <w:tblPr>
        <w:tblW w:w="91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843"/>
        <w:gridCol w:w="3649"/>
      </w:tblGrid>
      <w:tr w:rsidR="00BC7B13" w14:paraId="4DFCEBC2" w14:textId="77777777">
        <w:trPr>
          <w:trHeight w:val="260"/>
        </w:trPr>
        <w:tc>
          <w:tcPr>
            <w:tcW w:w="3687" w:type="dxa"/>
          </w:tcPr>
          <w:p w14:paraId="6093226C" w14:textId="77777777" w:rsidR="00BC7B13" w:rsidRDefault="004E7EF9">
            <w:pPr>
              <w:widowControl w:val="0"/>
              <w:tabs>
                <w:tab w:val="left" w:pos="567"/>
              </w:tabs>
              <w:rPr>
                <w:szCs w:val="22"/>
                <w:lang w:val="en-GB"/>
              </w:rPr>
            </w:pPr>
            <w:r>
              <w:rPr>
                <w:szCs w:val="22"/>
                <w:lang w:val="en-GB"/>
              </w:rPr>
              <w:t>ORGANŲ SISTEMŲ KLASĖ</w:t>
            </w:r>
          </w:p>
        </w:tc>
        <w:tc>
          <w:tcPr>
            <w:tcW w:w="1843" w:type="dxa"/>
          </w:tcPr>
          <w:p w14:paraId="079C61BA" w14:textId="77777777" w:rsidR="00BC7B13" w:rsidRDefault="004E7EF9">
            <w:pPr>
              <w:widowControl w:val="0"/>
              <w:tabs>
                <w:tab w:val="left" w:pos="567"/>
              </w:tabs>
              <w:rPr>
                <w:szCs w:val="22"/>
                <w:lang w:val="en-GB"/>
              </w:rPr>
            </w:pPr>
            <w:r>
              <w:rPr>
                <w:szCs w:val="22"/>
                <w:lang w:val="en-GB"/>
              </w:rPr>
              <w:t>DAŽNIS</w:t>
            </w:r>
          </w:p>
        </w:tc>
        <w:tc>
          <w:tcPr>
            <w:tcW w:w="3649" w:type="dxa"/>
          </w:tcPr>
          <w:p w14:paraId="155DE3E8" w14:textId="77777777" w:rsidR="00BC7B13" w:rsidRDefault="004E7EF9">
            <w:pPr>
              <w:widowControl w:val="0"/>
              <w:tabs>
                <w:tab w:val="left" w:pos="567"/>
              </w:tabs>
              <w:rPr>
                <w:szCs w:val="22"/>
                <w:lang w:val="en-GB"/>
              </w:rPr>
            </w:pPr>
            <w:r>
              <w:rPr>
                <w:szCs w:val="22"/>
                <w:lang w:val="en-GB"/>
              </w:rPr>
              <w:t>NEPAGEIDAUJAMA REAKCIJA</w:t>
            </w:r>
          </w:p>
        </w:tc>
      </w:tr>
      <w:tr w:rsidR="00BC7B13" w14:paraId="70048244" w14:textId="77777777">
        <w:trPr>
          <w:trHeight w:val="260"/>
        </w:trPr>
        <w:tc>
          <w:tcPr>
            <w:tcW w:w="3687" w:type="dxa"/>
          </w:tcPr>
          <w:p w14:paraId="7AED5F51" w14:textId="77777777" w:rsidR="00BC7B13" w:rsidRDefault="004E7EF9">
            <w:pPr>
              <w:widowControl w:val="0"/>
              <w:tabs>
                <w:tab w:val="left" w:pos="567"/>
              </w:tabs>
              <w:rPr>
                <w:szCs w:val="22"/>
                <w:lang w:val="en-GB"/>
              </w:rPr>
            </w:pPr>
            <w:proofErr w:type="spellStart"/>
            <w:r>
              <w:rPr>
                <w:szCs w:val="22"/>
                <w:lang w:val="en-GB"/>
              </w:rPr>
              <w:t>Imuninės</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843" w:type="dxa"/>
          </w:tcPr>
          <w:p w14:paraId="7F6EB190"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549EED5A" w14:textId="77777777" w:rsidR="00BC7B13" w:rsidRDefault="004E7EF9">
            <w:pPr>
              <w:widowControl w:val="0"/>
              <w:tabs>
                <w:tab w:val="left" w:pos="567"/>
              </w:tabs>
              <w:rPr>
                <w:szCs w:val="22"/>
                <w:lang w:val="en-GB"/>
              </w:rPr>
            </w:pPr>
            <w:proofErr w:type="spellStart"/>
            <w:r>
              <w:rPr>
                <w:szCs w:val="22"/>
                <w:lang w:val="en-GB"/>
              </w:rPr>
              <w:t>Anafilaksinė</w:t>
            </w:r>
            <w:proofErr w:type="spellEnd"/>
            <w:r>
              <w:rPr>
                <w:szCs w:val="22"/>
                <w:lang w:val="en-GB"/>
              </w:rPr>
              <w:t xml:space="preserve"> </w:t>
            </w:r>
            <w:proofErr w:type="spellStart"/>
            <w:r>
              <w:rPr>
                <w:szCs w:val="22"/>
                <w:lang w:val="en-GB"/>
              </w:rPr>
              <w:t>reakcija</w:t>
            </w:r>
            <w:proofErr w:type="spellEnd"/>
          </w:p>
        </w:tc>
      </w:tr>
      <w:tr w:rsidR="00BC7B13" w14:paraId="6388AEAA" w14:textId="77777777">
        <w:trPr>
          <w:trHeight w:val="419"/>
        </w:trPr>
        <w:tc>
          <w:tcPr>
            <w:tcW w:w="3687" w:type="dxa"/>
          </w:tcPr>
          <w:p w14:paraId="78064C1B" w14:textId="77777777" w:rsidR="00BC7B13" w:rsidRDefault="004E7EF9">
            <w:pPr>
              <w:widowControl w:val="0"/>
              <w:tabs>
                <w:tab w:val="left" w:pos="567"/>
              </w:tabs>
              <w:rPr>
                <w:szCs w:val="22"/>
                <w:lang w:val="en-GB"/>
              </w:rPr>
            </w:pPr>
            <w:proofErr w:type="spellStart"/>
            <w:r>
              <w:rPr>
                <w:szCs w:val="22"/>
                <w:lang w:val="en-GB"/>
              </w:rPr>
              <w:t>Endokrininiai</w:t>
            </w:r>
            <w:proofErr w:type="spellEnd"/>
            <w:r>
              <w:rPr>
                <w:szCs w:val="22"/>
                <w:lang w:val="en-GB"/>
              </w:rPr>
              <w:t xml:space="preserve"> </w:t>
            </w:r>
            <w:proofErr w:type="spellStart"/>
            <w:r>
              <w:rPr>
                <w:szCs w:val="22"/>
                <w:lang w:val="en-GB"/>
              </w:rPr>
              <w:t>sutrikimai</w:t>
            </w:r>
            <w:proofErr w:type="spellEnd"/>
          </w:p>
        </w:tc>
        <w:tc>
          <w:tcPr>
            <w:tcW w:w="1843" w:type="dxa"/>
          </w:tcPr>
          <w:p w14:paraId="24A2AD1C"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0FD7C40C" w14:textId="77777777" w:rsidR="00BC7B13" w:rsidRDefault="004E7EF9">
            <w:pPr>
              <w:widowControl w:val="0"/>
              <w:tabs>
                <w:tab w:val="left" w:pos="567"/>
              </w:tabs>
              <w:rPr>
                <w:szCs w:val="22"/>
                <w:lang w:val="pt-PT"/>
              </w:rPr>
            </w:pPr>
            <w:r>
              <w:rPr>
                <w:szCs w:val="22"/>
                <w:lang w:val="pt-PT"/>
              </w:rPr>
              <w:t>Hiperprolaktinemija, tam tikrais atvejais susijusi su galaktorėja</w:t>
            </w:r>
          </w:p>
        </w:tc>
      </w:tr>
      <w:tr w:rsidR="00BC7B13" w14:paraId="0FB02DF4" w14:textId="77777777">
        <w:trPr>
          <w:trHeight w:val="260"/>
        </w:trPr>
        <w:tc>
          <w:tcPr>
            <w:tcW w:w="3687" w:type="dxa"/>
          </w:tcPr>
          <w:p w14:paraId="0DA19357" w14:textId="77777777" w:rsidR="00BC7B13" w:rsidRDefault="004E7EF9">
            <w:pPr>
              <w:widowControl w:val="0"/>
              <w:tabs>
                <w:tab w:val="left" w:pos="567"/>
              </w:tabs>
              <w:rPr>
                <w:szCs w:val="22"/>
                <w:lang w:val="en-GB"/>
              </w:rPr>
            </w:pPr>
            <w:proofErr w:type="spellStart"/>
            <w:r>
              <w:rPr>
                <w:szCs w:val="22"/>
                <w:lang w:val="en-GB"/>
              </w:rPr>
              <w:t>Metabolizmo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mitybos</w:t>
            </w:r>
            <w:proofErr w:type="spellEnd"/>
            <w:r>
              <w:rPr>
                <w:szCs w:val="22"/>
                <w:lang w:val="en-GB"/>
              </w:rPr>
              <w:t xml:space="preserve"> </w:t>
            </w:r>
            <w:proofErr w:type="spellStart"/>
            <w:r>
              <w:rPr>
                <w:szCs w:val="22"/>
                <w:lang w:val="en-GB"/>
              </w:rPr>
              <w:t>sutrikimai</w:t>
            </w:r>
            <w:proofErr w:type="spellEnd"/>
          </w:p>
        </w:tc>
        <w:tc>
          <w:tcPr>
            <w:tcW w:w="1843" w:type="dxa"/>
          </w:tcPr>
          <w:p w14:paraId="0A9E3372"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722850C9" w14:textId="77777777" w:rsidR="00BC7B13" w:rsidRDefault="004E7EF9">
            <w:pPr>
              <w:widowControl w:val="0"/>
              <w:tabs>
                <w:tab w:val="left" w:pos="567"/>
              </w:tabs>
              <w:rPr>
                <w:szCs w:val="22"/>
                <w:lang w:val="en-GB"/>
              </w:rPr>
            </w:pPr>
            <w:proofErr w:type="spellStart"/>
            <w:r>
              <w:rPr>
                <w:szCs w:val="22"/>
                <w:lang w:val="en-GB"/>
              </w:rPr>
              <w:t>Hiponatremija</w:t>
            </w:r>
            <w:proofErr w:type="spellEnd"/>
          </w:p>
        </w:tc>
      </w:tr>
      <w:tr w:rsidR="00BC7B13" w14:paraId="43BADE1B" w14:textId="77777777">
        <w:trPr>
          <w:trHeight w:val="259"/>
        </w:trPr>
        <w:tc>
          <w:tcPr>
            <w:tcW w:w="3687" w:type="dxa"/>
            <w:vMerge w:val="restart"/>
          </w:tcPr>
          <w:p w14:paraId="74DF91B9" w14:textId="77777777" w:rsidR="00BC7B13" w:rsidRDefault="004E7EF9">
            <w:pPr>
              <w:widowControl w:val="0"/>
              <w:tabs>
                <w:tab w:val="left" w:pos="567"/>
              </w:tabs>
              <w:rPr>
                <w:szCs w:val="22"/>
                <w:lang w:val="en-GB"/>
              </w:rPr>
            </w:pPr>
            <w:proofErr w:type="spellStart"/>
            <w:r>
              <w:rPr>
                <w:szCs w:val="22"/>
                <w:lang w:val="en-GB"/>
              </w:rPr>
              <w:t>Psichikos</w:t>
            </w:r>
            <w:proofErr w:type="spellEnd"/>
            <w:r>
              <w:rPr>
                <w:szCs w:val="22"/>
                <w:lang w:val="en-GB"/>
              </w:rPr>
              <w:t xml:space="preserve"> </w:t>
            </w:r>
            <w:proofErr w:type="spellStart"/>
            <w:r>
              <w:rPr>
                <w:szCs w:val="22"/>
                <w:lang w:val="en-GB"/>
              </w:rPr>
              <w:t>sutrikimai</w:t>
            </w:r>
            <w:proofErr w:type="spellEnd"/>
          </w:p>
        </w:tc>
        <w:tc>
          <w:tcPr>
            <w:tcW w:w="1843" w:type="dxa"/>
          </w:tcPr>
          <w:p w14:paraId="3FE66D3A" w14:textId="77777777" w:rsidR="00BC7B13" w:rsidRDefault="004E7EF9">
            <w:pPr>
              <w:widowControl w:val="0"/>
              <w:tabs>
                <w:tab w:val="left" w:pos="567"/>
              </w:tabs>
              <w:rPr>
                <w:szCs w:val="22"/>
                <w:lang w:val="en-GB"/>
              </w:rPr>
            </w:pPr>
            <w:proofErr w:type="spellStart"/>
            <w:r>
              <w:rPr>
                <w:szCs w:val="22"/>
                <w:lang w:val="en-GB"/>
              </w:rPr>
              <w:t>Dažnas</w:t>
            </w:r>
            <w:proofErr w:type="spellEnd"/>
          </w:p>
        </w:tc>
        <w:tc>
          <w:tcPr>
            <w:tcW w:w="3649" w:type="dxa"/>
          </w:tcPr>
          <w:p w14:paraId="05F93034" w14:textId="77777777" w:rsidR="00BC7B13" w:rsidRDefault="004E7EF9">
            <w:pPr>
              <w:widowControl w:val="0"/>
              <w:tabs>
                <w:tab w:val="left" w:pos="567"/>
              </w:tabs>
              <w:rPr>
                <w:szCs w:val="22"/>
                <w:lang w:val="en-GB"/>
              </w:rPr>
            </w:pPr>
            <w:proofErr w:type="spellStart"/>
            <w:r>
              <w:rPr>
                <w:szCs w:val="22"/>
                <w:lang w:val="en-GB"/>
              </w:rPr>
              <w:t>Nenormalūs</w:t>
            </w:r>
            <w:proofErr w:type="spellEnd"/>
            <w:r>
              <w:rPr>
                <w:szCs w:val="22"/>
                <w:lang w:val="en-GB"/>
              </w:rPr>
              <w:t xml:space="preserve"> </w:t>
            </w:r>
            <w:proofErr w:type="spellStart"/>
            <w:r>
              <w:rPr>
                <w:szCs w:val="22"/>
                <w:lang w:val="en-GB"/>
              </w:rPr>
              <w:t>sapnai</w:t>
            </w:r>
            <w:proofErr w:type="spellEnd"/>
          </w:p>
        </w:tc>
      </w:tr>
      <w:tr w:rsidR="00BC7B13" w14:paraId="4E422C5E" w14:textId="77777777">
        <w:trPr>
          <w:trHeight w:val="259"/>
        </w:trPr>
        <w:tc>
          <w:tcPr>
            <w:tcW w:w="3687" w:type="dxa"/>
            <w:vMerge/>
          </w:tcPr>
          <w:p w14:paraId="72E799E2" w14:textId="77777777" w:rsidR="00BC7B13" w:rsidRDefault="00BC7B13">
            <w:pPr>
              <w:widowControl w:val="0"/>
              <w:tabs>
                <w:tab w:val="left" w:pos="567"/>
              </w:tabs>
              <w:rPr>
                <w:szCs w:val="22"/>
                <w:lang w:val="en-GB"/>
              </w:rPr>
            </w:pPr>
          </w:p>
        </w:tc>
        <w:tc>
          <w:tcPr>
            <w:tcW w:w="1843" w:type="dxa"/>
          </w:tcPr>
          <w:p w14:paraId="3A075868" w14:textId="77777777" w:rsidR="00BC7B13" w:rsidRPr="00401CBB" w:rsidRDefault="004E7EF9">
            <w:pPr>
              <w:widowControl w:val="0"/>
              <w:tabs>
                <w:tab w:val="left" w:pos="567"/>
              </w:tabs>
              <w:rPr>
                <w:szCs w:val="22"/>
              </w:rPr>
            </w:pPr>
            <w:r>
              <w:rPr>
                <w:szCs w:val="22"/>
                <w:lang w:val="en-GB"/>
              </w:rPr>
              <w:t>Neda</w:t>
            </w:r>
            <w:proofErr w:type="spellStart"/>
            <w:r>
              <w:rPr>
                <w:szCs w:val="22"/>
              </w:rPr>
              <w:t>žnas</w:t>
            </w:r>
            <w:proofErr w:type="spellEnd"/>
          </w:p>
        </w:tc>
        <w:tc>
          <w:tcPr>
            <w:tcW w:w="3649" w:type="dxa"/>
          </w:tcPr>
          <w:p w14:paraId="46D75770" w14:textId="77777777" w:rsidR="00BC7B13" w:rsidRDefault="004E7EF9">
            <w:pPr>
              <w:widowControl w:val="0"/>
              <w:tabs>
                <w:tab w:val="left" w:pos="567"/>
              </w:tabs>
              <w:rPr>
                <w:szCs w:val="22"/>
                <w:lang w:val="en-GB"/>
              </w:rPr>
            </w:pPr>
            <w:proofErr w:type="spellStart"/>
            <w:r>
              <w:rPr>
                <w:szCs w:val="22"/>
                <w:lang w:val="en-GB"/>
              </w:rPr>
              <w:t>Haliucinacijos</w:t>
            </w:r>
            <w:proofErr w:type="spellEnd"/>
          </w:p>
        </w:tc>
      </w:tr>
      <w:tr w:rsidR="00BC7B13" w14:paraId="59A93369" w14:textId="77777777">
        <w:trPr>
          <w:trHeight w:val="260"/>
        </w:trPr>
        <w:tc>
          <w:tcPr>
            <w:tcW w:w="3687" w:type="dxa"/>
            <w:vMerge/>
            <w:tcBorders>
              <w:top w:val="nil"/>
            </w:tcBorders>
          </w:tcPr>
          <w:p w14:paraId="5BACF354" w14:textId="77777777" w:rsidR="00BC7B13" w:rsidRDefault="00BC7B13">
            <w:pPr>
              <w:widowControl w:val="0"/>
              <w:tabs>
                <w:tab w:val="left" w:pos="567"/>
              </w:tabs>
              <w:rPr>
                <w:szCs w:val="22"/>
                <w:lang w:val="en-GB"/>
              </w:rPr>
            </w:pPr>
          </w:p>
        </w:tc>
        <w:tc>
          <w:tcPr>
            <w:tcW w:w="1843" w:type="dxa"/>
          </w:tcPr>
          <w:p w14:paraId="14FFCDE9"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348B28CE" w14:textId="77777777" w:rsidR="00BC7B13" w:rsidRDefault="004E7EF9">
            <w:pPr>
              <w:widowControl w:val="0"/>
              <w:tabs>
                <w:tab w:val="left" w:pos="567"/>
              </w:tabs>
              <w:rPr>
                <w:szCs w:val="22"/>
                <w:lang w:val="en-GB"/>
              </w:rPr>
            </w:pPr>
            <w:proofErr w:type="spellStart"/>
            <w:r>
              <w:rPr>
                <w:szCs w:val="22"/>
                <w:lang w:val="en-GB"/>
              </w:rPr>
              <w:t>Nemiga</w:t>
            </w:r>
            <w:proofErr w:type="spellEnd"/>
            <w:r>
              <w:rPr>
                <w:szCs w:val="22"/>
                <w:lang w:val="en-GB"/>
              </w:rPr>
              <w:t xml:space="preserve"> (</w:t>
            </w:r>
            <w:proofErr w:type="spellStart"/>
            <w:r>
              <w:rPr>
                <w:szCs w:val="22"/>
                <w:lang w:val="en-GB"/>
              </w:rPr>
              <w:t>insomnija</w:t>
            </w:r>
            <w:proofErr w:type="spellEnd"/>
            <w:r>
              <w:rPr>
                <w:szCs w:val="22"/>
                <w:lang w:val="en-GB"/>
              </w:rPr>
              <w:t>)</w:t>
            </w:r>
          </w:p>
        </w:tc>
      </w:tr>
      <w:tr w:rsidR="00BC7B13" w14:paraId="7E6D9EDF" w14:textId="77777777">
        <w:trPr>
          <w:trHeight w:val="420"/>
        </w:trPr>
        <w:tc>
          <w:tcPr>
            <w:tcW w:w="3687" w:type="dxa"/>
            <w:vMerge/>
            <w:tcBorders>
              <w:top w:val="nil"/>
            </w:tcBorders>
          </w:tcPr>
          <w:p w14:paraId="4B263569" w14:textId="77777777" w:rsidR="00BC7B13" w:rsidRDefault="00BC7B13">
            <w:pPr>
              <w:widowControl w:val="0"/>
              <w:tabs>
                <w:tab w:val="left" w:pos="567"/>
              </w:tabs>
              <w:rPr>
                <w:szCs w:val="22"/>
                <w:lang w:val="en-GB"/>
              </w:rPr>
            </w:pPr>
          </w:p>
        </w:tc>
        <w:tc>
          <w:tcPr>
            <w:tcW w:w="1843" w:type="dxa"/>
          </w:tcPr>
          <w:p w14:paraId="13DBD710"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73D63316" w14:textId="77777777" w:rsidR="00BC7B13" w:rsidRDefault="004E7EF9">
            <w:pPr>
              <w:widowControl w:val="0"/>
              <w:tabs>
                <w:tab w:val="left" w:pos="567"/>
              </w:tabs>
              <w:rPr>
                <w:szCs w:val="22"/>
                <w:lang w:val="pt-PT"/>
              </w:rPr>
            </w:pPr>
            <w:r>
              <w:rPr>
                <w:szCs w:val="22"/>
                <w:lang w:val="pt-PT"/>
              </w:rPr>
              <w:t>Susijaudinimas (ažitacija), agresyvumas (žr.</w:t>
            </w:r>
          </w:p>
          <w:p w14:paraId="7B72CE9F" w14:textId="77777777" w:rsidR="00BC7B13" w:rsidRDefault="004E7EF9">
            <w:pPr>
              <w:widowControl w:val="0"/>
              <w:tabs>
                <w:tab w:val="left" w:pos="567"/>
              </w:tabs>
              <w:rPr>
                <w:szCs w:val="22"/>
                <w:lang w:val="pt-PT"/>
              </w:rPr>
            </w:pPr>
            <w:r>
              <w:rPr>
                <w:szCs w:val="22"/>
                <w:lang w:val="pt-PT"/>
              </w:rPr>
              <w:t>4.4 skyrių)</w:t>
            </w:r>
          </w:p>
        </w:tc>
      </w:tr>
      <w:tr w:rsidR="00BC7B13" w14:paraId="7634A9FB" w14:textId="77777777">
        <w:trPr>
          <w:trHeight w:val="260"/>
        </w:trPr>
        <w:tc>
          <w:tcPr>
            <w:tcW w:w="3687" w:type="dxa"/>
            <w:vMerge w:val="restart"/>
          </w:tcPr>
          <w:p w14:paraId="4E74CD9E" w14:textId="77777777" w:rsidR="00BC7B13" w:rsidRDefault="004E7EF9">
            <w:pPr>
              <w:widowControl w:val="0"/>
              <w:tabs>
                <w:tab w:val="left" w:pos="567"/>
              </w:tabs>
              <w:rPr>
                <w:szCs w:val="22"/>
                <w:lang w:val="en-GB"/>
              </w:rPr>
            </w:pPr>
            <w:proofErr w:type="spellStart"/>
            <w:r>
              <w:rPr>
                <w:szCs w:val="22"/>
                <w:lang w:val="en-GB"/>
              </w:rPr>
              <w:t>Nervų</w:t>
            </w:r>
            <w:proofErr w:type="spellEnd"/>
            <w:r>
              <w:rPr>
                <w:szCs w:val="22"/>
                <w:lang w:val="en-GB"/>
              </w:rPr>
              <w:t xml:space="preserve"> </w:t>
            </w:r>
            <w:proofErr w:type="spellStart"/>
            <w:r>
              <w:rPr>
                <w:szCs w:val="22"/>
                <w:lang w:val="en-GB"/>
              </w:rPr>
              <w:t>sistemos</w:t>
            </w:r>
            <w:proofErr w:type="spellEnd"/>
            <w:r>
              <w:rPr>
                <w:szCs w:val="22"/>
                <w:lang w:val="en-GB"/>
              </w:rPr>
              <w:t xml:space="preserve"> </w:t>
            </w:r>
            <w:proofErr w:type="spellStart"/>
            <w:r>
              <w:rPr>
                <w:szCs w:val="22"/>
                <w:lang w:val="en-GB"/>
              </w:rPr>
              <w:t>sutrikimai</w:t>
            </w:r>
            <w:proofErr w:type="spellEnd"/>
          </w:p>
        </w:tc>
        <w:tc>
          <w:tcPr>
            <w:tcW w:w="1843" w:type="dxa"/>
          </w:tcPr>
          <w:p w14:paraId="720102EF" w14:textId="77777777" w:rsidR="00BC7B13" w:rsidRDefault="004E7EF9">
            <w:pPr>
              <w:widowControl w:val="0"/>
              <w:tabs>
                <w:tab w:val="left" w:pos="567"/>
              </w:tabs>
              <w:rPr>
                <w:szCs w:val="22"/>
                <w:lang w:val="en-GB"/>
              </w:rPr>
            </w:pPr>
            <w:proofErr w:type="spellStart"/>
            <w:r>
              <w:rPr>
                <w:szCs w:val="22"/>
                <w:lang w:val="en-GB"/>
              </w:rPr>
              <w:t>Dažnas</w:t>
            </w:r>
            <w:proofErr w:type="spellEnd"/>
          </w:p>
        </w:tc>
        <w:tc>
          <w:tcPr>
            <w:tcW w:w="3649" w:type="dxa"/>
          </w:tcPr>
          <w:p w14:paraId="2BDA712E" w14:textId="77777777" w:rsidR="00BC7B13" w:rsidRDefault="004E7EF9">
            <w:pPr>
              <w:widowControl w:val="0"/>
              <w:tabs>
                <w:tab w:val="left" w:pos="567"/>
              </w:tabs>
              <w:rPr>
                <w:szCs w:val="22"/>
                <w:lang w:val="en-GB"/>
              </w:rPr>
            </w:pPr>
            <w:proofErr w:type="spellStart"/>
            <w:r>
              <w:rPr>
                <w:szCs w:val="22"/>
                <w:lang w:val="en-GB"/>
              </w:rPr>
              <w:t>Svaigulys</w:t>
            </w:r>
            <w:proofErr w:type="spellEnd"/>
          </w:p>
        </w:tc>
      </w:tr>
      <w:tr w:rsidR="00BC7B13" w14:paraId="12882649" w14:textId="77777777">
        <w:trPr>
          <w:trHeight w:val="260"/>
        </w:trPr>
        <w:tc>
          <w:tcPr>
            <w:tcW w:w="3687" w:type="dxa"/>
            <w:vMerge/>
          </w:tcPr>
          <w:p w14:paraId="5D69EBD5" w14:textId="77777777" w:rsidR="00BC7B13" w:rsidRDefault="00BC7B13">
            <w:pPr>
              <w:widowControl w:val="0"/>
              <w:tabs>
                <w:tab w:val="left" w:pos="567"/>
              </w:tabs>
              <w:rPr>
                <w:szCs w:val="22"/>
                <w:lang w:val="en-GB"/>
              </w:rPr>
            </w:pPr>
          </w:p>
        </w:tc>
        <w:tc>
          <w:tcPr>
            <w:tcW w:w="1843" w:type="dxa"/>
          </w:tcPr>
          <w:p w14:paraId="438928B7" w14:textId="77777777" w:rsidR="00BC7B13" w:rsidRDefault="004E7EF9">
            <w:pPr>
              <w:widowControl w:val="0"/>
              <w:tabs>
                <w:tab w:val="left" w:pos="567"/>
              </w:tabs>
              <w:rPr>
                <w:szCs w:val="22"/>
                <w:lang w:val="en-GB"/>
              </w:rPr>
            </w:pPr>
            <w:proofErr w:type="spellStart"/>
            <w:r>
              <w:rPr>
                <w:szCs w:val="22"/>
                <w:lang w:val="en-GB"/>
              </w:rPr>
              <w:t>Nedažnas</w:t>
            </w:r>
            <w:proofErr w:type="spellEnd"/>
          </w:p>
        </w:tc>
        <w:tc>
          <w:tcPr>
            <w:tcW w:w="3649" w:type="dxa"/>
          </w:tcPr>
          <w:p w14:paraId="7FEBC241" w14:textId="77777777" w:rsidR="00BC7B13" w:rsidRDefault="004E7EF9">
            <w:pPr>
              <w:widowControl w:val="0"/>
              <w:tabs>
                <w:tab w:val="left" w:pos="567"/>
              </w:tabs>
              <w:rPr>
                <w:szCs w:val="22"/>
                <w:lang w:val="en-GB"/>
              </w:rPr>
            </w:pPr>
            <w:proofErr w:type="spellStart"/>
            <w:r>
              <w:rPr>
                <w:szCs w:val="22"/>
                <w:lang w:val="en-GB"/>
              </w:rPr>
              <w:t>Tremoras</w:t>
            </w:r>
            <w:proofErr w:type="spellEnd"/>
          </w:p>
        </w:tc>
      </w:tr>
      <w:tr w:rsidR="00BC7B13" w14:paraId="3C40FC7B" w14:textId="77777777">
        <w:trPr>
          <w:trHeight w:val="519"/>
        </w:trPr>
        <w:tc>
          <w:tcPr>
            <w:tcW w:w="3687" w:type="dxa"/>
            <w:vMerge/>
            <w:tcBorders>
              <w:top w:val="nil"/>
            </w:tcBorders>
          </w:tcPr>
          <w:p w14:paraId="0C317CF0" w14:textId="77777777" w:rsidR="00BC7B13" w:rsidRDefault="00BC7B13">
            <w:pPr>
              <w:widowControl w:val="0"/>
              <w:tabs>
                <w:tab w:val="left" w:pos="567"/>
              </w:tabs>
              <w:rPr>
                <w:szCs w:val="22"/>
                <w:lang w:val="en-GB"/>
              </w:rPr>
            </w:pPr>
          </w:p>
        </w:tc>
        <w:tc>
          <w:tcPr>
            <w:tcW w:w="1843" w:type="dxa"/>
          </w:tcPr>
          <w:p w14:paraId="6192C26D"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5639B520" w14:textId="77777777" w:rsidR="00BC7B13" w:rsidRDefault="004E7EF9">
            <w:pPr>
              <w:widowControl w:val="0"/>
              <w:tabs>
                <w:tab w:val="left" w:pos="567"/>
              </w:tabs>
              <w:rPr>
                <w:szCs w:val="22"/>
                <w:lang w:val="pt-PT"/>
              </w:rPr>
            </w:pPr>
            <w:r>
              <w:rPr>
                <w:szCs w:val="22"/>
                <w:lang w:val="pt-PT"/>
              </w:rPr>
              <w:t>Serotonino sindromas</w:t>
            </w:r>
          </w:p>
          <w:p w14:paraId="7EE66B2E" w14:textId="77777777" w:rsidR="00BC7B13" w:rsidRDefault="004E7EF9">
            <w:pPr>
              <w:widowControl w:val="0"/>
              <w:tabs>
                <w:tab w:val="left" w:pos="567"/>
              </w:tabs>
              <w:rPr>
                <w:szCs w:val="22"/>
                <w:lang w:val="pt-PT"/>
              </w:rPr>
            </w:pPr>
            <w:r>
              <w:rPr>
                <w:szCs w:val="22"/>
                <w:lang w:val="pt-PT"/>
              </w:rPr>
              <w:t>Galvos skausmas</w:t>
            </w:r>
          </w:p>
          <w:p w14:paraId="68AACCC1" w14:textId="77777777" w:rsidR="00BC7B13" w:rsidRDefault="004E7EF9">
            <w:pPr>
              <w:widowControl w:val="0"/>
              <w:tabs>
                <w:tab w:val="left" w:pos="567"/>
              </w:tabs>
              <w:rPr>
                <w:szCs w:val="22"/>
                <w:lang w:val="pt-PT"/>
              </w:rPr>
            </w:pPr>
            <w:r>
              <w:rPr>
                <w:szCs w:val="22"/>
                <w:lang w:val="pt-PT"/>
              </w:rPr>
              <w:t>Akatizija</w:t>
            </w:r>
          </w:p>
          <w:p w14:paraId="7B7DEA7E" w14:textId="77777777" w:rsidR="00BC7B13" w:rsidRDefault="004E7EF9">
            <w:pPr>
              <w:widowControl w:val="0"/>
              <w:tabs>
                <w:tab w:val="left" w:pos="567"/>
              </w:tabs>
              <w:rPr>
                <w:szCs w:val="22"/>
                <w:lang w:val="pt-PT"/>
              </w:rPr>
            </w:pPr>
            <w:r>
              <w:rPr>
                <w:szCs w:val="22"/>
                <w:lang w:val="pt-PT"/>
              </w:rPr>
              <w:t>Bruksizmas</w:t>
            </w:r>
          </w:p>
          <w:p w14:paraId="2899D092" w14:textId="77777777" w:rsidR="00BC7B13" w:rsidRDefault="004E7EF9">
            <w:pPr>
              <w:widowControl w:val="0"/>
              <w:tabs>
                <w:tab w:val="left" w:pos="567"/>
              </w:tabs>
              <w:rPr>
                <w:szCs w:val="22"/>
                <w:lang w:val="en-GB"/>
              </w:rPr>
            </w:pPr>
            <w:proofErr w:type="spellStart"/>
            <w:r>
              <w:rPr>
                <w:szCs w:val="22"/>
                <w:lang w:val="en-GB"/>
              </w:rPr>
              <w:t>Trizmas</w:t>
            </w:r>
            <w:proofErr w:type="spellEnd"/>
          </w:p>
          <w:p w14:paraId="2FE340FD" w14:textId="77777777" w:rsidR="00BC7B13" w:rsidRDefault="004E7EF9">
            <w:pPr>
              <w:widowControl w:val="0"/>
              <w:tabs>
                <w:tab w:val="left" w:pos="567"/>
              </w:tabs>
              <w:rPr>
                <w:szCs w:val="22"/>
                <w:lang w:val="en-GB"/>
              </w:rPr>
            </w:pPr>
            <w:proofErr w:type="spellStart"/>
            <w:r>
              <w:rPr>
                <w:szCs w:val="22"/>
                <w:lang w:val="en-GB"/>
              </w:rPr>
              <w:t>Neramių</w:t>
            </w:r>
            <w:proofErr w:type="spellEnd"/>
            <w:r>
              <w:rPr>
                <w:szCs w:val="22"/>
                <w:lang w:val="en-GB"/>
              </w:rPr>
              <w:t xml:space="preserve"> </w:t>
            </w:r>
            <w:proofErr w:type="spellStart"/>
            <w:r>
              <w:rPr>
                <w:szCs w:val="22"/>
                <w:lang w:val="en-GB"/>
              </w:rPr>
              <w:t>kojų</w:t>
            </w:r>
            <w:proofErr w:type="spellEnd"/>
            <w:r>
              <w:rPr>
                <w:szCs w:val="22"/>
                <w:lang w:val="en-GB"/>
              </w:rPr>
              <w:t xml:space="preserve"> </w:t>
            </w:r>
            <w:proofErr w:type="spellStart"/>
            <w:r>
              <w:rPr>
                <w:szCs w:val="22"/>
                <w:lang w:val="en-GB"/>
              </w:rPr>
              <w:t>sindromas</w:t>
            </w:r>
            <w:proofErr w:type="spellEnd"/>
          </w:p>
        </w:tc>
      </w:tr>
      <w:tr w:rsidR="00BC7B13" w14:paraId="4EF903A8" w14:textId="77777777">
        <w:trPr>
          <w:trHeight w:val="979"/>
        </w:trPr>
        <w:tc>
          <w:tcPr>
            <w:tcW w:w="3687" w:type="dxa"/>
            <w:vMerge w:val="restart"/>
          </w:tcPr>
          <w:p w14:paraId="2422DAF8" w14:textId="77777777" w:rsidR="00BC7B13" w:rsidRDefault="004E7EF9">
            <w:pPr>
              <w:widowControl w:val="0"/>
              <w:tabs>
                <w:tab w:val="left" w:pos="567"/>
              </w:tabs>
              <w:rPr>
                <w:szCs w:val="22"/>
                <w:lang w:val="en-GB"/>
              </w:rPr>
            </w:pPr>
            <w:proofErr w:type="spellStart"/>
            <w:r>
              <w:rPr>
                <w:szCs w:val="22"/>
                <w:lang w:val="en-GB"/>
              </w:rPr>
              <w:t>Akių</w:t>
            </w:r>
            <w:proofErr w:type="spellEnd"/>
            <w:r>
              <w:rPr>
                <w:szCs w:val="22"/>
                <w:lang w:val="en-GB"/>
              </w:rPr>
              <w:t xml:space="preserve"> </w:t>
            </w:r>
            <w:proofErr w:type="spellStart"/>
            <w:r>
              <w:rPr>
                <w:szCs w:val="22"/>
                <w:lang w:val="en-GB"/>
              </w:rPr>
              <w:t>sutrikimai</w:t>
            </w:r>
            <w:proofErr w:type="spellEnd"/>
          </w:p>
        </w:tc>
        <w:tc>
          <w:tcPr>
            <w:tcW w:w="1843" w:type="dxa"/>
          </w:tcPr>
          <w:p w14:paraId="68371F3A" w14:textId="77777777" w:rsidR="00BC7B13" w:rsidRDefault="004E7EF9">
            <w:pPr>
              <w:widowControl w:val="0"/>
              <w:tabs>
                <w:tab w:val="left" w:pos="567"/>
              </w:tabs>
              <w:rPr>
                <w:szCs w:val="22"/>
                <w:lang w:val="en-GB"/>
              </w:rPr>
            </w:pPr>
            <w:proofErr w:type="spellStart"/>
            <w:r>
              <w:rPr>
                <w:szCs w:val="22"/>
                <w:lang w:val="en-GB"/>
              </w:rPr>
              <w:t>Nedažnas</w:t>
            </w:r>
            <w:proofErr w:type="spellEnd"/>
          </w:p>
        </w:tc>
        <w:tc>
          <w:tcPr>
            <w:tcW w:w="3649" w:type="dxa"/>
          </w:tcPr>
          <w:p w14:paraId="25B5EAAF" w14:textId="77777777" w:rsidR="00BC7B13" w:rsidRDefault="004E7EF9">
            <w:pPr>
              <w:widowControl w:val="0"/>
              <w:tabs>
                <w:tab w:val="left" w:pos="567"/>
              </w:tabs>
              <w:rPr>
                <w:szCs w:val="22"/>
                <w:lang w:val="en-GB"/>
              </w:rPr>
            </w:pPr>
            <w:proofErr w:type="spellStart"/>
            <w:r>
              <w:rPr>
                <w:szCs w:val="22"/>
                <w:lang w:val="en-GB"/>
              </w:rPr>
              <w:t>Neryškus</w:t>
            </w:r>
            <w:proofErr w:type="spellEnd"/>
            <w:r>
              <w:rPr>
                <w:szCs w:val="22"/>
                <w:lang w:val="en-GB"/>
              </w:rPr>
              <w:t xml:space="preserve"> </w:t>
            </w:r>
            <w:proofErr w:type="spellStart"/>
            <w:r>
              <w:rPr>
                <w:szCs w:val="22"/>
                <w:lang w:val="en-GB"/>
              </w:rPr>
              <w:t>matymas</w:t>
            </w:r>
            <w:proofErr w:type="spellEnd"/>
          </w:p>
        </w:tc>
      </w:tr>
      <w:tr w:rsidR="00BC7B13" w14:paraId="00A50DCA" w14:textId="77777777">
        <w:trPr>
          <w:trHeight w:val="979"/>
        </w:trPr>
        <w:tc>
          <w:tcPr>
            <w:tcW w:w="3687" w:type="dxa"/>
            <w:vMerge/>
          </w:tcPr>
          <w:p w14:paraId="420E13D5" w14:textId="77777777" w:rsidR="00BC7B13" w:rsidRDefault="00BC7B13">
            <w:pPr>
              <w:widowControl w:val="0"/>
              <w:tabs>
                <w:tab w:val="left" w:pos="567"/>
              </w:tabs>
              <w:rPr>
                <w:szCs w:val="22"/>
                <w:lang w:val="en-GB"/>
              </w:rPr>
            </w:pPr>
          </w:p>
        </w:tc>
        <w:tc>
          <w:tcPr>
            <w:tcW w:w="1843" w:type="dxa"/>
          </w:tcPr>
          <w:p w14:paraId="311B9704" w14:textId="77777777" w:rsidR="00BC7B13" w:rsidRDefault="004E7EF9">
            <w:pPr>
              <w:widowControl w:val="0"/>
              <w:tabs>
                <w:tab w:val="left" w:pos="567"/>
              </w:tabs>
              <w:rPr>
                <w:szCs w:val="22"/>
                <w:lang w:val="en-GB"/>
              </w:rPr>
            </w:pPr>
            <w:proofErr w:type="spellStart"/>
            <w:r>
              <w:rPr>
                <w:szCs w:val="22"/>
                <w:lang w:val="en-GB"/>
              </w:rPr>
              <w:t>Retas</w:t>
            </w:r>
            <w:proofErr w:type="spellEnd"/>
          </w:p>
        </w:tc>
        <w:tc>
          <w:tcPr>
            <w:tcW w:w="3649" w:type="dxa"/>
          </w:tcPr>
          <w:p w14:paraId="0A7D369E" w14:textId="77777777" w:rsidR="00BC7B13" w:rsidRDefault="004E7EF9">
            <w:pPr>
              <w:widowControl w:val="0"/>
              <w:tabs>
                <w:tab w:val="left" w:pos="567"/>
              </w:tabs>
              <w:rPr>
                <w:szCs w:val="22"/>
                <w:lang w:val="en-GB"/>
              </w:rPr>
            </w:pPr>
            <w:proofErr w:type="spellStart"/>
            <w:r>
              <w:rPr>
                <w:szCs w:val="22"/>
                <w:lang w:val="en-GB"/>
              </w:rPr>
              <w:t>Midriazė</w:t>
            </w:r>
            <w:proofErr w:type="spellEnd"/>
            <w:r>
              <w:rPr>
                <w:szCs w:val="22"/>
                <w:lang w:val="en-GB"/>
              </w:rPr>
              <w:t xml:space="preserve"> (</w:t>
            </w:r>
            <w:proofErr w:type="spellStart"/>
            <w:r>
              <w:rPr>
                <w:szCs w:val="22"/>
                <w:lang w:val="en-GB"/>
              </w:rPr>
              <w:t>galinti</w:t>
            </w:r>
            <w:proofErr w:type="spellEnd"/>
            <w:r>
              <w:rPr>
                <w:szCs w:val="22"/>
                <w:lang w:val="en-GB"/>
              </w:rPr>
              <w:t xml:space="preserve"> </w:t>
            </w:r>
            <w:proofErr w:type="spellStart"/>
            <w:r>
              <w:rPr>
                <w:szCs w:val="22"/>
                <w:lang w:val="en-GB"/>
              </w:rPr>
              <w:t>sukelti</w:t>
            </w:r>
            <w:proofErr w:type="spellEnd"/>
            <w:r>
              <w:rPr>
                <w:szCs w:val="22"/>
                <w:lang w:val="en-GB"/>
              </w:rPr>
              <w:t xml:space="preserve"> </w:t>
            </w:r>
            <w:proofErr w:type="spellStart"/>
            <w:r>
              <w:rPr>
                <w:szCs w:val="22"/>
                <w:lang w:val="en-GB"/>
              </w:rPr>
              <w:t>ūminę</w:t>
            </w:r>
            <w:proofErr w:type="spellEnd"/>
            <w:r>
              <w:rPr>
                <w:szCs w:val="22"/>
                <w:lang w:val="en-GB"/>
              </w:rPr>
              <w:t xml:space="preserve"> </w:t>
            </w:r>
            <w:proofErr w:type="spellStart"/>
            <w:r>
              <w:rPr>
                <w:szCs w:val="22"/>
                <w:lang w:val="en-GB"/>
              </w:rPr>
              <w:t>uždaro</w:t>
            </w:r>
            <w:proofErr w:type="spellEnd"/>
            <w:r>
              <w:rPr>
                <w:szCs w:val="22"/>
                <w:lang w:val="en-GB"/>
              </w:rPr>
              <w:t xml:space="preserve"> </w:t>
            </w:r>
            <w:proofErr w:type="spellStart"/>
            <w:r>
              <w:rPr>
                <w:szCs w:val="22"/>
                <w:lang w:val="en-GB"/>
              </w:rPr>
              <w:t>kampo</w:t>
            </w:r>
            <w:proofErr w:type="spellEnd"/>
            <w:r>
              <w:rPr>
                <w:szCs w:val="22"/>
                <w:lang w:val="en-GB"/>
              </w:rPr>
              <w:t xml:space="preserve"> </w:t>
            </w:r>
            <w:proofErr w:type="spellStart"/>
            <w:r>
              <w:rPr>
                <w:szCs w:val="22"/>
                <w:lang w:val="en-GB"/>
              </w:rPr>
              <w:t>glaukomą</w:t>
            </w:r>
            <w:proofErr w:type="spellEnd"/>
            <w:r>
              <w:rPr>
                <w:szCs w:val="22"/>
                <w:lang w:val="en-GB"/>
              </w:rPr>
              <w:t xml:space="preserve"> – </w:t>
            </w:r>
            <w:proofErr w:type="spellStart"/>
            <w:r>
              <w:rPr>
                <w:szCs w:val="22"/>
                <w:lang w:val="en-GB"/>
              </w:rPr>
              <w:t>žr</w:t>
            </w:r>
            <w:proofErr w:type="spellEnd"/>
            <w:r>
              <w:rPr>
                <w:szCs w:val="22"/>
                <w:lang w:val="en-GB"/>
              </w:rPr>
              <w:t xml:space="preserve">. 4.4 </w:t>
            </w:r>
            <w:proofErr w:type="spellStart"/>
            <w:r>
              <w:rPr>
                <w:szCs w:val="22"/>
                <w:lang w:val="en-GB"/>
              </w:rPr>
              <w:t>skyrių</w:t>
            </w:r>
            <w:proofErr w:type="spellEnd"/>
            <w:r>
              <w:rPr>
                <w:szCs w:val="22"/>
                <w:lang w:val="en-GB"/>
              </w:rPr>
              <w:t>)</w:t>
            </w:r>
          </w:p>
        </w:tc>
      </w:tr>
      <w:tr w:rsidR="00BC7B13" w14:paraId="7E53BA36" w14:textId="77777777">
        <w:trPr>
          <w:trHeight w:val="260"/>
        </w:trPr>
        <w:tc>
          <w:tcPr>
            <w:tcW w:w="3687" w:type="dxa"/>
            <w:vMerge w:val="restart"/>
          </w:tcPr>
          <w:p w14:paraId="570EAF4F" w14:textId="77777777" w:rsidR="00BC7B13" w:rsidRDefault="004E7EF9">
            <w:pPr>
              <w:widowControl w:val="0"/>
              <w:tabs>
                <w:tab w:val="left" w:pos="567"/>
              </w:tabs>
              <w:rPr>
                <w:szCs w:val="22"/>
                <w:lang w:val="en-GB"/>
              </w:rPr>
            </w:pPr>
            <w:proofErr w:type="spellStart"/>
            <w:r>
              <w:rPr>
                <w:szCs w:val="22"/>
                <w:lang w:val="en-GB"/>
              </w:rPr>
              <w:t>Kraujagyslių</w:t>
            </w:r>
            <w:proofErr w:type="spellEnd"/>
            <w:r>
              <w:rPr>
                <w:szCs w:val="22"/>
                <w:lang w:val="en-GB"/>
              </w:rPr>
              <w:t xml:space="preserve"> </w:t>
            </w:r>
            <w:proofErr w:type="spellStart"/>
            <w:r>
              <w:rPr>
                <w:szCs w:val="22"/>
                <w:lang w:val="en-GB"/>
              </w:rPr>
              <w:t>sutrikimai</w:t>
            </w:r>
            <w:proofErr w:type="spellEnd"/>
          </w:p>
        </w:tc>
        <w:tc>
          <w:tcPr>
            <w:tcW w:w="1843" w:type="dxa"/>
          </w:tcPr>
          <w:p w14:paraId="69685AFD" w14:textId="77777777" w:rsidR="00BC7B13" w:rsidRDefault="004E7EF9">
            <w:pPr>
              <w:widowControl w:val="0"/>
              <w:tabs>
                <w:tab w:val="left" w:pos="567"/>
              </w:tabs>
              <w:rPr>
                <w:szCs w:val="22"/>
                <w:lang w:val="en-GB"/>
              </w:rPr>
            </w:pPr>
            <w:proofErr w:type="spellStart"/>
            <w:r>
              <w:rPr>
                <w:szCs w:val="22"/>
                <w:lang w:val="en-GB"/>
              </w:rPr>
              <w:t>Nedažnas</w:t>
            </w:r>
            <w:proofErr w:type="spellEnd"/>
          </w:p>
        </w:tc>
        <w:tc>
          <w:tcPr>
            <w:tcW w:w="3649" w:type="dxa"/>
          </w:tcPr>
          <w:p w14:paraId="637799CA" w14:textId="77777777" w:rsidR="00BC7B13" w:rsidRDefault="004E7EF9">
            <w:pPr>
              <w:widowControl w:val="0"/>
              <w:tabs>
                <w:tab w:val="left" w:pos="567"/>
              </w:tabs>
              <w:rPr>
                <w:szCs w:val="22"/>
                <w:lang w:val="en-GB"/>
              </w:rPr>
            </w:pPr>
            <w:proofErr w:type="spellStart"/>
            <w:r>
              <w:rPr>
                <w:szCs w:val="22"/>
                <w:lang w:val="en-GB"/>
              </w:rPr>
              <w:t>Veido</w:t>
            </w:r>
            <w:proofErr w:type="spellEnd"/>
            <w:r>
              <w:rPr>
                <w:szCs w:val="22"/>
                <w:lang w:val="en-GB"/>
              </w:rPr>
              <w:t xml:space="preserve"> </w:t>
            </w:r>
            <w:proofErr w:type="spellStart"/>
            <w:r>
              <w:rPr>
                <w:szCs w:val="22"/>
                <w:lang w:val="en-GB"/>
              </w:rPr>
              <w:t>ir</w:t>
            </w:r>
            <w:proofErr w:type="spellEnd"/>
            <w:r>
              <w:rPr>
                <w:szCs w:val="22"/>
                <w:lang w:val="en-GB"/>
              </w:rPr>
              <w:t xml:space="preserve"> </w:t>
            </w:r>
            <w:proofErr w:type="spellStart"/>
            <w:r>
              <w:rPr>
                <w:szCs w:val="22"/>
                <w:lang w:val="en-GB"/>
              </w:rPr>
              <w:t>kaklo</w:t>
            </w:r>
            <w:proofErr w:type="spellEnd"/>
            <w:r>
              <w:rPr>
                <w:szCs w:val="22"/>
                <w:lang w:val="en-GB"/>
              </w:rPr>
              <w:t xml:space="preserve"> </w:t>
            </w:r>
            <w:proofErr w:type="spellStart"/>
            <w:r>
              <w:rPr>
                <w:szCs w:val="22"/>
                <w:lang w:val="en-GB"/>
              </w:rPr>
              <w:t>paraudimas</w:t>
            </w:r>
            <w:proofErr w:type="spellEnd"/>
          </w:p>
        </w:tc>
      </w:tr>
      <w:tr w:rsidR="00BC7B13" w14:paraId="5AA06167" w14:textId="77777777">
        <w:trPr>
          <w:trHeight w:val="780"/>
        </w:trPr>
        <w:tc>
          <w:tcPr>
            <w:tcW w:w="3687" w:type="dxa"/>
            <w:vMerge/>
            <w:tcBorders>
              <w:top w:val="nil"/>
            </w:tcBorders>
          </w:tcPr>
          <w:p w14:paraId="6D1BB608" w14:textId="77777777" w:rsidR="00BC7B13" w:rsidRDefault="00BC7B13">
            <w:pPr>
              <w:widowControl w:val="0"/>
              <w:tabs>
                <w:tab w:val="left" w:pos="567"/>
              </w:tabs>
              <w:rPr>
                <w:szCs w:val="22"/>
                <w:lang w:val="en-GB"/>
              </w:rPr>
            </w:pPr>
          </w:p>
        </w:tc>
        <w:tc>
          <w:tcPr>
            <w:tcW w:w="1843" w:type="dxa"/>
          </w:tcPr>
          <w:p w14:paraId="5B233A08"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Pr>
          <w:p w14:paraId="717618C0" w14:textId="77777777" w:rsidR="00BC7B13" w:rsidRDefault="004E7EF9">
            <w:pPr>
              <w:widowControl w:val="0"/>
              <w:tabs>
                <w:tab w:val="left" w:pos="567"/>
              </w:tabs>
              <w:rPr>
                <w:szCs w:val="22"/>
                <w:lang w:val="en-GB"/>
              </w:rPr>
            </w:pPr>
            <w:proofErr w:type="spellStart"/>
            <w:r>
              <w:rPr>
                <w:szCs w:val="22"/>
                <w:lang w:val="en-GB"/>
              </w:rPr>
              <w:t>Hemoragija</w:t>
            </w:r>
            <w:proofErr w:type="spellEnd"/>
            <w:r>
              <w:rPr>
                <w:szCs w:val="22"/>
                <w:lang w:val="en-GB"/>
              </w:rPr>
              <w:t xml:space="preserve"> (</w:t>
            </w:r>
            <w:proofErr w:type="spellStart"/>
            <w:r>
              <w:rPr>
                <w:szCs w:val="22"/>
                <w:lang w:val="en-GB"/>
              </w:rPr>
              <w:t>įskaitant</w:t>
            </w:r>
            <w:proofErr w:type="spellEnd"/>
            <w:r>
              <w:rPr>
                <w:szCs w:val="22"/>
                <w:lang w:val="en-GB"/>
              </w:rPr>
              <w:t xml:space="preserve"> </w:t>
            </w:r>
            <w:proofErr w:type="spellStart"/>
            <w:r>
              <w:rPr>
                <w:szCs w:val="22"/>
                <w:lang w:val="en-GB"/>
              </w:rPr>
              <w:t>kraujosruvą</w:t>
            </w:r>
            <w:proofErr w:type="spellEnd"/>
            <w:r>
              <w:rPr>
                <w:szCs w:val="22"/>
                <w:lang w:val="en-GB"/>
              </w:rPr>
              <w:t xml:space="preserve">, </w:t>
            </w:r>
            <w:proofErr w:type="spellStart"/>
            <w:r>
              <w:rPr>
                <w:szCs w:val="22"/>
                <w:lang w:val="en-GB"/>
              </w:rPr>
              <w:t>ekchimozę</w:t>
            </w:r>
            <w:proofErr w:type="spellEnd"/>
            <w:r>
              <w:rPr>
                <w:szCs w:val="22"/>
                <w:lang w:val="en-GB"/>
              </w:rPr>
              <w:t xml:space="preserve">, </w:t>
            </w:r>
            <w:proofErr w:type="spellStart"/>
            <w:r>
              <w:rPr>
                <w:szCs w:val="22"/>
                <w:lang w:val="en-GB"/>
              </w:rPr>
              <w:t>kraujavimą</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nosies</w:t>
            </w:r>
            <w:proofErr w:type="spellEnd"/>
            <w:r>
              <w:rPr>
                <w:szCs w:val="22"/>
                <w:lang w:val="en-GB"/>
              </w:rPr>
              <w:t xml:space="preserve"> [</w:t>
            </w:r>
            <w:proofErr w:type="spellStart"/>
            <w:r>
              <w:rPr>
                <w:szCs w:val="22"/>
                <w:lang w:val="en-GB"/>
              </w:rPr>
              <w:t>epistaksę</w:t>
            </w:r>
            <w:proofErr w:type="spellEnd"/>
            <w:r>
              <w:rPr>
                <w:szCs w:val="22"/>
                <w:lang w:val="en-GB"/>
              </w:rPr>
              <w:t xml:space="preserve">], </w:t>
            </w:r>
            <w:proofErr w:type="spellStart"/>
            <w:r>
              <w:rPr>
                <w:szCs w:val="22"/>
                <w:lang w:val="en-GB"/>
              </w:rPr>
              <w:t>kraujavimą</w:t>
            </w:r>
            <w:proofErr w:type="spellEnd"/>
            <w:r>
              <w:rPr>
                <w:szCs w:val="22"/>
                <w:lang w:val="en-GB"/>
              </w:rPr>
              <w:t xml:space="preserve"> </w:t>
            </w:r>
            <w:proofErr w:type="spellStart"/>
            <w:r>
              <w:rPr>
                <w:szCs w:val="22"/>
                <w:lang w:val="en-GB"/>
              </w:rPr>
              <w:t>iš</w:t>
            </w:r>
            <w:proofErr w:type="spellEnd"/>
            <w:r>
              <w:rPr>
                <w:szCs w:val="22"/>
                <w:lang w:val="en-GB"/>
              </w:rPr>
              <w:t xml:space="preserve"> </w:t>
            </w: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ar</w:t>
            </w:r>
            <w:proofErr w:type="spellEnd"/>
            <w:r>
              <w:rPr>
                <w:szCs w:val="22"/>
                <w:lang w:val="en-GB"/>
              </w:rPr>
              <w:t xml:space="preserve"> </w:t>
            </w:r>
            <w:proofErr w:type="spellStart"/>
            <w:r>
              <w:rPr>
                <w:szCs w:val="22"/>
                <w:lang w:val="en-GB"/>
              </w:rPr>
              <w:t>makšties</w:t>
            </w:r>
            <w:proofErr w:type="spellEnd"/>
            <w:r>
              <w:rPr>
                <w:szCs w:val="22"/>
                <w:lang w:val="en-GB"/>
              </w:rPr>
              <w:t>)</w:t>
            </w:r>
          </w:p>
        </w:tc>
      </w:tr>
      <w:tr w:rsidR="00BC7B13" w14:paraId="71C067B7" w14:textId="77777777">
        <w:trPr>
          <w:trHeight w:val="260"/>
        </w:trPr>
        <w:tc>
          <w:tcPr>
            <w:tcW w:w="3687" w:type="dxa"/>
            <w:vMerge w:val="restart"/>
          </w:tcPr>
          <w:p w14:paraId="55C59CBC" w14:textId="77777777" w:rsidR="00BC7B13" w:rsidRDefault="004E7EF9">
            <w:pPr>
              <w:widowControl w:val="0"/>
              <w:tabs>
                <w:tab w:val="left" w:pos="567"/>
              </w:tabs>
              <w:rPr>
                <w:szCs w:val="22"/>
                <w:lang w:val="en-GB"/>
              </w:rPr>
            </w:pPr>
            <w:proofErr w:type="spellStart"/>
            <w:r>
              <w:rPr>
                <w:szCs w:val="22"/>
                <w:lang w:val="en-GB"/>
              </w:rPr>
              <w:t>Virškinimo</w:t>
            </w:r>
            <w:proofErr w:type="spellEnd"/>
            <w:r>
              <w:rPr>
                <w:szCs w:val="22"/>
                <w:lang w:val="en-GB"/>
              </w:rPr>
              <w:t xml:space="preserve"> </w:t>
            </w:r>
            <w:proofErr w:type="spellStart"/>
            <w:r>
              <w:rPr>
                <w:szCs w:val="22"/>
                <w:lang w:val="en-GB"/>
              </w:rPr>
              <w:t>trakto</w:t>
            </w:r>
            <w:proofErr w:type="spellEnd"/>
            <w:r>
              <w:rPr>
                <w:szCs w:val="22"/>
                <w:lang w:val="en-GB"/>
              </w:rPr>
              <w:t xml:space="preserve"> </w:t>
            </w:r>
            <w:proofErr w:type="spellStart"/>
            <w:r>
              <w:rPr>
                <w:szCs w:val="22"/>
                <w:lang w:val="en-GB"/>
              </w:rPr>
              <w:t>sutrikimai</w:t>
            </w:r>
            <w:proofErr w:type="spellEnd"/>
          </w:p>
        </w:tc>
        <w:tc>
          <w:tcPr>
            <w:tcW w:w="1843" w:type="dxa"/>
          </w:tcPr>
          <w:p w14:paraId="191ABCDA" w14:textId="77777777" w:rsidR="00BC7B13" w:rsidRDefault="004E7EF9">
            <w:pPr>
              <w:widowControl w:val="0"/>
              <w:tabs>
                <w:tab w:val="left" w:pos="567"/>
              </w:tabs>
              <w:rPr>
                <w:szCs w:val="22"/>
                <w:lang w:val="en-GB"/>
              </w:rPr>
            </w:pPr>
            <w:proofErr w:type="spellStart"/>
            <w:r>
              <w:rPr>
                <w:szCs w:val="22"/>
                <w:lang w:val="en-GB"/>
              </w:rPr>
              <w:t>Labai</w:t>
            </w:r>
            <w:proofErr w:type="spellEnd"/>
            <w:r>
              <w:rPr>
                <w:szCs w:val="22"/>
                <w:lang w:val="en-GB"/>
              </w:rPr>
              <w:t xml:space="preserve"> </w:t>
            </w:r>
            <w:proofErr w:type="spellStart"/>
            <w:r>
              <w:rPr>
                <w:szCs w:val="22"/>
                <w:lang w:val="en-GB"/>
              </w:rPr>
              <w:t>dažnas</w:t>
            </w:r>
            <w:proofErr w:type="spellEnd"/>
          </w:p>
        </w:tc>
        <w:tc>
          <w:tcPr>
            <w:tcW w:w="3649" w:type="dxa"/>
          </w:tcPr>
          <w:p w14:paraId="31CBC7E5" w14:textId="77777777" w:rsidR="00BC7B13" w:rsidRDefault="004E7EF9">
            <w:pPr>
              <w:widowControl w:val="0"/>
              <w:tabs>
                <w:tab w:val="left" w:pos="567"/>
              </w:tabs>
              <w:rPr>
                <w:szCs w:val="22"/>
                <w:lang w:val="en-GB"/>
              </w:rPr>
            </w:pPr>
            <w:proofErr w:type="spellStart"/>
            <w:r>
              <w:rPr>
                <w:szCs w:val="22"/>
                <w:lang w:val="en-GB"/>
              </w:rPr>
              <w:t>Pykinimas</w:t>
            </w:r>
            <w:proofErr w:type="spellEnd"/>
          </w:p>
        </w:tc>
      </w:tr>
      <w:tr w:rsidR="00BC7B13" w14:paraId="2D7E49E6" w14:textId="77777777">
        <w:trPr>
          <w:trHeight w:val="779"/>
        </w:trPr>
        <w:tc>
          <w:tcPr>
            <w:tcW w:w="3687" w:type="dxa"/>
            <w:vMerge/>
            <w:tcBorders>
              <w:top w:val="nil"/>
            </w:tcBorders>
          </w:tcPr>
          <w:p w14:paraId="7D57DB47" w14:textId="77777777" w:rsidR="00BC7B13" w:rsidRDefault="00BC7B13">
            <w:pPr>
              <w:widowControl w:val="0"/>
              <w:tabs>
                <w:tab w:val="left" w:pos="567"/>
              </w:tabs>
              <w:rPr>
                <w:szCs w:val="22"/>
                <w:lang w:val="en-GB"/>
              </w:rPr>
            </w:pPr>
          </w:p>
        </w:tc>
        <w:tc>
          <w:tcPr>
            <w:tcW w:w="1843" w:type="dxa"/>
          </w:tcPr>
          <w:p w14:paraId="2E84201D" w14:textId="77777777" w:rsidR="00BC7B13" w:rsidRDefault="004E7EF9">
            <w:pPr>
              <w:widowControl w:val="0"/>
              <w:tabs>
                <w:tab w:val="left" w:pos="567"/>
              </w:tabs>
              <w:rPr>
                <w:szCs w:val="22"/>
                <w:lang w:val="en-GB"/>
              </w:rPr>
            </w:pPr>
            <w:proofErr w:type="spellStart"/>
            <w:r>
              <w:rPr>
                <w:szCs w:val="22"/>
                <w:lang w:val="en-GB"/>
              </w:rPr>
              <w:t>Dažnas</w:t>
            </w:r>
            <w:proofErr w:type="spellEnd"/>
          </w:p>
        </w:tc>
        <w:tc>
          <w:tcPr>
            <w:tcW w:w="3649" w:type="dxa"/>
          </w:tcPr>
          <w:p w14:paraId="1DD0D2FA" w14:textId="77777777" w:rsidR="00BC7B13" w:rsidRDefault="004E7EF9">
            <w:pPr>
              <w:widowControl w:val="0"/>
              <w:tabs>
                <w:tab w:val="left" w:pos="567"/>
              </w:tabs>
              <w:rPr>
                <w:szCs w:val="22"/>
                <w:lang w:val="pt-PT"/>
              </w:rPr>
            </w:pPr>
            <w:r>
              <w:rPr>
                <w:szCs w:val="22"/>
                <w:lang w:val="pt-PT"/>
              </w:rPr>
              <w:t>Viduriavimas</w:t>
            </w:r>
          </w:p>
          <w:p w14:paraId="6F3A7D82" w14:textId="77777777" w:rsidR="00BC7B13" w:rsidRDefault="004E7EF9">
            <w:pPr>
              <w:widowControl w:val="0"/>
              <w:tabs>
                <w:tab w:val="left" w:pos="567"/>
              </w:tabs>
              <w:rPr>
                <w:szCs w:val="22"/>
                <w:lang w:val="pt-PT"/>
              </w:rPr>
            </w:pPr>
            <w:r>
              <w:rPr>
                <w:szCs w:val="22"/>
                <w:lang w:val="pt-PT"/>
              </w:rPr>
              <w:t>Vidurių užkietėjimas</w:t>
            </w:r>
          </w:p>
          <w:p w14:paraId="31EDE960" w14:textId="77777777" w:rsidR="00BC7B13" w:rsidRDefault="004E7EF9">
            <w:pPr>
              <w:widowControl w:val="0"/>
              <w:tabs>
                <w:tab w:val="left" w:pos="567"/>
              </w:tabs>
              <w:rPr>
                <w:szCs w:val="22"/>
                <w:lang w:val="pt-PT"/>
              </w:rPr>
            </w:pPr>
            <w:r>
              <w:rPr>
                <w:szCs w:val="22"/>
                <w:lang w:val="pt-PT"/>
              </w:rPr>
              <w:t>Vėmimas</w:t>
            </w:r>
          </w:p>
          <w:p w14:paraId="0F1ED92D" w14:textId="77777777" w:rsidR="00BC7B13" w:rsidRDefault="004E7EF9">
            <w:pPr>
              <w:widowControl w:val="0"/>
              <w:tabs>
                <w:tab w:val="left" w:pos="567"/>
              </w:tabs>
              <w:rPr>
                <w:szCs w:val="22"/>
                <w:lang w:val="pt-PT"/>
              </w:rPr>
            </w:pPr>
            <w:r>
              <w:rPr>
                <w:szCs w:val="22"/>
                <w:lang w:val="pt-PT"/>
              </w:rPr>
              <w:t>Dispepsija</w:t>
            </w:r>
          </w:p>
        </w:tc>
      </w:tr>
      <w:tr w:rsidR="00BC7B13" w14:paraId="06113183" w14:textId="77777777">
        <w:trPr>
          <w:trHeight w:val="780"/>
        </w:trPr>
        <w:tc>
          <w:tcPr>
            <w:tcW w:w="3687" w:type="dxa"/>
            <w:vMerge w:val="restart"/>
          </w:tcPr>
          <w:p w14:paraId="60E5B905" w14:textId="77777777" w:rsidR="00BC7B13" w:rsidRDefault="004E7EF9">
            <w:pPr>
              <w:widowControl w:val="0"/>
              <w:tabs>
                <w:tab w:val="left" w:pos="567"/>
              </w:tabs>
              <w:rPr>
                <w:szCs w:val="22"/>
                <w:lang w:val="pt-PT"/>
              </w:rPr>
            </w:pPr>
            <w:r>
              <w:rPr>
                <w:szCs w:val="22"/>
                <w:lang w:val="pt-PT"/>
              </w:rPr>
              <w:t>Odos ir poodinio audinio sutrikimai</w:t>
            </w:r>
          </w:p>
        </w:tc>
        <w:tc>
          <w:tcPr>
            <w:tcW w:w="1843" w:type="dxa"/>
          </w:tcPr>
          <w:p w14:paraId="67F7E50F" w14:textId="77777777" w:rsidR="00BC7B13" w:rsidRDefault="004E7EF9">
            <w:pPr>
              <w:widowControl w:val="0"/>
              <w:tabs>
                <w:tab w:val="left" w:pos="567"/>
              </w:tabs>
              <w:rPr>
                <w:szCs w:val="22"/>
                <w:lang w:val="en-GB"/>
              </w:rPr>
            </w:pPr>
            <w:proofErr w:type="spellStart"/>
            <w:r>
              <w:rPr>
                <w:szCs w:val="22"/>
                <w:lang w:val="en-GB"/>
              </w:rPr>
              <w:t>Dažnas</w:t>
            </w:r>
            <w:proofErr w:type="spellEnd"/>
          </w:p>
        </w:tc>
        <w:tc>
          <w:tcPr>
            <w:tcW w:w="3649" w:type="dxa"/>
          </w:tcPr>
          <w:p w14:paraId="2C1B4E09" w14:textId="77777777" w:rsidR="00BC7B13" w:rsidRDefault="004E7EF9">
            <w:pPr>
              <w:widowControl w:val="0"/>
              <w:tabs>
                <w:tab w:val="left" w:pos="567"/>
              </w:tabs>
              <w:rPr>
                <w:szCs w:val="22"/>
                <w:lang w:val="en-GB"/>
              </w:rPr>
            </w:pPr>
            <w:proofErr w:type="spellStart"/>
            <w:r>
              <w:rPr>
                <w:szCs w:val="22"/>
                <w:lang w:val="en-GB"/>
              </w:rPr>
              <w:t>Niežulys</w:t>
            </w:r>
            <w:proofErr w:type="spellEnd"/>
            <w:r>
              <w:rPr>
                <w:szCs w:val="22"/>
                <w:lang w:val="en-GB"/>
              </w:rPr>
              <w:t xml:space="preserve">, </w:t>
            </w:r>
            <w:proofErr w:type="spellStart"/>
            <w:r>
              <w:rPr>
                <w:szCs w:val="22"/>
                <w:lang w:val="en-GB"/>
              </w:rPr>
              <w:t>įskaitant</w:t>
            </w:r>
            <w:proofErr w:type="spellEnd"/>
            <w:r>
              <w:rPr>
                <w:szCs w:val="22"/>
                <w:lang w:val="en-GB"/>
              </w:rPr>
              <w:t xml:space="preserve"> </w:t>
            </w:r>
            <w:proofErr w:type="spellStart"/>
            <w:r>
              <w:rPr>
                <w:szCs w:val="22"/>
                <w:lang w:val="en-GB"/>
              </w:rPr>
              <w:t>išplitusį</w:t>
            </w:r>
            <w:proofErr w:type="spellEnd"/>
            <w:r>
              <w:rPr>
                <w:szCs w:val="22"/>
                <w:lang w:val="en-GB"/>
              </w:rPr>
              <w:t xml:space="preserve"> </w:t>
            </w:r>
            <w:proofErr w:type="spellStart"/>
            <w:r>
              <w:rPr>
                <w:szCs w:val="22"/>
                <w:lang w:val="en-GB"/>
              </w:rPr>
              <w:t>niežulį</w:t>
            </w:r>
            <w:proofErr w:type="spellEnd"/>
          </w:p>
          <w:p w14:paraId="2E8D8417" w14:textId="77777777" w:rsidR="00BC7B13" w:rsidRDefault="004E7EF9">
            <w:pPr>
              <w:widowControl w:val="0"/>
              <w:tabs>
                <w:tab w:val="left" w:pos="567"/>
              </w:tabs>
              <w:rPr>
                <w:szCs w:val="22"/>
                <w:lang w:val="en-GB"/>
              </w:rPr>
            </w:pPr>
            <w:proofErr w:type="spellStart"/>
            <w:r>
              <w:rPr>
                <w:szCs w:val="22"/>
                <w:lang w:val="en-GB"/>
              </w:rPr>
              <w:t>Hiperhidrozė</w:t>
            </w:r>
            <w:proofErr w:type="spellEnd"/>
          </w:p>
        </w:tc>
      </w:tr>
      <w:tr w:rsidR="00BC7B13" w14:paraId="4158F132" w14:textId="77777777">
        <w:trPr>
          <w:trHeight w:val="260"/>
        </w:trPr>
        <w:tc>
          <w:tcPr>
            <w:tcW w:w="3687" w:type="dxa"/>
            <w:vMerge/>
            <w:tcBorders>
              <w:top w:val="nil"/>
            </w:tcBorders>
          </w:tcPr>
          <w:p w14:paraId="5CA5292F" w14:textId="77777777" w:rsidR="00BC7B13" w:rsidRDefault="00BC7B13">
            <w:pPr>
              <w:widowControl w:val="0"/>
              <w:tabs>
                <w:tab w:val="left" w:pos="567"/>
              </w:tabs>
              <w:rPr>
                <w:szCs w:val="22"/>
                <w:lang w:val="en-GB"/>
              </w:rPr>
            </w:pPr>
          </w:p>
        </w:tc>
        <w:tc>
          <w:tcPr>
            <w:tcW w:w="1843" w:type="dxa"/>
          </w:tcPr>
          <w:p w14:paraId="4729CB90" w14:textId="77777777" w:rsidR="00BC7B13" w:rsidRDefault="004E7EF9">
            <w:pPr>
              <w:widowControl w:val="0"/>
              <w:tabs>
                <w:tab w:val="left" w:pos="567"/>
              </w:tabs>
              <w:rPr>
                <w:szCs w:val="22"/>
                <w:lang w:val="en-GB"/>
              </w:rPr>
            </w:pPr>
            <w:proofErr w:type="spellStart"/>
            <w:r>
              <w:rPr>
                <w:szCs w:val="22"/>
                <w:lang w:val="en-GB"/>
              </w:rPr>
              <w:t>Nedažnas</w:t>
            </w:r>
            <w:proofErr w:type="spellEnd"/>
          </w:p>
        </w:tc>
        <w:tc>
          <w:tcPr>
            <w:tcW w:w="3649" w:type="dxa"/>
          </w:tcPr>
          <w:p w14:paraId="297324D6" w14:textId="77777777" w:rsidR="00BC7B13" w:rsidRDefault="004E7EF9">
            <w:pPr>
              <w:widowControl w:val="0"/>
              <w:tabs>
                <w:tab w:val="left" w:pos="567"/>
              </w:tabs>
              <w:rPr>
                <w:szCs w:val="22"/>
                <w:lang w:val="en-GB"/>
              </w:rPr>
            </w:pPr>
            <w:proofErr w:type="spellStart"/>
            <w:r>
              <w:rPr>
                <w:szCs w:val="22"/>
                <w:lang w:val="en-GB"/>
              </w:rPr>
              <w:t>Prakaitavimas</w:t>
            </w:r>
            <w:proofErr w:type="spellEnd"/>
            <w:r>
              <w:rPr>
                <w:szCs w:val="22"/>
                <w:lang w:val="en-GB"/>
              </w:rPr>
              <w:t xml:space="preserve"> </w:t>
            </w:r>
            <w:proofErr w:type="spellStart"/>
            <w:r>
              <w:rPr>
                <w:szCs w:val="22"/>
                <w:lang w:val="en-GB"/>
              </w:rPr>
              <w:t>naktimis</w:t>
            </w:r>
            <w:proofErr w:type="spellEnd"/>
          </w:p>
        </w:tc>
      </w:tr>
      <w:tr w:rsidR="00BC7B13" w14:paraId="1205F025" w14:textId="77777777">
        <w:trPr>
          <w:trHeight w:val="780"/>
        </w:trPr>
        <w:tc>
          <w:tcPr>
            <w:tcW w:w="3687" w:type="dxa"/>
            <w:vMerge/>
            <w:tcBorders>
              <w:top w:val="nil"/>
              <w:bottom w:val="single" w:sz="4" w:space="0" w:color="auto"/>
            </w:tcBorders>
          </w:tcPr>
          <w:p w14:paraId="0C29E1A3" w14:textId="77777777" w:rsidR="00BC7B13" w:rsidRDefault="00BC7B13">
            <w:pPr>
              <w:widowControl w:val="0"/>
              <w:tabs>
                <w:tab w:val="left" w:pos="567"/>
              </w:tabs>
              <w:rPr>
                <w:szCs w:val="22"/>
                <w:lang w:val="en-GB"/>
              </w:rPr>
            </w:pPr>
          </w:p>
        </w:tc>
        <w:tc>
          <w:tcPr>
            <w:tcW w:w="1843" w:type="dxa"/>
            <w:tcBorders>
              <w:bottom w:val="single" w:sz="4" w:space="0" w:color="auto"/>
            </w:tcBorders>
          </w:tcPr>
          <w:p w14:paraId="3DC1CEDB"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Borders>
              <w:bottom w:val="single" w:sz="4" w:space="0" w:color="auto"/>
            </w:tcBorders>
          </w:tcPr>
          <w:p w14:paraId="4F297A94" w14:textId="77777777" w:rsidR="00BC7B13" w:rsidRDefault="004E7EF9">
            <w:pPr>
              <w:widowControl w:val="0"/>
              <w:tabs>
                <w:tab w:val="left" w:pos="567"/>
              </w:tabs>
              <w:rPr>
                <w:szCs w:val="22"/>
                <w:lang w:val="pt-PT"/>
              </w:rPr>
            </w:pPr>
            <w:r>
              <w:rPr>
                <w:szCs w:val="22"/>
                <w:lang w:val="pt-PT"/>
              </w:rPr>
              <w:t>Angioneurozinė edema</w:t>
            </w:r>
          </w:p>
          <w:p w14:paraId="05506380" w14:textId="77777777" w:rsidR="00BC7B13" w:rsidRDefault="004E7EF9">
            <w:pPr>
              <w:widowControl w:val="0"/>
              <w:tabs>
                <w:tab w:val="left" w:pos="567"/>
              </w:tabs>
              <w:rPr>
                <w:szCs w:val="22"/>
                <w:lang w:val="pt-PT"/>
              </w:rPr>
            </w:pPr>
            <w:r>
              <w:rPr>
                <w:szCs w:val="22"/>
                <w:lang w:val="pt-PT"/>
              </w:rPr>
              <w:t>Urtikarija (dilgėlinė)</w:t>
            </w:r>
          </w:p>
          <w:p w14:paraId="7805CFE8" w14:textId="77777777" w:rsidR="00BC7B13" w:rsidRDefault="004E7EF9">
            <w:pPr>
              <w:widowControl w:val="0"/>
              <w:tabs>
                <w:tab w:val="left" w:pos="567"/>
              </w:tabs>
              <w:rPr>
                <w:szCs w:val="22"/>
                <w:lang w:val="pt-PT"/>
              </w:rPr>
            </w:pPr>
            <w:r>
              <w:rPr>
                <w:szCs w:val="22"/>
                <w:lang w:val="pt-PT"/>
              </w:rPr>
              <w:t>Bėrimas</w:t>
            </w:r>
          </w:p>
        </w:tc>
      </w:tr>
      <w:tr w:rsidR="00BC7B13" w14:paraId="05001CFA" w14:textId="77777777">
        <w:trPr>
          <w:trHeight w:val="780"/>
        </w:trPr>
        <w:tc>
          <w:tcPr>
            <w:tcW w:w="3687" w:type="dxa"/>
            <w:tcBorders>
              <w:top w:val="single" w:sz="4" w:space="0" w:color="auto"/>
              <w:left w:val="single" w:sz="4" w:space="0" w:color="auto"/>
              <w:bottom w:val="single" w:sz="4" w:space="0" w:color="auto"/>
              <w:right w:val="single" w:sz="4" w:space="0" w:color="auto"/>
            </w:tcBorders>
          </w:tcPr>
          <w:p w14:paraId="08DA6E79" w14:textId="77777777" w:rsidR="00BC7B13" w:rsidRDefault="004E7EF9">
            <w:pPr>
              <w:widowControl w:val="0"/>
              <w:tabs>
                <w:tab w:val="left" w:pos="567"/>
              </w:tabs>
              <w:rPr>
                <w:szCs w:val="22"/>
                <w:lang w:val="pt-PT"/>
              </w:rPr>
            </w:pPr>
            <w:r>
              <w:rPr>
                <w:szCs w:val="22"/>
                <w:lang w:val="pt-PT"/>
              </w:rPr>
              <w:t>Bendrieji sutrikimai ir vartojimo vietos pažeidimai</w:t>
            </w:r>
          </w:p>
        </w:tc>
        <w:tc>
          <w:tcPr>
            <w:tcW w:w="1843" w:type="dxa"/>
            <w:tcBorders>
              <w:top w:val="single" w:sz="4" w:space="0" w:color="auto"/>
              <w:left w:val="single" w:sz="4" w:space="0" w:color="auto"/>
              <w:bottom w:val="single" w:sz="4" w:space="0" w:color="auto"/>
              <w:right w:val="single" w:sz="4" w:space="0" w:color="auto"/>
            </w:tcBorders>
          </w:tcPr>
          <w:p w14:paraId="3ECCBFD2" w14:textId="77777777" w:rsidR="00BC7B13" w:rsidRDefault="004E7EF9">
            <w:pPr>
              <w:widowControl w:val="0"/>
              <w:tabs>
                <w:tab w:val="left" w:pos="567"/>
              </w:tabs>
              <w:rPr>
                <w:szCs w:val="22"/>
                <w:lang w:val="en-GB"/>
              </w:rPr>
            </w:pPr>
            <w:proofErr w:type="spellStart"/>
            <w:r>
              <w:rPr>
                <w:szCs w:val="22"/>
                <w:lang w:val="en-GB"/>
              </w:rPr>
              <w:t>Nežinomas</w:t>
            </w:r>
            <w:proofErr w:type="spellEnd"/>
            <w:r>
              <w:rPr>
                <w:szCs w:val="22"/>
                <w:lang w:val="en-GB"/>
              </w:rPr>
              <w:t>*</w:t>
            </w:r>
          </w:p>
        </w:tc>
        <w:tc>
          <w:tcPr>
            <w:tcW w:w="3649" w:type="dxa"/>
            <w:tcBorders>
              <w:top w:val="single" w:sz="4" w:space="0" w:color="auto"/>
              <w:left w:val="single" w:sz="4" w:space="0" w:color="auto"/>
              <w:bottom w:val="single" w:sz="4" w:space="0" w:color="auto"/>
              <w:right w:val="single" w:sz="4" w:space="0" w:color="auto"/>
            </w:tcBorders>
          </w:tcPr>
          <w:p w14:paraId="4FE7A70A" w14:textId="77777777" w:rsidR="00BC7B13" w:rsidRDefault="004E7EF9">
            <w:pPr>
              <w:widowControl w:val="0"/>
              <w:tabs>
                <w:tab w:val="left" w:pos="567"/>
              </w:tabs>
              <w:rPr>
                <w:szCs w:val="22"/>
                <w:lang w:val="en-GB"/>
              </w:rPr>
            </w:pPr>
            <w:proofErr w:type="spellStart"/>
            <w:r>
              <w:rPr>
                <w:szCs w:val="22"/>
                <w:lang w:val="en-GB"/>
              </w:rPr>
              <w:t>Nutraukimo</w:t>
            </w:r>
            <w:proofErr w:type="spellEnd"/>
            <w:r>
              <w:rPr>
                <w:szCs w:val="22"/>
                <w:lang w:val="en-GB"/>
              </w:rPr>
              <w:t xml:space="preserve"> </w:t>
            </w:r>
            <w:proofErr w:type="spellStart"/>
            <w:r>
              <w:rPr>
                <w:szCs w:val="22"/>
                <w:lang w:val="en-GB"/>
              </w:rPr>
              <w:t>sindromas</w:t>
            </w:r>
            <w:proofErr w:type="spellEnd"/>
          </w:p>
        </w:tc>
      </w:tr>
    </w:tbl>
    <w:p w14:paraId="70645D56" w14:textId="77777777" w:rsidR="00BC7B13" w:rsidRDefault="004E7EF9">
      <w:pPr>
        <w:ind w:left="567" w:hanging="567"/>
      </w:pPr>
      <w:r>
        <w:t>* Grindžiant po vaistinio preparato išleidimo į rinką atvejais</w:t>
      </w:r>
    </w:p>
    <w:p w14:paraId="555DA720" w14:textId="77777777" w:rsidR="00BC7B13" w:rsidRDefault="00BC7B13">
      <w:pPr>
        <w:ind w:left="567" w:hanging="567"/>
        <w:rPr>
          <w:b/>
        </w:rPr>
      </w:pPr>
    </w:p>
    <w:p w14:paraId="04E14C46" w14:textId="77777777" w:rsidR="00BC7B13" w:rsidRDefault="004E7EF9">
      <w:pPr>
        <w:rPr>
          <w:u w:val="single"/>
        </w:rPr>
      </w:pPr>
      <w:r>
        <w:rPr>
          <w:u w:val="single"/>
        </w:rPr>
        <w:t>Atrinktų nepageidaujamų reakcijų apibūdinimas</w:t>
      </w:r>
    </w:p>
    <w:p w14:paraId="5237BE25" w14:textId="77777777" w:rsidR="00BC7B13" w:rsidRDefault="00BC7B13"/>
    <w:p w14:paraId="3F866B6E" w14:textId="77777777" w:rsidR="00BC7B13" w:rsidRDefault="004E7EF9">
      <w:pPr>
        <w:rPr>
          <w:i/>
          <w:iCs/>
        </w:rPr>
      </w:pPr>
      <w:r>
        <w:rPr>
          <w:i/>
          <w:iCs/>
        </w:rPr>
        <w:t>Pykinimas</w:t>
      </w:r>
    </w:p>
    <w:p w14:paraId="22D43A92" w14:textId="77777777" w:rsidR="00BC7B13" w:rsidRDefault="004E7EF9">
      <w:r>
        <w:t>Pykinimas dažniausiai buvo lengvas ar vidutinio sunkumo ir pasireiškė per pirmąsias dvi gydymo savaites. Reakcijos paprastai buvo trumpalaikės ir dėl jų gydymo nutraukti dažniausiai neprireikė. Nepageidaujamų virškinimo trakto reakcijų, pavyzdžiui, pykinimo atvejų, dažniau pasireiškė moterims nei vyrams.</w:t>
      </w:r>
    </w:p>
    <w:p w14:paraId="42D7C430" w14:textId="77777777" w:rsidR="00BC7B13" w:rsidRDefault="00BC7B13"/>
    <w:p w14:paraId="6A8E3469" w14:textId="77777777" w:rsidR="00BC7B13" w:rsidRDefault="004E7EF9">
      <w:pPr>
        <w:rPr>
          <w:i/>
          <w:iCs/>
        </w:rPr>
      </w:pPr>
      <w:r>
        <w:rPr>
          <w:i/>
          <w:iCs/>
        </w:rPr>
        <w:t>Senyvi pacientai</w:t>
      </w:r>
    </w:p>
    <w:p w14:paraId="6C7D8B37" w14:textId="77777777" w:rsidR="00BC7B13" w:rsidRDefault="004E7EF9">
      <w:r>
        <w:t xml:space="preserve">Vieną kartą per parą vartojant ≥ 10 mg </w:t>
      </w:r>
      <w:proofErr w:type="spellStart"/>
      <w:r>
        <w:t>vortioksetino</w:t>
      </w:r>
      <w:proofErr w:type="spellEnd"/>
      <w:r>
        <w:t xml:space="preserve"> dozę, ≥ 65 metų pacientų pasitraukimo iš tyrimų dažnis buvo didesnis.</w:t>
      </w:r>
    </w:p>
    <w:p w14:paraId="2752AC7A" w14:textId="77777777" w:rsidR="00BC7B13" w:rsidRDefault="004E7EF9">
      <w:r>
        <w:t xml:space="preserve">Vieną kartą per parą vartojant 20 mg </w:t>
      </w:r>
      <w:proofErr w:type="spellStart"/>
      <w:r>
        <w:t>vortioksetino</w:t>
      </w:r>
      <w:proofErr w:type="spellEnd"/>
      <w:r>
        <w:t xml:space="preserve"> dozę, ≥ 65 metų pacientams pykinimas ir vidurių užkietėjimas pasireiškė dažniau (atitinkamai 42 % ir 15 %) nei &lt;65 metų suaugusiesiems (atitinkamai 27 % ir 4 %) (žr. 4.4 skyrių).</w:t>
      </w:r>
    </w:p>
    <w:p w14:paraId="29AF8296" w14:textId="77777777" w:rsidR="00BC7B13" w:rsidRDefault="00BC7B13">
      <w:pPr>
        <w:autoSpaceDE w:val="0"/>
        <w:autoSpaceDN w:val="0"/>
        <w:adjustRightInd w:val="0"/>
        <w:rPr>
          <w:i/>
          <w:iCs/>
          <w:szCs w:val="22"/>
          <w:lang w:eastAsia="lt-LT"/>
        </w:rPr>
      </w:pPr>
    </w:p>
    <w:p w14:paraId="4D318C28" w14:textId="77777777" w:rsidR="00BC7B13" w:rsidRDefault="004E7EF9">
      <w:pPr>
        <w:autoSpaceDE w:val="0"/>
        <w:autoSpaceDN w:val="0"/>
        <w:adjustRightInd w:val="0"/>
        <w:rPr>
          <w:i/>
          <w:iCs/>
          <w:szCs w:val="22"/>
          <w:lang w:eastAsia="lt-LT"/>
        </w:rPr>
      </w:pPr>
      <w:r>
        <w:rPr>
          <w:i/>
          <w:iCs/>
          <w:szCs w:val="22"/>
          <w:lang w:eastAsia="lt-LT"/>
        </w:rPr>
        <w:t>Lytinės funkcijos sutrikimas</w:t>
      </w:r>
    </w:p>
    <w:p w14:paraId="00DAC84E"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Klinikinių tyrimų metu lytinės funkcijos sutrikimas buvo vertinamas naudojant Arizonos lytinės patirties skalę [angl. </w:t>
      </w:r>
      <w:r>
        <w:rPr>
          <w:i/>
          <w:iCs/>
          <w:szCs w:val="22"/>
          <w:lang w:eastAsia="lt-LT"/>
        </w:rPr>
        <w:t xml:space="preserve">Arizona </w:t>
      </w:r>
      <w:proofErr w:type="spellStart"/>
      <w:r>
        <w:rPr>
          <w:i/>
          <w:iCs/>
          <w:szCs w:val="22"/>
          <w:lang w:eastAsia="lt-LT"/>
        </w:rPr>
        <w:t>Sexual</w:t>
      </w:r>
      <w:proofErr w:type="spellEnd"/>
      <w:r>
        <w:rPr>
          <w:i/>
          <w:iCs/>
          <w:szCs w:val="22"/>
          <w:lang w:eastAsia="lt-LT"/>
        </w:rPr>
        <w:t xml:space="preserve"> </w:t>
      </w:r>
      <w:proofErr w:type="spellStart"/>
      <w:r>
        <w:rPr>
          <w:i/>
          <w:iCs/>
          <w:szCs w:val="22"/>
          <w:lang w:eastAsia="lt-LT"/>
        </w:rPr>
        <w:t>Experience</w:t>
      </w:r>
      <w:proofErr w:type="spellEnd"/>
      <w:r>
        <w:rPr>
          <w:i/>
          <w:iCs/>
          <w:szCs w:val="22"/>
          <w:lang w:eastAsia="lt-LT"/>
        </w:rPr>
        <w:t xml:space="preserve"> </w:t>
      </w:r>
      <w:proofErr w:type="spellStart"/>
      <w:r>
        <w:rPr>
          <w:i/>
          <w:iCs/>
          <w:szCs w:val="22"/>
          <w:lang w:eastAsia="lt-LT"/>
        </w:rPr>
        <w:t>Scale</w:t>
      </w:r>
      <w:proofErr w:type="spellEnd"/>
      <w:r>
        <w:rPr>
          <w:i/>
          <w:iCs/>
          <w:szCs w:val="22"/>
          <w:lang w:eastAsia="lt-LT"/>
        </w:rPr>
        <w:t xml:space="preserve"> </w:t>
      </w:r>
      <w:r>
        <w:rPr>
          <w:rFonts w:eastAsia="TimesNewRoman"/>
          <w:szCs w:val="22"/>
          <w:lang w:eastAsia="lt-LT"/>
        </w:rPr>
        <w:t>(</w:t>
      </w:r>
      <w:r>
        <w:rPr>
          <w:rFonts w:eastAsia="TimesNewRoman"/>
          <w:i/>
          <w:iCs/>
          <w:szCs w:val="22"/>
          <w:lang w:eastAsia="lt-LT"/>
        </w:rPr>
        <w:t>ASEX</w:t>
      </w:r>
      <w:r>
        <w:rPr>
          <w:rFonts w:eastAsia="TimesNewRoman"/>
          <w:szCs w:val="22"/>
          <w:lang w:eastAsia="lt-LT"/>
        </w:rPr>
        <w:t>)]. 5</w:t>
      </w:r>
      <w:r>
        <w:rPr>
          <w:rFonts w:eastAsia="TimesNewRoman"/>
          <w:szCs w:val="22"/>
          <w:lang w:eastAsia="lt-LT"/>
        </w:rPr>
        <w:noBreakHyphen/>
        <w:t xml:space="preserve">15 mg dozių poveikis nesiskyrė nuo placebo poveikio. Vis dėlto 20 mg </w:t>
      </w:r>
      <w:proofErr w:type="spellStart"/>
      <w:r>
        <w:rPr>
          <w:rFonts w:eastAsia="TimesNewRoman"/>
          <w:szCs w:val="22"/>
          <w:lang w:eastAsia="lt-LT"/>
        </w:rPr>
        <w:t>vortioksetino</w:t>
      </w:r>
      <w:proofErr w:type="spellEnd"/>
      <w:r>
        <w:rPr>
          <w:rFonts w:eastAsia="TimesNewRoman"/>
          <w:szCs w:val="22"/>
          <w:lang w:eastAsia="lt-LT"/>
        </w:rPr>
        <w:t xml:space="preserve"> dozės vartojimas buvo susijęs su lytinės funkcijos sutrikimo [angl. </w:t>
      </w:r>
      <w:proofErr w:type="spellStart"/>
      <w:r>
        <w:rPr>
          <w:i/>
          <w:iCs/>
          <w:szCs w:val="22"/>
          <w:lang w:eastAsia="lt-LT"/>
        </w:rPr>
        <w:t>sexual</w:t>
      </w:r>
      <w:proofErr w:type="spellEnd"/>
      <w:r>
        <w:rPr>
          <w:i/>
          <w:iCs/>
          <w:szCs w:val="22"/>
          <w:lang w:eastAsia="lt-LT"/>
        </w:rPr>
        <w:t xml:space="preserve"> </w:t>
      </w:r>
      <w:proofErr w:type="spellStart"/>
      <w:r>
        <w:rPr>
          <w:i/>
          <w:iCs/>
          <w:szCs w:val="22"/>
          <w:lang w:eastAsia="lt-LT"/>
        </w:rPr>
        <w:t>dysfunction</w:t>
      </w:r>
      <w:proofErr w:type="spellEnd"/>
      <w:r>
        <w:rPr>
          <w:i/>
          <w:iCs/>
          <w:szCs w:val="22"/>
          <w:lang w:eastAsia="lt-LT"/>
        </w:rPr>
        <w:t xml:space="preserve"> </w:t>
      </w:r>
      <w:r>
        <w:rPr>
          <w:rFonts w:eastAsia="TimesNewRoman"/>
          <w:szCs w:val="22"/>
          <w:lang w:eastAsia="lt-LT"/>
        </w:rPr>
        <w:t>(</w:t>
      </w:r>
      <w:r>
        <w:rPr>
          <w:rFonts w:eastAsia="TimesNewRoman"/>
          <w:i/>
          <w:iCs/>
          <w:szCs w:val="22"/>
          <w:lang w:eastAsia="lt-LT"/>
        </w:rPr>
        <w:t>TESD</w:t>
      </w:r>
      <w:r>
        <w:rPr>
          <w:rFonts w:eastAsia="TimesNewRoman"/>
          <w:szCs w:val="22"/>
          <w:lang w:eastAsia="lt-LT"/>
        </w:rPr>
        <w:t xml:space="preserve">)] padažnėjimu (žr. 5.1 skyrių). Vaistinį preparatą pateikus į rinką, pranešta apie seksualinės funkcijos sutrikimo atvejus, kai </w:t>
      </w:r>
      <w:proofErr w:type="spellStart"/>
      <w:r>
        <w:rPr>
          <w:rFonts w:eastAsia="TimesNewRoman"/>
          <w:szCs w:val="22"/>
          <w:lang w:eastAsia="lt-LT"/>
        </w:rPr>
        <w:t>vortioksetino</w:t>
      </w:r>
      <w:proofErr w:type="spellEnd"/>
      <w:r>
        <w:rPr>
          <w:rFonts w:eastAsia="TimesNewRoman"/>
          <w:szCs w:val="22"/>
          <w:lang w:eastAsia="lt-LT"/>
        </w:rPr>
        <w:t xml:space="preserve"> dozė buvo mažesnė kaip 20 mg.</w:t>
      </w:r>
    </w:p>
    <w:p w14:paraId="64430FC8" w14:textId="77777777" w:rsidR="00BC7B13" w:rsidRDefault="00BC7B13">
      <w:pPr>
        <w:autoSpaceDE w:val="0"/>
        <w:autoSpaceDN w:val="0"/>
        <w:adjustRightInd w:val="0"/>
        <w:rPr>
          <w:i/>
          <w:iCs/>
          <w:szCs w:val="22"/>
          <w:lang w:eastAsia="lt-LT"/>
        </w:rPr>
      </w:pPr>
    </w:p>
    <w:p w14:paraId="7BC15561" w14:textId="77777777" w:rsidR="00BC7B13" w:rsidRDefault="004E7EF9">
      <w:pPr>
        <w:autoSpaceDE w:val="0"/>
        <w:autoSpaceDN w:val="0"/>
        <w:adjustRightInd w:val="0"/>
        <w:rPr>
          <w:i/>
          <w:iCs/>
          <w:szCs w:val="22"/>
          <w:lang w:eastAsia="lt-LT"/>
        </w:rPr>
      </w:pPr>
      <w:r>
        <w:rPr>
          <w:i/>
          <w:iCs/>
          <w:szCs w:val="22"/>
          <w:lang w:eastAsia="lt-LT"/>
        </w:rPr>
        <w:t>Klasės poveikis</w:t>
      </w:r>
    </w:p>
    <w:p w14:paraId="42F55ADB"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Epidemiologiniai tyrimai, kuriuose daugiausiai dalyvavo 50 metų ir vyresni pacientai, parodė kaulų lūžimo rizikos padidėjimą pacientams, vartojantiems susijusių farmakologinių klasių antidepresantų (SSRI ar </w:t>
      </w:r>
      <w:proofErr w:type="spellStart"/>
      <w:r>
        <w:rPr>
          <w:rFonts w:eastAsia="TimesNewRoman"/>
          <w:szCs w:val="22"/>
          <w:lang w:eastAsia="lt-LT"/>
        </w:rPr>
        <w:t>triciklių</w:t>
      </w:r>
      <w:proofErr w:type="spellEnd"/>
      <w:r>
        <w:rPr>
          <w:rFonts w:eastAsia="TimesNewRoman"/>
          <w:szCs w:val="22"/>
          <w:lang w:eastAsia="lt-LT"/>
        </w:rPr>
        <w:t xml:space="preserve"> antidepresantų [TCA]). Tokios rizikos atsiradimo mechanizmas nėra žinomas, be to, nėra žinoma, ar tokia rizika yra susijusi su </w:t>
      </w:r>
      <w:proofErr w:type="spellStart"/>
      <w:r>
        <w:rPr>
          <w:rFonts w:eastAsia="TimesNewRoman"/>
          <w:szCs w:val="22"/>
          <w:lang w:eastAsia="lt-LT"/>
        </w:rPr>
        <w:t>vortioksetinu</w:t>
      </w:r>
      <w:proofErr w:type="spellEnd"/>
      <w:r>
        <w:rPr>
          <w:rFonts w:eastAsia="TimesNewRoman"/>
          <w:szCs w:val="22"/>
          <w:lang w:eastAsia="lt-LT"/>
        </w:rPr>
        <w:t>.</w:t>
      </w:r>
    </w:p>
    <w:p w14:paraId="59AB5DB2" w14:textId="77777777" w:rsidR="00BC7B13" w:rsidRDefault="00BC7B13">
      <w:pPr>
        <w:autoSpaceDE w:val="0"/>
        <w:autoSpaceDN w:val="0"/>
        <w:adjustRightInd w:val="0"/>
        <w:rPr>
          <w:i/>
          <w:iCs/>
          <w:szCs w:val="22"/>
          <w:lang w:eastAsia="lt-LT"/>
        </w:rPr>
      </w:pPr>
    </w:p>
    <w:p w14:paraId="1E366336" w14:textId="77777777" w:rsidR="00BC7B13" w:rsidRDefault="004E7EF9">
      <w:pPr>
        <w:autoSpaceDE w:val="0"/>
        <w:autoSpaceDN w:val="0"/>
        <w:adjustRightInd w:val="0"/>
        <w:rPr>
          <w:i/>
          <w:iCs/>
          <w:szCs w:val="22"/>
          <w:lang w:eastAsia="lt-LT"/>
        </w:rPr>
      </w:pPr>
      <w:r>
        <w:rPr>
          <w:i/>
          <w:iCs/>
          <w:szCs w:val="22"/>
          <w:lang w:eastAsia="lt-LT"/>
        </w:rPr>
        <w:t>Vaikų populiacija</w:t>
      </w:r>
    </w:p>
    <w:p w14:paraId="2788D786"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Dviejuose dvigubai koduotuose, placebu kontroliuojamuose tyrimuose 304 vaikai nuo 7 iki 11 metų ir 308 paaugliai nuo 12 iki 17 metų, sergantys didžiosios depresijos sutrikimu (DDS), buvo gydomi </w:t>
      </w:r>
      <w:proofErr w:type="spellStart"/>
      <w:r>
        <w:rPr>
          <w:rFonts w:eastAsia="TimesNewRoman"/>
          <w:szCs w:val="22"/>
          <w:lang w:eastAsia="lt-LT"/>
        </w:rPr>
        <w:t>vortioksetinu</w:t>
      </w:r>
      <w:proofErr w:type="spellEnd"/>
      <w:r>
        <w:rPr>
          <w:rFonts w:eastAsia="TimesNewRoman"/>
          <w:szCs w:val="22"/>
          <w:lang w:eastAsia="lt-LT"/>
        </w:rPr>
        <w:t xml:space="preserve">, atitinkamai. Apskritai, </w:t>
      </w:r>
      <w:proofErr w:type="spellStart"/>
      <w:r>
        <w:rPr>
          <w:rFonts w:eastAsia="TimesNewRoman"/>
          <w:szCs w:val="22"/>
          <w:lang w:eastAsia="lt-LT"/>
        </w:rPr>
        <w:t>vortioksetino</w:t>
      </w:r>
      <w:proofErr w:type="spellEnd"/>
      <w:r>
        <w:rPr>
          <w:rFonts w:eastAsia="TimesNewRoman"/>
          <w:szCs w:val="22"/>
          <w:lang w:eastAsia="lt-LT"/>
        </w:rPr>
        <w:t xml:space="preserve"> nepageidaujamų reakcijų pobūdis vaikams ir paaugliams buvo panašus kaip ir stebėtas suaugusiesiems, išskyrus tai, kad dažniau pasireiškė su pilvo </w:t>
      </w:r>
      <w:r>
        <w:rPr>
          <w:rFonts w:eastAsia="TimesNewRoman"/>
          <w:szCs w:val="22"/>
          <w:lang w:eastAsia="lt-LT"/>
        </w:rPr>
        <w:lastRenderedPageBreak/>
        <w:t>skausmu susijusių reiškinių ir dažnesnių minčių apie savižudybę, ypač paaugliams, palyginti su suaugusiaisiais (žr. 5.1 skyrių).</w:t>
      </w:r>
    </w:p>
    <w:p w14:paraId="47C0FF67" w14:textId="77777777" w:rsidR="00BC7B13" w:rsidRDefault="00BC7B13">
      <w:pPr>
        <w:autoSpaceDE w:val="0"/>
        <w:autoSpaceDN w:val="0"/>
        <w:adjustRightInd w:val="0"/>
        <w:rPr>
          <w:rFonts w:eastAsia="TimesNewRoman"/>
          <w:szCs w:val="22"/>
          <w:lang w:eastAsia="lt-LT"/>
        </w:rPr>
      </w:pPr>
    </w:p>
    <w:p w14:paraId="5212F672"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Buvo atlikti du ilgalaikiai atviri tęstiniai tyrimai su </w:t>
      </w:r>
      <w:proofErr w:type="spellStart"/>
      <w:r>
        <w:rPr>
          <w:rFonts w:eastAsia="TimesNewRoman"/>
          <w:szCs w:val="22"/>
          <w:lang w:eastAsia="lt-LT"/>
        </w:rPr>
        <w:t>vortioksetino</w:t>
      </w:r>
      <w:proofErr w:type="spellEnd"/>
      <w:r>
        <w:rPr>
          <w:rFonts w:eastAsia="TimesNewRoman"/>
          <w:szCs w:val="22"/>
          <w:lang w:eastAsia="lt-LT"/>
        </w:rPr>
        <w:t xml:space="preserve"> dozėmis nuo 5 iki 20 mg per parą ir gydymo trukme atitinkamai 6 mėnesius (N=662) ir 18 mėnesių (N=94). Apskritai, </w:t>
      </w:r>
      <w:proofErr w:type="spellStart"/>
      <w:r>
        <w:rPr>
          <w:rFonts w:eastAsia="TimesNewRoman"/>
          <w:szCs w:val="22"/>
          <w:lang w:eastAsia="lt-LT"/>
        </w:rPr>
        <w:t>vortioksetino</w:t>
      </w:r>
      <w:proofErr w:type="spellEnd"/>
      <w:r>
        <w:rPr>
          <w:rFonts w:eastAsia="TimesNewRoman"/>
          <w:szCs w:val="22"/>
          <w:lang w:eastAsia="lt-LT"/>
        </w:rPr>
        <w:t xml:space="preserve"> saugumas ir toleravimas vaikų populiacijoje po ilgalaikio vartojimo buvo panašus į stebėtus po trumpalaikio vartojimo.</w:t>
      </w:r>
    </w:p>
    <w:p w14:paraId="3C856010" w14:textId="77777777" w:rsidR="00BC7B13" w:rsidRDefault="00BC7B13">
      <w:pPr>
        <w:autoSpaceDE w:val="0"/>
        <w:autoSpaceDN w:val="0"/>
        <w:adjustRightInd w:val="0"/>
        <w:rPr>
          <w:i/>
          <w:iCs/>
          <w:szCs w:val="22"/>
          <w:lang w:eastAsia="lt-LT"/>
        </w:rPr>
      </w:pPr>
    </w:p>
    <w:p w14:paraId="63C307D3" w14:textId="77777777" w:rsidR="00BC7B13" w:rsidRDefault="004E7EF9">
      <w:pPr>
        <w:autoSpaceDE w:val="0"/>
        <w:autoSpaceDN w:val="0"/>
        <w:adjustRightInd w:val="0"/>
        <w:rPr>
          <w:i/>
          <w:iCs/>
          <w:szCs w:val="22"/>
          <w:lang w:eastAsia="lt-LT"/>
        </w:rPr>
      </w:pPr>
      <w:r>
        <w:rPr>
          <w:i/>
          <w:iCs/>
          <w:szCs w:val="22"/>
          <w:lang w:eastAsia="lt-LT"/>
        </w:rPr>
        <w:t xml:space="preserve">Simptomai nutraukus gydymą </w:t>
      </w:r>
      <w:proofErr w:type="spellStart"/>
      <w:r>
        <w:rPr>
          <w:i/>
          <w:iCs/>
          <w:szCs w:val="22"/>
          <w:lang w:eastAsia="lt-LT"/>
        </w:rPr>
        <w:t>vortioksetinu</w:t>
      </w:r>
      <w:proofErr w:type="spellEnd"/>
    </w:p>
    <w:p w14:paraId="4C100477"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Klinikinių tyrimų metu buvo sistemingai vertinami nutraukimo simptomai staiga nutraukus gydymą </w:t>
      </w:r>
      <w:proofErr w:type="spellStart"/>
      <w:r>
        <w:rPr>
          <w:rFonts w:eastAsia="TimesNewRoman"/>
          <w:szCs w:val="22"/>
          <w:lang w:eastAsia="lt-LT"/>
        </w:rPr>
        <w:t>vortioksetinu</w:t>
      </w:r>
      <w:proofErr w:type="spellEnd"/>
      <w:r>
        <w:rPr>
          <w:rFonts w:eastAsia="TimesNewRoman"/>
          <w:szCs w:val="22"/>
          <w:lang w:eastAsia="lt-LT"/>
        </w:rPr>
        <w:t xml:space="preserve">. Gydymo </w:t>
      </w:r>
      <w:proofErr w:type="spellStart"/>
      <w:r>
        <w:rPr>
          <w:rFonts w:eastAsia="TimesNewRoman"/>
          <w:szCs w:val="22"/>
          <w:lang w:eastAsia="lt-LT"/>
        </w:rPr>
        <w:t>vortioksetinu</w:t>
      </w:r>
      <w:proofErr w:type="spellEnd"/>
      <w:r>
        <w:rPr>
          <w:rFonts w:eastAsia="TimesNewRoman"/>
          <w:szCs w:val="22"/>
          <w:lang w:eastAsia="lt-LT"/>
        </w:rPr>
        <w:t xml:space="preserve"> nutraukimo simptomų dažnis ar pobūdis kliniškai reikšmingai nesiskyrė nuo placebo (žr. 5.1 skyrių). Vaistinį preparatą pateikus į rinką buvo pranešta apie atvejus, apibūdinančius nutraukimo simptomus, tokius kaip svaigulys, galvos skausmas, jutimo sutrikimai (įskaitant </w:t>
      </w:r>
      <w:proofErr w:type="spellStart"/>
      <w:r>
        <w:rPr>
          <w:rFonts w:eastAsia="TimesNewRoman"/>
          <w:szCs w:val="22"/>
          <w:lang w:eastAsia="lt-LT"/>
        </w:rPr>
        <w:t>paresteziją</w:t>
      </w:r>
      <w:proofErr w:type="spellEnd"/>
      <w:r>
        <w:rPr>
          <w:rFonts w:eastAsia="TimesNewRoman"/>
          <w:szCs w:val="22"/>
          <w:lang w:eastAsia="lt-LT"/>
        </w:rPr>
        <w:t xml:space="preserve">, elektros šoko pojūčius), miego sutrikimai (įskaitant nemigą), pykinimas ir (arba) vėmimas, nerimas, irzlumas, susijaudinimas, nuovargis ir tremoras. Šių simptomų gali pasireikšti per pirmą savaitę po </w:t>
      </w:r>
      <w:proofErr w:type="spellStart"/>
      <w:r>
        <w:rPr>
          <w:rFonts w:eastAsia="TimesNewRoman"/>
          <w:szCs w:val="22"/>
          <w:lang w:eastAsia="lt-LT"/>
        </w:rPr>
        <w:t>vortioksetino</w:t>
      </w:r>
      <w:proofErr w:type="spellEnd"/>
      <w:r>
        <w:rPr>
          <w:rFonts w:eastAsia="TimesNewRoman"/>
          <w:szCs w:val="22"/>
          <w:lang w:eastAsia="lt-LT"/>
        </w:rPr>
        <w:t xml:space="preserve"> vartojimo nutraukimo.</w:t>
      </w:r>
    </w:p>
    <w:p w14:paraId="1D8828C4" w14:textId="77777777" w:rsidR="00BC7B13" w:rsidRDefault="00BC7B13">
      <w:pPr>
        <w:rPr>
          <w:szCs w:val="22"/>
        </w:rPr>
      </w:pPr>
    </w:p>
    <w:p w14:paraId="0B90B163" w14:textId="77777777" w:rsidR="00BC7B13" w:rsidRDefault="004E7EF9">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48F1CFB2" w14:textId="77777777" w:rsidR="00BC7B13" w:rsidRDefault="004E7EF9">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Pr>
            <w:snapToGrid w:val="0"/>
            <w:szCs w:val="22"/>
            <w:u w:val="single"/>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8" w:history="1">
        <w:r>
          <w:rPr>
            <w:snapToGrid w:val="0"/>
            <w:szCs w:val="22"/>
            <w:u w:val="single"/>
          </w:rPr>
          <w:t>https://www.vvkt.lt/index.php?1399030386</w:t>
        </w:r>
      </w:hyperlink>
      <w:r>
        <w:rPr>
          <w:snapToGrid w:val="0"/>
          <w:szCs w:val="22"/>
        </w:rPr>
        <w:t xml:space="preserve">, ir atsiųsti elektroniniu paštu (adresu </w:t>
      </w:r>
      <w:proofErr w:type="spellStart"/>
      <w:r>
        <w:rPr>
          <w:snapToGrid w:val="0"/>
          <w:szCs w:val="22"/>
        </w:rPr>
        <w:t>NepageidaujamaR@vvkt.lt</w:t>
      </w:r>
      <w:proofErr w:type="spellEnd"/>
      <w:r>
        <w:rPr>
          <w:snapToGrid w:val="0"/>
          <w:szCs w:val="22"/>
        </w:rPr>
        <w:t>).</w:t>
      </w:r>
    </w:p>
    <w:p w14:paraId="7FB9CA5C" w14:textId="77777777" w:rsidR="00BC7B13" w:rsidRDefault="00BC7B13">
      <w:pPr>
        <w:widowControl w:val="0"/>
        <w:tabs>
          <w:tab w:val="left" w:pos="567"/>
        </w:tabs>
        <w:autoSpaceDE w:val="0"/>
        <w:autoSpaceDN w:val="0"/>
        <w:adjustRightInd w:val="0"/>
        <w:rPr>
          <w:snapToGrid w:val="0"/>
          <w:szCs w:val="22"/>
        </w:rPr>
      </w:pPr>
    </w:p>
    <w:p w14:paraId="15951E71" w14:textId="77777777" w:rsidR="00BC7B13" w:rsidRDefault="00BC7B13">
      <w:pPr>
        <w:ind w:left="567" w:hanging="567"/>
        <w:rPr>
          <w:b/>
        </w:rPr>
      </w:pPr>
    </w:p>
    <w:p w14:paraId="14BD81A3" w14:textId="77777777" w:rsidR="00BC7B13" w:rsidRDefault="004E7EF9">
      <w:pPr>
        <w:ind w:left="567" w:hanging="567"/>
        <w:rPr>
          <w:b/>
        </w:rPr>
      </w:pPr>
      <w:r>
        <w:rPr>
          <w:b/>
        </w:rPr>
        <w:t>4.9</w:t>
      </w:r>
      <w:r>
        <w:rPr>
          <w:b/>
        </w:rPr>
        <w:tab/>
        <w:t>Perdozavimas</w:t>
      </w:r>
    </w:p>
    <w:p w14:paraId="4523009D" w14:textId="77777777" w:rsidR="00BC7B13" w:rsidRDefault="00BC7B13">
      <w:pPr>
        <w:ind w:left="567" w:hanging="567"/>
      </w:pPr>
    </w:p>
    <w:p w14:paraId="6ADB5BED" w14:textId="77777777" w:rsidR="00BC7B13" w:rsidRDefault="004E7EF9">
      <w:pPr>
        <w:autoSpaceDE w:val="0"/>
        <w:autoSpaceDN w:val="0"/>
        <w:adjustRightInd w:val="0"/>
        <w:rPr>
          <w:szCs w:val="22"/>
          <w:u w:val="single"/>
          <w:lang w:eastAsia="lt-LT"/>
        </w:rPr>
      </w:pPr>
      <w:r>
        <w:rPr>
          <w:szCs w:val="22"/>
          <w:u w:val="single"/>
          <w:lang w:eastAsia="lt-LT"/>
        </w:rPr>
        <w:t>Simptomai</w:t>
      </w:r>
    </w:p>
    <w:p w14:paraId="7C628B94" w14:textId="77777777" w:rsidR="00BC7B13" w:rsidRDefault="004E7EF9">
      <w:pPr>
        <w:autoSpaceDE w:val="0"/>
        <w:autoSpaceDN w:val="0"/>
        <w:adjustRightInd w:val="0"/>
        <w:rPr>
          <w:szCs w:val="22"/>
          <w:lang w:eastAsia="lt-LT"/>
        </w:rPr>
      </w:pPr>
      <w:r>
        <w:rPr>
          <w:szCs w:val="22"/>
          <w:lang w:eastAsia="lt-LT"/>
        </w:rPr>
        <w:t xml:space="preserve">Nurijus nuo 40 mg iki 75 mg </w:t>
      </w:r>
      <w:proofErr w:type="spellStart"/>
      <w:r>
        <w:rPr>
          <w:szCs w:val="22"/>
          <w:lang w:eastAsia="lt-LT"/>
        </w:rPr>
        <w:t>vortioksetino</w:t>
      </w:r>
      <w:proofErr w:type="spellEnd"/>
      <w:r>
        <w:rPr>
          <w:szCs w:val="22"/>
          <w:lang w:eastAsia="lt-LT"/>
        </w:rPr>
        <w:t xml:space="preserve"> dozes klinikinių tyrimų metu, pasunkėjo toliau išvardytos nepageidaujamos reakcijos: pykinimas, nuo padėties priklausomas svaigulys, viduriavimas, diskomfortas pilve, </w:t>
      </w:r>
      <w:proofErr w:type="spellStart"/>
      <w:r>
        <w:rPr>
          <w:szCs w:val="22"/>
          <w:lang w:eastAsia="lt-LT"/>
        </w:rPr>
        <w:t>generalizuotas</w:t>
      </w:r>
      <w:proofErr w:type="spellEnd"/>
      <w:r>
        <w:rPr>
          <w:szCs w:val="22"/>
          <w:lang w:eastAsia="lt-LT"/>
        </w:rPr>
        <w:t xml:space="preserve"> niežulys, </w:t>
      </w:r>
      <w:proofErr w:type="spellStart"/>
      <w:r>
        <w:rPr>
          <w:szCs w:val="22"/>
          <w:lang w:eastAsia="lt-LT"/>
        </w:rPr>
        <w:t>somnolencija</w:t>
      </w:r>
      <w:proofErr w:type="spellEnd"/>
      <w:r>
        <w:rPr>
          <w:szCs w:val="22"/>
          <w:lang w:eastAsia="lt-LT"/>
        </w:rPr>
        <w:t xml:space="preserve"> bei veido ir kaklo paraudimas.</w:t>
      </w:r>
    </w:p>
    <w:p w14:paraId="6B91AFF6" w14:textId="77777777" w:rsidR="00BC7B13" w:rsidRDefault="00BC7B13">
      <w:pPr>
        <w:autoSpaceDE w:val="0"/>
        <w:autoSpaceDN w:val="0"/>
        <w:adjustRightInd w:val="0"/>
        <w:rPr>
          <w:szCs w:val="22"/>
          <w:lang w:eastAsia="lt-LT"/>
        </w:rPr>
      </w:pPr>
    </w:p>
    <w:p w14:paraId="4F1872AB" w14:textId="77777777" w:rsidR="00BC7B13" w:rsidRDefault="004E7EF9">
      <w:pPr>
        <w:autoSpaceDE w:val="0"/>
        <w:autoSpaceDN w:val="0"/>
        <w:adjustRightInd w:val="0"/>
        <w:rPr>
          <w:szCs w:val="22"/>
          <w:lang w:eastAsia="lt-LT"/>
        </w:rPr>
      </w:pPr>
      <w:proofErr w:type="spellStart"/>
      <w:r>
        <w:rPr>
          <w:szCs w:val="22"/>
          <w:lang w:eastAsia="lt-LT"/>
        </w:rPr>
        <w:t>Poregistracinio</w:t>
      </w:r>
      <w:proofErr w:type="spellEnd"/>
      <w:r>
        <w:rPr>
          <w:szCs w:val="22"/>
          <w:lang w:eastAsia="lt-LT"/>
        </w:rPr>
        <w:t xml:space="preserve"> laikotarpio duomenys daugiausiai susiję su </w:t>
      </w:r>
      <w:proofErr w:type="spellStart"/>
      <w:r>
        <w:rPr>
          <w:szCs w:val="22"/>
          <w:lang w:eastAsia="lt-LT"/>
        </w:rPr>
        <w:t>vortioksetino</w:t>
      </w:r>
      <w:proofErr w:type="spellEnd"/>
      <w:r>
        <w:rPr>
          <w:szCs w:val="22"/>
          <w:lang w:eastAsia="lt-LT"/>
        </w:rPr>
        <w:t xml:space="preserve"> perdozavimu suvartojus iki 80 mg dozes. Daugumoje atvejų apie simptomus nepranešta arba pranešta apie lengvus simptomus. Dažniausiai pranešimuose minimi simptomai buvo pykinimas ir vėmimas.</w:t>
      </w:r>
    </w:p>
    <w:p w14:paraId="77F3DF29" w14:textId="77777777" w:rsidR="00BC7B13" w:rsidRDefault="00BC7B13">
      <w:pPr>
        <w:autoSpaceDE w:val="0"/>
        <w:autoSpaceDN w:val="0"/>
        <w:adjustRightInd w:val="0"/>
        <w:rPr>
          <w:szCs w:val="22"/>
          <w:lang w:eastAsia="lt-LT"/>
        </w:rPr>
      </w:pPr>
    </w:p>
    <w:p w14:paraId="61C52E50" w14:textId="77777777" w:rsidR="00BC7B13" w:rsidRDefault="004E7EF9">
      <w:pPr>
        <w:autoSpaceDE w:val="0"/>
        <w:autoSpaceDN w:val="0"/>
        <w:adjustRightInd w:val="0"/>
        <w:rPr>
          <w:szCs w:val="22"/>
          <w:lang w:eastAsia="lt-LT"/>
        </w:rPr>
      </w:pPr>
      <w:r>
        <w:rPr>
          <w:szCs w:val="22"/>
          <w:lang w:eastAsia="lt-LT"/>
        </w:rPr>
        <w:t xml:space="preserve">Patirties apie </w:t>
      </w:r>
      <w:proofErr w:type="spellStart"/>
      <w:r>
        <w:rPr>
          <w:szCs w:val="22"/>
          <w:lang w:eastAsia="lt-LT"/>
        </w:rPr>
        <w:t>vortioksetino</w:t>
      </w:r>
      <w:proofErr w:type="spellEnd"/>
      <w:r>
        <w:rPr>
          <w:szCs w:val="22"/>
          <w:lang w:eastAsia="lt-LT"/>
        </w:rPr>
        <w:t xml:space="preserve"> perdozavimą suvartojus daugiau kaip 80 mg nepakanka. Pranešta apie suvartojus kelis kartus didesnes už terapinį intervalą dozes išsivysčiusius tokius reiškinius, kaip traukuliai ir </w:t>
      </w:r>
      <w:proofErr w:type="spellStart"/>
      <w:r>
        <w:rPr>
          <w:szCs w:val="22"/>
          <w:lang w:eastAsia="lt-LT"/>
        </w:rPr>
        <w:t>serotonino</w:t>
      </w:r>
      <w:proofErr w:type="spellEnd"/>
      <w:r>
        <w:rPr>
          <w:szCs w:val="22"/>
          <w:lang w:eastAsia="lt-LT"/>
        </w:rPr>
        <w:t xml:space="preserve"> sindromas.</w:t>
      </w:r>
    </w:p>
    <w:p w14:paraId="648EAE2B" w14:textId="77777777" w:rsidR="00BC7B13" w:rsidRDefault="00BC7B13">
      <w:pPr>
        <w:autoSpaceDE w:val="0"/>
        <w:autoSpaceDN w:val="0"/>
        <w:adjustRightInd w:val="0"/>
        <w:rPr>
          <w:szCs w:val="22"/>
          <w:lang w:eastAsia="lt-LT"/>
        </w:rPr>
      </w:pPr>
    </w:p>
    <w:p w14:paraId="50BC922B" w14:textId="77777777" w:rsidR="00BC7B13" w:rsidRDefault="004E7EF9">
      <w:pPr>
        <w:widowControl w:val="0"/>
        <w:autoSpaceDE w:val="0"/>
        <w:autoSpaceDN w:val="0"/>
        <w:adjustRightInd w:val="0"/>
        <w:rPr>
          <w:color w:val="000000"/>
          <w:szCs w:val="22"/>
          <w:u w:val="single"/>
          <w:lang w:eastAsia="sl-SI"/>
        </w:rPr>
      </w:pPr>
      <w:r>
        <w:rPr>
          <w:color w:val="000000"/>
          <w:szCs w:val="22"/>
          <w:u w:val="single"/>
          <w:lang w:eastAsia="sl-SI"/>
        </w:rPr>
        <w:t>Gydymas</w:t>
      </w:r>
    </w:p>
    <w:p w14:paraId="6D4060B2" w14:textId="77777777" w:rsidR="00BC7B13" w:rsidRDefault="004E7EF9">
      <w:pPr>
        <w:autoSpaceDE w:val="0"/>
        <w:autoSpaceDN w:val="0"/>
        <w:adjustRightInd w:val="0"/>
        <w:rPr>
          <w:szCs w:val="22"/>
          <w:lang w:eastAsia="lt-LT"/>
        </w:rPr>
      </w:pPr>
      <w:r>
        <w:rPr>
          <w:szCs w:val="22"/>
          <w:lang w:eastAsia="lt-LT"/>
        </w:rPr>
        <w:t>Priežiūra perdozavimo atveju apima klinikinių simptomų gydymą ir tinkamą stebėjimą. Rekomenduojamas būklės stebėjimas specializuotame skyriuje.</w:t>
      </w:r>
    </w:p>
    <w:p w14:paraId="59CA8E24" w14:textId="77777777" w:rsidR="00BC7B13" w:rsidRDefault="00BC7B13">
      <w:pPr>
        <w:ind w:left="567" w:hanging="567"/>
      </w:pPr>
    </w:p>
    <w:p w14:paraId="4ABBD01F" w14:textId="77777777" w:rsidR="00BC7B13" w:rsidRDefault="00BC7B13">
      <w:pPr>
        <w:ind w:left="567" w:hanging="567"/>
      </w:pPr>
    </w:p>
    <w:p w14:paraId="222C1552" w14:textId="77777777" w:rsidR="00BC7B13" w:rsidRDefault="004E7EF9">
      <w:pPr>
        <w:ind w:left="567" w:hanging="567"/>
        <w:rPr>
          <w:b/>
          <w:caps/>
        </w:rPr>
      </w:pPr>
      <w:r>
        <w:rPr>
          <w:b/>
          <w:caps/>
        </w:rPr>
        <w:t>5.</w:t>
      </w:r>
      <w:r>
        <w:rPr>
          <w:b/>
          <w:caps/>
        </w:rPr>
        <w:tab/>
      </w:r>
      <w:r>
        <w:rPr>
          <w:b/>
        </w:rPr>
        <w:t xml:space="preserve">FARMAKOLOGINĖS </w:t>
      </w:r>
      <w:r>
        <w:rPr>
          <w:b/>
          <w:caps/>
        </w:rPr>
        <w:t>savybės</w:t>
      </w:r>
    </w:p>
    <w:p w14:paraId="103ABF63" w14:textId="77777777" w:rsidR="00BC7B13" w:rsidRDefault="00BC7B13">
      <w:pPr>
        <w:ind w:left="567" w:hanging="567"/>
      </w:pPr>
    </w:p>
    <w:p w14:paraId="38CCEF37" w14:textId="77777777" w:rsidR="00BC7B13" w:rsidRDefault="004E7EF9">
      <w:pPr>
        <w:ind w:left="567" w:hanging="567"/>
        <w:rPr>
          <w:b/>
        </w:rPr>
      </w:pPr>
      <w:r>
        <w:rPr>
          <w:b/>
        </w:rPr>
        <w:t>5.1</w:t>
      </w:r>
      <w:r>
        <w:rPr>
          <w:b/>
        </w:rPr>
        <w:tab/>
      </w:r>
      <w:proofErr w:type="spellStart"/>
      <w:r>
        <w:rPr>
          <w:b/>
        </w:rPr>
        <w:t>Farmakodinaminės</w:t>
      </w:r>
      <w:proofErr w:type="spellEnd"/>
      <w:r>
        <w:rPr>
          <w:b/>
        </w:rPr>
        <w:t xml:space="preserve"> savybės</w:t>
      </w:r>
    </w:p>
    <w:p w14:paraId="2901D7F0" w14:textId="77777777" w:rsidR="00BC7B13" w:rsidRDefault="00BC7B13">
      <w:pPr>
        <w:ind w:left="567" w:hanging="567"/>
      </w:pPr>
    </w:p>
    <w:p w14:paraId="46C5EC8D" w14:textId="77777777" w:rsidR="00BC7B13" w:rsidRDefault="004E7EF9">
      <w:pPr>
        <w:numPr>
          <w:ilvl w:val="12"/>
          <w:numId w:val="0"/>
        </w:numPr>
        <w:tabs>
          <w:tab w:val="left" w:pos="567"/>
        </w:tabs>
        <w:ind w:right="-2"/>
        <w:rPr>
          <w:szCs w:val="22"/>
          <w:lang w:eastAsia="lt-LT"/>
        </w:rPr>
      </w:pPr>
      <w:proofErr w:type="spellStart"/>
      <w:r>
        <w:rPr>
          <w:szCs w:val="22"/>
          <w:lang w:eastAsia="lt-LT"/>
        </w:rPr>
        <w:t>Farmakoterapinė</w:t>
      </w:r>
      <w:proofErr w:type="spellEnd"/>
      <w:r>
        <w:rPr>
          <w:szCs w:val="22"/>
          <w:lang w:eastAsia="lt-LT"/>
        </w:rPr>
        <w:t xml:space="preserve"> grupė – </w:t>
      </w:r>
      <w:proofErr w:type="spellStart"/>
      <w:r>
        <w:rPr>
          <w:szCs w:val="22"/>
          <w:lang w:eastAsia="lt-LT"/>
        </w:rPr>
        <w:t>psichoanaleptikai</w:t>
      </w:r>
      <w:proofErr w:type="spellEnd"/>
      <w:r>
        <w:rPr>
          <w:szCs w:val="22"/>
          <w:lang w:eastAsia="lt-LT"/>
        </w:rPr>
        <w:t>, kiti antidepresantai, ATC kodas – N06AX26.</w:t>
      </w:r>
    </w:p>
    <w:p w14:paraId="3210B950" w14:textId="77777777" w:rsidR="00BC7B13" w:rsidRDefault="00BC7B13">
      <w:pPr>
        <w:numPr>
          <w:ilvl w:val="12"/>
          <w:numId w:val="0"/>
        </w:numPr>
        <w:tabs>
          <w:tab w:val="left" w:pos="567"/>
        </w:tabs>
        <w:ind w:right="-2"/>
      </w:pPr>
    </w:p>
    <w:p w14:paraId="46A1EE9B" w14:textId="77777777" w:rsidR="00BC7B13" w:rsidRDefault="004E7EF9">
      <w:pPr>
        <w:numPr>
          <w:ilvl w:val="12"/>
          <w:numId w:val="0"/>
        </w:numPr>
        <w:tabs>
          <w:tab w:val="left" w:pos="567"/>
        </w:tabs>
        <w:ind w:right="-2"/>
        <w:rPr>
          <w:u w:val="single"/>
        </w:rPr>
      </w:pPr>
      <w:r>
        <w:rPr>
          <w:u w:val="single"/>
        </w:rPr>
        <w:t>Veikimo mechanizmas</w:t>
      </w:r>
    </w:p>
    <w:p w14:paraId="4D4B8128" w14:textId="77777777" w:rsidR="00BC7B13" w:rsidRDefault="004E7EF9">
      <w:pPr>
        <w:autoSpaceDE w:val="0"/>
        <w:autoSpaceDN w:val="0"/>
        <w:adjustRightInd w:val="0"/>
        <w:rPr>
          <w:szCs w:val="22"/>
          <w:lang w:eastAsia="lt-LT"/>
        </w:rPr>
      </w:pPr>
      <w:r>
        <w:rPr>
          <w:szCs w:val="22"/>
          <w:lang w:eastAsia="lt-LT"/>
        </w:rPr>
        <w:t xml:space="preserve">Manoma, kad </w:t>
      </w:r>
      <w:proofErr w:type="spellStart"/>
      <w:r>
        <w:rPr>
          <w:szCs w:val="22"/>
          <w:lang w:eastAsia="lt-LT"/>
        </w:rPr>
        <w:t>vortioksetino</w:t>
      </w:r>
      <w:proofErr w:type="spellEnd"/>
      <w:r>
        <w:rPr>
          <w:szCs w:val="22"/>
          <w:lang w:eastAsia="lt-LT"/>
        </w:rPr>
        <w:t xml:space="preserve"> veikimo mechanizmas yra susijęs su tiesioginiu </w:t>
      </w:r>
      <w:proofErr w:type="spellStart"/>
      <w:r>
        <w:rPr>
          <w:szCs w:val="22"/>
          <w:lang w:eastAsia="lt-LT"/>
        </w:rPr>
        <w:t>serotoninerginių</w:t>
      </w:r>
      <w:proofErr w:type="spellEnd"/>
      <w:r>
        <w:rPr>
          <w:szCs w:val="22"/>
          <w:lang w:eastAsia="lt-LT"/>
        </w:rPr>
        <w:t xml:space="preserve"> receptorių aktyvumo moduliavimu ir </w:t>
      </w:r>
      <w:proofErr w:type="spellStart"/>
      <w:r>
        <w:rPr>
          <w:szCs w:val="22"/>
          <w:lang w:eastAsia="lt-LT"/>
        </w:rPr>
        <w:t>serotonino</w:t>
      </w:r>
      <w:proofErr w:type="spellEnd"/>
      <w:r>
        <w:rPr>
          <w:szCs w:val="22"/>
          <w:lang w:eastAsia="lt-LT"/>
        </w:rPr>
        <w:t xml:space="preserve"> (5-HT) nešiklio slopinimu. </w:t>
      </w:r>
      <w:proofErr w:type="spellStart"/>
      <w:r>
        <w:rPr>
          <w:szCs w:val="22"/>
          <w:lang w:eastAsia="lt-LT"/>
        </w:rPr>
        <w:t>Ikiklinikiniai</w:t>
      </w:r>
      <w:proofErr w:type="spellEnd"/>
      <w:r>
        <w:rPr>
          <w:szCs w:val="22"/>
          <w:lang w:eastAsia="lt-LT"/>
        </w:rPr>
        <w:t xml:space="preserve"> duomenys </w:t>
      </w:r>
      <w:r>
        <w:rPr>
          <w:szCs w:val="22"/>
          <w:lang w:eastAsia="lt-LT"/>
        </w:rPr>
        <w:lastRenderedPageBreak/>
        <w:t xml:space="preserve">rodo, kad </w:t>
      </w:r>
      <w:proofErr w:type="spellStart"/>
      <w:r>
        <w:rPr>
          <w:szCs w:val="22"/>
          <w:lang w:eastAsia="lt-LT"/>
        </w:rPr>
        <w:t>vortioksetinas</w:t>
      </w:r>
      <w:proofErr w:type="spellEnd"/>
      <w:r>
        <w:rPr>
          <w:szCs w:val="22"/>
          <w:lang w:eastAsia="lt-LT"/>
        </w:rPr>
        <w:t xml:space="preserve"> yra 5-HT</w:t>
      </w:r>
      <w:r>
        <w:rPr>
          <w:sz w:val="14"/>
          <w:szCs w:val="14"/>
          <w:lang w:eastAsia="lt-LT"/>
        </w:rPr>
        <w:t>3</w:t>
      </w:r>
      <w:r>
        <w:rPr>
          <w:szCs w:val="22"/>
          <w:lang w:eastAsia="lt-LT"/>
        </w:rPr>
        <w:t>, 5-HT</w:t>
      </w:r>
      <w:r>
        <w:rPr>
          <w:sz w:val="14"/>
          <w:szCs w:val="14"/>
          <w:lang w:eastAsia="lt-LT"/>
        </w:rPr>
        <w:t xml:space="preserve">7 </w:t>
      </w:r>
      <w:r>
        <w:rPr>
          <w:szCs w:val="22"/>
          <w:lang w:eastAsia="lt-LT"/>
        </w:rPr>
        <w:t>ir 5-HT</w:t>
      </w:r>
      <w:r>
        <w:rPr>
          <w:sz w:val="14"/>
          <w:szCs w:val="14"/>
          <w:lang w:eastAsia="lt-LT"/>
        </w:rPr>
        <w:t xml:space="preserve">1D </w:t>
      </w:r>
      <w:r>
        <w:rPr>
          <w:szCs w:val="22"/>
          <w:lang w:eastAsia="lt-LT"/>
        </w:rPr>
        <w:t>receptorių antagonistas, 5-HT</w:t>
      </w:r>
      <w:r>
        <w:rPr>
          <w:sz w:val="14"/>
          <w:szCs w:val="14"/>
          <w:lang w:eastAsia="lt-LT"/>
        </w:rPr>
        <w:t xml:space="preserve">1B </w:t>
      </w:r>
      <w:r>
        <w:rPr>
          <w:szCs w:val="22"/>
          <w:lang w:eastAsia="lt-LT"/>
        </w:rPr>
        <w:t xml:space="preserve">receptorių dalinis </w:t>
      </w:r>
      <w:proofErr w:type="spellStart"/>
      <w:r>
        <w:rPr>
          <w:szCs w:val="22"/>
          <w:lang w:eastAsia="lt-LT"/>
        </w:rPr>
        <w:t>agonistas</w:t>
      </w:r>
      <w:proofErr w:type="spellEnd"/>
      <w:r>
        <w:rPr>
          <w:szCs w:val="22"/>
          <w:lang w:eastAsia="lt-LT"/>
        </w:rPr>
        <w:t>, 5- HT</w:t>
      </w:r>
      <w:r>
        <w:rPr>
          <w:sz w:val="14"/>
          <w:szCs w:val="14"/>
          <w:lang w:eastAsia="lt-LT"/>
        </w:rPr>
        <w:t xml:space="preserve">1A </w:t>
      </w:r>
      <w:r>
        <w:rPr>
          <w:szCs w:val="22"/>
          <w:lang w:eastAsia="lt-LT"/>
        </w:rPr>
        <w:t xml:space="preserve">receptorių </w:t>
      </w:r>
      <w:proofErr w:type="spellStart"/>
      <w:r>
        <w:rPr>
          <w:szCs w:val="22"/>
          <w:lang w:eastAsia="lt-LT"/>
        </w:rPr>
        <w:t>agonistas</w:t>
      </w:r>
      <w:proofErr w:type="spellEnd"/>
      <w:r>
        <w:rPr>
          <w:szCs w:val="22"/>
          <w:lang w:eastAsia="lt-LT"/>
        </w:rPr>
        <w:t xml:space="preserve"> ir 5-HT nešiklio inhibitorius, dėl to moduliuojama </w:t>
      </w:r>
      <w:proofErr w:type="spellStart"/>
      <w:r>
        <w:rPr>
          <w:szCs w:val="22"/>
          <w:lang w:eastAsia="lt-LT"/>
        </w:rPr>
        <w:t>neurotransmisija</w:t>
      </w:r>
      <w:proofErr w:type="spellEnd"/>
      <w:r>
        <w:rPr>
          <w:szCs w:val="22"/>
          <w:lang w:eastAsia="lt-LT"/>
        </w:rPr>
        <w:t xml:space="preserve"> keliose sistemose, įskaitant daugiausia </w:t>
      </w:r>
      <w:proofErr w:type="spellStart"/>
      <w:r>
        <w:rPr>
          <w:szCs w:val="22"/>
          <w:lang w:eastAsia="lt-LT"/>
        </w:rPr>
        <w:t>serotonino</w:t>
      </w:r>
      <w:proofErr w:type="spellEnd"/>
      <w:r>
        <w:rPr>
          <w:szCs w:val="22"/>
          <w:lang w:eastAsia="lt-LT"/>
        </w:rPr>
        <w:t xml:space="preserve">, tačiau tikriausiai ir </w:t>
      </w:r>
      <w:proofErr w:type="spellStart"/>
      <w:r>
        <w:rPr>
          <w:szCs w:val="22"/>
          <w:lang w:eastAsia="lt-LT"/>
        </w:rPr>
        <w:t>norepinefrino</w:t>
      </w:r>
      <w:proofErr w:type="spellEnd"/>
      <w:r>
        <w:rPr>
          <w:szCs w:val="22"/>
          <w:lang w:eastAsia="lt-LT"/>
        </w:rPr>
        <w:t xml:space="preserve">, dopamino, </w:t>
      </w:r>
      <w:proofErr w:type="spellStart"/>
      <w:r>
        <w:rPr>
          <w:szCs w:val="22"/>
          <w:lang w:eastAsia="lt-LT"/>
        </w:rPr>
        <w:t>histamino</w:t>
      </w:r>
      <w:proofErr w:type="spellEnd"/>
      <w:r>
        <w:rPr>
          <w:szCs w:val="22"/>
          <w:lang w:eastAsia="lt-LT"/>
        </w:rPr>
        <w:t xml:space="preserve">, </w:t>
      </w:r>
      <w:proofErr w:type="spellStart"/>
      <w:r>
        <w:rPr>
          <w:szCs w:val="22"/>
          <w:lang w:eastAsia="lt-LT"/>
        </w:rPr>
        <w:t>acetilcholino</w:t>
      </w:r>
      <w:proofErr w:type="spellEnd"/>
      <w:r>
        <w:rPr>
          <w:szCs w:val="22"/>
          <w:lang w:eastAsia="lt-LT"/>
        </w:rPr>
        <w:t xml:space="preserve">, gama </w:t>
      </w:r>
      <w:proofErr w:type="spellStart"/>
      <w:r>
        <w:rPr>
          <w:szCs w:val="22"/>
          <w:lang w:eastAsia="lt-LT"/>
        </w:rPr>
        <w:t>aminosviesto</w:t>
      </w:r>
      <w:proofErr w:type="spellEnd"/>
      <w:r>
        <w:rPr>
          <w:szCs w:val="22"/>
          <w:lang w:eastAsia="lt-LT"/>
        </w:rPr>
        <w:t xml:space="preserve"> rūgšties (GASR) ir </w:t>
      </w:r>
      <w:proofErr w:type="spellStart"/>
      <w:r>
        <w:rPr>
          <w:szCs w:val="22"/>
          <w:lang w:eastAsia="lt-LT"/>
        </w:rPr>
        <w:t>glutamato</w:t>
      </w:r>
      <w:proofErr w:type="spellEnd"/>
      <w:r>
        <w:rPr>
          <w:szCs w:val="22"/>
          <w:lang w:eastAsia="lt-LT"/>
        </w:rPr>
        <w:t xml:space="preserve"> sistemas. Manoma, kad toks įvairiapusis farmakologinis veikimas lemia </w:t>
      </w:r>
      <w:proofErr w:type="spellStart"/>
      <w:r>
        <w:rPr>
          <w:szCs w:val="22"/>
          <w:lang w:eastAsia="lt-LT"/>
        </w:rPr>
        <w:t>vortioksetino</w:t>
      </w:r>
      <w:proofErr w:type="spellEnd"/>
      <w:r>
        <w:rPr>
          <w:szCs w:val="22"/>
          <w:lang w:eastAsia="lt-LT"/>
        </w:rPr>
        <w:t xml:space="preserve"> </w:t>
      </w:r>
      <w:proofErr w:type="spellStart"/>
      <w:r>
        <w:rPr>
          <w:szCs w:val="22"/>
          <w:lang w:eastAsia="lt-LT"/>
        </w:rPr>
        <w:t>antidepresinį</w:t>
      </w:r>
      <w:proofErr w:type="spellEnd"/>
      <w:r>
        <w:rPr>
          <w:szCs w:val="22"/>
          <w:lang w:eastAsia="lt-LT"/>
        </w:rPr>
        <w:t xml:space="preserve"> ir į </w:t>
      </w:r>
      <w:proofErr w:type="spellStart"/>
      <w:r>
        <w:rPr>
          <w:szCs w:val="22"/>
          <w:lang w:eastAsia="lt-LT"/>
        </w:rPr>
        <w:t>anksiolitinį</w:t>
      </w:r>
      <w:proofErr w:type="spellEnd"/>
      <w:r>
        <w:rPr>
          <w:szCs w:val="22"/>
          <w:lang w:eastAsia="lt-LT"/>
        </w:rPr>
        <w:t xml:space="preserve"> panašų poveikį bei pažintinių funkcijų, mokymosi ir atminties pagerėjimą, nustatytą </w:t>
      </w:r>
      <w:proofErr w:type="spellStart"/>
      <w:r>
        <w:rPr>
          <w:szCs w:val="22"/>
          <w:lang w:eastAsia="lt-LT"/>
        </w:rPr>
        <w:t>vortioksetino</w:t>
      </w:r>
      <w:proofErr w:type="spellEnd"/>
      <w:r>
        <w:rPr>
          <w:szCs w:val="22"/>
          <w:lang w:eastAsia="lt-LT"/>
        </w:rPr>
        <w:t xml:space="preserve"> tyrimų su gyvūnais metu</w:t>
      </w:r>
      <w:r>
        <w:rPr>
          <w:b/>
          <w:bCs/>
          <w:i/>
          <w:iCs/>
          <w:szCs w:val="22"/>
          <w:lang w:eastAsia="lt-LT"/>
        </w:rPr>
        <w:t xml:space="preserve">. </w:t>
      </w:r>
      <w:r>
        <w:rPr>
          <w:szCs w:val="22"/>
          <w:lang w:eastAsia="lt-LT"/>
        </w:rPr>
        <w:t xml:space="preserve">Vis dėlto tikslus kiekvieno atskiro taikinio indėlis stebėtoms </w:t>
      </w:r>
      <w:proofErr w:type="spellStart"/>
      <w:r>
        <w:rPr>
          <w:szCs w:val="22"/>
          <w:lang w:eastAsia="lt-LT"/>
        </w:rPr>
        <w:t>farmakodinaminėms</w:t>
      </w:r>
      <w:proofErr w:type="spellEnd"/>
      <w:r>
        <w:rPr>
          <w:szCs w:val="22"/>
          <w:lang w:eastAsia="lt-LT"/>
        </w:rPr>
        <w:t xml:space="preserve"> savybėms išlieka neaiškus, be to, tyrimų su gyvūnais metu gautus duomenis tiesiogiai pritaikyti žmonėms reikia laikantis atsargumo priemonių.</w:t>
      </w:r>
    </w:p>
    <w:p w14:paraId="64A6B4FE" w14:textId="77777777" w:rsidR="00BC7B13" w:rsidRDefault="00BC7B13">
      <w:pPr>
        <w:autoSpaceDE w:val="0"/>
        <w:autoSpaceDN w:val="0"/>
        <w:adjustRightInd w:val="0"/>
        <w:rPr>
          <w:szCs w:val="22"/>
          <w:lang w:eastAsia="lt-LT"/>
        </w:rPr>
      </w:pPr>
    </w:p>
    <w:p w14:paraId="6A7A6FD4" w14:textId="77777777" w:rsidR="00BC7B13" w:rsidRDefault="004E7EF9">
      <w:pPr>
        <w:autoSpaceDE w:val="0"/>
        <w:autoSpaceDN w:val="0"/>
        <w:adjustRightInd w:val="0"/>
        <w:rPr>
          <w:szCs w:val="22"/>
          <w:lang w:eastAsia="lt-LT"/>
        </w:rPr>
      </w:pPr>
      <w:r>
        <w:rPr>
          <w:szCs w:val="22"/>
          <w:lang w:eastAsia="lt-LT"/>
        </w:rPr>
        <w:t>Su žmonėmis buvo atlikti du pozitronų emisijos tomografijos (PET) tyrimai, kurių metu, norint kiekybiškai ištirti 5-HT nešiklių užimtumą galvos smegenyse vartojant įvairių dydžių dozes, buvo naudojami 5-HT nešiklio ligandai (</w:t>
      </w:r>
      <w:r>
        <w:rPr>
          <w:sz w:val="14"/>
          <w:szCs w:val="14"/>
          <w:lang w:eastAsia="lt-LT"/>
        </w:rPr>
        <w:t>11</w:t>
      </w:r>
      <w:r>
        <w:rPr>
          <w:szCs w:val="22"/>
          <w:lang w:eastAsia="lt-LT"/>
        </w:rPr>
        <w:t xml:space="preserve">C-MADAM arba </w:t>
      </w:r>
      <w:r>
        <w:rPr>
          <w:sz w:val="14"/>
          <w:szCs w:val="14"/>
          <w:lang w:eastAsia="lt-LT"/>
        </w:rPr>
        <w:t>11</w:t>
      </w:r>
      <w:r>
        <w:rPr>
          <w:szCs w:val="22"/>
          <w:lang w:eastAsia="lt-LT"/>
        </w:rPr>
        <w:t xml:space="preserve">C-DASB). 5-HT nešiklis siūlės branduoliuose (angl. </w:t>
      </w:r>
      <w:proofErr w:type="spellStart"/>
      <w:r>
        <w:rPr>
          <w:i/>
          <w:iCs/>
          <w:szCs w:val="22"/>
          <w:lang w:eastAsia="lt-LT"/>
        </w:rPr>
        <w:t>raphe</w:t>
      </w:r>
      <w:proofErr w:type="spellEnd"/>
      <w:r>
        <w:rPr>
          <w:i/>
          <w:iCs/>
          <w:szCs w:val="22"/>
          <w:lang w:eastAsia="lt-LT"/>
        </w:rPr>
        <w:t xml:space="preserve"> </w:t>
      </w:r>
      <w:proofErr w:type="spellStart"/>
      <w:r>
        <w:rPr>
          <w:i/>
          <w:iCs/>
          <w:szCs w:val="22"/>
          <w:lang w:eastAsia="lt-LT"/>
        </w:rPr>
        <w:t>nuclei</w:t>
      </w:r>
      <w:proofErr w:type="spellEnd"/>
      <w:r>
        <w:rPr>
          <w:szCs w:val="22"/>
          <w:lang w:eastAsia="lt-LT"/>
        </w:rPr>
        <w:t>) buvo užimtas vidutiniškai maždaug 50 %, vartojant 5 mg dozę per parą, 65 %, vartojant 10 mg dozę per parą, ir užimtumas padidėjo iki 80 %, vartojant 20 mg dozę per parą.</w:t>
      </w:r>
    </w:p>
    <w:p w14:paraId="76210602" w14:textId="77777777" w:rsidR="00BC7B13" w:rsidRDefault="00BC7B13">
      <w:pPr>
        <w:widowControl w:val="0"/>
        <w:autoSpaceDE w:val="0"/>
        <w:autoSpaceDN w:val="0"/>
      </w:pPr>
    </w:p>
    <w:p w14:paraId="6BF06D70" w14:textId="77777777" w:rsidR="00BC7B13" w:rsidRDefault="004E7EF9">
      <w:pPr>
        <w:widowControl w:val="0"/>
        <w:autoSpaceDE w:val="0"/>
        <w:autoSpaceDN w:val="0"/>
        <w:rPr>
          <w:u w:val="single"/>
        </w:rPr>
      </w:pPr>
      <w:r>
        <w:rPr>
          <w:u w:val="single"/>
        </w:rPr>
        <w:t>Klinikinis veiksmingumas ir saugumas</w:t>
      </w:r>
    </w:p>
    <w:p w14:paraId="01A3657E" w14:textId="77777777" w:rsidR="00BC7B13" w:rsidRDefault="00BC7B13">
      <w:pPr>
        <w:widowControl w:val="0"/>
        <w:autoSpaceDE w:val="0"/>
        <w:autoSpaceDN w:val="0"/>
      </w:pPr>
    </w:p>
    <w:p w14:paraId="7479335D"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veiksmingumas ir saugumas buvo tirti klinikinės programos metu, kurioje dalyvavo daugiau kaip 6 700 pacientų, iš kurių daugiau kaip 3 700 buvo gydyti </w:t>
      </w:r>
      <w:proofErr w:type="spellStart"/>
      <w:r>
        <w:rPr>
          <w:szCs w:val="22"/>
          <w:lang w:eastAsia="lt-LT"/>
        </w:rPr>
        <w:t>vortioksetinu</w:t>
      </w:r>
      <w:proofErr w:type="spellEnd"/>
      <w:r>
        <w:rPr>
          <w:szCs w:val="22"/>
          <w:lang w:eastAsia="lt-LT"/>
        </w:rPr>
        <w:t xml:space="preserve"> trumpalaikių (≤ 12 savaičių) didžiosios depresijos sutrikimo (DDS) tyrimų metu. Siekiant ištirti trumpalaikį </w:t>
      </w:r>
      <w:proofErr w:type="spellStart"/>
      <w:r>
        <w:rPr>
          <w:szCs w:val="22"/>
          <w:lang w:eastAsia="lt-LT"/>
        </w:rPr>
        <w:t>vortioksetino</w:t>
      </w:r>
      <w:proofErr w:type="spellEnd"/>
      <w:r>
        <w:rPr>
          <w:szCs w:val="22"/>
          <w:lang w:eastAsia="lt-LT"/>
        </w:rPr>
        <w:t xml:space="preserve"> veiksmingumą gydant suaugusiųjų, įskaitant senyvus pacientus, DDS, buvo atlikta dvylika dvigubai koduotų placebu kontroliuojamųjų 6/8 savaičių trukmės pastovios dozės tyrimų. </w:t>
      </w:r>
      <w:proofErr w:type="spellStart"/>
      <w:r>
        <w:rPr>
          <w:szCs w:val="22"/>
          <w:lang w:eastAsia="lt-LT"/>
        </w:rPr>
        <w:t>Vortioksetino</w:t>
      </w:r>
      <w:proofErr w:type="spellEnd"/>
      <w:r>
        <w:rPr>
          <w:szCs w:val="22"/>
          <w:lang w:eastAsia="lt-LT"/>
        </w:rPr>
        <w:t xml:space="preserve"> veiksmingumas buvo patvirtintas pokyčiu mažiausiai 2 balais, palyginti su placebo poveikiu, bent vienos dozės grupėje 9 iš 12 tyrimų metu, vadovaujantis bendrojo įvertinimo pagal Montgomerio ir </w:t>
      </w:r>
      <w:proofErr w:type="spellStart"/>
      <w:r>
        <w:rPr>
          <w:szCs w:val="22"/>
          <w:lang w:eastAsia="lt-LT"/>
        </w:rPr>
        <w:t>Asbergo</w:t>
      </w:r>
      <w:proofErr w:type="spellEnd"/>
      <w:r>
        <w:rPr>
          <w:szCs w:val="22"/>
          <w:lang w:eastAsia="lt-LT"/>
        </w:rPr>
        <w:t xml:space="preserve"> depresijos įvertinimo skalę [angl., </w:t>
      </w:r>
      <w:r>
        <w:rPr>
          <w:i/>
          <w:iCs/>
          <w:szCs w:val="22"/>
          <w:lang w:eastAsia="lt-LT"/>
        </w:rPr>
        <w:t xml:space="preserve">Montgomery </w:t>
      </w:r>
      <w:proofErr w:type="spellStart"/>
      <w:r>
        <w:rPr>
          <w:i/>
          <w:iCs/>
          <w:szCs w:val="22"/>
          <w:lang w:eastAsia="lt-LT"/>
        </w:rPr>
        <w:t>and</w:t>
      </w:r>
      <w:proofErr w:type="spellEnd"/>
      <w:r>
        <w:rPr>
          <w:i/>
          <w:iCs/>
          <w:szCs w:val="22"/>
          <w:lang w:eastAsia="lt-LT"/>
        </w:rPr>
        <w:t xml:space="preserve"> </w:t>
      </w:r>
      <w:proofErr w:type="spellStart"/>
      <w:r>
        <w:rPr>
          <w:i/>
          <w:iCs/>
          <w:szCs w:val="22"/>
          <w:lang w:eastAsia="lt-LT"/>
        </w:rPr>
        <w:t>Åsberg</w:t>
      </w:r>
      <w:proofErr w:type="spellEnd"/>
      <w:r>
        <w:rPr>
          <w:i/>
          <w:iCs/>
          <w:szCs w:val="22"/>
          <w:lang w:eastAsia="lt-LT"/>
        </w:rPr>
        <w:t xml:space="preserve"> </w:t>
      </w:r>
      <w:proofErr w:type="spellStart"/>
      <w:r>
        <w:rPr>
          <w:i/>
          <w:iCs/>
          <w:szCs w:val="22"/>
          <w:lang w:eastAsia="lt-LT"/>
        </w:rPr>
        <w:t>Depression</w:t>
      </w:r>
      <w:proofErr w:type="spellEnd"/>
      <w:r>
        <w:rPr>
          <w:i/>
          <w:iCs/>
          <w:szCs w:val="22"/>
          <w:lang w:eastAsia="lt-LT"/>
        </w:rPr>
        <w:t xml:space="preserve"> </w:t>
      </w:r>
      <w:proofErr w:type="spellStart"/>
      <w:r>
        <w:rPr>
          <w:i/>
          <w:iCs/>
          <w:szCs w:val="22"/>
          <w:lang w:eastAsia="lt-LT"/>
        </w:rPr>
        <w:t>Rating</w:t>
      </w:r>
      <w:proofErr w:type="spellEnd"/>
      <w:r>
        <w:rPr>
          <w:i/>
          <w:iCs/>
          <w:szCs w:val="22"/>
          <w:lang w:eastAsia="lt-LT"/>
        </w:rPr>
        <w:t xml:space="preserve"> </w:t>
      </w:r>
      <w:proofErr w:type="spellStart"/>
      <w:r>
        <w:rPr>
          <w:i/>
          <w:iCs/>
          <w:szCs w:val="22"/>
          <w:lang w:eastAsia="lt-LT"/>
        </w:rPr>
        <w:t>Scale</w:t>
      </w:r>
      <w:proofErr w:type="spellEnd"/>
      <w:r>
        <w:rPr>
          <w:i/>
          <w:iCs/>
          <w:szCs w:val="22"/>
          <w:lang w:eastAsia="lt-LT"/>
        </w:rPr>
        <w:t xml:space="preserve"> (MADRS)</w:t>
      </w:r>
      <w:r>
        <w:rPr>
          <w:szCs w:val="22"/>
          <w:lang w:eastAsia="lt-LT"/>
        </w:rPr>
        <w:t xml:space="preserve">] arba 24 elementų Hamiltono depresijos įvertinimo skalę (angl., </w:t>
      </w:r>
      <w:proofErr w:type="spellStart"/>
      <w:r>
        <w:rPr>
          <w:i/>
          <w:iCs/>
          <w:szCs w:val="22"/>
          <w:lang w:eastAsia="lt-LT"/>
        </w:rPr>
        <w:t>Hamilton</w:t>
      </w:r>
      <w:proofErr w:type="spellEnd"/>
      <w:r>
        <w:rPr>
          <w:i/>
          <w:iCs/>
          <w:szCs w:val="22"/>
          <w:lang w:eastAsia="lt-LT"/>
        </w:rPr>
        <w:t xml:space="preserve"> </w:t>
      </w:r>
      <w:proofErr w:type="spellStart"/>
      <w:r>
        <w:rPr>
          <w:i/>
          <w:iCs/>
          <w:szCs w:val="22"/>
          <w:lang w:eastAsia="lt-LT"/>
        </w:rPr>
        <w:t>Depression</w:t>
      </w:r>
      <w:proofErr w:type="spellEnd"/>
      <w:r>
        <w:rPr>
          <w:i/>
          <w:iCs/>
          <w:szCs w:val="22"/>
          <w:lang w:eastAsia="lt-LT"/>
        </w:rPr>
        <w:t xml:space="preserve"> </w:t>
      </w:r>
      <w:proofErr w:type="spellStart"/>
      <w:r>
        <w:rPr>
          <w:i/>
          <w:iCs/>
          <w:szCs w:val="22"/>
          <w:lang w:eastAsia="lt-LT"/>
        </w:rPr>
        <w:t>Rating</w:t>
      </w:r>
      <w:proofErr w:type="spellEnd"/>
      <w:r>
        <w:rPr>
          <w:i/>
          <w:iCs/>
          <w:szCs w:val="22"/>
          <w:lang w:eastAsia="lt-LT"/>
        </w:rPr>
        <w:t xml:space="preserve"> </w:t>
      </w:r>
      <w:proofErr w:type="spellStart"/>
      <w:r>
        <w:rPr>
          <w:i/>
          <w:iCs/>
          <w:szCs w:val="22"/>
          <w:lang w:eastAsia="lt-LT"/>
        </w:rPr>
        <w:t>Scale</w:t>
      </w:r>
      <w:proofErr w:type="spellEnd"/>
      <w:r>
        <w:rPr>
          <w:i/>
          <w:iCs/>
          <w:szCs w:val="22"/>
          <w:lang w:eastAsia="lt-LT"/>
        </w:rPr>
        <w:t xml:space="preserve"> 24-item [HAM-D24]</w:t>
      </w:r>
      <w:r>
        <w:rPr>
          <w:szCs w:val="22"/>
          <w:lang w:eastAsia="lt-LT"/>
        </w:rPr>
        <w:t xml:space="preserve">).Tokio poveikio klinikinis reikšmingumas buvo patvirtintas remiantis pacientų, kuriems pasireiškė organizmo atsakas, ir pacientų, kuriems pasireiškė atkrytis, santykiu, bei pagerėjimu, atsižvelgiant į funkcinio sutrikimo balus pagal bendrojo klinikinio stebėjimo – bendrojo pagerėjimo [angl., </w:t>
      </w:r>
      <w:proofErr w:type="spellStart"/>
      <w:r>
        <w:rPr>
          <w:i/>
          <w:iCs/>
          <w:szCs w:val="22"/>
          <w:lang w:eastAsia="lt-LT"/>
        </w:rPr>
        <w:t>the</w:t>
      </w:r>
      <w:proofErr w:type="spellEnd"/>
      <w:r>
        <w:rPr>
          <w:i/>
          <w:iCs/>
          <w:szCs w:val="22"/>
          <w:lang w:eastAsia="lt-LT"/>
        </w:rPr>
        <w:t xml:space="preserve"> </w:t>
      </w:r>
      <w:proofErr w:type="spellStart"/>
      <w:r>
        <w:rPr>
          <w:i/>
          <w:iCs/>
          <w:szCs w:val="22"/>
          <w:lang w:eastAsia="lt-LT"/>
        </w:rPr>
        <w:t>Clinical</w:t>
      </w:r>
      <w:proofErr w:type="spellEnd"/>
      <w:r>
        <w:rPr>
          <w:i/>
          <w:iCs/>
          <w:szCs w:val="22"/>
          <w:lang w:eastAsia="lt-LT"/>
        </w:rPr>
        <w:t xml:space="preserve"> Global </w:t>
      </w:r>
      <w:proofErr w:type="spellStart"/>
      <w:r>
        <w:rPr>
          <w:i/>
          <w:iCs/>
          <w:szCs w:val="22"/>
          <w:lang w:eastAsia="lt-LT"/>
        </w:rPr>
        <w:t>Impression</w:t>
      </w:r>
      <w:proofErr w:type="spellEnd"/>
      <w:r>
        <w:rPr>
          <w:i/>
          <w:iCs/>
          <w:szCs w:val="22"/>
          <w:lang w:eastAsia="lt-LT"/>
        </w:rPr>
        <w:t xml:space="preserve"> – Global </w:t>
      </w:r>
      <w:proofErr w:type="spellStart"/>
      <w:r>
        <w:rPr>
          <w:i/>
          <w:iCs/>
          <w:szCs w:val="22"/>
          <w:lang w:eastAsia="lt-LT"/>
        </w:rPr>
        <w:t>Improvement</w:t>
      </w:r>
      <w:proofErr w:type="spellEnd"/>
      <w:r>
        <w:rPr>
          <w:szCs w:val="22"/>
          <w:lang w:eastAsia="lt-LT"/>
        </w:rPr>
        <w:t xml:space="preserve"> </w:t>
      </w:r>
      <w:r>
        <w:rPr>
          <w:i/>
          <w:iCs/>
          <w:szCs w:val="22"/>
          <w:lang w:eastAsia="lt-LT"/>
        </w:rPr>
        <w:t>(CGI-I)</w:t>
      </w:r>
      <w:r>
        <w:rPr>
          <w:szCs w:val="22"/>
          <w:lang w:eastAsia="lt-LT"/>
        </w:rPr>
        <w:t>] skalę.</w:t>
      </w:r>
    </w:p>
    <w:p w14:paraId="68B47783" w14:textId="77777777" w:rsidR="00BC7B13" w:rsidRDefault="00BC7B13">
      <w:pPr>
        <w:widowControl w:val="0"/>
        <w:autoSpaceDE w:val="0"/>
        <w:autoSpaceDN w:val="0"/>
        <w:rPr>
          <w:i/>
          <w:iCs/>
          <w:u w:val="single"/>
        </w:rPr>
      </w:pPr>
    </w:p>
    <w:p w14:paraId="6E59C437" w14:textId="77777777" w:rsidR="00BC7B13" w:rsidRDefault="004E7EF9">
      <w:pPr>
        <w:autoSpaceDE w:val="0"/>
        <w:autoSpaceDN w:val="0"/>
        <w:adjustRightInd w:val="0"/>
        <w:rPr>
          <w:szCs w:val="22"/>
          <w:lang w:eastAsia="lt-LT"/>
        </w:rPr>
      </w:pPr>
      <w:r>
        <w:rPr>
          <w:szCs w:val="22"/>
          <w:lang w:eastAsia="lt-LT"/>
        </w:rPr>
        <w:t xml:space="preserve">Atskirų tyrimų duomenis patvirtino </w:t>
      </w:r>
      <w:proofErr w:type="spellStart"/>
      <w:r>
        <w:rPr>
          <w:szCs w:val="22"/>
          <w:lang w:eastAsia="lt-LT"/>
        </w:rPr>
        <w:t>metaanalizė</w:t>
      </w:r>
      <w:proofErr w:type="spellEnd"/>
      <w:r>
        <w:rPr>
          <w:szCs w:val="22"/>
          <w:lang w:eastAsia="lt-LT"/>
        </w:rPr>
        <w:t xml:space="preserve"> (MMRM), kurios metu buvo analizuojamas vidutinis </w:t>
      </w:r>
      <w:r>
        <w:rPr>
          <w:i/>
          <w:iCs/>
          <w:szCs w:val="22"/>
          <w:lang w:eastAsia="lt-LT"/>
        </w:rPr>
        <w:t>MADRS</w:t>
      </w:r>
      <w:r>
        <w:rPr>
          <w:szCs w:val="22"/>
          <w:lang w:eastAsia="lt-LT"/>
        </w:rPr>
        <w:t xml:space="preserve"> skalės bendrojo įvertinimo pokytis 6/8 savaitę trumpalaikių placebu kontroliuotų suaugusiųjų tyrimų metu. Ši </w:t>
      </w:r>
      <w:proofErr w:type="spellStart"/>
      <w:r>
        <w:rPr>
          <w:szCs w:val="22"/>
          <w:lang w:eastAsia="lt-LT"/>
        </w:rPr>
        <w:t>metaanalizė</w:t>
      </w:r>
      <w:proofErr w:type="spellEnd"/>
      <w:r>
        <w:rPr>
          <w:szCs w:val="22"/>
          <w:lang w:eastAsia="lt-LT"/>
        </w:rPr>
        <w:t xml:space="preserve"> parodė, kad tyrimų metu bendras vidutinis skirtumas, palyginti su placebo poveikiu, buvo statistiškai reikšmingas: -2,3 balo (p = 0,007), -3,6 balo (p &lt; 0,001) ir -4,6 balo (p &lt; 0,001) atitinkamai vartojant 5 mg, 10 mg ir 20 mg paros dozes; 15 mg paros dozės poveikis </w:t>
      </w:r>
      <w:proofErr w:type="spellStart"/>
      <w:r>
        <w:rPr>
          <w:szCs w:val="22"/>
          <w:lang w:eastAsia="lt-LT"/>
        </w:rPr>
        <w:t>metaanalizės</w:t>
      </w:r>
      <w:proofErr w:type="spellEnd"/>
      <w:r>
        <w:rPr>
          <w:szCs w:val="22"/>
          <w:lang w:eastAsia="lt-LT"/>
        </w:rPr>
        <w:t xml:space="preserve"> metu nuo placebo poveikio statistiškai reikšmingai nesiskyrė, tačiau vidutinis skirtumas, palyginti su placebo poveikiu, buvo -2,6 balo. </w:t>
      </w:r>
      <w:proofErr w:type="spellStart"/>
      <w:r>
        <w:rPr>
          <w:szCs w:val="22"/>
          <w:lang w:eastAsia="lt-LT"/>
        </w:rPr>
        <w:t>Vortioksetino</w:t>
      </w:r>
      <w:proofErr w:type="spellEnd"/>
      <w:r>
        <w:rPr>
          <w:szCs w:val="22"/>
          <w:lang w:eastAsia="lt-LT"/>
        </w:rPr>
        <w:t xml:space="preserve"> veiksmingumą patvirtino ir apibendrinta į gydymą reagavusių pacientų analizė,</w:t>
      </w:r>
      <w:r>
        <w:t xml:space="preserve"> </w:t>
      </w:r>
      <w:r>
        <w:rPr>
          <w:szCs w:val="22"/>
          <w:lang w:eastAsia="lt-LT"/>
        </w:rPr>
        <w:t xml:space="preserve">kuri parodė, kad į gydymą reagavo 46-49 % </w:t>
      </w:r>
      <w:proofErr w:type="spellStart"/>
      <w:r>
        <w:rPr>
          <w:szCs w:val="22"/>
          <w:lang w:eastAsia="lt-LT"/>
        </w:rPr>
        <w:t>vortioksetino</w:t>
      </w:r>
      <w:proofErr w:type="spellEnd"/>
      <w:r>
        <w:rPr>
          <w:szCs w:val="22"/>
          <w:lang w:eastAsia="lt-LT"/>
        </w:rPr>
        <w:t xml:space="preserve"> ir 34 % placebo vartojusių pacientų (p &lt;0,01; NRI analizė).</w:t>
      </w:r>
    </w:p>
    <w:p w14:paraId="04C953D7" w14:textId="77777777" w:rsidR="00BC7B13" w:rsidRDefault="00BC7B13">
      <w:pPr>
        <w:widowControl w:val="0"/>
        <w:autoSpaceDE w:val="0"/>
        <w:autoSpaceDN w:val="0"/>
        <w:rPr>
          <w:szCs w:val="22"/>
          <w:lang w:eastAsia="lt-LT"/>
        </w:rPr>
      </w:pPr>
    </w:p>
    <w:p w14:paraId="3AA21B46" w14:textId="77777777" w:rsidR="00BC7B13" w:rsidRDefault="004E7EF9">
      <w:pPr>
        <w:widowControl w:val="0"/>
        <w:autoSpaceDE w:val="0"/>
        <w:autoSpaceDN w:val="0"/>
        <w:rPr>
          <w:szCs w:val="22"/>
          <w:lang w:eastAsia="lt-LT"/>
        </w:rPr>
      </w:pPr>
      <w:r>
        <w:rPr>
          <w:szCs w:val="22"/>
          <w:lang w:eastAsia="lt-LT"/>
        </w:rPr>
        <w:t xml:space="preserve">Be to, įrodytas </w:t>
      </w:r>
      <w:proofErr w:type="spellStart"/>
      <w:r>
        <w:rPr>
          <w:szCs w:val="22"/>
          <w:lang w:eastAsia="lt-LT"/>
        </w:rPr>
        <w:t>vortioksetino</w:t>
      </w:r>
      <w:proofErr w:type="spellEnd"/>
      <w:r>
        <w:rPr>
          <w:szCs w:val="22"/>
          <w:lang w:eastAsia="lt-LT"/>
        </w:rPr>
        <w:t xml:space="preserve">, vartojant dozes nuo 5 mg iki 20 mg per parą ribose, veiksmingumas plačiam spektrui depresijos (įvertinta pagal visų atskirų </w:t>
      </w:r>
      <w:r>
        <w:rPr>
          <w:i/>
          <w:iCs/>
          <w:szCs w:val="22"/>
          <w:lang w:eastAsia="lt-LT"/>
        </w:rPr>
        <w:t>MADRS</w:t>
      </w:r>
      <w:r>
        <w:rPr>
          <w:szCs w:val="22"/>
          <w:lang w:eastAsia="lt-LT"/>
        </w:rPr>
        <w:t xml:space="preserve"> elementų pagerėjimą) simptomų.</w:t>
      </w:r>
    </w:p>
    <w:p w14:paraId="77FD20CC" w14:textId="77777777" w:rsidR="00BC7B13" w:rsidRDefault="00BC7B13">
      <w:pPr>
        <w:widowControl w:val="0"/>
        <w:autoSpaceDE w:val="0"/>
        <w:autoSpaceDN w:val="0"/>
        <w:rPr>
          <w:szCs w:val="22"/>
          <w:lang w:eastAsia="lt-LT"/>
        </w:rPr>
      </w:pPr>
    </w:p>
    <w:p w14:paraId="44E0202E" w14:textId="77777777" w:rsidR="00BC7B13" w:rsidRDefault="004E7EF9">
      <w:pPr>
        <w:widowControl w:val="0"/>
        <w:autoSpaceDE w:val="0"/>
        <w:autoSpaceDN w:val="0"/>
        <w:rPr>
          <w:szCs w:val="22"/>
          <w:lang w:eastAsia="lt-LT"/>
        </w:rPr>
      </w:pPr>
      <w:proofErr w:type="spellStart"/>
      <w:r>
        <w:rPr>
          <w:szCs w:val="22"/>
          <w:lang w:eastAsia="lt-LT"/>
        </w:rPr>
        <w:t>Vortioksetino</w:t>
      </w:r>
      <w:proofErr w:type="spellEnd"/>
      <w:r>
        <w:rPr>
          <w:szCs w:val="22"/>
          <w:lang w:eastAsia="lt-LT"/>
        </w:rPr>
        <w:t xml:space="preserve"> 10 mg arba 20 mg paros dozės veiksmingumas gydant DDS sergančius pacientus taip pat buvo patvirtintas 12 savaičių trukmės, dvigubai koduoto, kintamų dozių, palyginamojo (vartota 25 mg arba 50 mg </w:t>
      </w:r>
      <w:proofErr w:type="spellStart"/>
      <w:r>
        <w:rPr>
          <w:szCs w:val="22"/>
          <w:lang w:eastAsia="lt-LT"/>
        </w:rPr>
        <w:t>agomelatino</w:t>
      </w:r>
      <w:proofErr w:type="spellEnd"/>
      <w:r>
        <w:rPr>
          <w:szCs w:val="22"/>
          <w:lang w:eastAsia="lt-LT"/>
        </w:rPr>
        <w:t xml:space="preserve"> paros dozė) tyrimo metu. </w:t>
      </w:r>
      <w:proofErr w:type="spellStart"/>
      <w:r>
        <w:rPr>
          <w:szCs w:val="22"/>
          <w:lang w:eastAsia="lt-LT"/>
        </w:rPr>
        <w:t>Vortioksetinas</w:t>
      </w:r>
      <w:proofErr w:type="spellEnd"/>
      <w:r>
        <w:rPr>
          <w:szCs w:val="22"/>
          <w:lang w:eastAsia="lt-LT"/>
        </w:rPr>
        <w:t xml:space="preserve"> sukėlė statistiškai reikšmingai geresnį poveikį nei </w:t>
      </w:r>
      <w:proofErr w:type="spellStart"/>
      <w:r>
        <w:rPr>
          <w:szCs w:val="22"/>
          <w:lang w:eastAsia="lt-LT"/>
        </w:rPr>
        <w:t>agomelatinas</w:t>
      </w:r>
      <w:proofErr w:type="spellEnd"/>
      <w:r>
        <w:rPr>
          <w:szCs w:val="22"/>
          <w:lang w:eastAsia="lt-LT"/>
        </w:rPr>
        <w:t xml:space="preserve">, vertinant </w:t>
      </w:r>
      <w:r>
        <w:rPr>
          <w:i/>
          <w:iCs/>
          <w:szCs w:val="22"/>
          <w:lang w:eastAsia="lt-LT"/>
        </w:rPr>
        <w:t>MADRS</w:t>
      </w:r>
      <w:r>
        <w:rPr>
          <w:szCs w:val="22"/>
          <w:lang w:eastAsia="lt-LT"/>
        </w:rPr>
        <w:t xml:space="preserve"> skalės bendrojo įvertinimo padidėjimą, be to, klinikinę tokio poveikio reikšmę parodė į gydymą reagavusių pacientų bei pacientų, kuriems pasireiškė atkrytis, dalis ir CGI-I įvertinimo pagerėjimas.</w:t>
      </w:r>
    </w:p>
    <w:p w14:paraId="653F581B" w14:textId="77777777" w:rsidR="00BC7B13" w:rsidRDefault="00BC7B13">
      <w:pPr>
        <w:widowControl w:val="0"/>
        <w:autoSpaceDE w:val="0"/>
        <w:autoSpaceDN w:val="0"/>
        <w:rPr>
          <w:i/>
          <w:iCs/>
          <w:u w:val="single"/>
        </w:rPr>
      </w:pPr>
    </w:p>
    <w:p w14:paraId="4A23E404" w14:textId="77777777" w:rsidR="00BC7B13" w:rsidRDefault="004E7EF9">
      <w:pPr>
        <w:autoSpaceDE w:val="0"/>
        <w:autoSpaceDN w:val="0"/>
        <w:adjustRightInd w:val="0"/>
        <w:rPr>
          <w:i/>
          <w:iCs/>
          <w:szCs w:val="22"/>
          <w:lang w:eastAsia="lt-LT"/>
        </w:rPr>
      </w:pPr>
      <w:r>
        <w:rPr>
          <w:i/>
          <w:iCs/>
          <w:szCs w:val="22"/>
          <w:lang w:eastAsia="lt-LT"/>
        </w:rPr>
        <w:t>Palaikomasis gydymas</w:t>
      </w:r>
    </w:p>
    <w:p w14:paraId="5DEF4FFB" w14:textId="77777777" w:rsidR="00BC7B13" w:rsidRDefault="004E7EF9">
      <w:pPr>
        <w:autoSpaceDE w:val="0"/>
        <w:autoSpaceDN w:val="0"/>
        <w:adjustRightInd w:val="0"/>
        <w:rPr>
          <w:szCs w:val="22"/>
          <w:lang w:eastAsia="lt-LT"/>
        </w:rPr>
      </w:pPr>
      <w:r>
        <w:rPr>
          <w:szCs w:val="22"/>
          <w:lang w:eastAsia="lt-LT"/>
        </w:rPr>
        <w:t xml:space="preserve">Palaikomojo </w:t>
      </w:r>
      <w:proofErr w:type="spellStart"/>
      <w:r>
        <w:rPr>
          <w:szCs w:val="22"/>
          <w:lang w:eastAsia="lt-LT"/>
        </w:rPr>
        <w:t>antidepresinio</w:t>
      </w:r>
      <w:proofErr w:type="spellEnd"/>
      <w:r>
        <w:rPr>
          <w:szCs w:val="22"/>
          <w:lang w:eastAsia="lt-LT"/>
        </w:rPr>
        <w:t xml:space="preserve"> gydymo veiksmingumas buvo įrodytas atkryčio profilaktikos tyrimu. Pacientai, kuriems pasireiškė ligos remisija po pradinio 12 savaičių gydymo </w:t>
      </w:r>
      <w:proofErr w:type="spellStart"/>
      <w:r>
        <w:rPr>
          <w:szCs w:val="22"/>
          <w:lang w:eastAsia="lt-LT"/>
        </w:rPr>
        <w:t>vortioksetinu</w:t>
      </w:r>
      <w:proofErr w:type="spellEnd"/>
      <w:r>
        <w:rPr>
          <w:szCs w:val="22"/>
          <w:lang w:eastAsia="lt-LT"/>
        </w:rPr>
        <w:t xml:space="preserve"> atviru būdu laikotarpio, atsitiktiniu būdu buvo suskirstyti į grupes ir gydyti arba 5 mg ar 10 mg </w:t>
      </w:r>
      <w:proofErr w:type="spellStart"/>
      <w:r>
        <w:rPr>
          <w:szCs w:val="22"/>
          <w:lang w:eastAsia="lt-LT"/>
        </w:rPr>
        <w:t>vortioksetino</w:t>
      </w:r>
      <w:proofErr w:type="spellEnd"/>
      <w:r>
        <w:rPr>
          <w:szCs w:val="22"/>
          <w:lang w:eastAsia="lt-LT"/>
        </w:rPr>
        <w:t xml:space="preserve"> doze per parą, arba vartojo placebo, ir stebėti, ar nepasireiškia atkrytis per gydymo ne trumpiau kaip </w:t>
      </w:r>
      <w:r>
        <w:rPr>
          <w:szCs w:val="22"/>
          <w:lang w:eastAsia="lt-LT"/>
        </w:rPr>
        <w:lastRenderedPageBreak/>
        <w:t xml:space="preserve">24 savaites (nuo 24 iki 64 savaičių) dvigubai koduotu būdu laikotarpį. </w:t>
      </w:r>
      <w:proofErr w:type="spellStart"/>
      <w:r>
        <w:rPr>
          <w:szCs w:val="22"/>
          <w:lang w:eastAsia="lt-LT"/>
        </w:rPr>
        <w:t>Vortioksetinas</w:t>
      </w:r>
      <w:proofErr w:type="spellEnd"/>
      <w:r>
        <w:rPr>
          <w:szCs w:val="22"/>
          <w:lang w:eastAsia="lt-LT"/>
        </w:rPr>
        <w:t xml:space="preserve"> buvo pranašesnis (p = 0,004) už placebą, atsižvelgiant į pagrindinio poveikio vertinimo kriterijų – laikotarpį, po kurio pasireiškė DDS atkrytis (santykinė rizika 2,0). Tai reiškia, kad atkryčio rizika placebo grupėje buvo du kartus didesnė nei </w:t>
      </w:r>
      <w:proofErr w:type="spellStart"/>
      <w:r>
        <w:rPr>
          <w:szCs w:val="22"/>
          <w:lang w:eastAsia="lt-LT"/>
        </w:rPr>
        <w:t>vortioksetino</w:t>
      </w:r>
      <w:proofErr w:type="spellEnd"/>
      <w:r>
        <w:rPr>
          <w:szCs w:val="22"/>
          <w:lang w:eastAsia="lt-LT"/>
        </w:rPr>
        <w:t xml:space="preserve"> grupėje.</w:t>
      </w:r>
    </w:p>
    <w:p w14:paraId="40DC4AEB" w14:textId="77777777" w:rsidR="00BC7B13" w:rsidRDefault="00BC7B13">
      <w:pPr>
        <w:autoSpaceDE w:val="0"/>
        <w:autoSpaceDN w:val="0"/>
        <w:adjustRightInd w:val="0"/>
        <w:rPr>
          <w:i/>
          <w:iCs/>
          <w:szCs w:val="22"/>
          <w:lang w:eastAsia="lt-LT"/>
        </w:rPr>
      </w:pPr>
    </w:p>
    <w:p w14:paraId="5E32E113" w14:textId="77777777" w:rsidR="00BC7B13" w:rsidRDefault="004E7EF9">
      <w:pPr>
        <w:autoSpaceDE w:val="0"/>
        <w:autoSpaceDN w:val="0"/>
        <w:adjustRightInd w:val="0"/>
        <w:rPr>
          <w:i/>
          <w:iCs/>
          <w:szCs w:val="22"/>
          <w:lang w:eastAsia="lt-LT"/>
        </w:rPr>
      </w:pPr>
      <w:r>
        <w:rPr>
          <w:i/>
          <w:iCs/>
          <w:szCs w:val="22"/>
          <w:lang w:eastAsia="lt-LT"/>
        </w:rPr>
        <w:t>Senyvi pacientai</w:t>
      </w:r>
    </w:p>
    <w:p w14:paraId="60F18F96" w14:textId="77777777" w:rsidR="00BC7B13" w:rsidRDefault="004E7EF9">
      <w:pPr>
        <w:autoSpaceDE w:val="0"/>
        <w:autoSpaceDN w:val="0"/>
        <w:adjustRightInd w:val="0"/>
        <w:rPr>
          <w:szCs w:val="22"/>
          <w:lang w:eastAsia="lt-LT"/>
        </w:rPr>
      </w:pPr>
      <w:r>
        <w:rPr>
          <w:szCs w:val="22"/>
          <w:lang w:eastAsia="lt-LT"/>
        </w:rPr>
        <w:t xml:space="preserve">8 savaičių trukmės dvigubai koduoto placebu kontroliuojamojo pastovios dozės tyrimo su senyvais depresija sergančiais pacientais (≥ 65 metų, n = 452, 156 iš jų vartojo </w:t>
      </w:r>
      <w:proofErr w:type="spellStart"/>
      <w:r>
        <w:rPr>
          <w:szCs w:val="22"/>
          <w:lang w:eastAsia="lt-LT"/>
        </w:rPr>
        <w:t>vortioksetino</w:t>
      </w:r>
      <w:proofErr w:type="spellEnd"/>
      <w:r>
        <w:rPr>
          <w:szCs w:val="22"/>
          <w:lang w:eastAsia="lt-LT"/>
        </w:rPr>
        <w:t xml:space="preserve">) duomenimis, 5 mg </w:t>
      </w:r>
      <w:proofErr w:type="spellStart"/>
      <w:r>
        <w:rPr>
          <w:szCs w:val="22"/>
          <w:lang w:eastAsia="lt-LT"/>
        </w:rPr>
        <w:t>vortioksetino</w:t>
      </w:r>
      <w:proofErr w:type="spellEnd"/>
      <w:r>
        <w:rPr>
          <w:szCs w:val="22"/>
          <w:lang w:eastAsia="lt-LT"/>
        </w:rPr>
        <w:t xml:space="preserve"> dozė per parą buvo pranašesnė už placebą, atsižvelgiant į bendrųjų balų pagal </w:t>
      </w:r>
      <w:r>
        <w:rPr>
          <w:i/>
          <w:iCs/>
          <w:szCs w:val="22"/>
          <w:lang w:eastAsia="lt-LT"/>
        </w:rPr>
        <w:t>MADRS</w:t>
      </w:r>
      <w:r>
        <w:rPr>
          <w:szCs w:val="22"/>
          <w:lang w:eastAsia="lt-LT"/>
        </w:rPr>
        <w:t xml:space="preserve"> ir </w:t>
      </w:r>
      <w:r>
        <w:rPr>
          <w:i/>
          <w:iCs/>
          <w:szCs w:val="22"/>
          <w:lang w:eastAsia="lt-LT"/>
        </w:rPr>
        <w:t>HAM-D</w:t>
      </w:r>
      <w:r>
        <w:rPr>
          <w:i/>
          <w:iCs/>
          <w:sz w:val="14"/>
          <w:szCs w:val="14"/>
          <w:lang w:eastAsia="lt-LT"/>
        </w:rPr>
        <w:t>24</w:t>
      </w:r>
      <w:r>
        <w:rPr>
          <w:sz w:val="14"/>
          <w:szCs w:val="14"/>
          <w:lang w:eastAsia="lt-LT"/>
        </w:rPr>
        <w:t xml:space="preserve"> </w:t>
      </w:r>
      <w:r>
        <w:rPr>
          <w:szCs w:val="22"/>
          <w:lang w:eastAsia="lt-LT"/>
        </w:rPr>
        <w:t xml:space="preserve">pagerėjimą. </w:t>
      </w:r>
      <w:proofErr w:type="spellStart"/>
      <w:r>
        <w:rPr>
          <w:szCs w:val="22"/>
          <w:lang w:eastAsia="lt-LT"/>
        </w:rPr>
        <w:t>Vortioksetino</w:t>
      </w:r>
      <w:proofErr w:type="spellEnd"/>
      <w:r>
        <w:rPr>
          <w:szCs w:val="22"/>
          <w:lang w:eastAsia="lt-LT"/>
        </w:rPr>
        <w:t xml:space="preserve"> poveikis pagal </w:t>
      </w:r>
      <w:r>
        <w:rPr>
          <w:i/>
          <w:iCs/>
          <w:szCs w:val="22"/>
          <w:lang w:eastAsia="lt-LT"/>
        </w:rPr>
        <w:t>MADRS</w:t>
      </w:r>
      <w:r>
        <w:rPr>
          <w:szCs w:val="22"/>
          <w:lang w:eastAsia="lt-LT"/>
        </w:rPr>
        <w:t xml:space="preserve"> skalės bendrąjį įvertinimą, palyginti su placebo poveikiu, 8 savaitę skyrėsi 4,7 balo (MMRM analizė).</w:t>
      </w:r>
    </w:p>
    <w:p w14:paraId="2E1E46BC" w14:textId="77777777" w:rsidR="00BC7B13" w:rsidRDefault="00BC7B13">
      <w:pPr>
        <w:autoSpaceDE w:val="0"/>
        <w:autoSpaceDN w:val="0"/>
        <w:adjustRightInd w:val="0"/>
        <w:rPr>
          <w:i/>
          <w:iCs/>
          <w:szCs w:val="22"/>
          <w:lang w:eastAsia="lt-LT"/>
        </w:rPr>
      </w:pPr>
    </w:p>
    <w:p w14:paraId="5A8C5A96" w14:textId="77777777" w:rsidR="00BC7B13" w:rsidRDefault="004E7EF9">
      <w:pPr>
        <w:autoSpaceDE w:val="0"/>
        <w:autoSpaceDN w:val="0"/>
        <w:adjustRightInd w:val="0"/>
        <w:rPr>
          <w:i/>
          <w:iCs/>
          <w:szCs w:val="22"/>
          <w:lang w:eastAsia="lt-LT"/>
        </w:rPr>
      </w:pPr>
      <w:r>
        <w:rPr>
          <w:i/>
          <w:iCs/>
          <w:szCs w:val="22"/>
          <w:lang w:eastAsia="lt-LT"/>
        </w:rPr>
        <w:t>Pacientai, kuriems pasireiškia sunki depresija ar depresija ir didelio laipsnio nerimo simptomai</w:t>
      </w:r>
    </w:p>
    <w:p w14:paraId="557C007C"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veiksmingumas taip pat buvo įrodytas gydant suaugusius sunkia depresija sergančius pacientus (pradinis bendrasis balas pagal </w:t>
      </w:r>
      <w:r>
        <w:rPr>
          <w:i/>
          <w:iCs/>
          <w:szCs w:val="22"/>
          <w:lang w:eastAsia="lt-LT"/>
        </w:rPr>
        <w:t>MADRS</w:t>
      </w:r>
      <w:r>
        <w:rPr>
          <w:szCs w:val="22"/>
          <w:lang w:eastAsia="lt-LT"/>
        </w:rPr>
        <w:t xml:space="preserve"> ≥ 30) ir depresija sergančius pacientus su labai išreikštais nerimo simptomais (pradinis bendrasis balas pagal </w:t>
      </w:r>
      <w:r>
        <w:rPr>
          <w:i/>
          <w:iCs/>
          <w:szCs w:val="22"/>
          <w:lang w:eastAsia="lt-LT"/>
        </w:rPr>
        <w:t>HAM-A</w:t>
      </w:r>
      <w:r>
        <w:rPr>
          <w:szCs w:val="22"/>
          <w:lang w:eastAsia="lt-LT"/>
        </w:rPr>
        <w:t xml:space="preserve"> ≥ 20) trumpalaikių tyrimų metu (</w:t>
      </w:r>
      <w:r>
        <w:rPr>
          <w:i/>
          <w:iCs/>
          <w:szCs w:val="22"/>
          <w:lang w:eastAsia="lt-LT"/>
        </w:rPr>
        <w:t>MADRS</w:t>
      </w:r>
      <w:r>
        <w:rPr>
          <w:szCs w:val="22"/>
          <w:lang w:eastAsia="lt-LT"/>
        </w:rPr>
        <w:t xml:space="preserve"> skalės bendrojo įvertinimo skirtumas, palyginti su placebo poveikiu, 6/8 savaitę skyrėsi; buvo atitinkamai nuo 2,8 iki 7,3 balo ir nuo 3,6 iki 7,3 balo [MMRM analizė]). Specifinio senyvų žmonių tyrimo metu </w:t>
      </w:r>
      <w:proofErr w:type="spellStart"/>
      <w:r>
        <w:rPr>
          <w:szCs w:val="22"/>
          <w:lang w:eastAsia="lt-LT"/>
        </w:rPr>
        <w:t>vortioksetinas</w:t>
      </w:r>
      <w:proofErr w:type="spellEnd"/>
      <w:r>
        <w:rPr>
          <w:szCs w:val="22"/>
          <w:lang w:eastAsia="lt-LT"/>
        </w:rPr>
        <w:t xml:space="preserve"> taip pat buvo veiksmingas.</w:t>
      </w:r>
    </w:p>
    <w:p w14:paraId="112B86A4" w14:textId="77777777" w:rsidR="00BC7B13" w:rsidRDefault="004E7EF9">
      <w:pPr>
        <w:autoSpaceDE w:val="0"/>
        <w:autoSpaceDN w:val="0"/>
        <w:adjustRightInd w:val="0"/>
        <w:rPr>
          <w:szCs w:val="22"/>
          <w:lang w:eastAsia="lt-LT"/>
        </w:rPr>
      </w:pPr>
      <w:proofErr w:type="spellStart"/>
      <w:r>
        <w:rPr>
          <w:szCs w:val="22"/>
          <w:lang w:eastAsia="lt-LT"/>
        </w:rPr>
        <w:t>Antidepresinio</w:t>
      </w:r>
      <w:proofErr w:type="spellEnd"/>
      <w:r>
        <w:rPr>
          <w:szCs w:val="22"/>
          <w:lang w:eastAsia="lt-LT"/>
        </w:rPr>
        <w:t xml:space="preserve"> poveikio palaikymas įrodytas ir šios pacientų populiacijos ilgalaikio atkryčio profilaktikos tyrimo metu.</w:t>
      </w:r>
    </w:p>
    <w:p w14:paraId="4DD90324" w14:textId="77777777" w:rsidR="00BC7B13" w:rsidRDefault="00BC7B13">
      <w:pPr>
        <w:autoSpaceDE w:val="0"/>
        <w:autoSpaceDN w:val="0"/>
        <w:adjustRightInd w:val="0"/>
        <w:rPr>
          <w:i/>
          <w:iCs/>
          <w:szCs w:val="22"/>
          <w:lang w:eastAsia="lt-LT"/>
        </w:rPr>
      </w:pPr>
    </w:p>
    <w:p w14:paraId="195A5372" w14:textId="77777777" w:rsidR="00BC7B13" w:rsidRDefault="004E7EF9">
      <w:pPr>
        <w:autoSpaceDE w:val="0"/>
        <w:autoSpaceDN w:val="0"/>
        <w:adjustRightInd w:val="0"/>
        <w:rPr>
          <w:i/>
          <w:iCs/>
          <w:szCs w:val="22"/>
          <w:lang w:eastAsia="lt-LT"/>
        </w:rPr>
      </w:pPr>
      <w:proofErr w:type="spellStart"/>
      <w:r>
        <w:rPr>
          <w:i/>
          <w:iCs/>
          <w:szCs w:val="22"/>
          <w:lang w:eastAsia="lt-LT"/>
        </w:rPr>
        <w:t>Vortioksetino</w:t>
      </w:r>
      <w:proofErr w:type="spellEnd"/>
      <w:r>
        <w:rPr>
          <w:i/>
          <w:iCs/>
          <w:szCs w:val="22"/>
          <w:lang w:eastAsia="lt-LT"/>
        </w:rPr>
        <w:t xml:space="preserve"> poveikis Skaičių ir simbolių pakeitimo testo (angl. </w:t>
      </w:r>
      <w:proofErr w:type="spellStart"/>
      <w:r>
        <w:rPr>
          <w:i/>
          <w:iCs/>
          <w:szCs w:val="22"/>
          <w:lang w:eastAsia="lt-LT"/>
        </w:rPr>
        <w:t>Digit</w:t>
      </w:r>
      <w:proofErr w:type="spellEnd"/>
      <w:r>
        <w:rPr>
          <w:i/>
          <w:iCs/>
          <w:szCs w:val="22"/>
          <w:lang w:eastAsia="lt-LT"/>
        </w:rPr>
        <w:t xml:space="preserve"> </w:t>
      </w:r>
      <w:proofErr w:type="spellStart"/>
      <w:r>
        <w:rPr>
          <w:i/>
          <w:iCs/>
          <w:szCs w:val="22"/>
          <w:lang w:eastAsia="lt-LT"/>
        </w:rPr>
        <w:t>Symbol</w:t>
      </w:r>
      <w:proofErr w:type="spellEnd"/>
      <w:r>
        <w:rPr>
          <w:i/>
          <w:iCs/>
          <w:szCs w:val="22"/>
          <w:lang w:eastAsia="lt-LT"/>
        </w:rPr>
        <w:t xml:space="preserve"> </w:t>
      </w:r>
      <w:proofErr w:type="spellStart"/>
      <w:r>
        <w:rPr>
          <w:i/>
          <w:iCs/>
          <w:szCs w:val="22"/>
          <w:lang w:eastAsia="lt-LT"/>
        </w:rPr>
        <w:t>Substitution</w:t>
      </w:r>
      <w:proofErr w:type="spellEnd"/>
      <w:r>
        <w:rPr>
          <w:i/>
          <w:iCs/>
          <w:szCs w:val="22"/>
          <w:lang w:eastAsia="lt-LT"/>
        </w:rPr>
        <w:t xml:space="preserve"> </w:t>
      </w:r>
      <w:proofErr w:type="spellStart"/>
      <w:r>
        <w:rPr>
          <w:i/>
          <w:iCs/>
          <w:szCs w:val="22"/>
          <w:lang w:eastAsia="lt-LT"/>
        </w:rPr>
        <w:t>Test</w:t>
      </w:r>
      <w:proofErr w:type="spellEnd"/>
      <w:r>
        <w:rPr>
          <w:i/>
          <w:iCs/>
          <w:szCs w:val="22"/>
          <w:lang w:eastAsia="lt-LT"/>
        </w:rPr>
        <w:t xml:space="preserve">, DSST) ir Kalifornijos San Diego universiteto atlikimu paremto įgūdžių įvertinimo (angl. University </w:t>
      </w:r>
      <w:proofErr w:type="spellStart"/>
      <w:r>
        <w:rPr>
          <w:i/>
          <w:iCs/>
          <w:szCs w:val="22"/>
          <w:lang w:eastAsia="lt-LT"/>
        </w:rPr>
        <w:t>of</w:t>
      </w:r>
      <w:proofErr w:type="spellEnd"/>
      <w:r>
        <w:rPr>
          <w:i/>
          <w:iCs/>
          <w:szCs w:val="22"/>
          <w:lang w:eastAsia="lt-LT"/>
        </w:rPr>
        <w:t xml:space="preserve"> </w:t>
      </w:r>
      <w:proofErr w:type="spellStart"/>
      <w:r>
        <w:rPr>
          <w:i/>
          <w:iCs/>
          <w:szCs w:val="22"/>
          <w:lang w:eastAsia="lt-LT"/>
        </w:rPr>
        <w:t>California</w:t>
      </w:r>
      <w:proofErr w:type="spellEnd"/>
      <w:r>
        <w:rPr>
          <w:i/>
          <w:iCs/>
          <w:szCs w:val="22"/>
          <w:lang w:eastAsia="lt-LT"/>
        </w:rPr>
        <w:t xml:space="preserve"> San Diego </w:t>
      </w:r>
      <w:proofErr w:type="spellStart"/>
      <w:r>
        <w:rPr>
          <w:i/>
          <w:iCs/>
          <w:szCs w:val="22"/>
          <w:lang w:eastAsia="lt-LT"/>
        </w:rPr>
        <w:t>Performance-Based</w:t>
      </w:r>
      <w:proofErr w:type="spellEnd"/>
      <w:r>
        <w:rPr>
          <w:i/>
          <w:iCs/>
          <w:szCs w:val="22"/>
          <w:lang w:eastAsia="lt-LT"/>
        </w:rPr>
        <w:t xml:space="preserve"> </w:t>
      </w:r>
      <w:proofErr w:type="spellStart"/>
      <w:r>
        <w:rPr>
          <w:i/>
          <w:iCs/>
          <w:szCs w:val="22"/>
          <w:lang w:eastAsia="lt-LT"/>
        </w:rPr>
        <w:t>Skills</w:t>
      </w:r>
      <w:proofErr w:type="spellEnd"/>
      <w:r>
        <w:rPr>
          <w:i/>
          <w:iCs/>
          <w:szCs w:val="22"/>
          <w:lang w:eastAsia="lt-LT"/>
        </w:rPr>
        <w:t xml:space="preserve"> </w:t>
      </w:r>
      <w:proofErr w:type="spellStart"/>
      <w:r>
        <w:rPr>
          <w:i/>
          <w:iCs/>
          <w:szCs w:val="22"/>
          <w:lang w:eastAsia="lt-LT"/>
        </w:rPr>
        <w:t>Assessment</w:t>
      </w:r>
      <w:proofErr w:type="spellEnd"/>
      <w:r>
        <w:rPr>
          <w:i/>
          <w:iCs/>
          <w:szCs w:val="22"/>
          <w:lang w:eastAsia="lt-LT"/>
        </w:rPr>
        <w:t xml:space="preserve">, UPSA) (objektyvūs testai) bei Suvokiamo deficito klausimyno (angl. </w:t>
      </w:r>
      <w:proofErr w:type="spellStart"/>
      <w:r>
        <w:rPr>
          <w:i/>
          <w:iCs/>
          <w:szCs w:val="22"/>
          <w:lang w:eastAsia="lt-LT"/>
        </w:rPr>
        <w:t>Perceived</w:t>
      </w:r>
      <w:proofErr w:type="spellEnd"/>
      <w:r>
        <w:rPr>
          <w:i/>
          <w:iCs/>
          <w:szCs w:val="22"/>
          <w:lang w:eastAsia="lt-LT"/>
        </w:rPr>
        <w:t xml:space="preserve"> </w:t>
      </w:r>
      <w:proofErr w:type="spellStart"/>
      <w:r>
        <w:rPr>
          <w:i/>
          <w:iCs/>
          <w:szCs w:val="22"/>
          <w:lang w:eastAsia="lt-LT"/>
        </w:rPr>
        <w:t>Deficits</w:t>
      </w:r>
      <w:proofErr w:type="spellEnd"/>
      <w:r>
        <w:rPr>
          <w:i/>
          <w:iCs/>
          <w:szCs w:val="22"/>
          <w:lang w:eastAsia="lt-LT"/>
        </w:rPr>
        <w:t xml:space="preserve"> </w:t>
      </w:r>
      <w:proofErr w:type="spellStart"/>
      <w:r>
        <w:rPr>
          <w:i/>
          <w:iCs/>
          <w:szCs w:val="22"/>
          <w:lang w:eastAsia="lt-LT"/>
        </w:rPr>
        <w:t>Questionnaire</w:t>
      </w:r>
      <w:proofErr w:type="spellEnd"/>
      <w:r>
        <w:rPr>
          <w:i/>
          <w:iCs/>
          <w:szCs w:val="22"/>
          <w:lang w:eastAsia="lt-LT"/>
        </w:rPr>
        <w:t xml:space="preserve">, PDQ) ir Kognityvinės bei fizinės funkcijos klausimyno (angl. </w:t>
      </w:r>
      <w:proofErr w:type="spellStart"/>
      <w:r>
        <w:rPr>
          <w:i/>
          <w:iCs/>
          <w:szCs w:val="22"/>
          <w:lang w:eastAsia="lt-LT"/>
        </w:rPr>
        <w:t>Cognitive</w:t>
      </w:r>
      <w:proofErr w:type="spellEnd"/>
      <w:r>
        <w:rPr>
          <w:i/>
          <w:iCs/>
          <w:szCs w:val="22"/>
          <w:lang w:eastAsia="lt-LT"/>
        </w:rPr>
        <w:t xml:space="preserve"> </w:t>
      </w:r>
      <w:proofErr w:type="spellStart"/>
      <w:r>
        <w:rPr>
          <w:i/>
          <w:iCs/>
          <w:szCs w:val="22"/>
          <w:lang w:eastAsia="lt-LT"/>
        </w:rPr>
        <w:t>and</w:t>
      </w:r>
      <w:proofErr w:type="spellEnd"/>
      <w:r>
        <w:rPr>
          <w:i/>
          <w:iCs/>
          <w:szCs w:val="22"/>
          <w:lang w:eastAsia="lt-LT"/>
        </w:rPr>
        <w:t xml:space="preserve"> </w:t>
      </w:r>
      <w:proofErr w:type="spellStart"/>
      <w:r>
        <w:rPr>
          <w:i/>
          <w:iCs/>
          <w:szCs w:val="22"/>
          <w:lang w:eastAsia="lt-LT"/>
        </w:rPr>
        <w:t>Physical</w:t>
      </w:r>
      <w:proofErr w:type="spellEnd"/>
      <w:r>
        <w:rPr>
          <w:i/>
          <w:iCs/>
          <w:szCs w:val="22"/>
          <w:lang w:eastAsia="lt-LT"/>
        </w:rPr>
        <w:t xml:space="preserve"> </w:t>
      </w:r>
      <w:proofErr w:type="spellStart"/>
      <w:r>
        <w:rPr>
          <w:i/>
          <w:iCs/>
          <w:szCs w:val="22"/>
          <w:lang w:eastAsia="lt-LT"/>
        </w:rPr>
        <w:t>Functioning</w:t>
      </w:r>
      <w:proofErr w:type="spellEnd"/>
      <w:r>
        <w:rPr>
          <w:i/>
          <w:iCs/>
          <w:szCs w:val="22"/>
          <w:lang w:eastAsia="lt-LT"/>
        </w:rPr>
        <w:t xml:space="preserve"> </w:t>
      </w:r>
      <w:proofErr w:type="spellStart"/>
      <w:r>
        <w:rPr>
          <w:i/>
          <w:iCs/>
          <w:szCs w:val="22"/>
          <w:lang w:eastAsia="lt-LT"/>
        </w:rPr>
        <w:t>Questionnaire</w:t>
      </w:r>
      <w:proofErr w:type="spellEnd"/>
      <w:r>
        <w:rPr>
          <w:i/>
          <w:iCs/>
          <w:szCs w:val="22"/>
          <w:lang w:eastAsia="lt-LT"/>
        </w:rPr>
        <w:t>, CPFQ) (subjektyvūs testai) rezultatams.</w:t>
      </w:r>
    </w:p>
    <w:p w14:paraId="39400E50"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(5-20 mg paros dozės) veiksmingumas gydant DDS sergančius pacientus buvo tiriamas trumpalaikių, placebu kontroliuotų tyrimų (2 tyrimai buvo atlikti su suaugusiaisiais, 1 – su senyvais pacientais) metu.</w:t>
      </w:r>
    </w:p>
    <w:p w14:paraId="6971DAFE" w14:textId="77777777" w:rsidR="00BC7B13" w:rsidRDefault="00BC7B13">
      <w:pPr>
        <w:autoSpaceDE w:val="0"/>
        <w:autoSpaceDN w:val="0"/>
        <w:adjustRightInd w:val="0"/>
        <w:rPr>
          <w:szCs w:val="22"/>
          <w:lang w:eastAsia="lt-LT"/>
        </w:rPr>
      </w:pPr>
    </w:p>
    <w:p w14:paraId="4FEB2A7F"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xml:space="preserve">, palyginti su placebu, sukėlė statistiškai reikšmingą poveikį Skaičių ir simbolių pakeitimo testo (angl. </w:t>
      </w:r>
      <w:proofErr w:type="spellStart"/>
      <w:r>
        <w:rPr>
          <w:i/>
          <w:iCs/>
          <w:szCs w:val="22"/>
          <w:lang w:eastAsia="lt-LT"/>
        </w:rPr>
        <w:t>Digit</w:t>
      </w:r>
      <w:proofErr w:type="spellEnd"/>
      <w:r>
        <w:rPr>
          <w:i/>
          <w:iCs/>
          <w:szCs w:val="22"/>
          <w:lang w:eastAsia="lt-LT"/>
        </w:rPr>
        <w:t xml:space="preserve"> </w:t>
      </w:r>
      <w:proofErr w:type="spellStart"/>
      <w:r>
        <w:rPr>
          <w:i/>
          <w:iCs/>
          <w:szCs w:val="22"/>
          <w:lang w:eastAsia="lt-LT"/>
        </w:rPr>
        <w:t>Symbol</w:t>
      </w:r>
      <w:proofErr w:type="spellEnd"/>
      <w:r>
        <w:rPr>
          <w:i/>
          <w:iCs/>
          <w:szCs w:val="22"/>
          <w:lang w:eastAsia="lt-LT"/>
        </w:rPr>
        <w:t xml:space="preserve"> </w:t>
      </w:r>
      <w:proofErr w:type="spellStart"/>
      <w:r>
        <w:rPr>
          <w:i/>
          <w:iCs/>
          <w:szCs w:val="22"/>
          <w:lang w:eastAsia="lt-LT"/>
        </w:rPr>
        <w:t>Substitution</w:t>
      </w:r>
      <w:proofErr w:type="spellEnd"/>
      <w:r>
        <w:rPr>
          <w:i/>
          <w:iCs/>
          <w:szCs w:val="22"/>
          <w:lang w:eastAsia="lt-LT"/>
        </w:rPr>
        <w:t xml:space="preserve"> </w:t>
      </w:r>
      <w:proofErr w:type="spellStart"/>
      <w:r>
        <w:rPr>
          <w:i/>
          <w:iCs/>
          <w:szCs w:val="22"/>
          <w:lang w:eastAsia="lt-LT"/>
        </w:rPr>
        <w:t>Test</w:t>
      </w:r>
      <w:proofErr w:type="spellEnd"/>
      <w:r>
        <w:rPr>
          <w:i/>
          <w:iCs/>
          <w:szCs w:val="22"/>
          <w:lang w:eastAsia="lt-LT"/>
        </w:rPr>
        <w:t>, DSST</w:t>
      </w:r>
      <w:r>
        <w:rPr>
          <w:szCs w:val="22"/>
          <w:lang w:eastAsia="lt-LT"/>
        </w:rPr>
        <w:t xml:space="preserve">) įvertinimui: poveikio skirtumas (Δ) buvo nuo 1,75 (p= 0,019) iki 4,26 (p&lt; 0,0001) 2-jų su suaugusiaisiais atliktų tyrimų metu ir 2,79 (p=0,023) tyrimo su senyvais pacientais metu. Atlikus visų trijų tyrimų </w:t>
      </w:r>
      <w:r>
        <w:rPr>
          <w:i/>
          <w:iCs/>
          <w:szCs w:val="22"/>
          <w:lang w:eastAsia="lt-LT"/>
        </w:rPr>
        <w:t>DSST</w:t>
      </w:r>
      <w:r>
        <w:rPr>
          <w:szCs w:val="22"/>
          <w:lang w:eastAsia="lt-LT"/>
        </w:rPr>
        <w:t xml:space="preserve"> vidutinio tinkamų simbolių skaičiaus pokyčio nuo pradinio rodmens </w:t>
      </w:r>
      <w:proofErr w:type="spellStart"/>
      <w:r>
        <w:rPr>
          <w:szCs w:val="22"/>
          <w:lang w:eastAsia="lt-LT"/>
        </w:rPr>
        <w:t>metaanalizę</w:t>
      </w:r>
      <w:proofErr w:type="spellEnd"/>
      <w:r>
        <w:rPr>
          <w:szCs w:val="22"/>
          <w:lang w:eastAsia="lt-LT"/>
        </w:rPr>
        <w:t xml:space="preserve"> (ANCOVA, LOCF), nustatyta, kad </w:t>
      </w:r>
      <w:proofErr w:type="spellStart"/>
      <w:r>
        <w:rPr>
          <w:szCs w:val="22"/>
          <w:lang w:eastAsia="lt-LT"/>
        </w:rPr>
        <w:t>vortioksetino</w:t>
      </w:r>
      <w:proofErr w:type="spellEnd"/>
      <w:r>
        <w:rPr>
          <w:szCs w:val="22"/>
          <w:lang w:eastAsia="lt-LT"/>
        </w:rPr>
        <w:t xml:space="preserve"> poveikis skyrėsi nuo placebo (p&lt; 0,05), o standartizuotas poveikio dydis buvo 0,35. Tų pačių tyrimų </w:t>
      </w:r>
      <w:proofErr w:type="spellStart"/>
      <w:r>
        <w:rPr>
          <w:szCs w:val="22"/>
          <w:lang w:eastAsia="lt-LT"/>
        </w:rPr>
        <w:t>metaanalizės</w:t>
      </w:r>
      <w:proofErr w:type="spellEnd"/>
      <w:r>
        <w:rPr>
          <w:szCs w:val="22"/>
          <w:lang w:eastAsia="lt-LT"/>
        </w:rPr>
        <w:t xml:space="preserve"> metu rezultatus koregavus pagal bendro </w:t>
      </w:r>
      <w:r>
        <w:rPr>
          <w:i/>
          <w:iCs/>
          <w:szCs w:val="22"/>
          <w:lang w:eastAsia="lt-LT"/>
        </w:rPr>
        <w:t>MADRS</w:t>
      </w:r>
      <w:r>
        <w:rPr>
          <w:szCs w:val="22"/>
          <w:lang w:eastAsia="lt-LT"/>
        </w:rPr>
        <w:t xml:space="preserve"> skalės įvertinimo pokytį, nustatyta, kad </w:t>
      </w:r>
      <w:proofErr w:type="spellStart"/>
      <w:r>
        <w:rPr>
          <w:szCs w:val="22"/>
          <w:lang w:eastAsia="lt-LT"/>
        </w:rPr>
        <w:t>vortioksetino</w:t>
      </w:r>
      <w:proofErr w:type="spellEnd"/>
      <w:r>
        <w:rPr>
          <w:szCs w:val="22"/>
          <w:lang w:eastAsia="lt-LT"/>
        </w:rPr>
        <w:t xml:space="preserve"> poveikis skyrėsi nuo placebo (p&lt; 0,05), o standartizuotas poveikio dydis buvo 0,24.</w:t>
      </w:r>
    </w:p>
    <w:p w14:paraId="0BCA3D61" w14:textId="77777777" w:rsidR="00BC7B13" w:rsidRDefault="00BC7B13">
      <w:pPr>
        <w:autoSpaceDE w:val="0"/>
        <w:autoSpaceDN w:val="0"/>
        <w:adjustRightInd w:val="0"/>
        <w:rPr>
          <w:szCs w:val="22"/>
          <w:lang w:eastAsia="lt-LT"/>
        </w:rPr>
      </w:pPr>
    </w:p>
    <w:p w14:paraId="68A173A6" w14:textId="77777777" w:rsidR="00BC7B13" w:rsidRDefault="004E7EF9">
      <w:pPr>
        <w:autoSpaceDE w:val="0"/>
        <w:autoSpaceDN w:val="0"/>
        <w:adjustRightInd w:val="0"/>
        <w:rPr>
          <w:szCs w:val="22"/>
          <w:lang w:eastAsia="lt-LT"/>
        </w:rPr>
      </w:pPr>
      <w:r>
        <w:rPr>
          <w:szCs w:val="22"/>
          <w:lang w:eastAsia="lt-LT"/>
        </w:rPr>
        <w:t xml:space="preserve">Vieno tyrimo metu vertintas </w:t>
      </w:r>
      <w:proofErr w:type="spellStart"/>
      <w:r>
        <w:rPr>
          <w:szCs w:val="22"/>
          <w:lang w:eastAsia="lt-LT"/>
        </w:rPr>
        <w:t>vortioksetino</w:t>
      </w:r>
      <w:proofErr w:type="spellEnd"/>
      <w:r>
        <w:rPr>
          <w:szCs w:val="22"/>
          <w:lang w:eastAsia="lt-LT"/>
        </w:rPr>
        <w:t xml:space="preserve"> poveikis funkciniam pajėgumui, naudojant Kalifornijos San Diego universiteto atlikimu paremtą įgūdžių įvertinimą (angl. </w:t>
      </w:r>
      <w:r>
        <w:rPr>
          <w:i/>
          <w:iCs/>
          <w:szCs w:val="22"/>
          <w:lang w:eastAsia="lt-LT"/>
        </w:rPr>
        <w:t xml:space="preserve">University </w:t>
      </w:r>
      <w:proofErr w:type="spellStart"/>
      <w:r>
        <w:rPr>
          <w:i/>
          <w:iCs/>
          <w:szCs w:val="22"/>
          <w:lang w:eastAsia="lt-LT"/>
        </w:rPr>
        <w:t>of</w:t>
      </w:r>
      <w:proofErr w:type="spellEnd"/>
      <w:r>
        <w:rPr>
          <w:i/>
          <w:iCs/>
          <w:szCs w:val="22"/>
          <w:lang w:eastAsia="lt-LT"/>
        </w:rPr>
        <w:t xml:space="preserve"> </w:t>
      </w:r>
      <w:proofErr w:type="spellStart"/>
      <w:r>
        <w:rPr>
          <w:i/>
          <w:iCs/>
          <w:szCs w:val="22"/>
          <w:lang w:eastAsia="lt-LT"/>
        </w:rPr>
        <w:t>California</w:t>
      </w:r>
      <w:proofErr w:type="spellEnd"/>
      <w:r>
        <w:rPr>
          <w:i/>
          <w:iCs/>
          <w:szCs w:val="22"/>
          <w:lang w:eastAsia="lt-LT"/>
        </w:rPr>
        <w:t xml:space="preserve"> San Diego </w:t>
      </w:r>
      <w:proofErr w:type="spellStart"/>
      <w:r>
        <w:rPr>
          <w:i/>
          <w:iCs/>
          <w:szCs w:val="22"/>
          <w:lang w:eastAsia="lt-LT"/>
        </w:rPr>
        <w:t>Performance</w:t>
      </w:r>
      <w:proofErr w:type="spellEnd"/>
      <w:r>
        <w:rPr>
          <w:i/>
          <w:iCs/>
          <w:szCs w:val="22"/>
          <w:lang w:eastAsia="lt-LT"/>
        </w:rPr>
        <w:t>-</w:t>
      </w:r>
      <w:r>
        <w:rPr>
          <w:szCs w:val="22"/>
          <w:lang w:eastAsia="lt-LT"/>
        </w:rPr>
        <w:t xml:space="preserve"> </w:t>
      </w:r>
      <w:proofErr w:type="spellStart"/>
      <w:r>
        <w:rPr>
          <w:i/>
          <w:iCs/>
          <w:szCs w:val="22"/>
          <w:lang w:eastAsia="lt-LT"/>
        </w:rPr>
        <w:t>Based</w:t>
      </w:r>
      <w:proofErr w:type="spellEnd"/>
      <w:r>
        <w:rPr>
          <w:i/>
          <w:iCs/>
          <w:szCs w:val="22"/>
          <w:lang w:eastAsia="lt-LT"/>
        </w:rPr>
        <w:t xml:space="preserve"> </w:t>
      </w:r>
      <w:proofErr w:type="spellStart"/>
      <w:r>
        <w:rPr>
          <w:i/>
          <w:iCs/>
          <w:szCs w:val="22"/>
          <w:lang w:eastAsia="lt-LT"/>
        </w:rPr>
        <w:t>Skills</w:t>
      </w:r>
      <w:proofErr w:type="spellEnd"/>
      <w:r>
        <w:rPr>
          <w:i/>
          <w:iCs/>
          <w:szCs w:val="22"/>
          <w:lang w:eastAsia="lt-LT"/>
        </w:rPr>
        <w:t xml:space="preserve"> </w:t>
      </w:r>
      <w:proofErr w:type="spellStart"/>
      <w:r>
        <w:rPr>
          <w:i/>
          <w:iCs/>
          <w:szCs w:val="22"/>
          <w:lang w:eastAsia="lt-LT"/>
        </w:rPr>
        <w:t>Assessment</w:t>
      </w:r>
      <w:proofErr w:type="spellEnd"/>
      <w:r>
        <w:rPr>
          <w:i/>
          <w:iCs/>
          <w:szCs w:val="22"/>
          <w:lang w:eastAsia="lt-LT"/>
        </w:rPr>
        <w:t>, UPSA</w:t>
      </w:r>
      <w:r>
        <w:rPr>
          <w:szCs w:val="22"/>
          <w:lang w:eastAsia="lt-LT"/>
        </w:rPr>
        <w:t xml:space="preserve">). </w:t>
      </w:r>
      <w:proofErr w:type="spellStart"/>
      <w:r>
        <w:rPr>
          <w:szCs w:val="22"/>
          <w:lang w:eastAsia="lt-LT"/>
        </w:rPr>
        <w:t>Vortioksetino</w:t>
      </w:r>
      <w:proofErr w:type="spellEnd"/>
      <w:r>
        <w:rPr>
          <w:szCs w:val="22"/>
          <w:lang w:eastAsia="lt-LT"/>
        </w:rPr>
        <w:t xml:space="preserve"> poveikis statistiškai reikšmingai skyrėsi nuo placebo poveikio: gauti 8,0 balai vartojant </w:t>
      </w:r>
      <w:proofErr w:type="spellStart"/>
      <w:r>
        <w:rPr>
          <w:szCs w:val="22"/>
          <w:lang w:eastAsia="lt-LT"/>
        </w:rPr>
        <w:t>vortioksetino</w:t>
      </w:r>
      <w:proofErr w:type="spellEnd"/>
      <w:r>
        <w:rPr>
          <w:szCs w:val="22"/>
          <w:lang w:eastAsia="lt-LT"/>
        </w:rPr>
        <w:t xml:space="preserve"> ir 5,1 balo vartojant placebo (p= 0,0003).</w:t>
      </w:r>
    </w:p>
    <w:p w14:paraId="14DE971A" w14:textId="77777777" w:rsidR="00BC7B13" w:rsidRDefault="00BC7B13">
      <w:pPr>
        <w:autoSpaceDE w:val="0"/>
        <w:autoSpaceDN w:val="0"/>
        <w:adjustRightInd w:val="0"/>
        <w:rPr>
          <w:szCs w:val="22"/>
          <w:lang w:eastAsia="lt-LT"/>
        </w:rPr>
      </w:pPr>
    </w:p>
    <w:p w14:paraId="3A577439" w14:textId="77777777" w:rsidR="00BC7B13" w:rsidRDefault="004E7EF9">
      <w:pPr>
        <w:autoSpaceDE w:val="0"/>
        <w:autoSpaceDN w:val="0"/>
        <w:adjustRightInd w:val="0"/>
        <w:rPr>
          <w:szCs w:val="22"/>
          <w:lang w:eastAsia="lt-LT"/>
        </w:rPr>
      </w:pPr>
      <w:r>
        <w:rPr>
          <w:szCs w:val="22"/>
          <w:lang w:eastAsia="lt-LT"/>
        </w:rPr>
        <w:t xml:space="preserve">Vieno tyrimo metu </w:t>
      </w:r>
      <w:proofErr w:type="spellStart"/>
      <w:r>
        <w:rPr>
          <w:szCs w:val="22"/>
          <w:lang w:eastAsia="lt-LT"/>
        </w:rPr>
        <w:t>vortioksetinas</w:t>
      </w:r>
      <w:proofErr w:type="spellEnd"/>
      <w:r>
        <w:rPr>
          <w:szCs w:val="22"/>
          <w:lang w:eastAsia="lt-LT"/>
        </w:rPr>
        <w:t xml:space="preserve">, palyginti su placebu, sukėlė stipresnį poveikį subjektyvių testų rezultatams, atliekant Suvokiamo deficito klausimyno įvertinimą (-14,6, vartojant </w:t>
      </w:r>
      <w:proofErr w:type="spellStart"/>
      <w:r>
        <w:rPr>
          <w:szCs w:val="22"/>
          <w:lang w:eastAsia="lt-LT"/>
        </w:rPr>
        <w:t>vortioksetino</w:t>
      </w:r>
      <w:proofErr w:type="spellEnd"/>
      <w:r>
        <w:rPr>
          <w:szCs w:val="22"/>
          <w:lang w:eastAsia="lt-LT"/>
        </w:rPr>
        <w:t xml:space="preserve">, ir -10,5, vartojant placebo [p=0,002]). </w:t>
      </w:r>
      <w:proofErr w:type="spellStart"/>
      <w:r>
        <w:rPr>
          <w:szCs w:val="22"/>
          <w:lang w:eastAsia="lt-LT"/>
        </w:rPr>
        <w:t>Vortioksetino</w:t>
      </w:r>
      <w:proofErr w:type="spellEnd"/>
      <w:r>
        <w:rPr>
          <w:szCs w:val="22"/>
          <w:lang w:eastAsia="lt-LT"/>
        </w:rPr>
        <w:t xml:space="preserve"> poveikis nesiskyrė nuo placebo poveikio subjektyvių testų rezultatams, atliekant Kognityvinės bei fizinės funkcijos klausimyno įvertinimą (-8,1, vartojant </w:t>
      </w:r>
      <w:proofErr w:type="spellStart"/>
      <w:r>
        <w:rPr>
          <w:szCs w:val="22"/>
          <w:lang w:eastAsia="lt-LT"/>
        </w:rPr>
        <w:t>vortioksetino</w:t>
      </w:r>
      <w:proofErr w:type="spellEnd"/>
      <w:r>
        <w:rPr>
          <w:szCs w:val="22"/>
          <w:lang w:eastAsia="lt-LT"/>
        </w:rPr>
        <w:t>, ir -6,9, vartojant placebo [p=0,086]).</w:t>
      </w:r>
    </w:p>
    <w:p w14:paraId="481275E4" w14:textId="77777777" w:rsidR="00BC7B13" w:rsidRDefault="00BC7B13">
      <w:pPr>
        <w:autoSpaceDE w:val="0"/>
        <w:autoSpaceDN w:val="0"/>
        <w:adjustRightInd w:val="0"/>
        <w:rPr>
          <w:i/>
          <w:iCs/>
          <w:szCs w:val="22"/>
          <w:lang w:eastAsia="lt-LT"/>
        </w:rPr>
      </w:pPr>
    </w:p>
    <w:p w14:paraId="074174BD" w14:textId="77777777" w:rsidR="00BC7B13" w:rsidRDefault="004E7EF9">
      <w:pPr>
        <w:autoSpaceDE w:val="0"/>
        <w:autoSpaceDN w:val="0"/>
        <w:adjustRightInd w:val="0"/>
        <w:rPr>
          <w:i/>
          <w:iCs/>
          <w:szCs w:val="22"/>
          <w:lang w:eastAsia="lt-LT"/>
        </w:rPr>
      </w:pPr>
      <w:r>
        <w:rPr>
          <w:i/>
          <w:iCs/>
          <w:szCs w:val="22"/>
          <w:lang w:eastAsia="lt-LT"/>
        </w:rPr>
        <w:t>Toleravimas ir saugumas</w:t>
      </w:r>
    </w:p>
    <w:p w14:paraId="75282005"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saugumas ir toleravimas buvo įrodyti trumpalaikių ir ilgalaikių tyrimų metu vartojant nuo 5 mg iki 20 mg dozes per parą. Daugiau informacijos apie nepageidaujamą poveikį žr. 4.8 skyriuje.</w:t>
      </w:r>
    </w:p>
    <w:p w14:paraId="1F6143D9"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xml:space="preserve"> nedažnino nemigos ir </w:t>
      </w:r>
      <w:proofErr w:type="spellStart"/>
      <w:r>
        <w:rPr>
          <w:szCs w:val="22"/>
          <w:lang w:eastAsia="lt-LT"/>
        </w:rPr>
        <w:t>somnolencijos</w:t>
      </w:r>
      <w:proofErr w:type="spellEnd"/>
      <w:r>
        <w:rPr>
          <w:szCs w:val="22"/>
          <w:lang w:eastAsia="lt-LT"/>
        </w:rPr>
        <w:t>, palyginti su placebu.</w:t>
      </w:r>
    </w:p>
    <w:p w14:paraId="7174A230" w14:textId="77777777" w:rsidR="00BC7B13" w:rsidRDefault="00BC7B13">
      <w:pPr>
        <w:autoSpaceDE w:val="0"/>
        <w:autoSpaceDN w:val="0"/>
        <w:adjustRightInd w:val="0"/>
        <w:rPr>
          <w:szCs w:val="22"/>
          <w:lang w:eastAsia="lt-LT"/>
        </w:rPr>
      </w:pPr>
    </w:p>
    <w:p w14:paraId="227EFAC8" w14:textId="77777777" w:rsidR="00BC7B13" w:rsidRDefault="004E7EF9">
      <w:pPr>
        <w:autoSpaceDE w:val="0"/>
        <w:autoSpaceDN w:val="0"/>
        <w:adjustRightInd w:val="0"/>
        <w:rPr>
          <w:szCs w:val="22"/>
          <w:lang w:eastAsia="lt-LT"/>
        </w:rPr>
      </w:pPr>
      <w:r>
        <w:rPr>
          <w:szCs w:val="22"/>
          <w:lang w:eastAsia="lt-LT"/>
        </w:rPr>
        <w:t xml:space="preserve">Klinikinių trumpalaikių ir ilgalaikių placebu kontroliuojamųjų tyrimų duomenimis, galimi nutraukimo simptomai buvo išsamiai ištirti, staigiai nutraukus gydymą </w:t>
      </w:r>
      <w:proofErr w:type="spellStart"/>
      <w:r>
        <w:rPr>
          <w:szCs w:val="22"/>
          <w:lang w:eastAsia="lt-LT"/>
        </w:rPr>
        <w:t>vortioksetinu</w:t>
      </w:r>
      <w:proofErr w:type="spellEnd"/>
      <w:r>
        <w:rPr>
          <w:szCs w:val="22"/>
          <w:lang w:eastAsia="lt-LT"/>
        </w:rPr>
        <w:t xml:space="preserve">. Kliniškai reikšmingų nutraukimo simptomų dažnio ar pobūdžio skirtumų, palyginti su placebu, nei po trumpalaikio (6–12 savaičių), nei po ilgalaikio (24–64 savaičių) gydymo </w:t>
      </w:r>
      <w:proofErr w:type="spellStart"/>
      <w:r>
        <w:rPr>
          <w:szCs w:val="22"/>
          <w:lang w:eastAsia="lt-LT"/>
        </w:rPr>
        <w:t>vortioksetinu</w:t>
      </w:r>
      <w:proofErr w:type="spellEnd"/>
      <w:r>
        <w:rPr>
          <w:szCs w:val="22"/>
          <w:lang w:eastAsia="lt-LT"/>
        </w:rPr>
        <w:t xml:space="preserve"> nebuvo.</w:t>
      </w:r>
    </w:p>
    <w:p w14:paraId="7C67A17F" w14:textId="77777777" w:rsidR="00BC7B13" w:rsidRDefault="00BC7B13">
      <w:pPr>
        <w:autoSpaceDE w:val="0"/>
        <w:autoSpaceDN w:val="0"/>
        <w:adjustRightInd w:val="0"/>
        <w:rPr>
          <w:szCs w:val="22"/>
          <w:lang w:eastAsia="lt-LT"/>
        </w:rPr>
      </w:pPr>
    </w:p>
    <w:p w14:paraId="2EAB72FC" w14:textId="77777777" w:rsidR="00BC7B13" w:rsidRDefault="004E7EF9">
      <w:pPr>
        <w:autoSpaceDE w:val="0"/>
        <w:autoSpaceDN w:val="0"/>
        <w:adjustRightInd w:val="0"/>
        <w:rPr>
          <w:szCs w:val="22"/>
          <w:lang w:eastAsia="lt-LT"/>
        </w:rPr>
      </w:pPr>
      <w:r>
        <w:rPr>
          <w:szCs w:val="22"/>
          <w:lang w:eastAsia="lt-LT"/>
        </w:rPr>
        <w:t xml:space="preserve">Pačių pacientų pranešimų apie nepageidaujamas lytinės funkcijos reakcijas dažnis klinikinių trumpalaikių ir ilgalaikių </w:t>
      </w:r>
      <w:proofErr w:type="spellStart"/>
      <w:r>
        <w:rPr>
          <w:szCs w:val="22"/>
          <w:lang w:eastAsia="lt-LT"/>
        </w:rPr>
        <w:t>vortioksetino</w:t>
      </w:r>
      <w:proofErr w:type="spellEnd"/>
      <w:r>
        <w:rPr>
          <w:szCs w:val="22"/>
          <w:lang w:eastAsia="lt-LT"/>
        </w:rPr>
        <w:t xml:space="preserve"> tyrimų metu buvo mažas ir panašus į placebo. Tyrimų, kurių metu buvo naudojama Arizonos lytinių patirčių skalė [angl., </w:t>
      </w:r>
      <w:proofErr w:type="spellStart"/>
      <w:r>
        <w:rPr>
          <w:i/>
          <w:iCs/>
          <w:szCs w:val="22"/>
          <w:lang w:eastAsia="lt-LT"/>
        </w:rPr>
        <w:t>the</w:t>
      </w:r>
      <w:proofErr w:type="spellEnd"/>
      <w:r>
        <w:rPr>
          <w:i/>
          <w:iCs/>
          <w:szCs w:val="22"/>
          <w:lang w:eastAsia="lt-LT"/>
        </w:rPr>
        <w:t xml:space="preserve"> Arizona </w:t>
      </w:r>
      <w:proofErr w:type="spellStart"/>
      <w:r>
        <w:rPr>
          <w:i/>
          <w:iCs/>
          <w:szCs w:val="22"/>
          <w:lang w:eastAsia="lt-LT"/>
        </w:rPr>
        <w:t>Sexual</w:t>
      </w:r>
      <w:proofErr w:type="spellEnd"/>
      <w:r>
        <w:rPr>
          <w:i/>
          <w:iCs/>
          <w:szCs w:val="22"/>
          <w:lang w:eastAsia="lt-LT"/>
        </w:rPr>
        <w:t xml:space="preserve"> </w:t>
      </w:r>
      <w:proofErr w:type="spellStart"/>
      <w:r>
        <w:rPr>
          <w:i/>
          <w:iCs/>
          <w:szCs w:val="22"/>
          <w:lang w:eastAsia="lt-LT"/>
        </w:rPr>
        <w:t>Experience</w:t>
      </w:r>
      <w:proofErr w:type="spellEnd"/>
      <w:r>
        <w:rPr>
          <w:i/>
          <w:iCs/>
          <w:szCs w:val="22"/>
          <w:lang w:eastAsia="lt-LT"/>
        </w:rPr>
        <w:t xml:space="preserve"> </w:t>
      </w:r>
      <w:proofErr w:type="spellStart"/>
      <w:r>
        <w:rPr>
          <w:i/>
          <w:iCs/>
          <w:szCs w:val="22"/>
          <w:lang w:eastAsia="lt-LT"/>
        </w:rPr>
        <w:t>Scale</w:t>
      </w:r>
      <w:proofErr w:type="spellEnd"/>
      <w:r>
        <w:rPr>
          <w:i/>
          <w:iCs/>
          <w:szCs w:val="22"/>
          <w:lang w:eastAsia="lt-LT"/>
        </w:rPr>
        <w:t xml:space="preserve"> (ASEX)</w:t>
      </w:r>
      <w:r>
        <w:rPr>
          <w:szCs w:val="22"/>
          <w:lang w:eastAsia="lt-LT"/>
        </w:rPr>
        <w:t xml:space="preserve">], atsižvelgiant į lytinės funkcijos sutrikimų simptomus vartojant 5-15 mg </w:t>
      </w:r>
      <w:proofErr w:type="spellStart"/>
      <w:r>
        <w:rPr>
          <w:szCs w:val="22"/>
          <w:lang w:eastAsia="lt-LT"/>
        </w:rPr>
        <w:t>vortioksetino</w:t>
      </w:r>
      <w:proofErr w:type="spellEnd"/>
      <w:r>
        <w:rPr>
          <w:szCs w:val="22"/>
          <w:lang w:eastAsia="lt-LT"/>
        </w:rPr>
        <w:t xml:space="preserve"> paros dozes, duomenimis, gydymo sukeltų lytinės funkcijos sutrikimų [angl., </w:t>
      </w:r>
      <w:proofErr w:type="spellStart"/>
      <w:r>
        <w:rPr>
          <w:i/>
          <w:iCs/>
          <w:szCs w:val="22"/>
          <w:lang w:eastAsia="lt-LT"/>
        </w:rPr>
        <w:t>the</w:t>
      </w:r>
      <w:proofErr w:type="spellEnd"/>
      <w:r>
        <w:rPr>
          <w:i/>
          <w:iCs/>
          <w:szCs w:val="22"/>
          <w:lang w:eastAsia="lt-LT"/>
        </w:rPr>
        <w:t xml:space="preserve"> </w:t>
      </w:r>
      <w:proofErr w:type="spellStart"/>
      <w:r>
        <w:rPr>
          <w:i/>
          <w:iCs/>
          <w:szCs w:val="22"/>
          <w:lang w:eastAsia="lt-LT"/>
        </w:rPr>
        <w:t>treatment-emergent</w:t>
      </w:r>
      <w:proofErr w:type="spellEnd"/>
      <w:r>
        <w:rPr>
          <w:i/>
          <w:iCs/>
          <w:szCs w:val="22"/>
          <w:lang w:eastAsia="lt-LT"/>
        </w:rPr>
        <w:t xml:space="preserve"> </w:t>
      </w:r>
      <w:proofErr w:type="spellStart"/>
      <w:r>
        <w:rPr>
          <w:i/>
          <w:iCs/>
          <w:szCs w:val="22"/>
          <w:lang w:eastAsia="lt-LT"/>
        </w:rPr>
        <w:t>sexual</w:t>
      </w:r>
      <w:proofErr w:type="spellEnd"/>
      <w:r>
        <w:rPr>
          <w:i/>
          <w:iCs/>
          <w:szCs w:val="22"/>
          <w:lang w:eastAsia="lt-LT"/>
        </w:rPr>
        <w:t xml:space="preserve"> </w:t>
      </w:r>
      <w:proofErr w:type="spellStart"/>
      <w:r>
        <w:rPr>
          <w:i/>
          <w:iCs/>
          <w:szCs w:val="22"/>
          <w:lang w:eastAsia="lt-LT"/>
        </w:rPr>
        <w:t>dysfunction</w:t>
      </w:r>
      <w:proofErr w:type="spellEnd"/>
      <w:r>
        <w:rPr>
          <w:i/>
          <w:iCs/>
          <w:szCs w:val="22"/>
          <w:lang w:eastAsia="lt-LT"/>
        </w:rPr>
        <w:t xml:space="preserve"> (TESD)</w:t>
      </w:r>
      <w:r>
        <w:rPr>
          <w:szCs w:val="22"/>
          <w:lang w:eastAsia="lt-LT"/>
        </w:rPr>
        <w:t xml:space="preserve">] dažnis ir </w:t>
      </w:r>
      <w:r>
        <w:rPr>
          <w:i/>
          <w:iCs/>
          <w:szCs w:val="22"/>
          <w:lang w:eastAsia="lt-LT"/>
        </w:rPr>
        <w:t>ASEX</w:t>
      </w:r>
      <w:r>
        <w:rPr>
          <w:szCs w:val="22"/>
          <w:lang w:eastAsia="lt-LT"/>
        </w:rPr>
        <w:t xml:space="preserve"> bendrasis balas kliniškai reikšmingai nesiskyrė nuo placebo. Vartojant 20 mg paros dozę, </w:t>
      </w:r>
      <w:r>
        <w:rPr>
          <w:i/>
          <w:iCs/>
          <w:szCs w:val="22"/>
          <w:lang w:eastAsia="lt-LT"/>
        </w:rPr>
        <w:t>TESD</w:t>
      </w:r>
      <w:r>
        <w:rPr>
          <w:szCs w:val="22"/>
          <w:lang w:eastAsia="lt-LT"/>
        </w:rPr>
        <w:t xml:space="preserve"> dažnis buvo panašus į būnantį vartojant placebo (dažnio skirtumas 14,2 %, 95 % PI [1,4, 270]).</w:t>
      </w:r>
    </w:p>
    <w:p w14:paraId="0266EC1E" w14:textId="77777777" w:rsidR="00BC7B13" w:rsidRDefault="00BC7B13">
      <w:pPr>
        <w:autoSpaceDE w:val="0"/>
        <w:autoSpaceDN w:val="0"/>
        <w:adjustRightInd w:val="0"/>
        <w:rPr>
          <w:szCs w:val="22"/>
          <w:lang w:eastAsia="lt-LT"/>
        </w:rPr>
      </w:pPr>
    </w:p>
    <w:p w14:paraId="417CE1B6"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poveikis lytinei funkcijai buvo toliau tirtas 8 savaičių trukmės, dvigubai koduotame, lanksčios dozės, palyginimo su </w:t>
      </w:r>
      <w:proofErr w:type="spellStart"/>
      <w:r>
        <w:rPr>
          <w:szCs w:val="22"/>
          <w:lang w:eastAsia="lt-LT"/>
        </w:rPr>
        <w:t>escitalopramu</w:t>
      </w:r>
      <w:proofErr w:type="spellEnd"/>
      <w:r>
        <w:rPr>
          <w:szCs w:val="22"/>
          <w:lang w:eastAsia="lt-LT"/>
        </w:rPr>
        <w:t xml:space="preserve"> tyrime (n=424) pacientams, ne mažiau kaip 6 savaites gydytiems SSRI (</w:t>
      </w:r>
      <w:proofErr w:type="spellStart"/>
      <w:r>
        <w:rPr>
          <w:szCs w:val="22"/>
          <w:lang w:eastAsia="lt-LT"/>
        </w:rPr>
        <w:t>citalopramu</w:t>
      </w:r>
      <w:proofErr w:type="spellEnd"/>
      <w:r>
        <w:rPr>
          <w:szCs w:val="22"/>
          <w:lang w:eastAsia="lt-LT"/>
        </w:rPr>
        <w:t xml:space="preserve">, </w:t>
      </w:r>
      <w:proofErr w:type="spellStart"/>
      <w:r>
        <w:rPr>
          <w:szCs w:val="22"/>
          <w:lang w:eastAsia="lt-LT"/>
        </w:rPr>
        <w:t>paroksetinu</w:t>
      </w:r>
      <w:proofErr w:type="spellEnd"/>
      <w:r>
        <w:rPr>
          <w:szCs w:val="22"/>
          <w:lang w:eastAsia="lt-LT"/>
        </w:rPr>
        <w:t xml:space="preserve"> arba </w:t>
      </w:r>
      <w:proofErr w:type="spellStart"/>
      <w:r>
        <w:rPr>
          <w:szCs w:val="22"/>
          <w:lang w:eastAsia="lt-LT"/>
        </w:rPr>
        <w:t>sertralinu</w:t>
      </w:r>
      <w:proofErr w:type="spellEnd"/>
      <w:r>
        <w:rPr>
          <w:szCs w:val="22"/>
          <w:lang w:eastAsia="lt-LT"/>
        </w:rPr>
        <w:t xml:space="preserve">), kuriems pasireiškė lengvų depresijos simptomų (pradinis CGI-S įvertinimo balas ≤ 3) ir ankstesnio gydymo SSRI sukeltas </w:t>
      </w:r>
      <w:r>
        <w:rPr>
          <w:i/>
          <w:iCs/>
          <w:szCs w:val="22"/>
          <w:lang w:eastAsia="lt-LT"/>
        </w:rPr>
        <w:t>TESD</w:t>
      </w:r>
      <w:r>
        <w:rPr>
          <w:szCs w:val="22"/>
          <w:lang w:eastAsia="lt-LT"/>
        </w:rPr>
        <w:t xml:space="preserve">. Nustatyta, kad 10–20 mg </w:t>
      </w:r>
      <w:proofErr w:type="spellStart"/>
      <w:r>
        <w:rPr>
          <w:szCs w:val="22"/>
          <w:lang w:eastAsia="lt-LT"/>
        </w:rPr>
        <w:t>vortioksetino</w:t>
      </w:r>
      <w:proofErr w:type="spellEnd"/>
      <w:r>
        <w:rPr>
          <w:szCs w:val="22"/>
          <w:lang w:eastAsia="lt-LT"/>
        </w:rPr>
        <w:t xml:space="preserve"> dozė per parą sukėlė statistiškai reikšmingai mažiau </w:t>
      </w:r>
      <w:r>
        <w:rPr>
          <w:i/>
          <w:iCs/>
          <w:szCs w:val="22"/>
          <w:lang w:eastAsia="lt-LT"/>
        </w:rPr>
        <w:t>TESD</w:t>
      </w:r>
      <w:r>
        <w:rPr>
          <w:szCs w:val="22"/>
          <w:lang w:eastAsia="lt-LT"/>
        </w:rPr>
        <w:t xml:space="preserve"> nei 10–20 mg </w:t>
      </w:r>
      <w:proofErr w:type="spellStart"/>
      <w:r>
        <w:rPr>
          <w:szCs w:val="22"/>
          <w:lang w:eastAsia="lt-LT"/>
        </w:rPr>
        <w:t>escitalopramo</w:t>
      </w:r>
      <w:proofErr w:type="spellEnd"/>
      <w:r>
        <w:rPr>
          <w:szCs w:val="22"/>
          <w:lang w:eastAsia="lt-LT"/>
        </w:rPr>
        <w:t xml:space="preserve"> paros dozė, vertinant bendrojo </w:t>
      </w:r>
      <w:r>
        <w:rPr>
          <w:i/>
          <w:iCs/>
          <w:szCs w:val="22"/>
          <w:lang w:eastAsia="lt-LT"/>
        </w:rPr>
        <w:t>CSFQ-14</w:t>
      </w:r>
      <w:r>
        <w:rPr>
          <w:szCs w:val="22"/>
          <w:lang w:eastAsia="lt-LT"/>
        </w:rPr>
        <w:t xml:space="preserve"> įvertinimo balo pokytį (2,2 balo, p=0,013) 8-ąją savaitę. Į gydymą reagavusių pacientų dalis </w:t>
      </w:r>
      <w:proofErr w:type="spellStart"/>
      <w:r>
        <w:rPr>
          <w:szCs w:val="22"/>
          <w:lang w:eastAsia="lt-LT"/>
        </w:rPr>
        <w:t>vortioksetino</w:t>
      </w:r>
      <w:proofErr w:type="spellEnd"/>
      <w:r>
        <w:rPr>
          <w:szCs w:val="22"/>
          <w:lang w:eastAsia="lt-LT"/>
        </w:rPr>
        <w:t xml:space="preserve"> vartojusių pacientų grupėje (162 [74,7 %]), palyginti su </w:t>
      </w:r>
      <w:proofErr w:type="spellStart"/>
      <w:r>
        <w:rPr>
          <w:szCs w:val="22"/>
          <w:lang w:eastAsia="lt-LT"/>
        </w:rPr>
        <w:t>escitalopramo</w:t>
      </w:r>
      <w:proofErr w:type="spellEnd"/>
      <w:r>
        <w:rPr>
          <w:szCs w:val="22"/>
          <w:lang w:eastAsia="lt-LT"/>
        </w:rPr>
        <w:t xml:space="preserve"> vartojusių pacientų grupe (137 [66,2 %]), 8-ąją savaitę statistiškai reikšmingai nesiskyrė (šansų santykis 1,5; p= 0,057). </w:t>
      </w:r>
      <w:proofErr w:type="spellStart"/>
      <w:r>
        <w:rPr>
          <w:szCs w:val="22"/>
          <w:lang w:eastAsia="lt-LT"/>
        </w:rPr>
        <w:t>Antidepresinis</w:t>
      </w:r>
      <w:proofErr w:type="spellEnd"/>
      <w:r>
        <w:rPr>
          <w:szCs w:val="22"/>
          <w:lang w:eastAsia="lt-LT"/>
        </w:rPr>
        <w:t xml:space="preserve"> poveikis išliko abejose gydymo grupėse.</w:t>
      </w:r>
    </w:p>
    <w:p w14:paraId="6EEBE067" w14:textId="77777777" w:rsidR="00BC7B13" w:rsidRDefault="00BC7B13">
      <w:pPr>
        <w:autoSpaceDE w:val="0"/>
        <w:autoSpaceDN w:val="0"/>
        <w:adjustRightInd w:val="0"/>
        <w:rPr>
          <w:szCs w:val="22"/>
          <w:lang w:eastAsia="lt-LT"/>
        </w:rPr>
      </w:pPr>
    </w:p>
    <w:p w14:paraId="6A0CC5BA"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palyginti su placebu, neveikė kūno masės, širdies susitraukimų dažnio ar kraujospūdžio klinikinių trumpalaikių ir ilgalaikių tyrimų metu.</w:t>
      </w:r>
    </w:p>
    <w:p w14:paraId="070A6995" w14:textId="77777777" w:rsidR="00BC7B13" w:rsidRDefault="00BC7B13">
      <w:pPr>
        <w:autoSpaceDE w:val="0"/>
        <w:autoSpaceDN w:val="0"/>
        <w:adjustRightInd w:val="0"/>
        <w:rPr>
          <w:szCs w:val="22"/>
          <w:lang w:eastAsia="lt-LT"/>
        </w:rPr>
      </w:pPr>
    </w:p>
    <w:p w14:paraId="35813A05" w14:textId="77777777" w:rsidR="00BC7B13" w:rsidRDefault="004E7EF9">
      <w:pPr>
        <w:autoSpaceDE w:val="0"/>
        <w:autoSpaceDN w:val="0"/>
        <w:adjustRightInd w:val="0"/>
        <w:rPr>
          <w:szCs w:val="22"/>
          <w:lang w:eastAsia="lt-LT"/>
        </w:rPr>
      </w:pPr>
      <w:r>
        <w:rPr>
          <w:szCs w:val="22"/>
          <w:lang w:eastAsia="lt-LT"/>
        </w:rPr>
        <w:t>Įvertinus kepenų ar inkstų būklę klinikinių tyrimų metu, kliniškai reikšmingų pokyčių nepastebėta.</w:t>
      </w:r>
    </w:p>
    <w:p w14:paraId="399B90D5" w14:textId="77777777" w:rsidR="00BC7B13" w:rsidRDefault="00BC7B13">
      <w:pPr>
        <w:autoSpaceDE w:val="0"/>
        <w:autoSpaceDN w:val="0"/>
        <w:adjustRightInd w:val="0"/>
        <w:rPr>
          <w:szCs w:val="22"/>
          <w:lang w:eastAsia="lt-LT"/>
        </w:rPr>
      </w:pPr>
    </w:p>
    <w:p w14:paraId="20100C01"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xml:space="preserve"> nesukėlė jokio kliniškai reikšmingo poveikio pacientų, kuriems pasireiškė DDS, EKG</w:t>
      </w:r>
    </w:p>
    <w:p w14:paraId="22A946ED" w14:textId="77777777" w:rsidR="00BC7B13" w:rsidRDefault="004E7EF9">
      <w:pPr>
        <w:autoSpaceDE w:val="0"/>
        <w:autoSpaceDN w:val="0"/>
        <w:adjustRightInd w:val="0"/>
        <w:rPr>
          <w:szCs w:val="22"/>
          <w:lang w:eastAsia="lt-LT"/>
        </w:rPr>
      </w:pPr>
      <w:r>
        <w:rPr>
          <w:szCs w:val="22"/>
          <w:lang w:eastAsia="lt-LT"/>
        </w:rPr>
        <w:t xml:space="preserve">rodmenims, įskaitant QT, </w:t>
      </w:r>
      <w:proofErr w:type="spellStart"/>
      <w:r>
        <w:rPr>
          <w:szCs w:val="22"/>
          <w:lang w:eastAsia="lt-LT"/>
        </w:rPr>
        <w:t>QTc</w:t>
      </w:r>
      <w:proofErr w:type="spellEnd"/>
      <w:r>
        <w:rPr>
          <w:szCs w:val="22"/>
          <w:lang w:eastAsia="lt-LT"/>
        </w:rPr>
        <w:t xml:space="preserve">, PR ir QRS intervalus. Visapusiško </w:t>
      </w:r>
      <w:proofErr w:type="spellStart"/>
      <w:r>
        <w:rPr>
          <w:szCs w:val="22"/>
          <w:lang w:eastAsia="lt-LT"/>
        </w:rPr>
        <w:t>QTc</w:t>
      </w:r>
      <w:proofErr w:type="spellEnd"/>
      <w:r>
        <w:rPr>
          <w:szCs w:val="22"/>
          <w:lang w:eastAsia="lt-LT"/>
        </w:rPr>
        <w:t xml:space="preserve"> intervalo tyrimo su sveikais</w:t>
      </w:r>
    </w:p>
    <w:p w14:paraId="5312AD4A" w14:textId="77777777" w:rsidR="00BC7B13" w:rsidRDefault="004E7EF9">
      <w:pPr>
        <w:autoSpaceDE w:val="0"/>
        <w:autoSpaceDN w:val="0"/>
        <w:adjustRightInd w:val="0"/>
        <w:rPr>
          <w:szCs w:val="22"/>
          <w:lang w:eastAsia="lt-LT"/>
        </w:rPr>
      </w:pPr>
      <w:r>
        <w:rPr>
          <w:szCs w:val="22"/>
          <w:lang w:eastAsia="lt-LT"/>
        </w:rPr>
        <w:t xml:space="preserve">tiriamaisiais, kurie vartojo iki 40 mg dozes per parą, duomenimis galimybės, kad vaistinis preparatas ilgintų </w:t>
      </w:r>
      <w:proofErr w:type="spellStart"/>
      <w:r>
        <w:rPr>
          <w:szCs w:val="22"/>
          <w:lang w:eastAsia="lt-LT"/>
        </w:rPr>
        <w:t>QTc</w:t>
      </w:r>
      <w:proofErr w:type="spellEnd"/>
      <w:r>
        <w:rPr>
          <w:szCs w:val="22"/>
          <w:lang w:eastAsia="lt-LT"/>
        </w:rPr>
        <w:t xml:space="preserve"> intervalą, nepastebėta.</w:t>
      </w:r>
    </w:p>
    <w:p w14:paraId="0E8EDCC2" w14:textId="77777777" w:rsidR="00BC7B13" w:rsidRDefault="00BC7B13">
      <w:pPr>
        <w:autoSpaceDE w:val="0"/>
        <w:autoSpaceDN w:val="0"/>
        <w:adjustRightInd w:val="0"/>
        <w:rPr>
          <w:i/>
          <w:iCs/>
          <w:szCs w:val="22"/>
          <w:lang w:eastAsia="lt-LT"/>
        </w:rPr>
      </w:pPr>
    </w:p>
    <w:p w14:paraId="19B7AF08" w14:textId="77777777" w:rsidR="00BC7B13" w:rsidRDefault="004E7EF9">
      <w:pPr>
        <w:autoSpaceDE w:val="0"/>
        <w:autoSpaceDN w:val="0"/>
        <w:adjustRightInd w:val="0"/>
        <w:rPr>
          <w:szCs w:val="22"/>
          <w:u w:val="single"/>
          <w:lang w:eastAsia="lt-LT"/>
        </w:rPr>
      </w:pPr>
      <w:r>
        <w:rPr>
          <w:szCs w:val="22"/>
          <w:u w:val="single"/>
          <w:lang w:eastAsia="lt-LT"/>
        </w:rPr>
        <w:t>Vaikų populiacija</w:t>
      </w:r>
    </w:p>
    <w:p w14:paraId="36C2945B" w14:textId="77777777" w:rsidR="00BC7B13" w:rsidRDefault="004E7EF9">
      <w:pPr>
        <w:autoSpaceDE w:val="0"/>
        <w:autoSpaceDN w:val="0"/>
        <w:adjustRightInd w:val="0"/>
        <w:rPr>
          <w:szCs w:val="22"/>
          <w:lang w:eastAsia="lt-LT"/>
        </w:rPr>
      </w:pPr>
      <w:r>
        <w:rPr>
          <w:szCs w:val="22"/>
          <w:lang w:eastAsia="lt-LT"/>
        </w:rPr>
        <w:t>Buvo atlikti du trumpalaikiai, atsitiktinių imčių, dvigubai koduoti, placebu kontroliuojami, fiksuotų dozių (</w:t>
      </w:r>
      <w:proofErr w:type="spellStart"/>
      <w:r>
        <w:rPr>
          <w:szCs w:val="22"/>
          <w:lang w:eastAsia="lt-LT"/>
        </w:rPr>
        <w:t>vortioksetino</w:t>
      </w:r>
      <w:proofErr w:type="spellEnd"/>
      <w:r>
        <w:rPr>
          <w:szCs w:val="22"/>
          <w:lang w:eastAsia="lt-LT"/>
        </w:rPr>
        <w:t xml:space="preserve"> 10 mg per parą ir 20 mg per parą), vartojant palyginamąją veikliąją medžiagą (</w:t>
      </w:r>
      <w:proofErr w:type="spellStart"/>
      <w:r>
        <w:rPr>
          <w:szCs w:val="22"/>
          <w:lang w:eastAsia="lt-LT"/>
        </w:rPr>
        <w:t>fluoksetiną</w:t>
      </w:r>
      <w:proofErr w:type="spellEnd"/>
      <w:r>
        <w:rPr>
          <w:szCs w:val="22"/>
          <w:lang w:eastAsia="lt-LT"/>
        </w:rPr>
        <w:t>), veiksmingumo ir saugumo tyrimai; vienas su vaikais nuo 7 iki 11 metų, sergančiais DDS, ir vienas su paaugliais nuo 12 iki 17 metų, sergančiais DDS. Šiuose tyrimuose buvo ir 4 savaičių trukmės viengubai koduotas įvadinis placebo laikotarpis su standartizuota psichosocialine intervencija (gydytų pacientų tyrime su vaikais N = 677, paauglių tyrime N = 777), ir tik tie pacientai, kuriems nepasireiškė organizmo atsakas į pradinį laikotarpį, buvo atrinkti atsitiktinių imčių būdu (vaikų tyrime N=540, paauglių tyrime N=616).</w:t>
      </w:r>
    </w:p>
    <w:p w14:paraId="61C247B7" w14:textId="77777777" w:rsidR="00BC7B13" w:rsidRDefault="00BC7B13">
      <w:pPr>
        <w:autoSpaceDE w:val="0"/>
        <w:autoSpaceDN w:val="0"/>
        <w:adjustRightInd w:val="0"/>
        <w:rPr>
          <w:szCs w:val="22"/>
          <w:lang w:eastAsia="lt-LT"/>
        </w:rPr>
      </w:pPr>
    </w:p>
    <w:p w14:paraId="75461D74" w14:textId="77777777" w:rsidR="00BC7B13" w:rsidRDefault="004E7EF9">
      <w:pPr>
        <w:autoSpaceDE w:val="0"/>
        <w:autoSpaceDN w:val="0"/>
        <w:adjustRightInd w:val="0"/>
        <w:rPr>
          <w:szCs w:val="22"/>
          <w:lang w:eastAsia="lt-LT"/>
        </w:rPr>
      </w:pPr>
      <w:r>
        <w:rPr>
          <w:szCs w:val="22"/>
          <w:lang w:eastAsia="lt-LT"/>
        </w:rPr>
        <w:t xml:space="preserve">Tyrimo, kuriame dalyvavo vaikai nuo 7 iki 11 metų, vidutinis dviejų </w:t>
      </w:r>
      <w:proofErr w:type="spellStart"/>
      <w:r>
        <w:rPr>
          <w:szCs w:val="22"/>
          <w:lang w:eastAsia="lt-LT"/>
        </w:rPr>
        <w:t>vortioksetino</w:t>
      </w:r>
      <w:proofErr w:type="spellEnd"/>
      <w:r>
        <w:rPr>
          <w:szCs w:val="22"/>
          <w:lang w:eastAsia="lt-LT"/>
        </w:rPr>
        <w:t xml:space="preserve"> dozių 10 ir 20 mg per parą poveikis 8 savaitę statistiškai reikšmingai nesiskyrė nuo placebo, atsižvelgiant į Vaikų depresijos vertinimo skalės su pataisomis (angl. </w:t>
      </w:r>
      <w:proofErr w:type="spellStart"/>
      <w:r>
        <w:rPr>
          <w:i/>
          <w:iCs/>
          <w:szCs w:val="22"/>
          <w:lang w:eastAsia="lt-LT"/>
        </w:rPr>
        <w:t>Children's</w:t>
      </w:r>
      <w:proofErr w:type="spellEnd"/>
      <w:r>
        <w:rPr>
          <w:i/>
          <w:iCs/>
          <w:szCs w:val="22"/>
          <w:lang w:eastAsia="lt-LT"/>
        </w:rPr>
        <w:t xml:space="preserve"> </w:t>
      </w:r>
      <w:proofErr w:type="spellStart"/>
      <w:r>
        <w:rPr>
          <w:i/>
          <w:iCs/>
          <w:szCs w:val="22"/>
          <w:lang w:eastAsia="lt-LT"/>
        </w:rPr>
        <w:t>Depression</w:t>
      </w:r>
      <w:proofErr w:type="spellEnd"/>
      <w:r>
        <w:rPr>
          <w:i/>
          <w:iCs/>
          <w:szCs w:val="22"/>
          <w:lang w:eastAsia="lt-LT"/>
        </w:rPr>
        <w:t xml:space="preserve"> </w:t>
      </w:r>
      <w:proofErr w:type="spellStart"/>
      <w:r>
        <w:rPr>
          <w:i/>
          <w:iCs/>
          <w:szCs w:val="22"/>
          <w:lang w:eastAsia="lt-LT"/>
        </w:rPr>
        <w:t>Rating</w:t>
      </w:r>
      <w:proofErr w:type="spellEnd"/>
      <w:r>
        <w:rPr>
          <w:i/>
          <w:iCs/>
          <w:szCs w:val="22"/>
          <w:lang w:eastAsia="lt-LT"/>
        </w:rPr>
        <w:t xml:space="preserve"> </w:t>
      </w:r>
      <w:proofErr w:type="spellStart"/>
      <w:r>
        <w:rPr>
          <w:i/>
          <w:iCs/>
          <w:szCs w:val="22"/>
          <w:lang w:eastAsia="lt-LT"/>
        </w:rPr>
        <w:t>Scale</w:t>
      </w:r>
      <w:proofErr w:type="spellEnd"/>
      <w:r>
        <w:rPr>
          <w:i/>
          <w:iCs/>
          <w:szCs w:val="22"/>
          <w:lang w:eastAsia="lt-LT"/>
        </w:rPr>
        <w:t xml:space="preserve"> </w:t>
      </w:r>
      <w:proofErr w:type="spellStart"/>
      <w:r>
        <w:rPr>
          <w:i/>
          <w:iCs/>
          <w:szCs w:val="22"/>
          <w:lang w:eastAsia="lt-LT"/>
        </w:rPr>
        <w:t>Revised</w:t>
      </w:r>
      <w:proofErr w:type="spellEnd"/>
      <w:r>
        <w:rPr>
          <w:szCs w:val="22"/>
          <w:lang w:eastAsia="lt-LT"/>
        </w:rPr>
        <w:t xml:space="preserve">, </w:t>
      </w:r>
      <w:r>
        <w:rPr>
          <w:i/>
          <w:iCs/>
          <w:szCs w:val="22"/>
          <w:lang w:eastAsia="lt-LT"/>
        </w:rPr>
        <w:t>CDRS-R</w:t>
      </w:r>
      <w:r>
        <w:rPr>
          <w:szCs w:val="22"/>
          <w:lang w:eastAsia="lt-LT"/>
        </w:rPr>
        <w:t xml:space="preserve">) bendrąjį įvertį, taip pat vartojant palyginamąją veikliąją medžiagą (20 mg </w:t>
      </w:r>
      <w:proofErr w:type="spellStart"/>
      <w:r>
        <w:rPr>
          <w:szCs w:val="22"/>
          <w:lang w:eastAsia="lt-LT"/>
        </w:rPr>
        <w:t>fluoksetino</w:t>
      </w:r>
      <w:proofErr w:type="spellEnd"/>
      <w:r>
        <w:rPr>
          <w:szCs w:val="22"/>
          <w:lang w:eastAsia="lt-LT"/>
        </w:rPr>
        <w:t xml:space="preserve"> per parą), taip pat individualios </w:t>
      </w:r>
      <w:proofErr w:type="spellStart"/>
      <w:r>
        <w:rPr>
          <w:szCs w:val="22"/>
          <w:lang w:eastAsia="lt-LT"/>
        </w:rPr>
        <w:t>vortioksetino</w:t>
      </w:r>
      <w:proofErr w:type="spellEnd"/>
      <w:r>
        <w:rPr>
          <w:szCs w:val="22"/>
          <w:lang w:eastAsia="lt-LT"/>
        </w:rPr>
        <w:t xml:space="preserve"> dozės (10 mg ir 20 mg per parą) reikšmingai nesiskyrė nuo placebo. Apskritai </w:t>
      </w:r>
      <w:proofErr w:type="spellStart"/>
      <w:r>
        <w:rPr>
          <w:szCs w:val="22"/>
          <w:lang w:eastAsia="lt-LT"/>
        </w:rPr>
        <w:t>vortioksetino</w:t>
      </w:r>
      <w:proofErr w:type="spellEnd"/>
      <w:r>
        <w:rPr>
          <w:szCs w:val="22"/>
          <w:lang w:eastAsia="lt-LT"/>
        </w:rPr>
        <w:t xml:space="preserve"> nepageidaujamų reiškinių savybės vaikams buvo panašios kaip ir suaugusiesiems, išskyrus tai, kad vaikams dažniau nei suaugusiesiems pasireiškė su pilvo skausmu susijusių reiškinių.</w:t>
      </w:r>
    </w:p>
    <w:p w14:paraId="1DE4F383" w14:textId="77777777" w:rsidR="00BC7B13" w:rsidRDefault="004E7EF9">
      <w:pPr>
        <w:autoSpaceDE w:val="0"/>
        <w:autoSpaceDN w:val="0"/>
        <w:adjustRightInd w:val="0"/>
        <w:rPr>
          <w:szCs w:val="22"/>
          <w:lang w:eastAsia="lt-LT"/>
        </w:rPr>
      </w:pPr>
      <w:r>
        <w:rPr>
          <w:szCs w:val="22"/>
          <w:lang w:eastAsia="lt-LT"/>
        </w:rPr>
        <w:t xml:space="preserve">Dėl nepageidaujamų reiškinių gydymą nutraukė 2,0 % pacientų, vartojusių 20 mg </w:t>
      </w:r>
      <w:proofErr w:type="spellStart"/>
      <w:r>
        <w:rPr>
          <w:szCs w:val="22"/>
          <w:lang w:eastAsia="lt-LT"/>
        </w:rPr>
        <w:t>vortioksetino</w:t>
      </w:r>
      <w:proofErr w:type="spellEnd"/>
      <w:r>
        <w:rPr>
          <w:szCs w:val="22"/>
          <w:lang w:eastAsia="lt-LT"/>
        </w:rPr>
        <w:t xml:space="preserve"> per parą, 1,3 % – 10 mg </w:t>
      </w:r>
      <w:proofErr w:type="spellStart"/>
      <w:r>
        <w:rPr>
          <w:szCs w:val="22"/>
          <w:lang w:eastAsia="lt-LT"/>
        </w:rPr>
        <w:t>vortioksetino</w:t>
      </w:r>
      <w:proofErr w:type="spellEnd"/>
      <w:r>
        <w:rPr>
          <w:szCs w:val="22"/>
          <w:lang w:eastAsia="lt-LT"/>
        </w:rPr>
        <w:t xml:space="preserve"> per parą, 0,7 % – placebo, o </w:t>
      </w:r>
      <w:proofErr w:type="spellStart"/>
      <w:r>
        <w:rPr>
          <w:szCs w:val="22"/>
          <w:lang w:eastAsia="lt-LT"/>
        </w:rPr>
        <w:t>fluoksetino</w:t>
      </w:r>
      <w:proofErr w:type="spellEnd"/>
      <w:r>
        <w:rPr>
          <w:szCs w:val="22"/>
          <w:lang w:eastAsia="lt-LT"/>
        </w:rPr>
        <w:t xml:space="preserve"> vartojimas nutrauktas nebuvo. Dažniausiai nustatyti nepageidaujami reiškiniai gydymo </w:t>
      </w:r>
      <w:proofErr w:type="spellStart"/>
      <w:r>
        <w:rPr>
          <w:szCs w:val="22"/>
          <w:lang w:eastAsia="lt-LT"/>
        </w:rPr>
        <w:t>vortioksetinu</w:t>
      </w:r>
      <w:proofErr w:type="spellEnd"/>
      <w:r>
        <w:rPr>
          <w:szCs w:val="22"/>
          <w:lang w:eastAsia="lt-LT"/>
        </w:rPr>
        <w:t xml:space="preserve"> grupėse buvo </w:t>
      </w:r>
      <w:r>
        <w:rPr>
          <w:szCs w:val="22"/>
          <w:lang w:eastAsia="lt-LT"/>
        </w:rPr>
        <w:lastRenderedPageBreak/>
        <w:t xml:space="preserve">pykinimas, galvos skausmas, vėmimas, svaigulys ir pilvo skausmas. Pykinimo, vėmimo ir pilvo skausmo dažnis buvo didesnis </w:t>
      </w:r>
      <w:proofErr w:type="spellStart"/>
      <w:r>
        <w:rPr>
          <w:szCs w:val="22"/>
          <w:lang w:eastAsia="lt-LT"/>
        </w:rPr>
        <w:t>vortioksetino</w:t>
      </w:r>
      <w:proofErr w:type="spellEnd"/>
      <w:r>
        <w:rPr>
          <w:szCs w:val="22"/>
          <w:lang w:eastAsia="lt-LT"/>
        </w:rPr>
        <w:t xml:space="preserve"> grupėse nei placebo grupėje. Su savižudybe susijusios mintys ir elgesys buvo nustatyti kaip nepageidaujami reiškiniai tiek per 4 savaičių trukmės viengubai koduotą įvadinį laikotarpį (placebas: 2 iš 677 [0,3 %]), tiek ir per 8 savaičių gydymo laikotarpį (10 mg </w:t>
      </w:r>
      <w:proofErr w:type="spellStart"/>
      <w:r>
        <w:rPr>
          <w:szCs w:val="22"/>
          <w:lang w:eastAsia="lt-LT"/>
        </w:rPr>
        <w:t>vortioksetino</w:t>
      </w:r>
      <w:proofErr w:type="spellEnd"/>
      <w:r>
        <w:rPr>
          <w:szCs w:val="22"/>
          <w:lang w:eastAsia="lt-LT"/>
        </w:rPr>
        <w:t xml:space="preserve"> per parą: 1 iš 149 [0,7 %], placebas: 1 iš 153 [0,7 %]). Be to, 5 pacientams 8 savaičių gydymo laikotarpiu </w:t>
      </w:r>
      <w:r>
        <w:rPr>
          <w:i/>
          <w:iCs/>
          <w:szCs w:val="22"/>
          <w:lang w:eastAsia="lt-LT"/>
        </w:rPr>
        <w:t>C-SSRS</w:t>
      </w:r>
      <w:r>
        <w:rPr>
          <w:szCs w:val="22"/>
          <w:lang w:eastAsia="lt-LT"/>
        </w:rPr>
        <w:t xml:space="preserve"> buvo pranešta apie „nespecifines aktyvias mintis apie savižudybę“ (20 mg </w:t>
      </w:r>
      <w:proofErr w:type="spellStart"/>
      <w:r>
        <w:rPr>
          <w:szCs w:val="22"/>
          <w:lang w:eastAsia="lt-LT"/>
        </w:rPr>
        <w:t>vortioksetino</w:t>
      </w:r>
      <w:proofErr w:type="spellEnd"/>
      <w:r>
        <w:rPr>
          <w:szCs w:val="22"/>
          <w:lang w:eastAsia="lt-LT"/>
        </w:rPr>
        <w:t xml:space="preserve"> per parą: 1 iš 153 [0,7 %]), placebas: 1 iš 153 [0,7 %] ir </w:t>
      </w:r>
      <w:proofErr w:type="spellStart"/>
      <w:r>
        <w:rPr>
          <w:szCs w:val="22"/>
          <w:lang w:eastAsia="lt-LT"/>
        </w:rPr>
        <w:t>fluoksetinas</w:t>
      </w:r>
      <w:proofErr w:type="spellEnd"/>
      <w:r>
        <w:rPr>
          <w:szCs w:val="22"/>
          <w:lang w:eastAsia="lt-LT"/>
        </w:rPr>
        <w:t xml:space="preserve">: 3 iš 82 [3,7 %]). Su savižudybe susijusios mintys ir elgesys, matuojami pagal Kolumbijos universiteto minčių apie savižudybę intensyvumo vertinimo klausimyną (angl. </w:t>
      </w:r>
      <w:proofErr w:type="spellStart"/>
      <w:r>
        <w:rPr>
          <w:i/>
          <w:iCs/>
          <w:szCs w:val="22"/>
          <w:lang w:eastAsia="lt-LT"/>
        </w:rPr>
        <w:t>Columbia</w:t>
      </w:r>
      <w:proofErr w:type="spellEnd"/>
      <w:r>
        <w:rPr>
          <w:i/>
          <w:iCs/>
          <w:szCs w:val="22"/>
          <w:lang w:eastAsia="lt-LT"/>
        </w:rPr>
        <w:t xml:space="preserve"> </w:t>
      </w:r>
      <w:proofErr w:type="spellStart"/>
      <w:r>
        <w:rPr>
          <w:i/>
          <w:iCs/>
          <w:szCs w:val="22"/>
          <w:lang w:eastAsia="lt-LT"/>
        </w:rPr>
        <w:t>Suicide</w:t>
      </w:r>
      <w:proofErr w:type="spellEnd"/>
      <w:r>
        <w:rPr>
          <w:i/>
          <w:iCs/>
          <w:szCs w:val="22"/>
          <w:lang w:eastAsia="lt-LT"/>
        </w:rPr>
        <w:t xml:space="preserve"> </w:t>
      </w:r>
      <w:proofErr w:type="spellStart"/>
      <w:r>
        <w:rPr>
          <w:i/>
          <w:iCs/>
          <w:szCs w:val="22"/>
          <w:lang w:eastAsia="lt-LT"/>
        </w:rPr>
        <w:t>Severity</w:t>
      </w:r>
      <w:proofErr w:type="spellEnd"/>
      <w:r>
        <w:rPr>
          <w:i/>
          <w:iCs/>
          <w:szCs w:val="22"/>
          <w:lang w:eastAsia="lt-LT"/>
        </w:rPr>
        <w:t xml:space="preserve"> </w:t>
      </w:r>
      <w:proofErr w:type="spellStart"/>
      <w:r>
        <w:rPr>
          <w:i/>
          <w:iCs/>
          <w:szCs w:val="22"/>
          <w:lang w:eastAsia="lt-LT"/>
        </w:rPr>
        <w:t>Rating</w:t>
      </w:r>
      <w:proofErr w:type="spellEnd"/>
      <w:r>
        <w:rPr>
          <w:i/>
          <w:iCs/>
          <w:szCs w:val="22"/>
          <w:lang w:eastAsia="lt-LT"/>
        </w:rPr>
        <w:t xml:space="preserve"> </w:t>
      </w:r>
      <w:proofErr w:type="spellStart"/>
      <w:r>
        <w:rPr>
          <w:i/>
          <w:iCs/>
          <w:szCs w:val="22"/>
          <w:lang w:eastAsia="lt-LT"/>
        </w:rPr>
        <w:t>Scale</w:t>
      </w:r>
      <w:proofErr w:type="spellEnd"/>
      <w:r>
        <w:rPr>
          <w:szCs w:val="22"/>
          <w:lang w:eastAsia="lt-LT"/>
        </w:rPr>
        <w:t xml:space="preserve">, </w:t>
      </w:r>
      <w:r>
        <w:rPr>
          <w:i/>
          <w:iCs/>
          <w:szCs w:val="22"/>
          <w:lang w:eastAsia="lt-LT"/>
        </w:rPr>
        <w:t>CSSRS</w:t>
      </w:r>
      <w:r>
        <w:rPr>
          <w:szCs w:val="22"/>
          <w:lang w:eastAsia="lt-LT"/>
        </w:rPr>
        <w:t>), buvo panašūs visose gydymo grupėse.</w:t>
      </w:r>
    </w:p>
    <w:p w14:paraId="735EB28B" w14:textId="77777777" w:rsidR="00BC7B13" w:rsidRDefault="004E7EF9">
      <w:pPr>
        <w:autoSpaceDE w:val="0"/>
        <w:autoSpaceDN w:val="0"/>
        <w:adjustRightInd w:val="0"/>
        <w:rPr>
          <w:szCs w:val="22"/>
          <w:lang w:eastAsia="lt-LT"/>
        </w:rPr>
      </w:pPr>
      <w:r>
        <w:rPr>
          <w:szCs w:val="22"/>
          <w:lang w:eastAsia="lt-LT"/>
        </w:rPr>
        <w:t xml:space="preserve">Tyrime su paaugliais nuo 12 iki 17 metų nei 10 mg per parą, nei 20 mg per parą </w:t>
      </w:r>
      <w:proofErr w:type="spellStart"/>
      <w:r>
        <w:rPr>
          <w:szCs w:val="22"/>
          <w:lang w:eastAsia="lt-LT"/>
        </w:rPr>
        <w:t>vortioksetino</w:t>
      </w:r>
      <w:proofErr w:type="spellEnd"/>
      <w:r>
        <w:rPr>
          <w:szCs w:val="22"/>
          <w:lang w:eastAsia="lt-LT"/>
        </w:rPr>
        <w:t xml:space="preserve"> dozė nebuvo statistiškai reikšmingai pranašesnė už placebą, atsižvelgiant į Vaikų depresijos vertinimo skalės su pataisomis (</w:t>
      </w:r>
      <w:r>
        <w:rPr>
          <w:i/>
          <w:iCs/>
          <w:szCs w:val="22"/>
          <w:lang w:eastAsia="lt-LT"/>
        </w:rPr>
        <w:t>CDRS-R</w:t>
      </w:r>
      <w:r>
        <w:rPr>
          <w:szCs w:val="22"/>
          <w:lang w:eastAsia="lt-LT"/>
        </w:rPr>
        <w:t xml:space="preserve">) bendrąjį įvertį. Bendrasis </w:t>
      </w:r>
      <w:r>
        <w:rPr>
          <w:i/>
          <w:iCs/>
          <w:szCs w:val="22"/>
          <w:lang w:eastAsia="lt-LT"/>
        </w:rPr>
        <w:t>CDRS-R</w:t>
      </w:r>
      <w:r>
        <w:rPr>
          <w:szCs w:val="22"/>
          <w:lang w:eastAsia="lt-LT"/>
        </w:rPr>
        <w:t xml:space="preserve"> įvertis statistiškai skyrėsi vartojant palyginamąją veikliąją medžiagą (20 mg per parą </w:t>
      </w:r>
      <w:proofErr w:type="spellStart"/>
      <w:r>
        <w:rPr>
          <w:szCs w:val="22"/>
          <w:lang w:eastAsia="lt-LT"/>
        </w:rPr>
        <w:t>fluoksetino</w:t>
      </w:r>
      <w:proofErr w:type="spellEnd"/>
      <w:r>
        <w:rPr>
          <w:szCs w:val="22"/>
          <w:lang w:eastAsia="lt-LT"/>
        </w:rPr>
        <w:t xml:space="preserve">), palyginti su placebu. Apskritai, </w:t>
      </w:r>
      <w:proofErr w:type="spellStart"/>
      <w:r>
        <w:rPr>
          <w:szCs w:val="22"/>
          <w:lang w:eastAsia="lt-LT"/>
        </w:rPr>
        <w:t>vortioksetino</w:t>
      </w:r>
      <w:proofErr w:type="spellEnd"/>
      <w:r>
        <w:rPr>
          <w:szCs w:val="22"/>
          <w:lang w:eastAsia="lt-LT"/>
        </w:rPr>
        <w:t xml:space="preserve"> nepageidaujamų reakcijų pobūdis paaugliams buvo panašus kaip ir suaugusiesiems, išskyrus tai, kad paaugliams dažniau nei suaugusiesiems pasireiškė pilvo skausmas ir minčių apie savižudybę. Vaistinio preparato vartojimo nutraukimo dėl nepageidaujamų reiškinių (dažniausiai dėl minčių apie savižudybę, pykinimo ir vėmimo) dažnis buvo didžiausias pacientams, gydytiems 20 mg per parą </w:t>
      </w:r>
      <w:proofErr w:type="spellStart"/>
      <w:r>
        <w:rPr>
          <w:szCs w:val="22"/>
          <w:lang w:eastAsia="lt-LT"/>
        </w:rPr>
        <w:t>vortioksetino</w:t>
      </w:r>
      <w:proofErr w:type="spellEnd"/>
      <w:r>
        <w:rPr>
          <w:szCs w:val="22"/>
          <w:lang w:eastAsia="lt-LT"/>
        </w:rPr>
        <w:t xml:space="preserve"> doze (5,6 %), palyginti su 10 mg per parą </w:t>
      </w:r>
      <w:proofErr w:type="spellStart"/>
      <w:r>
        <w:rPr>
          <w:szCs w:val="22"/>
          <w:lang w:eastAsia="lt-LT"/>
        </w:rPr>
        <w:t>vortioksetino</w:t>
      </w:r>
      <w:proofErr w:type="spellEnd"/>
      <w:r>
        <w:rPr>
          <w:szCs w:val="22"/>
          <w:lang w:eastAsia="lt-LT"/>
        </w:rPr>
        <w:t xml:space="preserve"> doze (2,7 %), </w:t>
      </w:r>
      <w:proofErr w:type="spellStart"/>
      <w:r>
        <w:rPr>
          <w:szCs w:val="22"/>
          <w:lang w:eastAsia="lt-LT"/>
        </w:rPr>
        <w:t>fluoksetinu</w:t>
      </w:r>
      <w:proofErr w:type="spellEnd"/>
      <w:r>
        <w:rPr>
          <w:szCs w:val="22"/>
          <w:lang w:eastAsia="lt-LT"/>
        </w:rPr>
        <w:t xml:space="preserve"> (3,3 %) ir placebu (1,3 %). Dažniausiai nustatyti nepageidaujami reiškiniai gydymo </w:t>
      </w:r>
      <w:proofErr w:type="spellStart"/>
      <w:r>
        <w:rPr>
          <w:szCs w:val="22"/>
          <w:lang w:eastAsia="lt-LT"/>
        </w:rPr>
        <w:t>vortioksetinu</w:t>
      </w:r>
      <w:proofErr w:type="spellEnd"/>
      <w:r>
        <w:rPr>
          <w:szCs w:val="22"/>
          <w:lang w:eastAsia="lt-LT"/>
        </w:rPr>
        <w:t xml:space="preserve"> grupėse buvo pykinimas, vėmimas ir galvos skausmas. Su savižudybe susijusios mintys ir elgesys buvo nustatyti kaip nepageidaujami reiškiniai tiek per 4 savaičių trukmės viengubai koduotą įvadinį laikotarpį (placebas: 13 iš 777 [1,7 %]), tiek per 8 savaičių trukmės gydymo laikotarpį (10 mg per parą </w:t>
      </w:r>
      <w:proofErr w:type="spellStart"/>
      <w:r>
        <w:rPr>
          <w:szCs w:val="22"/>
          <w:lang w:eastAsia="lt-LT"/>
        </w:rPr>
        <w:t>vortioksetino</w:t>
      </w:r>
      <w:proofErr w:type="spellEnd"/>
      <w:r>
        <w:rPr>
          <w:szCs w:val="22"/>
          <w:lang w:eastAsia="lt-LT"/>
        </w:rPr>
        <w:t xml:space="preserve"> dozė: 2 iš 147 [1,4 %], 20 mg per parą </w:t>
      </w:r>
      <w:proofErr w:type="spellStart"/>
      <w:r>
        <w:rPr>
          <w:szCs w:val="22"/>
          <w:lang w:eastAsia="lt-LT"/>
        </w:rPr>
        <w:t>vortioksetino</w:t>
      </w:r>
      <w:proofErr w:type="spellEnd"/>
      <w:r>
        <w:rPr>
          <w:szCs w:val="22"/>
          <w:lang w:eastAsia="lt-LT"/>
        </w:rPr>
        <w:t xml:space="preserve"> dozė: 6 iš 161 [3,7 %], </w:t>
      </w:r>
      <w:proofErr w:type="spellStart"/>
      <w:r>
        <w:rPr>
          <w:szCs w:val="22"/>
          <w:lang w:eastAsia="lt-LT"/>
        </w:rPr>
        <w:t>fluoksetinas</w:t>
      </w:r>
      <w:proofErr w:type="spellEnd"/>
      <w:r>
        <w:rPr>
          <w:szCs w:val="22"/>
          <w:lang w:eastAsia="lt-LT"/>
        </w:rPr>
        <w:t xml:space="preserve">: 6 iš 153 [3,9 %], placebas: 0 iš 154 [0 %]). Su savižudybe susijusios mintys ir elgesys, matuojami pagal Kolumbijos universiteto minčių apie savižudybę intensyvumo vertinimo klausimyną </w:t>
      </w:r>
      <w:r>
        <w:rPr>
          <w:i/>
          <w:iCs/>
          <w:szCs w:val="22"/>
          <w:lang w:eastAsia="lt-LT"/>
        </w:rPr>
        <w:t>C-SSRS</w:t>
      </w:r>
      <w:r>
        <w:rPr>
          <w:szCs w:val="22"/>
          <w:lang w:eastAsia="lt-LT"/>
        </w:rPr>
        <w:t>, buvo panašūs visose gydymo grupėse.</w:t>
      </w:r>
    </w:p>
    <w:p w14:paraId="12F4630E" w14:textId="77777777" w:rsidR="00BC7B13" w:rsidRDefault="00BC7B13">
      <w:pPr>
        <w:autoSpaceDE w:val="0"/>
        <w:autoSpaceDN w:val="0"/>
        <w:adjustRightInd w:val="0"/>
        <w:rPr>
          <w:szCs w:val="22"/>
          <w:lang w:eastAsia="lt-LT"/>
        </w:rPr>
      </w:pPr>
    </w:p>
    <w:p w14:paraId="4488BA92"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negalima vartoti vaikams (jaunesniems kaip 18 metų), sergantiems didžiosios depresijos sutrikimu (žr. 4.2 skyrių).</w:t>
      </w:r>
    </w:p>
    <w:p w14:paraId="4C6A4C81" w14:textId="77777777" w:rsidR="00BC7B13" w:rsidRDefault="004E7EF9">
      <w:pPr>
        <w:autoSpaceDE w:val="0"/>
        <w:autoSpaceDN w:val="0"/>
        <w:adjustRightInd w:val="0"/>
        <w:rPr>
          <w:szCs w:val="22"/>
          <w:lang w:eastAsia="lt-LT"/>
        </w:rPr>
      </w:pPr>
      <w:r>
        <w:rPr>
          <w:szCs w:val="22"/>
          <w:lang w:eastAsia="lt-LT"/>
        </w:rPr>
        <w:t xml:space="preserve">Europos vaistų agentūra atleido nuo įpareigojimo pateikti didžiosios depresijos sutrikimo gydymo </w:t>
      </w:r>
      <w:proofErr w:type="spellStart"/>
      <w:r>
        <w:rPr>
          <w:szCs w:val="22"/>
          <w:lang w:eastAsia="lt-LT"/>
        </w:rPr>
        <w:t>vortioksetinu</w:t>
      </w:r>
      <w:proofErr w:type="spellEnd"/>
      <w:r>
        <w:rPr>
          <w:szCs w:val="22"/>
          <w:lang w:eastAsia="lt-LT"/>
        </w:rPr>
        <w:t xml:space="preserve"> tyrimų su jaunesniais kaip 7 metų vaikais duomenis (vartojimo vaikams informacija pateikiama 4.2 skyriuje).</w:t>
      </w:r>
    </w:p>
    <w:p w14:paraId="2505C60F" w14:textId="77777777" w:rsidR="00BC7B13" w:rsidRDefault="00BC7B13">
      <w:pPr>
        <w:widowControl w:val="0"/>
        <w:autoSpaceDE w:val="0"/>
        <w:autoSpaceDN w:val="0"/>
      </w:pPr>
    </w:p>
    <w:p w14:paraId="698BF514" w14:textId="77777777" w:rsidR="00BC7B13" w:rsidRDefault="004E7EF9">
      <w:pPr>
        <w:ind w:left="567" w:hanging="567"/>
        <w:rPr>
          <w:b/>
        </w:rPr>
      </w:pPr>
      <w:r>
        <w:rPr>
          <w:b/>
        </w:rPr>
        <w:t>5.2</w:t>
      </w:r>
      <w:r>
        <w:rPr>
          <w:b/>
        </w:rPr>
        <w:tab/>
      </w:r>
      <w:proofErr w:type="spellStart"/>
      <w:r>
        <w:rPr>
          <w:b/>
        </w:rPr>
        <w:t>Farmakokinetinės</w:t>
      </w:r>
      <w:proofErr w:type="spellEnd"/>
      <w:r>
        <w:rPr>
          <w:b/>
        </w:rPr>
        <w:t xml:space="preserve"> savybės</w:t>
      </w:r>
    </w:p>
    <w:p w14:paraId="3945F2FB" w14:textId="77777777" w:rsidR="00BC7B13" w:rsidRDefault="00BC7B13">
      <w:pPr>
        <w:rPr>
          <w:b/>
        </w:rPr>
      </w:pPr>
    </w:p>
    <w:p w14:paraId="4B87648B" w14:textId="77777777" w:rsidR="00BC7B13" w:rsidRDefault="004E7EF9">
      <w:pPr>
        <w:rPr>
          <w:u w:val="single"/>
        </w:rPr>
      </w:pPr>
      <w:r>
        <w:rPr>
          <w:u w:val="single"/>
        </w:rPr>
        <w:t>Absorbcija</w:t>
      </w:r>
    </w:p>
    <w:p w14:paraId="24290EC6" w14:textId="77777777" w:rsidR="00BC7B13" w:rsidRDefault="00BC7B13"/>
    <w:p w14:paraId="56289972" w14:textId="77777777" w:rsidR="00BC7B13" w:rsidRDefault="004E7EF9">
      <w:pPr>
        <w:autoSpaceDE w:val="0"/>
        <w:autoSpaceDN w:val="0"/>
        <w:adjustRightInd w:val="0"/>
        <w:rPr>
          <w:szCs w:val="22"/>
          <w:lang w:eastAsia="lt-LT"/>
        </w:rPr>
      </w:pPr>
      <w:r>
        <w:rPr>
          <w:szCs w:val="22"/>
          <w:lang w:eastAsia="lt-LT"/>
        </w:rPr>
        <w:t xml:space="preserve">Pavartotas per burną </w:t>
      </w:r>
      <w:proofErr w:type="spellStart"/>
      <w:r>
        <w:rPr>
          <w:szCs w:val="22"/>
          <w:lang w:eastAsia="lt-LT"/>
        </w:rPr>
        <w:t>vortioksetinas</w:t>
      </w:r>
      <w:proofErr w:type="spellEnd"/>
      <w:r>
        <w:rPr>
          <w:szCs w:val="22"/>
          <w:lang w:eastAsia="lt-LT"/>
        </w:rPr>
        <w:t xml:space="preserve"> lėtai, bet gerai absorbuojamas ir didžiausia jo koncentracija plazmoje pasiekiama per 7–11 valandų. Po kartotinių 5 mg, 10 mg ar 20 mg dozių per parą pavartojimo, buvo išmatuota nuo 9 </w:t>
      </w:r>
      <w:proofErr w:type="spellStart"/>
      <w:r>
        <w:rPr>
          <w:szCs w:val="22"/>
          <w:lang w:eastAsia="lt-LT"/>
        </w:rPr>
        <w:t>ng</w:t>
      </w:r>
      <w:proofErr w:type="spellEnd"/>
      <w:r>
        <w:rPr>
          <w:szCs w:val="22"/>
          <w:lang w:eastAsia="lt-LT"/>
        </w:rPr>
        <w:t>/ml iki 33 </w:t>
      </w:r>
      <w:proofErr w:type="spellStart"/>
      <w:r>
        <w:rPr>
          <w:szCs w:val="22"/>
          <w:lang w:eastAsia="lt-LT"/>
        </w:rPr>
        <w:t>ng</w:t>
      </w:r>
      <w:proofErr w:type="spellEnd"/>
      <w:r>
        <w:rPr>
          <w:szCs w:val="22"/>
          <w:lang w:eastAsia="lt-LT"/>
        </w:rPr>
        <w:t xml:space="preserve">/ml dydžio </w:t>
      </w:r>
      <w:proofErr w:type="spellStart"/>
      <w:r>
        <w:rPr>
          <w:szCs w:val="22"/>
          <w:lang w:eastAsia="lt-LT"/>
        </w:rPr>
        <w:t>C</w:t>
      </w:r>
      <w:r>
        <w:rPr>
          <w:sz w:val="14"/>
          <w:szCs w:val="14"/>
          <w:lang w:eastAsia="lt-LT"/>
        </w:rPr>
        <w:t>max</w:t>
      </w:r>
      <w:proofErr w:type="spellEnd"/>
      <w:r>
        <w:rPr>
          <w:szCs w:val="22"/>
          <w:lang w:eastAsia="lt-LT"/>
        </w:rPr>
        <w:t xml:space="preserve">. Absoliutus biologinis prieinamumas yra 75 %. Maisto įtakos </w:t>
      </w:r>
      <w:proofErr w:type="spellStart"/>
      <w:r>
        <w:rPr>
          <w:szCs w:val="22"/>
          <w:lang w:eastAsia="lt-LT"/>
        </w:rPr>
        <w:t>farmakokinetinėms</w:t>
      </w:r>
      <w:proofErr w:type="spellEnd"/>
      <w:r>
        <w:rPr>
          <w:szCs w:val="22"/>
          <w:lang w:eastAsia="lt-LT"/>
        </w:rPr>
        <w:t xml:space="preserve"> savybėms nepastebėta (žr. 4.2 skyrių).</w:t>
      </w:r>
    </w:p>
    <w:p w14:paraId="6E938A3F" w14:textId="77777777" w:rsidR="00BC7B13" w:rsidRDefault="00BC7B13">
      <w:pPr>
        <w:rPr>
          <w:u w:val="single"/>
        </w:rPr>
      </w:pPr>
    </w:p>
    <w:p w14:paraId="2D2B78F1" w14:textId="77777777" w:rsidR="00BC7B13" w:rsidRDefault="004E7EF9">
      <w:pPr>
        <w:rPr>
          <w:u w:val="single"/>
        </w:rPr>
      </w:pPr>
      <w:r>
        <w:rPr>
          <w:u w:val="single"/>
        </w:rPr>
        <w:t>Pasiskirstymas</w:t>
      </w:r>
    </w:p>
    <w:p w14:paraId="77CB784F" w14:textId="77777777" w:rsidR="00BC7B13" w:rsidRDefault="00BC7B13"/>
    <w:p w14:paraId="53D368D5" w14:textId="77777777" w:rsidR="00BC7B13" w:rsidRDefault="004E7EF9">
      <w:pPr>
        <w:autoSpaceDE w:val="0"/>
        <w:autoSpaceDN w:val="0"/>
        <w:adjustRightInd w:val="0"/>
        <w:rPr>
          <w:szCs w:val="22"/>
          <w:lang w:eastAsia="lt-LT"/>
        </w:rPr>
      </w:pPr>
      <w:r>
        <w:rPr>
          <w:szCs w:val="22"/>
          <w:lang w:eastAsia="lt-LT"/>
        </w:rPr>
        <w:t>Vidutinis pasiskirstymo tūris (</w:t>
      </w:r>
      <w:proofErr w:type="spellStart"/>
      <w:r>
        <w:rPr>
          <w:szCs w:val="22"/>
          <w:lang w:eastAsia="lt-LT"/>
        </w:rPr>
        <w:t>V</w:t>
      </w:r>
      <w:r>
        <w:rPr>
          <w:sz w:val="14"/>
          <w:szCs w:val="14"/>
          <w:lang w:eastAsia="lt-LT"/>
        </w:rPr>
        <w:t>ss</w:t>
      </w:r>
      <w:proofErr w:type="spellEnd"/>
      <w:r>
        <w:rPr>
          <w:szCs w:val="22"/>
          <w:lang w:eastAsia="lt-LT"/>
        </w:rPr>
        <w:t xml:space="preserve">) yra 2 600 l. Tai rodo ekstensyvų </w:t>
      </w:r>
      <w:proofErr w:type="spellStart"/>
      <w:r>
        <w:rPr>
          <w:szCs w:val="22"/>
          <w:lang w:eastAsia="lt-LT"/>
        </w:rPr>
        <w:t>ekstravaskulinį</w:t>
      </w:r>
      <w:proofErr w:type="spellEnd"/>
      <w:r>
        <w:rPr>
          <w:szCs w:val="22"/>
          <w:lang w:eastAsia="lt-LT"/>
        </w:rPr>
        <w:t xml:space="preserve"> pasiskirstymą. Daug </w:t>
      </w:r>
      <w:proofErr w:type="spellStart"/>
      <w:r>
        <w:rPr>
          <w:szCs w:val="22"/>
          <w:lang w:eastAsia="lt-LT"/>
        </w:rPr>
        <w:t>vortioksetino</w:t>
      </w:r>
      <w:proofErr w:type="spellEnd"/>
      <w:r>
        <w:rPr>
          <w:szCs w:val="22"/>
          <w:lang w:eastAsia="lt-LT"/>
        </w:rPr>
        <w:t xml:space="preserve"> prisijungia prie plazmos baltymų (98–99 %) ir pastebėta, kad prisijungimas nepriklauso nuo </w:t>
      </w:r>
      <w:proofErr w:type="spellStart"/>
      <w:r>
        <w:rPr>
          <w:szCs w:val="22"/>
          <w:lang w:eastAsia="lt-LT"/>
        </w:rPr>
        <w:t>vortioksetino</w:t>
      </w:r>
      <w:proofErr w:type="spellEnd"/>
      <w:r>
        <w:rPr>
          <w:szCs w:val="22"/>
          <w:lang w:eastAsia="lt-LT"/>
        </w:rPr>
        <w:t xml:space="preserve"> koncentracijos plazmoje.</w:t>
      </w:r>
    </w:p>
    <w:p w14:paraId="70699036" w14:textId="77777777" w:rsidR="00BC7B13" w:rsidRDefault="00BC7B13"/>
    <w:p w14:paraId="1CCE69D8" w14:textId="77777777" w:rsidR="00BC7B13" w:rsidRDefault="004E7EF9">
      <w:pPr>
        <w:rPr>
          <w:u w:val="single"/>
        </w:rPr>
      </w:pPr>
      <w:proofErr w:type="spellStart"/>
      <w:r>
        <w:rPr>
          <w:u w:val="single"/>
        </w:rPr>
        <w:t>Biotransformacija</w:t>
      </w:r>
      <w:proofErr w:type="spellEnd"/>
    </w:p>
    <w:p w14:paraId="35BF519F" w14:textId="77777777" w:rsidR="00BC7B13" w:rsidRDefault="00BC7B13"/>
    <w:p w14:paraId="07AB058D"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xml:space="preserve"> ekstensyviai </w:t>
      </w:r>
      <w:proofErr w:type="spellStart"/>
      <w:r>
        <w:rPr>
          <w:szCs w:val="22"/>
          <w:lang w:eastAsia="lt-LT"/>
        </w:rPr>
        <w:t>metabolizuojamas</w:t>
      </w:r>
      <w:proofErr w:type="spellEnd"/>
      <w:r>
        <w:rPr>
          <w:szCs w:val="22"/>
          <w:lang w:eastAsia="lt-LT"/>
        </w:rPr>
        <w:t xml:space="preserve"> kepenyse daugiausia oksidacijos būdu, katalizuojant CYP2D6 ir kiek mažiau CYP3A4/5 bei CYP2C9, ir vėliau </w:t>
      </w:r>
      <w:proofErr w:type="spellStart"/>
      <w:r>
        <w:rPr>
          <w:szCs w:val="22"/>
          <w:lang w:eastAsia="lt-LT"/>
        </w:rPr>
        <w:t>konjugacijos</w:t>
      </w:r>
      <w:proofErr w:type="spellEnd"/>
      <w:r>
        <w:rPr>
          <w:szCs w:val="22"/>
          <w:lang w:eastAsia="lt-LT"/>
        </w:rPr>
        <w:t xml:space="preserve"> būdu prisijungiant </w:t>
      </w:r>
      <w:proofErr w:type="spellStart"/>
      <w:r>
        <w:rPr>
          <w:szCs w:val="22"/>
          <w:lang w:eastAsia="lt-LT"/>
        </w:rPr>
        <w:t>gliukurono</w:t>
      </w:r>
      <w:proofErr w:type="spellEnd"/>
      <w:r>
        <w:rPr>
          <w:szCs w:val="22"/>
          <w:lang w:eastAsia="lt-LT"/>
        </w:rPr>
        <w:t xml:space="preserve"> rūgščiai.</w:t>
      </w:r>
    </w:p>
    <w:p w14:paraId="47009BF5" w14:textId="77777777" w:rsidR="00BC7B13" w:rsidRDefault="00BC7B13">
      <w:pPr>
        <w:autoSpaceDE w:val="0"/>
        <w:autoSpaceDN w:val="0"/>
        <w:adjustRightInd w:val="0"/>
        <w:rPr>
          <w:szCs w:val="22"/>
          <w:lang w:eastAsia="lt-LT"/>
        </w:rPr>
      </w:pPr>
    </w:p>
    <w:p w14:paraId="7D6BE682" w14:textId="77777777" w:rsidR="00BC7B13" w:rsidRDefault="004E7EF9">
      <w:pPr>
        <w:autoSpaceDE w:val="0"/>
        <w:autoSpaceDN w:val="0"/>
        <w:adjustRightInd w:val="0"/>
        <w:rPr>
          <w:szCs w:val="22"/>
          <w:lang w:eastAsia="lt-LT"/>
        </w:rPr>
      </w:pPr>
      <w:r>
        <w:rPr>
          <w:szCs w:val="22"/>
          <w:lang w:eastAsia="lt-LT"/>
        </w:rPr>
        <w:lastRenderedPageBreak/>
        <w:t xml:space="preserve">Vaistinių preparatų sąveikos tyrimų metu nepastebėta, kad </w:t>
      </w:r>
      <w:proofErr w:type="spellStart"/>
      <w:r>
        <w:rPr>
          <w:szCs w:val="22"/>
          <w:lang w:eastAsia="lt-LT"/>
        </w:rPr>
        <w:t>vortioksetinas</w:t>
      </w:r>
      <w:proofErr w:type="spellEnd"/>
      <w:r>
        <w:rPr>
          <w:szCs w:val="22"/>
          <w:lang w:eastAsia="lt-LT"/>
        </w:rPr>
        <w:t xml:space="preserve"> slopintų arba sužadintų CYP </w:t>
      </w:r>
      <w:proofErr w:type="spellStart"/>
      <w:r>
        <w:rPr>
          <w:szCs w:val="22"/>
          <w:lang w:eastAsia="lt-LT"/>
        </w:rPr>
        <w:t>izofermentus</w:t>
      </w:r>
      <w:proofErr w:type="spellEnd"/>
      <w:r>
        <w:rPr>
          <w:szCs w:val="22"/>
          <w:lang w:eastAsia="lt-LT"/>
        </w:rPr>
        <w:t xml:space="preserve"> CYP1A2, CYP2A6, CYP2B6, CYP2C8, CYP2C9, CYP2C19, CYP2D6, CYP2E1 ar CYP3A4/5 (žr. 4.5 skyrių). </w:t>
      </w:r>
      <w:proofErr w:type="spellStart"/>
      <w:r>
        <w:rPr>
          <w:szCs w:val="22"/>
          <w:lang w:eastAsia="lt-LT"/>
        </w:rPr>
        <w:t>Vortioksetinas</w:t>
      </w:r>
      <w:proofErr w:type="spellEnd"/>
      <w:r>
        <w:rPr>
          <w:szCs w:val="22"/>
          <w:lang w:eastAsia="lt-LT"/>
        </w:rPr>
        <w:t xml:space="preserve"> yra silpnas P-</w:t>
      </w:r>
      <w:proofErr w:type="spellStart"/>
      <w:r>
        <w:rPr>
          <w:szCs w:val="22"/>
          <w:lang w:eastAsia="lt-LT"/>
        </w:rPr>
        <w:t>gp</w:t>
      </w:r>
      <w:proofErr w:type="spellEnd"/>
      <w:r>
        <w:rPr>
          <w:szCs w:val="22"/>
          <w:lang w:eastAsia="lt-LT"/>
        </w:rPr>
        <w:t xml:space="preserve"> substratas ir inhibitorius.</w:t>
      </w:r>
    </w:p>
    <w:p w14:paraId="2F7707A2" w14:textId="77777777" w:rsidR="00BC7B13" w:rsidRDefault="00BC7B13">
      <w:pPr>
        <w:autoSpaceDE w:val="0"/>
        <w:autoSpaceDN w:val="0"/>
        <w:adjustRightInd w:val="0"/>
        <w:rPr>
          <w:szCs w:val="22"/>
          <w:lang w:eastAsia="lt-LT"/>
        </w:rPr>
      </w:pPr>
    </w:p>
    <w:p w14:paraId="046C95D1" w14:textId="77777777" w:rsidR="00BC7B13" w:rsidRDefault="004E7EF9">
      <w:pPr>
        <w:rPr>
          <w:szCs w:val="22"/>
          <w:lang w:eastAsia="lt-LT"/>
        </w:rPr>
      </w:pPr>
      <w:r>
        <w:rPr>
          <w:szCs w:val="22"/>
          <w:lang w:eastAsia="lt-LT"/>
        </w:rPr>
        <w:t xml:space="preserve">Pagrindinis </w:t>
      </w:r>
      <w:proofErr w:type="spellStart"/>
      <w:r>
        <w:rPr>
          <w:szCs w:val="22"/>
          <w:lang w:eastAsia="lt-LT"/>
        </w:rPr>
        <w:t>vortioksetino</w:t>
      </w:r>
      <w:proofErr w:type="spellEnd"/>
      <w:r>
        <w:rPr>
          <w:szCs w:val="22"/>
          <w:lang w:eastAsia="lt-LT"/>
        </w:rPr>
        <w:t xml:space="preserve"> metabolitas farmakologinio poveikio nesukelia.</w:t>
      </w:r>
    </w:p>
    <w:p w14:paraId="54BC1CBC" w14:textId="77777777" w:rsidR="00BC7B13" w:rsidRDefault="00BC7B13"/>
    <w:p w14:paraId="4FA73FC6" w14:textId="77777777" w:rsidR="00BC7B13" w:rsidRDefault="004E7EF9">
      <w:pPr>
        <w:rPr>
          <w:u w:val="single"/>
        </w:rPr>
      </w:pPr>
      <w:r>
        <w:rPr>
          <w:u w:val="single"/>
        </w:rPr>
        <w:t>Eliminacija</w:t>
      </w:r>
    </w:p>
    <w:p w14:paraId="5E4662D9" w14:textId="77777777" w:rsidR="00BC7B13" w:rsidRDefault="00BC7B13"/>
    <w:p w14:paraId="4D4B0974" w14:textId="77777777" w:rsidR="00BC7B13" w:rsidRDefault="004E7EF9">
      <w:pPr>
        <w:autoSpaceDE w:val="0"/>
        <w:autoSpaceDN w:val="0"/>
        <w:adjustRightInd w:val="0"/>
        <w:rPr>
          <w:szCs w:val="22"/>
          <w:lang w:eastAsia="lt-LT"/>
        </w:rPr>
      </w:pPr>
      <w:r>
        <w:rPr>
          <w:szCs w:val="22"/>
          <w:lang w:eastAsia="lt-LT"/>
        </w:rPr>
        <w:t xml:space="preserve">Vidutinis pusinės eliminacijos periodas yra 66 valandos, o pavartoto per burną vaistinio preparato klirensas 33 l per valandą. Maždaug 2/3 neaktyvių </w:t>
      </w:r>
      <w:proofErr w:type="spellStart"/>
      <w:r>
        <w:rPr>
          <w:szCs w:val="22"/>
          <w:lang w:eastAsia="lt-LT"/>
        </w:rPr>
        <w:t>vortioksetino</w:t>
      </w:r>
      <w:proofErr w:type="spellEnd"/>
      <w:r>
        <w:rPr>
          <w:szCs w:val="22"/>
          <w:lang w:eastAsia="lt-LT"/>
        </w:rPr>
        <w:t xml:space="preserve"> metabolitų šalinama su šlapimu ir maždaug 1/3 su išmatomis. Tik nežymūs </w:t>
      </w:r>
      <w:proofErr w:type="spellStart"/>
      <w:r>
        <w:rPr>
          <w:szCs w:val="22"/>
          <w:lang w:eastAsia="lt-LT"/>
        </w:rPr>
        <w:t>vortioksetino</w:t>
      </w:r>
      <w:proofErr w:type="spellEnd"/>
      <w:r>
        <w:rPr>
          <w:szCs w:val="22"/>
          <w:lang w:eastAsia="lt-LT"/>
        </w:rPr>
        <w:t xml:space="preserve"> kiekiai šalinami su išmatomis. Pusiausvyros apykaitos koncentracija plazmoje pasiekiama maždaug po 2 savaičių.</w:t>
      </w:r>
    </w:p>
    <w:p w14:paraId="52B69330" w14:textId="77777777" w:rsidR="00BC7B13" w:rsidRDefault="00BC7B13">
      <w:pPr>
        <w:autoSpaceDE w:val="0"/>
        <w:autoSpaceDN w:val="0"/>
        <w:adjustRightInd w:val="0"/>
        <w:rPr>
          <w:rFonts w:ascii="TimesNewRoman" w:hAnsi="TimesNewRoman" w:cs="TimesNewRoman"/>
          <w:szCs w:val="22"/>
          <w:lang w:eastAsia="lt-LT"/>
        </w:rPr>
      </w:pPr>
    </w:p>
    <w:p w14:paraId="41396F6E" w14:textId="77777777" w:rsidR="00BC7B13" w:rsidRDefault="004E7EF9">
      <w:pPr>
        <w:autoSpaceDE w:val="0"/>
        <w:autoSpaceDN w:val="0"/>
        <w:adjustRightInd w:val="0"/>
        <w:rPr>
          <w:szCs w:val="22"/>
          <w:u w:val="single"/>
          <w:lang w:eastAsia="lt-LT"/>
        </w:rPr>
      </w:pPr>
      <w:r>
        <w:rPr>
          <w:szCs w:val="22"/>
          <w:u w:val="single"/>
          <w:lang w:eastAsia="lt-LT"/>
        </w:rPr>
        <w:t>Tiesinis / netiesinis pobūdis</w:t>
      </w:r>
    </w:p>
    <w:p w14:paraId="5374A461" w14:textId="77777777" w:rsidR="00BC7B13" w:rsidRDefault="004E7EF9">
      <w:pPr>
        <w:autoSpaceDE w:val="0"/>
        <w:autoSpaceDN w:val="0"/>
        <w:adjustRightInd w:val="0"/>
        <w:rPr>
          <w:szCs w:val="22"/>
          <w:lang w:eastAsia="lt-LT"/>
        </w:rPr>
      </w:pPr>
      <w:r>
        <w:rPr>
          <w:szCs w:val="22"/>
          <w:lang w:eastAsia="lt-LT"/>
        </w:rPr>
        <w:t>Farmakokinetika yra tiesinė ir nepriklausė nuo laiko vartojant tirtas vaistinio preparato dozes (nuo 2,5 mg iki 60 mg per parą).</w:t>
      </w:r>
    </w:p>
    <w:p w14:paraId="3CD2F9C6" w14:textId="77777777" w:rsidR="00BC7B13" w:rsidRDefault="00BC7B13">
      <w:pPr>
        <w:autoSpaceDE w:val="0"/>
        <w:autoSpaceDN w:val="0"/>
        <w:adjustRightInd w:val="0"/>
        <w:rPr>
          <w:szCs w:val="22"/>
          <w:lang w:eastAsia="lt-LT"/>
        </w:rPr>
      </w:pPr>
    </w:p>
    <w:p w14:paraId="04C50749" w14:textId="77777777" w:rsidR="00BC7B13" w:rsidRDefault="004E7EF9">
      <w:pPr>
        <w:autoSpaceDE w:val="0"/>
        <w:autoSpaceDN w:val="0"/>
        <w:adjustRightInd w:val="0"/>
        <w:rPr>
          <w:sz w:val="14"/>
          <w:szCs w:val="14"/>
          <w:lang w:eastAsia="lt-LT"/>
        </w:rPr>
      </w:pPr>
      <w:r>
        <w:rPr>
          <w:szCs w:val="22"/>
          <w:lang w:eastAsia="lt-LT"/>
        </w:rPr>
        <w:t>Atsižvelgiant į pusinės eliminacijos periodą, kaupimosi indeksas yra lygus 5–6, priklausomai nuo AUC</w:t>
      </w:r>
      <w:r>
        <w:rPr>
          <w:sz w:val="14"/>
          <w:szCs w:val="14"/>
          <w:lang w:eastAsia="lt-LT"/>
        </w:rPr>
        <w:t xml:space="preserve">0-24h </w:t>
      </w:r>
      <w:r>
        <w:rPr>
          <w:szCs w:val="22"/>
          <w:lang w:eastAsia="lt-LT"/>
        </w:rPr>
        <w:t>po kartotinių nuo 5 iki 20 mg dozių pavartojimo.</w:t>
      </w:r>
    </w:p>
    <w:p w14:paraId="15B533A5" w14:textId="77777777" w:rsidR="00BC7B13" w:rsidRDefault="00BC7B13"/>
    <w:p w14:paraId="638AF64A" w14:textId="77777777" w:rsidR="00BC7B13" w:rsidRDefault="004E7EF9">
      <w:pPr>
        <w:rPr>
          <w:u w:val="single"/>
        </w:rPr>
      </w:pPr>
      <w:r>
        <w:rPr>
          <w:u w:val="single"/>
        </w:rPr>
        <w:t>Ypatingos populiacijos</w:t>
      </w:r>
    </w:p>
    <w:p w14:paraId="65175B4F" w14:textId="77777777" w:rsidR="00BC7B13" w:rsidRDefault="00BC7B13"/>
    <w:p w14:paraId="4C16CB27" w14:textId="77777777" w:rsidR="00BC7B13" w:rsidRDefault="004E7EF9">
      <w:pPr>
        <w:autoSpaceDE w:val="0"/>
        <w:autoSpaceDN w:val="0"/>
        <w:adjustRightInd w:val="0"/>
        <w:rPr>
          <w:i/>
          <w:iCs/>
          <w:szCs w:val="22"/>
          <w:lang w:eastAsia="lt-LT"/>
        </w:rPr>
      </w:pPr>
      <w:r>
        <w:rPr>
          <w:i/>
          <w:iCs/>
          <w:szCs w:val="22"/>
          <w:lang w:eastAsia="lt-LT"/>
        </w:rPr>
        <w:t>Senyvi pacientai</w:t>
      </w:r>
    </w:p>
    <w:p w14:paraId="217C6EC3" w14:textId="77777777" w:rsidR="00BC7B13" w:rsidRDefault="004E7EF9">
      <w:pPr>
        <w:autoSpaceDE w:val="0"/>
        <w:autoSpaceDN w:val="0"/>
        <w:adjustRightInd w:val="0"/>
        <w:rPr>
          <w:sz w:val="14"/>
          <w:szCs w:val="14"/>
          <w:lang w:eastAsia="lt-LT"/>
        </w:rPr>
      </w:pPr>
      <w:r>
        <w:rPr>
          <w:szCs w:val="22"/>
          <w:lang w:eastAsia="lt-LT"/>
        </w:rPr>
        <w:t xml:space="preserve">Remiantis senyvų sveikų tiriamųjų duomenimis (≥ 65 metų; n = 20), </w:t>
      </w:r>
      <w:proofErr w:type="spellStart"/>
      <w:r>
        <w:rPr>
          <w:szCs w:val="22"/>
          <w:lang w:eastAsia="lt-LT"/>
        </w:rPr>
        <w:t>vortioksetino</w:t>
      </w:r>
      <w:proofErr w:type="spellEnd"/>
      <w:r>
        <w:rPr>
          <w:szCs w:val="22"/>
          <w:lang w:eastAsia="lt-LT"/>
        </w:rPr>
        <w:t xml:space="preserve"> ekspozicija (</w:t>
      </w:r>
      <w:proofErr w:type="spellStart"/>
      <w:r>
        <w:rPr>
          <w:szCs w:val="22"/>
          <w:lang w:eastAsia="lt-LT"/>
        </w:rPr>
        <w:t>C</w:t>
      </w:r>
      <w:r>
        <w:rPr>
          <w:sz w:val="14"/>
          <w:szCs w:val="14"/>
          <w:lang w:eastAsia="lt-LT"/>
        </w:rPr>
        <w:t>max</w:t>
      </w:r>
      <w:proofErr w:type="spellEnd"/>
      <w:r>
        <w:rPr>
          <w:sz w:val="14"/>
          <w:szCs w:val="14"/>
          <w:lang w:eastAsia="lt-LT"/>
        </w:rPr>
        <w:t xml:space="preserve"> </w:t>
      </w:r>
      <w:r>
        <w:rPr>
          <w:szCs w:val="22"/>
          <w:lang w:eastAsia="lt-LT"/>
        </w:rPr>
        <w:t>ir AUC) po kartotinių 10 mg dozių per parą padidėja iki 27 %, palyginti su jaunų sveikų kontrolinės grupės</w:t>
      </w:r>
      <w:r>
        <w:rPr>
          <w:sz w:val="14"/>
          <w:szCs w:val="14"/>
          <w:lang w:eastAsia="lt-LT"/>
        </w:rPr>
        <w:t xml:space="preserve"> </w:t>
      </w:r>
      <w:r>
        <w:rPr>
          <w:szCs w:val="22"/>
          <w:lang w:eastAsia="lt-LT"/>
        </w:rPr>
        <w:t>tiriamųjų (≤ 45 metų). ≥ 65 metų pacientams visada būtina pradėti vartoti mažiausią veiksmingą</w:t>
      </w:r>
      <w:r>
        <w:rPr>
          <w:sz w:val="14"/>
          <w:szCs w:val="14"/>
          <w:lang w:eastAsia="lt-LT"/>
        </w:rPr>
        <w:t xml:space="preserve"> </w:t>
      </w:r>
      <w:r>
        <w:rPr>
          <w:szCs w:val="22"/>
          <w:lang w:eastAsia="lt-LT"/>
        </w:rPr>
        <w:t xml:space="preserve">vieną kartą per parą vartojamą 5 mg </w:t>
      </w:r>
      <w:proofErr w:type="spellStart"/>
      <w:r>
        <w:rPr>
          <w:szCs w:val="22"/>
          <w:lang w:eastAsia="lt-LT"/>
        </w:rPr>
        <w:t>vortioksetino</w:t>
      </w:r>
      <w:proofErr w:type="spellEnd"/>
      <w:r>
        <w:rPr>
          <w:szCs w:val="22"/>
          <w:lang w:eastAsia="lt-LT"/>
        </w:rPr>
        <w:t xml:space="preserve"> dozę (žr. 4.2 skyrių). Vis dėlto senyvus pacientus gydyti</w:t>
      </w:r>
      <w:r>
        <w:rPr>
          <w:sz w:val="14"/>
          <w:szCs w:val="14"/>
          <w:lang w:eastAsia="lt-LT"/>
        </w:rPr>
        <w:t xml:space="preserve"> </w:t>
      </w:r>
      <w:proofErr w:type="spellStart"/>
      <w:r>
        <w:rPr>
          <w:szCs w:val="22"/>
          <w:lang w:eastAsia="lt-LT"/>
        </w:rPr>
        <w:t>vortioksetinu</w:t>
      </w:r>
      <w:proofErr w:type="spellEnd"/>
      <w:r>
        <w:rPr>
          <w:szCs w:val="22"/>
          <w:lang w:eastAsia="lt-LT"/>
        </w:rPr>
        <w:t xml:space="preserve"> didesne kaip vieną kartą per parą vartojama 10 mg doze būtina laikantis atsargumo priemonių (žr. 4.4 skyrių).</w:t>
      </w:r>
    </w:p>
    <w:p w14:paraId="3DB1EF47" w14:textId="77777777" w:rsidR="00BC7B13" w:rsidRDefault="00BC7B13">
      <w:pPr>
        <w:autoSpaceDE w:val="0"/>
        <w:autoSpaceDN w:val="0"/>
        <w:adjustRightInd w:val="0"/>
        <w:rPr>
          <w:i/>
          <w:iCs/>
          <w:szCs w:val="22"/>
          <w:lang w:eastAsia="lt-LT"/>
        </w:rPr>
      </w:pPr>
    </w:p>
    <w:p w14:paraId="6E3558B9" w14:textId="77777777" w:rsidR="00BC7B13" w:rsidRDefault="004E7EF9">
      <w:pPr>
        <w:autoSpaceDE w:val="0"/>
        <w:autoSpaceDN w:val="0"/>
        <w:adjustRightInd w:val="0"/>
        <w:rPr>
          <w:i/>
          <w:iCs/>
          <w:szCs w:val="22"/>
          <w:lang w:eastAsia="lt-LT"/>
        </w:rPr>
      </w:pPr>
      <w:r>
        <w:rPr>
          <w:i/>
          <w:iCs/>
          <w:szCs w:val="22"/>
          <w:lang w:eastAsia="lt-LT"/>
        </w:rPr>
        <w:t>Sutrikusi inkstų funkcija</w:t>
      </w:r>
    </w:p>
    <w:p w14:paraId="0F999A8F" w14:textId="77777777" w:rsidR="00BC7B13" w:rsidRDefault="004E7EF9">
      <w:pPr>
        <w:autoSpaceDE w:val="0"/>
        <w:autoSpaceDN w:val="0"/>
        <w:adjustRightInd w:val="0"/>
        <w:rPr>
          <w:szCs w:val="22"/>
          <w:lang w:eastAsia="lt-LT"/>
        </w:rPr>
      </w:pPr>
      <w:r>
        <w:rPr>
          <w:szCs w:val="22"/>
          <w:lang w:eastAsia="lt-LT"/>
        </w:rPr>
        <w:t xml:space="preserve">Pavartojus vienkartinę 10 mg </w:t>
      </w:r>
      <w:proofErr w:type="spellStart"/>
      <w:r>
        <w:rPr>
          <w:szCs w:val="22"/>
          <w:lang w:eastAsia="lt-LT"/>
        </w:rPr>
        <w:t>vortioksetino</w:t>
      </w:r>
      <w:proofErr w:type="spellEnd"/>
      <w:r>
        <w:rPr>
          <w:szCs w:val="22"/>
          <w:lang w:eastAsia="lt-LT"/>
        </w:rPr>
        <w:t xml:space="preserve"> dozę, inkstų funkcijos sutrikimas, nustatytas naudojant </w:t>
      </w:r>
      <w:proofErr w:type="spellStart"/>
      <w:r>
        <w:rPr>
          <w:i/>
          <w:iCs/>
          <w:szCs w:val="22"/>
          <w:lang w:eastAsia="lt-LT"/>
        </w:rPr>
        <w:t>Cockcroft-Gault</w:t>
      </w:r>
      <w:proofErr w:type="spellEnd"/>
      <w:r>
        <w:rPr>
          <w:szCs w:val="22"/>
          <w:lang w:eastAsia="lt-LT"/>
        </w:rPr>
        <w:t xml:space="preserve"> formulę (lengvas, vidutinio sunkumo arba sunkus; n = 8 kiekvienoje grupėje), sukėlė vidutinį ekspozicijos padidėjimą (iki 30 %), palyginti su sveikų atitinkamos kontrolinės grupės tiriamųjų. Pacientų, kuriems buvo diagnozuota galutinės stadijos inkstų liga, duomenimis, tik nedidelė dalis </w:t>
      </w:r>
      <w:proofErr w:type="spellStart"/>
      <w:r>
        <w:rPr>
          <w:szCs w:val="22"/>
          <w:lang w:eastAsia="lt-LT"/>
        </w:rPr>
        <w:t>vortioksetino</w:t>
      </w:r>
      <w:proofErr w:type="spellEnd"/>
      <w:r>
        <w:rPr>
          <w:szCs w:val="22"/>
          <w:lang w:eastAsia="lt-LT"/>
        </w:rPr>
        <w:t xml:space="preserve"> pasišalino iš organizmo dializės metu (AUC ir </w:t>
      </w:r>
      <w:proofErr w:type="spellStart"/>
      <w:r>
        <w:rPr>
          <w:szCs w:val="22"/>
          <w:lang w:eastAsia="lt-LT"/>
        </w:rPr>
        <w:t>C</w:t>
      </w:r>
      <w:r>
        <w:rPr>
          <w:sz w:val="14"/>
          <w:szCs w:val="14"/>
          <w:lang w:eastAsia="lt-LT"/>
        </w:rPr>
        <w:t>max</w:t>
      </w:r>
      <w:proofErr w:type="spellEnd"/>
      <w:r>
        <w:rPr>
          <w:sz w:val="14"/>
          <w:szCs w:val="14"/>
          <w:lang w:eastAsia="lt-LT"/>
        </w:rPr>
        <w:t xml:space="preserve"> </w:t>
      </w:r>
      <w:r>
        <w:rPr>
          <w:szCs w:val="22"/>
          <w:lang w:eastAsia="lt-LT"/>
        </w:rPr>
        <w:t xml:space="preserve">buvo atitinkamai 13 % ir 27 % mažesnės; n = 8) pavartojus vienkartinę 10 mg </w:t>
      </w:r>
      <w:proofErr w:type="spellStart"/>
      <w:r>
        <w:rPr>
          <w:szCs w:val="22"/>
          <w:lang w:eastAsia="lt-LT"/>
        </w:rPr>
        <w:t>vortioksetino</w:t>
      </w:r>
      <w:proofErr w:type="spellEnd"/>
      <w:r>
        <w:rPr>
          <w:szCs w:val="22"/>
          <w:lang w:eastAsia="lt-LT"/>
        </w:rPr>
        <w:t xml:space="preserve"> dozę. Atsižvelgiant į inkstų funkciją dozės keisti nereikia (žr. 4.2 ir 4.4 skyrius).</w:t>
      </w:r>
    </w:p>
    <w:p w14:paraId="12CB226A" w14:textId="77777777" w:rsidR="00BC7B13" w:rsidRDefault="00BC7B13">
      <w:pPr>
        <w:autoSpaceDE w:val="0"/>
        <w:autoSpaceDN w:val="0"/>
        <w:adjustRightInd w:val="0"/>
        <w:rPr>
          <w:rFonts w:ascii="TimesNewRoman,Italic" w:hAnsi="TimesNewRoman,Italic" w:cs="TimesNewRoman,Italic"/>
          <w:i/>
          <w:iCs/>
          <w:szCs w:val="22"/>
          <w:lang w:eastAsia="lt-LT"/>
        </w:rPr>
      </w:pPr>
    </w:p>
    <w:p w14:paraId="15F3F468" w14:textId="77777777" w:rsidR="00BC7B13" w:rsidRDefault="004E7EF9">
      <w:pPr>
        <w:autoSpaceDE w:val="0"/>
        <w:autoSpaceDN w:val="0"/>
        <w:adjustRightInd w:val="0"/>
        <w:rPr>
          <w:i/>
          <w:iCs/>
          <w:szCs w:val="22"/>
          <w:lang w:eastAsia="lt-LT"/>
        </w:rPr>
      </w:pPr>
      <w:r>
        <w:rPr>
          <w:i/>
          <w:iCs/>
          <w:szCs w:val="22"/>
          <w:lang w:eastAsia="lt-LT"/>
        </w:rPr>
        <w:t>Sutrikusi kepenų funkcija</w:t>
      </w:r>
    </w:p>
    <w:p w14:paraId="4AF40097" w14:textId="77777777" w:rsidR="00BC7B13" w:rsidRDefault="004E7EF9">
      <w:pPr>
        <w:autoSpaceDE w:val="0"/>
        <w:autoSpaceDN w:val="0"/>
        <w:adjustRightInd w:val="0"/>
        <w:rPr>
          <w:szCs w:val="22"/>
          <w:lang w:eastAsia="lt-LT"/>
        </w:rPr>
      </w:pPr>
      <w:r>
        <w:rPr>
          <w:szCs w:val="22"/>
          <w:lang w:eastAsia="lt-LT"/>
        </w:rPr>
        <w:t xml:space="preserve">Farmakokinetika tiriamiesiems (N = 6–8), kuriems pasireiškė lengvas, vidutinio sunkumo ar sunkus kepenų funkcijos sutrikimas (atitinkamai A, B ar C klasės pagal </w:t>
      </w:r>
      <w:proofErr w:type="spellStart"/>
      <w:r>
        <w:rPr>
          <w:i/>
          <w:iCs/>
          <w:szCs w:val="22"/>
          <w:lang w:eastAsia="lt-LT"/>
        </w:rPr>
        <w:t>Child-Pugh</w:t>
      </w:r>
      <w:proofErr w:type="spellEnd"/>
      <w:r>
        <w:rPr>
          <w:i/>
          <w:iCs/>
          <w:szCs w:val="22"/>
          <w:lang w:eastAsia="lt-LT"/>
        </w:rPr>
        <w:t xml:space="preserve"> </w:t>
      </w:r>
      <w:r>
        <w:rPr>
          <w:szCs w:val="22"/>
          <w:lang w:eastAsia="lt-LT"/>
        </w:rPr>
        <w:t xml:space="preserve">kriterijus) buvo palyginta su sveikų savanorių. Ploto po kreive (AUC) rodmenys buvo mažiau kaip 10 % mažesni tiriamiesiems, kuriems diagnozuotas lengvas ar vidutinio sunkumo kepenų funkcijos sutrikimas, ir 10 % didesni tiems, kuriems pasireiškė sunkus kepenų funkcijos sutrikimas. </w:t>
      </w:r>
      <w:proofErr w:type="spellStart"/>
      <w:r>
        <w:rPr>
          <w:szCs w:val="22"/>
          <w:lang w:eastAsia="lt-LT"/>
        </w:rPr>
        <w:t>C</w:t>
      </w:r>
      <w:r>
        <w:rPr>
          <w:sz w:val="14"/>
          <w:szCs w:val="14"/>
          <w:lang w:eastAsia="lt-LT"/>
        </w:rPr>
        <w:t>max</w:t>
      </w:r>
      <w:proofErr w:type="spellEnd"/>
      <w:r>
        <w:rPr>
          <w:sz w:val="14"/>
          <w:szCs w:val="14"/>
          <w:lang w:eastAsia="lt-LT"/>
        </w:rPr>
        <w:t xml:space="preserve"> </w:t>
      </w:r>
      <w:r>
        <w:rPr>
          <w:szCs w:val="22"/>
          <w:lang w:eastAsia="lt-LT"/>
        </w:rPr>
        <w:t>rodmenys buvo mažiau kaip 25 % mažesni visose grupėse. Atsižvelgiant į kepenų funkciją dozės keisti nereikia (žr. 4.2 ir 4.4 skyrius).</w:t>
      </w:r>
    </w:p>
    <w:p w14:paraId="0DC76D49" w14:textId="77777777" w:rsidR="00BC7B13" w:rsidRDefault="00BC7B13"/>
    <w:p w14:paraId="36B8477C" w14:textId="77777777" w:rsidR="00BC7B13" w:rsidRDefault="004E7EF9">
      <w:pPr>
        <w:autoSpaceDE w:val="0"/>
        <w:autoSpaceDN w:val="0"/>
        <w:adjustRightInd w:val="0"/>
        <w:rPr>
          <w:i/>
          <w:iCs/>
          <w:szCs w:val="22"/>
          <w:lang w:eastAsia="lt-LT"/>
        </w:rPr>
      </w:pPr>
      <w:r>
        <w:rPr>
          <w:i/>
          <w:iCs/>
          <w:szCs w:val="22"/>
          <w:lang w:eastAsia="lt-LT"/>
        </w:rPr>
        <w:t>CYP2D6 genų tipai</w:t>
      </w:r>
    </w:p>
    <w:p w14:paraId="569B4234"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koncentracija pacientų, kurių organizme CYP2D6 veikiamas metabolizmas yra silpnas, plazmoje buvo maždaug du kartus didesnė nei pacientų, kurių organizme šis metabolizmas yra ekstensyvus. Jei kartu vartojama stiprių CYP3A4/2C9-inhibitorių, pacientų, kurių CYP2D6 veikiamas metabolizmas yra silpnas, organizme ekspozicija gali būti didesnė (žr. 4.5 skyrių).</w:t>
      </w:r>
    </w:p>
    <w:p w14:paraId="1D479CC9" w14:textId="77777777" w:rsidR="00BC7B13" w:rsidRDefault="00BC7B13">
      <w:pPr>
        <w:autoSpaceDE w:val="0"/>
        <w:autoSpaceDN w:val="0"/>
        <w:adjustRightInd w:val="0"/>
        <w:rPr>
          <w:szCs w:val="22"/>
          <w:lang w:eastAsia="lt-LT"/>
        </w:rPr>
      </w:pPr>
    </w:p>
    <w:p w14:paraId="5F5680F7" w14:textId="77777777" w:rsidR="00BC7B13" w:rsidRDefault="004E7EF9">
      <w:pPr>
        <w:autoSpaceDE w:val="0"/>
        <w:autoSpaceDN w:val="0"/>
        <w:adjustRightInd w:val="0"/>
        <w:rPr>
          <w:szCs w:val="22"/>
          <w:lang w:eastAsia="lt-LT"/>
        </w:rPr>
      </w:pPr>
      <w:r>
        <w:rPr>
          <w:szCs w:val="22"/>
          <w:lang w:eastAsia="lt-LT"/>
        </w:rPr>
        <w:t xml:space="preserve">Pacientams, kurių organizme CYP2D6 veikiamas metabolizmas yra ypač greitas, vartojant 10 mg </w:t>
      </w:r>
      <w:proofErr w:type="spellStart"/>
      <w:r>
        <w:rPr>
          <w:szCs w:val="22"/>
          <w:lang w:eastAsia="lt-LT"/>
        </w:rPr>
        <w:t>vortioksetino</w:t>
      </w:r>
      <w:proofErr w:type="spellEnd"/>
      <w:r>
        <w:rPr>
          <w:szCs w:val="22"/>
          <w:lang w:eastAsia="lt-LT"/>
        </w:rPr>
        <w:t xml:space="preserve"> paros dozę, jo koncentracija plazmoje buvo koncentracijos, kokia būna pacientams, </w:t>
      </w:r>
      <w:r>
        <w:rPr>
          <w:szCs w:val="22"/>
          <w:lang w:eastAsia="lt-LT"/>
        </w:rPr>
        <w:lastRenderedPageBreak/>
        <w:t>kurių organizme CYP2D6 veikiamas metabolizmas yra ekstensyvus, vartojant 5 mg ir 10 mg paros dozes, ribose.</w:t>
      </w:r>
    </w:p>
    <w:p w14:paraId="149E7B8B" w14:textId="77777777" w:rsidR="00BC7B13" w:rsidRDefault="004E7EF9">
      <w:r>
        <w:rPr>
          <w:szCs w:val="22"/>
          <w:lang w:eastAsia="lt-LT"/>
        </w:rPr>
        <w:t>Atsižvelgiant į individualų paciento organizmo atsaką, gali tekti apsvarstyti dozės keitimą (žr. 4.2 skyrių).</w:t>
      </w:r>
    </w:p>
    <w:p w14:paraId="1EF647FC" w14:textId="77777777" w:rsidR="00BC7B13" w:rsidRDefault="00BC7B13">
      <w:pPr>
        <w:ind w:left="567" w:hanging="567"/>
        <w:rPr>
          <w:b/>
        </w:rPr>
      </w:pPr>
    </w:p>
    <w:p w14:paraId="693442C5" w14:textId="77777777" w:rsidR="00BC7B13" w:rsidRDefault="004E7EF9">
      <w:pPr>
        <w:autoSpaceDE w:val="0"/>
        <w:autoSpaceDN w:val="0"/>
        <w:adjustRightInd w:val="0"/>
        <w:rPr>
          <w:i/>
          <w:iCs/>
          <w:szCs w:val="22"/>
          <w:lang w:eastAsia="lt-LT"/>
        </w:rPr>
      </w:pPr>
      <w:r>
        <w:rPr>
          <w:i/>
          <w:iCs/>
          <w:szCs w:val="22"/>
          <w:lang w:eastAsia="lt-LT"/>
        </w:rPr>
        <w:t>Vaikų populiacija</w:t>
      </w:r>
    </w:p>
    <w:p w14:paraId="14F27090"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farmakokinetika vaikų, sergančių didžiosios depresijos sutrikimu ir per burną vartojusių 5-20 mg kartą per parą vaistinio preparato dozę, organizme buvo apibūdinta naudojant populiacijos modeliavimo analizę, paremtą farmakokinetikos tyrimo (7–17 metų pacientams) ir dviejų veiksmingumo bei saugumo tyrimų (7–17 metų pacientams) duomenimis. </w:t>
      </w:r>
      <w:proofErr w:type="spellStart"/>
      <w:r>
        <w:rPr>
          <w:szCs w:val="22"/>
          <w:lang w:eastAsia="lt-LT"/>
        </w:rPr>
        <w:t>Vortioksetino</w:t>
      </w:r>
      <w:proofErr w:type="spellEnd"/>
      <w:r>
        <w:rPr>
          <w:szCs w:val="22"/>
          <w:lang w:eastAsia="lt-LT"/>
        </w:rPr>
        <w:t xml:space="preserve"> farmakokinetika vaikų ir suaugusiųjų organizme buvo panaši.</w:t>
      </w:r>
    </w:p>
    <w:p w14:paraId="33D4F47E" w14:textId="77777777" w:rsidR="00BC7B13" w:rsidRDefault="00BC7B13">
      <w:pPr>
        <w:ind w:left="567" w:hanging="567"/>
        <w:rPr>
          <w:b/>
        </w:rPr>
      </w:pPr>
    </w:p>
    <w:p w14:paraId="0BB457C0" w14:textId="77777777" w:rsidR="00BC7B13" w:rsidRDefault="004E7EF9">
      <w:pPr>
        <w:ind w:left="567" w:hanging="567"/>
        <w:rPr>
          <w:b/>
        </w:rPr>
      </w:pPr>
      <w:r>
        <w:rPr>
          <w:b/>
        </w:rPr>
        <w:t>5.3</w:t>
      </w:r>
      <w:r>
        <w:rPr>
          <w:b/>
        </w:rPr>
        <w:tab/>
      </w:r>
      <w:proofErr w:type="spellStart"/>
      <w:r>
        <w:rPr>
          <w:b/>
        </w:rPr>
        <w:t>Ikiklinikinių</w:t>
      </w:r>
      <w:proofErr w:type="spellEnd"/>
      <w:r>
        <w:rPr>
          <w:b/>
        </w:rPr>
        <w:t xml:space="preserve"> saugumo tyrimų duomenys</w:t>
      </w:r>
    </w:p>
    <w:p w14:paraId="2097094A" w14:textId="77777777" w:rsidR="00BC7B13" w:rsidRDefault="00BC7B13">
      <w:pPr>
        <w:ind w:left="567" w:hanging="567"/>
      </w:pPr>
    </w:p>
    <w:p w14:paraId="5D4C199F" w14:textId="77777777" w:rsidR="00BC7B13" w:rsidRDefault="004E7EF9">
      <w:pPr>
        <w:autoSpaceDE w:val="0"/>
        <w:autoSpaceDN w:val="0"/>
        <w:adjustRightInd w:val="0"/>
        <w:rPr>
          <w:szCs w:val="22"/>
          <w:lang w:eastAsia="lt-LT"/>
        </w:rPr>
      </w:pPr>
      <w:proofErr w:type="spellStart"/>
      <w:r>
        <w:rPr>
          <w:szCs w:val="22"/>
          <w:lang w:eastAsia="lt-LT"/>
        </w:rPr>
        <w:t>Vortioksetino</w:t>
      </w:r>
      <w:proofErr w:type="spellEnd"/>
      <w:r>
        <w:rPr>
          <w:szCs w:val="22"/>
          <w:lang w:eastAsia="lt-LT"/>
        </w:rPr>
        <w:t xml:space="preserve"> vartojimas bendrųjų toksikologijos tyrimų su pelėmis, žiurkėmis ir šunimis metu daugiausiai buvo susijęs su klinikiniais požymiais, susijusiais su centrine nervų sistema (CNS). Tokie požymiai yra seilėtekis (žiurkėms ir šunims), vyzdžių išsiplėtimas (šunims) ir du traukulių atsiradimo šunims atvejai bendrosios toksinio poveikio tyrimo programos metu. Buvo nustatyta traukulių nesukelianti koncentracija, atitinkanti 5 saugumo ribą, atsižvelgiant į didžiausią rekomenduojamą gydomąją 20 mg dozę per parą. Toksinio poveikio organai taikiniai apsiribojo inkstais (žiurkėms) ir kepenimis (pelėms ir žiurkėms). Pokyčiai žiurkių inkstuose (</w:t>
      </w:r>
      <w:proofErr w:type="spellStart"/>
      <w:r>
        <w:rPr>
          <w:szCs w:val="22"/>
          <w:lang w:eastAsia="lt-LT"/>
        </w:rPr>
        <w:t>glomerulonefritas</w:t>
      </w:r>
      <w:proofErr w:type="spellEnd"/>
      <w:r>
        <w:rPr>
          <w:szCs w:val="22"/>
          <w:lang w:eastAsia="lt-LT"/>
        </w:rPr>
        <w:t xml:space="preserve">, inkstų kanalėlių obstrukcija, kristalinė medžiaga inkstų kanalėliuose) ir pelių bei žiurkių kepenyse (kepenų ląstelių hipertrofija, </w:t>
      </w:r>
      <w:proofErr w:type="spellStart"/>
      <w:r>
        <w:rPr>
          <w:szCs w:val="22"/>
          <w:lang w:eastAsia="lt-LT"/>
        </w:rPr>
        <w:t>hepatocitų</w:t>
      </w:r>
      <w:proofErr w:type="spellEnd"/>
      <w:r>
        <w:rPr>
          <w:szCs w:val="22"/>
          <w:lang w:eastAsia="lt-LT"/>
        </w:rPr>
        <w:t xml:space="preserve"> nekrozė, tulžies latakų </w:t>
      </w:r>
      <w:proofErr w:type="spellStart"/>
      <w:r>
        <w:rPr>
          <w:szCs w:val="22"/>
          <w:lang w:eastAsia="lt-LT"/>
        </w:rPr>
        <w:t>hiperplazija</w:t>
      </w:r>
      <w:proofErr w:type="spellEnd"/>
      <w:r>
        <w:rPr>
          <w:szCs w:val="22"/>
          <w:lang w:eastAsia="lt-LT"/>
        </w:rPr>
        <w:t xml:space="preserve">, kristalinė medžiaga tulžies latakuose) pasireiškė, kai ekspozicija buvo daugiau kaip 10 kartų (pelėms) ir 2 kartus (žiurkėms) didesnė nei ekspozicija žmogaus organizme, vartojant didžiausią rekomenduojamą gydomąją 20 mg paros dozę. Tokį poveikį daugiausia lėmė graužikams specifinė su </w:t>
      </w:r>
      <w:proofErr w:type="spellStart"/>
      <w:r>
        <w:rPr>
          <w:szCs w:val="22"/>
          <w:lang w:eastAsia="lt-LT"/>
        </w:rPr>
        <w:t>vortioksetinu</w:t>
      </w:r>
      <w:proofErr w:type="spellEnd"/>
      <w:r>
        <w:rPr>
          <w:szCs w:val="22"/>
          <w:lang w:eastAsia="lt-LT"/>
        </w:rPr>
        <w:t xml:space="preserve"> susijusios kristalinės medžiagos sukelta obstrukcija atitinkamai inkstų kanalėliuose ir tulžies pūslės latakuose, todėl laikoma, kad jos kelia mažą riziką žmogui.</w:t>
      </w:r>
    </w:p>
    <w:p w14:paraId="4B7FDC60" w14:textId="77777777" w:rsidR="00BC7B13" w:rsidRDefault="00BC7B13">
      <w:pPr>
        <w:ind w:left="567" w:hanging="567"/>
      </w:pPr>
    </w:p>
    <w:p w14:paraId="03363322" w14:textId="77777777" w:rsidR="00BC7B13" w:rsidRDefault="004E7EF9">
      <w:pPr>
        <w:autoSpaceDE w:val="0"/>
        <w:autoSpaceDN w:val="0"/>
        <w:adjustRightInd w:val="0"/>
        <w:rPr>
          <w:szCs w:val="22"/>
          <w:lang w:eastAsia="lt-LT"/>
        </w:rPr>
      </w:pPr>
      <w:r>
        <w:rPr>
          <w:szCs w:val="22"/>
          <w:lang w:eastAsia="lt-LT"/>
        </w:rPr>
        <w:t xml:space="preserve">Atlikus eilę įprastinių tyrimų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vitro</w:t>
      </w:r>
      <w:proofErr w:type="spellEnd"/>
      <w:r>
        <w:rPr>
          <w:i/>
          <w:iCs/>
          <w:szCs w:val="22"/>
          <w:lang w:eastAsia="lt-LT"/>
        </w:rPr>
        <w:t xml:space="preserve"> </w:t>
      </w:r>
      <w:r>
        <w:rPr>
          <w:szCs w:val="22"/>
          <w:lang w:eastAsia="lt-LT"/>
        </w:rPr>
        <w:t xml:space="preserve">ir </w:t>
      </w:r>
      <w:proofErr w:type="spellStart"/>
      <w:r>
        <w:rPr>
          <w:i/>
          <w:iCs/>
          <w:szCs w:val="22"/>
          <w:lang w:eastAsia="lt-LT"/>
        </w:rPr>
        <w:t>in</w:t>
      </w:r>
      <w:proofErr w:type="spellEnd"/>
      <w:r>
        <w:rPr>
          <w:i/>
          <w:iCs/>
          <w:szCs w:val="22"/>
          <w:lang w:eastAsia="lt-LT"/>
        </w:rPr>
        <w:t xml:space="preserve"> </w:t>
      </w:r>
      <w:proofErr w:type="spellStart"/>
      <w:r>
        <w:rPr>
          <w:i/>
          <w:iCs/>
          <w:szCs w:val="22"/>
          <w:lang w:eastAsia="lt-LT"/>
        </w:rPr>
        <w:t>vivo</w:t>
      </w:r>
      <w:proofErr w:type="spellEnd"/>
      <w:r>
        <w:rPr>
          <w:szCs w:val="22"/>
          <w:lang w:eastAsia="lt-LT"/>
        </w:rPr>
        <w:t xml:space="preserve">, </w:t>
      </w:r>
      <w:proofErr w:type="spellStart"/>
      <w:r>
        <w:rPr>
          <w:szCs w:val="22"/>
          <w:lang w:eastAsia="lt-LT"/>
        </w:rPr>
        <w:t>vortioksetinas</w:t>
      </w:r>
      <w:proofErr w:type="spellEnd"/>
      <w:r>
        <w:rPr>
          <w:szCs w:val="22"/>
          <w:lang w:eastAsia="lt-LT"/>
        </w:rPr>
        <w:t xml:space="preserve"> nesukėlė </w:t>
      </w:r>
      <w:proofErr w:type="spellStart"/>
      <w:r>
        <w:rPr>
          <w:szCs w:val="22"/>
          <w:lang w:eastAsia="lt-LT"/>
        </w:rPr>
        <w:t>genotoksinio</w:t>
      </w:r>
      <w:proofErr w:type="spellEnd"/>
      <w:r>
        <w:rPr>
          <w:szCs w:val="22"/>
          <w:lang w:eastAsia="lt-LT"/>
        </w:rPr>
        <w:t xml:space="preserve"> poveikio.</w:t>
      </w:r>
    </w:p>
    <w:p w14:paraId="5154542D" w14:textId="77777777" w:rsidR="00BC7B13" w:rsidRDefault="00BC7B13">
      <w:pPr>
        <w:autoSpaceDE w:val="0"/>
        <w:autoSpaceDN w:val="0"/>
        <w:adjustRightInd w:val="0"/>
        <w:rPr>
          <w:szCs w:val="22"/>
          <w:lang w:eastAsia="lt-LT"/>
        </w:rPr>
      </w:pPr>
    </w:p>
    <w:p w14:paraId="2B2E1E5D" w14:textId="77777777" w:rsidR="00BC7B13" w:rsidRDefault="004E7EF9">
      <w:pPr>
        <w:autoSpaceDE w:val="0"/>
        <w:autoSpaceDN w:val="0"/>
        <w:adjustRightInd w:val="0"/>
        <w:rPr>
          <w:szCs w:val="22"/>
          <w:lang w:eastAsia="lt-LT"/>
        </w:rPr>
      </w:pPr>
      <w:r>
        <w:rPr>
          <w:szCs w:val="22"/>
          <w:lang w:eastAsia="lt-LT"/>
        </w:rPr>
        <w:t xml:space="preserve">Remiantis 2 metus trukusių įprastinių kancerogeninio poveikio tyrimų su pelėmis ar žiurkėmis duomenimis, manoma, kad </w:t>
      </w:r>
      <w:proofErr w:type="spellStart"/>
      <w:r>
        <w:rPr>
          <w:szCs w:val="22"/>
          <w:lang w:eastAsia="lt-LT"/>
        </w:rPr>
        <w:t>vortioksetinas</w:t>
      </w:r>
      <w:proofErr w:type="spellEnd"/>
      <w:r>
        <w:rPr>
          <w:szCs w:val="22"/>
          <w:lang w:eastAsia="lt-LT"/>
        </w:rPr>
        <w:t xml:space="preserve"> nekelia kancerogeninio poveikio rizikos žmogui.</w:t>
      </w:r>
    </w:p>
    <w:p w14:paraId="234FA25D" w14:textId="77777777" w:rsidR="00BC7B13" w:rsidRDefault="00BC7B13">
      <w:pPr>
        <w:autoSpaceDE w:val="0"/>
        <w:autoSpaceDN w:val="0"/>
        <w:adjustRightInd w:val="0"/>
        <w:rPr>
          <w:szCs w:val="22"/>
          <w:lang w:eastAsia="lt-LT"/>
        </w:rPr>
      </w:pPr>
    </w:p>
    <w:p w14:paraId="411495B0" w14:textId="77777777" w:rsidR="00BC7B13" w:rsidRDefault="004E7EF9">
      <w:pPr>
        <w:autoSpaceDE w:val="0"/>
        <w:autoSpaceDN w:val="0"/>
        <w:adjustRightInd w:val="0"/>
        <w:rPr>
          <w:szCs w:val="22"/>
          <w:lang w:eastAsia="lt-LT"/>
        </w:rPr>
      </w:pPr>
      <w:proofErr w:type="spellStart"/>
      <w:r>
        <w:rPr>
          <w:szCs w:val="22"/>
          <w:lang w:eastAsia="lt-LT"/>
        </w:rPr>
        <w:t>Vortioksetinas</w:t>
      </w:r>
      <w:proofErr w:type="spellEnd"/>
      <w:r>
        <w:rPr>
          <w:szCs w:val="22"/>
          <w:lang w:eastAsia="lt-LT"/>
        </w:rPr>
        <w:t xml:space="preserve"> neveikė žiurkių vislumo, poravimosi, reprodukcijos organų ar spermos morfologijos ir judrumo. </w:t>
      </w:r>
      <w:proofErr w:type="spellStart"/>
      <w:r>
        <w:rPr>
          <w:szCs w:val="22"/>
          <w:lang w:eastAsia="lt-LT"/>
        </w:rPr>
        <w:t>Vortioksetinas</w:t>
      </w:r>
      <w:proofErr w:type="spellEnd"/>
      <w:r>
        <w:rPr>
          <w:szCs w:val="22"/>
          <w:lang w:eastAsia="lt-LT"/>
        </w:rPr>
        <w:t xml:space="preserve"> nesukėlė </w:t>
      </w:r>
      <w:proofErr w:type="spellStart"/>
      <w:r>
        <w:rPr>
          <w:szCs w:val="22"/>
          <w:lang w:eastAsia="lt-LT"/>
        </w:rPr>
        <w:t>teratogeninio</w:t>
      </w:r>
      <w:proofErr w:type="spellEnd"/>
      <w:r>
        <w:rPr>
          <w:szCs w:val="22"/>
          <w:lang w:eastAsia="lt-LT"/>
        </w:rPr>
        <w:t xml:space="preserve"> poveikio žiurkėms ar triušiams, bet buvo pastebėtas toksinis poveikis reprodukcijai (poveikis vaisiaus kūno masei bei kaulėjimo sulėtėjimas) žiurkėms, kai ekspozicija buvo daugiau kaip 10 kartų didesnė nei ekspozicija žmogaus organizme, vartojant didžiausią rekomenduojamą gydomąją 20 mg paros dozę. Panašus poveikis pasireiškė triušiams, kai ekspozicija buvo </w:t>
      </w:r>
      <w:proofErr w:type="spellStart"/>
      <w:r>
        <w:rPr>
          <w:szCs w:val="22"/>
          <w:lang w:eastAsia="lt-LT"/>
        </w:rPr>
        <w:t>subterapinė</w:t>
      </w:r>
      <w:proofErr w:type="spellEnd"/>
      <w:r>
        <w:rPr>
          <w:szCs w:val="22"/>
          <w:lang w:eastAsia="lt-LT"/>
        </w:rPr>
        <w:t>.</w:t>
      </w:r>
    </w:p>
    <w:p w14:paraId="4DBF5ADA" w14:textId="77777777" w:rsidR="00BC7B13" w:rsidRDefault="00BC7B13">
      <w:pPr>
        <w:autoSpaceDE w:val="0"/>
        <w:autoSpaceDN w:val="0"/>
        <w:adjustRightInd w:val="0"/>
        <w:rPr>
          <w:szCs w:val="22"/>
          <w:lang w:eastAsia="lt-LT"/>
        </w:rPr>
      </w:pPr>
    </w:p>
    <w:p w14:paraId="410D35D6" w14:textId="77777777" w:rsidR="00BC7B13" w:rsidRDefault="004E7EF9">
      <w:pPr>
        <w:autoSpaceDE w:val="0"/>
        <w:autoSpaceDN w:val="0"/>
        <w:adjustRightInd w:val="0"/>
        <w:rPr>
          <w:szCs w:val="22"/>
          <w:lang w:eastAsia="lt-LT"/>
        </w:rPr>
      </w:pPr>
      <w:r>
        <w:rPr>
          <w:szCs w:val="22"/>
          <w:lang w:eastAsia="lt-LT"/>
        </w:rPr>
        <w:t xml:space="preserve">Remiantis </w:t>
      </w:r>
      <w:proofErr w:type="spellStart"/>
      <w:r>
        <w:rPr>
          <w:szCs w:val="22"/>
          <w:lang w:eastAsia="lt-LT"/>
        </w:rPr>
        <w:t>prenatalinių</w:t>
      </w:r>
      <w:proofErr w:type="spellEnd"/>
      <w:r>
        <w:rPr>
          <w:szCs w:val="22"/>
          <w:lang w:eastAsia="lt-LT"/>
        </w:rPr>
        <w:t xml:space="preserve"> ir </w:t>
      </w:r>
      <w:proofErr w:type="spellStart"/>
      <w:r>
        <w:rPr>
          <w:szCs w:val="22"/>
          <w:lang w:eastAsia="lt-LT"/>
        </w:rPr>
        <w:t>postnatalinių</w:t>
      </w:r>
      <w:proofErr w:type="spellEnd"/>
      <w:r>
        <w:rPr>
          <w:szCs w:val="22"/>
          <w:lang w:eastAsia="lt-LT"/>
        </w:rPr>
        <w:t xml:space="preserve"> tyrimų su žiurkėmis duomenimis, </w:t>
      </w:r>
      <w:proofErr w:type="spellStart"/>
      <w:r>
        <w:rPr>
          <w:szCs w:val="22"/>
          <w:lang w:eastAsia="lt-LT"/>
        </w:rPr>
        <w:t>vortioksetinas</w:t>
      </w:r>
      <w:proofErr w:type="spellEnd"/>
      <w:r>
        <w:rPr>
          <w:szCs w:val="22"/>
          <w:lang w:eastAsia="lt-LT"/>
        </w:rPr>
        <w:t xml:space="preserve"> buvo susijęs su </w:t>
      </w:r>
      <w:proofErr w:type="spellStart"/>
      <w:r>
        <w:rPr>
          <w:szCs w:val="22"/>
          <w:lang w:eastAsia="lt-LT"/>
        </w:rPr>
        <w:t>žiurkiukų</w:t>
      </w:r>
      <w:proofErr w:type="spellEnd"/>
      <w:r>
        <w:rPr>
          <w:szCs w:val="22"/>
          <w:lang w:eastAsia="lt-LT"/>
        </w:rPr>
        <w:t xml:space="preserve"> mirtingumo padidėjimu, kūno masės prieaugio sumažėjimu ir </w:t>
      </w:r>
      <w:proofErr w:type="spellStart"/>
      <w:r>
        <w:rPr>
          <w:szCs w:val="22"/>
          <w:lang w:eastAsia="lt-LT"/>
        </w:rPr>
        <w:t>žiurkiukų</w:t>
      </w:r>
      <w:proofErr w:type="spellEnd"/>
      <w:r>
        <w:rPr>
          <w:szCs w:val="22"/>
          <w:lang w:eastAsia="lt-LT"/>
        </w:rPr>
        <w:t xml:space="preserve"> vystymosi sulėtėjimu vartojant dozes, kurios nesukėlė toksinio poveikio motininėms patelėms, ir buvo susiję su ekspozicijomis, kurios buvo panašios į tas, kurios pasiekiamos žmogaus organizme po 20 mg </w:t>
      </w:r>
      <w:proofErr w:type="spellStart"/>
      <w:r>
        <w:rPr>
          <w:szCs w:val="22"/>
          <w:lang w:eastAsia="lt-LT"/>
        </w:rPr>
        <w:t>vortioksetino</w:t>
      </w:r>
      <w:proofErr w:type="spellEnd"/>
      <w:r>
        <w:rPr>
          <w:szCs w:val="22"/>
          <w:lang w:eastAsia="lt-LT"/>
        </w:rPr>
        <w:t xml:space="preserve"> dozės per parą pavartojimo (žr. 4.6 skyrių).</w:t>
      </w:r>
    </w:p>
    <w:p w14:paraId="32D72803" w14:textId="77777777" w:rsidR="00BC7B13" w:rsidRDefault="00BC7B13">
      <w:pPr>
        <w:autoSpaceDE w:val="0"/>
        <w:autoSpaceDN w:val="0"/>
        <w:adjustRightInd w:val="0"/>
        <w:rPr>
          <w:szCs w:val="22"/>
          <w:lang w:eastAsia="lt-LT"/>
        </w:rPr>
      </w:pPr>
    </w:p>
    <w:p w14:paraId="0326C9B2" w14:textId="77777777" w:rsidR="00BC7B13" w:rsidRDefault="004E7EF9">
      <w:pPr>
        <w:autoSpaceDE w:val="0"/>
        <w:autoSpaceDN w:val="0"/>
        <w:adjustRightInd w:val="0"/>
        <w:rPr>
          <w:szCs w:val="22"/>
          <w:lang w:eastAsia="lt-LT"/>
        </w:rPr>
      </w:pPr>
      <w:r>
        <w:rPr>
          <w:szCs w:val="22"/>
          <w:lang w:eastAsia="lt-LT"/>
        </w:rPr>
        <w:t xml:space="preserve">Su </w:t>
      </w:r>
      <w:proofErr w:type="spellStart"/>
      <w:r>
        <w:rPr>
          <w:szCs w:val="22"/>
          <w:lang w:eastAsia="lt-LT"/>
        </w:rPr>
        <w:t>vortioksetinu</w:t>
      </w:r>
      <w:proofErr w:type="spellEnd"/>
      <w:r>
        <w:rPr>
          <w:szCs w:val="22"/>
          <w:lang w:eastAsia="lt-LT"/>
        </w:rPr>
        <w:t xml:space="preserve"> susijusių medžiagų išsiskyrė į žiurkių pieną žindymo laikotarpiu (žr. 4.6 skyrių).</w:t>
      </w:r>
    </w:p>
    <w:p w14:paraId="02145389" w14:textId="77777777" w:rsidR="00BC7B13" w:rsidRDefault="004E7EF9">
      <w:pPr>
        <w:autoSpaceDE w:val="0"/>
        <w:autoSpaceDN w:val="0"/>
        <w:adjustRightInd w:val="0"/>
        <w:rPr>
          <w:szCs w:val="22"/>
          <w:lang w:eastAsia="lt-LT"/>
        </w:rPr>
      </w:pPr>
      <w:r>
        <w:rPr>
          <w:szCs w:val="22"/>
          <w:lang w:eastAsia="lt-LT"/>
        </w:rPr>
        <w:t xml:space="preserve">Su žiurkėmis atliktų toksinio poveikio jaunikliams tyrimų duomenimis, visi su gydymu </w:t>
      </w:r>
      <w:proofErr w:type="spellStart"/>
      <w:r>
        <w:rPr>
          <w:szCs w:val="22"/>
          <w:lang w:eastAsia="lt-LT"/>
        </w:rPr>
        <w:t>vortioksetinu</w:t>
      </w:r>
      <w:proofErr w:type="spellEnd"/>
      <w:r>
        <w:rPr>
          <w:szCs w:val="22"/>
          <w:lang w:eastAsia="lt-LT"/>
        </w:rPr>
        <w:t xml:space="preserve"> susiję reiškiniai atitiko tuos, kurie buvo pastebėti suaugusiems gyvūnams.</w:t>
      </w:r>
    </w:p>
    <w:p w14:paraId="60D56624" w14:textId="77777777" w:rsidR="00BC7B13" w:rsidRDefault="00BC7B13">
      <w:pPr>
        <w:autoSpaceDE w:val="0"/>
        <w:autoSpaceDN w:val="0"/>
        <w:adjustRightInd w:val="0"/>
        <w:rPr>
          <w:szCs w:val="22"/>
          <w:lang w:eastAsia="lt-LT"/>
        </w:rPr>
      </w:pPr>
    </w:p>
    <w:p w14:paraId="75BC6CD4" w14:textId="77777777" w:rsidR="00BC7B13" w:rsidRDefault="004E7EF9">
      <w:pPr>
        <w:autoSpaceDE w:val="0"/>
        <w:autoSpaceDN w:val="0"/>
        <w:adjustRightInd w:val="0"/>
        <w:rPr>
          <w:szCs w:val="22"/>
          <w:lang w:eastAsia="lt-LT"/>
        </w:rPr>
      </w:pPr>
      <w:r>
        <w:rPr>
          <w:szCs w:val="22"/>
          <w:lang w:eastAsia="lt-LT"/>
        </w:rPr>
        <w:t xml:space="preserve">Pavojaus aplinkai vertinimo tyrimai parodė, kad </w:t>
      </w:r>
      <w:proofErr w:type="spellStart"/>
      <w:r>
        <w:rPr>
          <w:szCs w:val="22"/>
          <w:lang w:eastAsia="lt-LT"/>
        </w:rPr>
        <w:t>vortioksetinas</w:t>
      </w:r>
      <w:proofErr w:type="spellEnd"/>
      <w:r>
        <w:rPr>
          <w:szCs w:val="22"/>
          <w:lang w:eastAsia="lt-LT"/>
        </w:rPr>
        <w:t xml:space="preserve"> gali būti patvarus, besikaupiantis biologiniuose organizmuose ir toksiškas aplinkai (kyla pavojus žuvims). Vis dėlto laikoma, kad rekomenduojamomis dozėmis pacientų vartojamas </w:t>
      </w:r>
      <w:proofErr w:type="spellStart"/>
      <w:r>
        <w:rPr>
          <w:szCs w:val="22"/>
          <w:lang w:eastAsia="lt-LT"/>
        </w:rPr>
        <w:t>vortioksetinas</w:t>
      </w:r>
      <w:proofErr w:type="spellEnd"/>
      <w:r>
        <w:rPr>
          <w:szCs w:val="22"/>
          <w:lang w:eastAsia="lt-LT"/>
        </w:rPr>
        <w:t xml:space="preserve"> vandens ir sausumos aplinkai kelia nereikšmingą pavojų (žr. 6.6 skyrių).</w:t>
      </w:r>
    </w:p>
    <w:p w14:paraId="58A7FFF1" w14:textId="77777777" w:rsidR="00BC7B13" w:rsidRDefault="00BC7B13">
      <w:pPr>
        <w:autoSpaceDE w:val="0"/>
        <w:autoSpaceDN w:val="0"/>
        <w:adjustRightInd w:val="0"/>
        <w:rPr>
          <w:szCs w:val="22"/>
          <w:lang w:eastAsia="lt-LT"/>
        </w:rPr>
      </w:pPr>
    </w:p>
    <w:p w14:paraId="4012B55D" w14:textId="77777777" w:rsidR="00BC7B13" w:rsidRDefault="00BC7B13">
      <w:pPr>
        <w:ind w:left="567" w:hanging="567"/>
      </w:pPr>
    </w:p>
    <w:p w14:paraId="28C49172" w14:textId="77777777" w:rsidR="00BC7B13" w:rsidRDefault="004E7EF9">
      <w:pPr>
        <w:ind w:left="567" w:hanging="567"/>
        <w:rPr>
          <w:b/>
          <w:caps/>
        </w:rPr>
      </w:pPr>
      <w:r>
        <w:rPr>
          <w:b/>
          <w:caps/>
        </w:rPr>
        <w:lastRenderedPageBreak/>
        <w:t>6.</w:t>
      </w:r>
      <w:r>
        <w:rPr>
          <w:b/>
          <w:caps/>
        </w:rPr>
        <w:tab/>
        <w:t>farmacinė informacija</w:t>
      </w:r>
    </w:p>
    <w:p w14:paraId="180C8208" w14:textId="77777777" w:rsidR="00BC7B13" w:rsidRDefault="00BC7B13">
      <w:pPr>
        <w:ind w:left="567" w:hanging="567"/>
      </w:pPr>
    </w:p>
    <w:p w14:paraId="32E5288D" w14:textId="77777777" w:rsidR="00BC7B13" w:rsidRDefault="004E7EF9">
      <w:pPr>
        <w:ind w:left="567" w:hanging="567"/>
        <w:rPr>
          <w:b/>
        </w:rPr>
      </w:pPr>
      <w:r>
        <w:rPr>
          <w:b/>
        </w:rPr>
        <w:t>6.1</w:t>
      </w:r>
      <w:r>
        <w:rPr>
          <w:b/>
        </w:rPr>
        <w:tab/>
        <w:t>Pagalbinių medžiagų sąrašas</w:t>
      </w:r>
    </w:p>
    <w:p w14:paraId="1C51732E" w14:textId="77777777" w:rsidR="00BC7B13" w:rsidRDefault="00BC7B13"/>
    <w:p w14:paraId="7BBC69E6" w14:textId="77777777" w:rsidR="00BC7B13" w:rsidRDefault="004E7EF9">
      <w:pPr>
        <w:rPr>
          <w:u w:val="single"/>
        </w:rPr>
      </w:pPr>
      <w:r>
        <w:rPr>
          <w:u w:val="single"/>
        </w:rPr>
        <w:t>Tabletės branduolys</w:t>
      </w:r>
    </w:p>
    <w:p w14:paraId="0637939F" w14:textId="77777777" w:rsidR="00BC7B13" w:rsidRDefault="004E7EF9">
      <w:pPr>
        <w:ind w:left="567" w:hanging="567"/>
      </w:pPr>
      <w:bookmarkStart w:id="3" w:name="_Hlk157606514"/>
      <w:proofErr w:type="spellStart"/>
      <w:r>
        <w:t>Manitolis</w:t>
      </w:r>
      <w:proofErr w:type="spellEnd"/>
    </w:p>
    <w:p w14:paraId="1D26E001" w14:textId="77777777" w:rsidR="00BC7B13" w:rsidRDefault="004E7EF9">
      <w:pPr>
        <w:ind w:left="567" w:hanging="567"/>
      </w:pPr>
      <w:proofErr w:type="spellStart"/>
      <w:r>
        <w:t>Mikrokristalinė</w:t>
      </w:r>
      <w:proofErr w:type="spellEnd"/>
      <w:r>
        <w:t xml:space="preserve"> celiuliozė</w:t>
      </w:r>
    </w:p>
    <w:p w14:paraId="776C4467" w14:textId="77777777" w:rsidR="00BC7B13" w:rsidRDefault="004E7EF9">
      <w:pPr>
        <w:ind w:left="567" w:hanging="567"/>
      </w:pPr>
      <w:proofErr w:type="spellStart"/>
      <w:r>
        <w:t>Karboksimetilkrakmolo</w:t>
      </w:r>
      <w:proofErr w:type="spellEnd"/>
      <w:r>
        <w:t xml:space="preserve"> A natrio druska</w:t>
      </w:r>
    </w:p>
    <w:p w14:paraId="0F890C8C" w14:textId="77777777" w:rsidR="00BC7B13" w:rsidRDefault="004E7EF9">
      <w:pPr>
        <w:ind w:left="567" w:hanging="567"/>
      </w:pPr>
      <w:proofErr w:type="spellStart"/>
      <w:r>
        <w:t>Hidroksipropilceliuliozė</w:t>
      </w:r>
      <w:proofErr w:type="spellEnd"/>
    </w:p>
    <w:p w14:paraId="17B30458" w14:textId="77777777" w:rsidR="00BC7B13" w:rsidRDefault="004E7EF9">
      <w:pPr>
        <w:ind w:left="567" w:hanging="567"/>
      </w:pPr>
      <w:r>
        <w:t xml:space="preserve">Magnio </w:t>
      </w:r>
      <w:proofErr w:type="spellStart"/>
      <w:r>
        <w:t>stearatas</w:t>
      </w:r>
      <w:proofErr w:type="spellEnd"/>
      <w:r>
        <w:t xml:space="preserve"> (E 470b)</w:t>
      </w:r>
    </w:p>
    <w:p w14:paraId="49BA6143" w14:textId="77777777" w:rsidR="00BC7B13" w:rsidRDefault="00BC7B13">
      <w:pPr>
        <w:ind w:left="567" w:hanging="567"/>
      </w:pPr>
    </w:p>
    <w:p w14:paraId="0E321126" w14:textId="77777777" w:rsidR="00BC7B13" w:rsidRDefault="004E7EF9">
      <w:pPr>
        <w:ind w:left="567" w:hanging="567"/>
        <w:rPr>
          <w:u w:val="single"/>
        </w:rPr>
      </w:pPr>
      <w:r>
        <w:rPr>
          <w:u w:val="single"/>
        </w:rPr>
        <w:t>Tabletės plėvelė</w:t>
      </w:r>
    </w:p>
    <w:p w14:paraId="31C88F0F" w14:textId="77777777" w:rsidR="00BC7B13" w:rsidRDefault="004E7EF9">
      <w:pPr>
        <w:ind w:left="567" w:hanging="567"/>
        <w:rPr>
          <w:color w:val="000000"/>
          <w:szCs w:val="22"/>
          <w:lang w:val="it-IT"/>
        </w:rPr>
      </w:pPr>
      <w:r>
        <w:rPr>
          <w:color w:val="000000"/>
          <w:szCs w:val="22"/>
          <w:lang w:val="it-IT"/>
        </w:rPr>
        <w:t>Hipromeliozė</w:t>
      </w:r>
    </w:p>
    <w:p w14:paraId="76250B63" w14:textId="77777777" w:rsidR="00BC7B13" w:rsidRDefault="004E7EF9">
      <w:pPr>
        <w:ind w:left="567" w:hanging="567"/>
        <w:rPr>
          <w:color w:val="000000"/>
          <w:szCs w:val="22"/>
          <w:lang w:val="it-IT"/>
        </w:rPr>
      </w:pPr>
      <w:r>
        <w:rPr>
          <w:color w:val="000000"/>
          <w:szCs w:val="22"/>
          <w:lang w:val="it-IT"/>
        </w:rPr>
        <w:t>Makrogolis 400</w:t>
      </w:r>
    </w:p>
    <w:p w14:paraId="0632C61C" w14:textId="77777777" w:rsidR="00BC7B13" w:rsidRDefault="004E7EF9">
      <w:pPr>
        <w:ind w:left="567" w:hanging="567"/>
        <w:rPr>
          <w:color w:val="000000"/>
          <w:szCs w:val="22"/>
          <w:lang w:val="it-IT"/>
        </w:rPr>
      </w:pPr>
      <w:r>
        <w:rPr>
          <w:color w:val="000000"/>
          <w:szCs w:val="22"/>
          <w:lang w:val="it-IT"/>
        </w:rPr>
        <w:t>Titano dioksidas (E 171)</w:t>
      </w:r>
    </w:p>
    <w:p w14:paraId="64E6DE6F" w14:textId="77777777" w:rsidR="00BC7B13" w:rsidRDefault="004E7EF9">
      <w:pPr>
        <w:ind w:left="567" w:hanging="567"/>
        <w:rPr>
          <w:color w:val="000000"/>
          <w:szCs w:val="22"/>
          <w:lang w:val="it-IT"/>
        </w:rPr>
      </w:pPr>
      <w:r>
        <w:rPr>
          <w:color w:val="000000"/>
          <w:szCs w:val="22"/>
          <w:lang w:val="it-IT"/>
        </w:rPr>
        <w:t>Raudonasis geležies oksidas (E 172)</w:t>
      </w:r>
      <w:r>
        <w:rPr>
          <w:szCs w:val="22"/>
          <w:lang w:val="pt-PT"/>
        </w:rPr>
        <w:t xml:space="preserve"> </w:t>
      </w:r>
      <w:r>
        <w:rPr>
          <w:i/>
          <w:szCs w:val="22"/>
          <w:lang w:val="pt-PT"/>
        </w:rPr>
        <w:t>– tik 5 mg, 15 mg ir 20 mg plėvele dengtos tabletės</w:t>
      </w:r>
    </w:p>
    <w:p w14:paraId="07F0465B" w14:textId="77777777" w:rsidR="00BC7B13" w:rsidRDefault="004E7EF9">
      <w:pPr>
        <w:ind w:left="567" w:hanging="567"/>
        <w:rPr>
          <w:color w:val="000000"/>
          <w:szCs w:val="22"/>
          <w:lang w:val="it-IT"/>
        </w:rPr>
      </w:pPr>
      <w:r>
        <w:rPr>
          <w:color w:val="000000"/>
          <w:szCs w:val="22"/>
          <w:lang w:val="it-IT"/>
        </w:rPr>
        <w:t>Geltonasis geležies oksidas (E 172)</w:t>
      </w:r>
      <w:r>
        <w:rPr>
          <w:szCs w:val="22"/>
          <w:lang w:val="pt-PT"/>
        </w:rPr>
        <w:t xml:space="preserve"> </w:t>
      </w:r>
      <w:r>
        <w:rPr>
          <w:i/>
          <w:szCs w:val="22"/>
          <w:lang w:val="pt-PT"/>
        </w:rPr>
        <w:t>– tik 10 mg ir 15 mg plėvele dengtos tabletės</w:t>
      </w:r>
    </w:p>
    <w:bookmarkEnd w:id="3"/>
    <w:p w14:paraId="27C7D878" w14:textId="77777777" w:rsidR="00BC7B13" w:rsidRDefault="00BC7B13"/>
    <w:p w14:paraId="38C82B0B" w14:textId="77777777" w:rsidR="00BC7B13" w:rsidRDefault="004E7EF9">
      <w:pPr>
        <w:ind w:left="567" w:hanging="567"/>
        <w:rPr>
          <w:b/>
        </w:rPr>
      </w:pPr>
      <w:r>
        <w:rPr>
          <w:b/>
        </w:rPr>
        <w:t>6.2</w:t>
      </w:r>
      <w:r>
        <w:rPr>
          <w:b/>
        </w:rPr>
        <w:tab/>
        <w:t>Nesuderinamumas</w:t>
      </w:r>
    </w:p>
    <w:p w14:paraId="7228085B" w14:textId="77777777" w:rsidR="00BC7B13" w:rsidRDefault="00BC7B13">
      <w:pPr>
        <w:ind w:left="567" w:hanging="567"/>
      </w:pPr>
    </w:p>
    <w:p w14:paraId="04D57037" w14:textId="77777777" w:rsidR="00BC7B13" w:rsidRDefault="004E7EF9">
      <w:pPr>
        <w:ind w:left="567" w:hanging="567"/>
      </w:pPr>
      <w:r>
        <w:t>Duomenys nebūtini.</w:t>
      </w:r>
    </w:p>
    <w:p w14:paraId="0B3EA9DA" w14:textId="77777777" w:rsidR="00BC7B13" w:rsidRDefault="00BC7B13">
      <w:pPr>
        <w:ind w:left="567" w:hanging="567"/>
      </w:pPr>
    </w:p>
    <w:p w14:paraId="7E06C8B0" w14:textId="77777777" w:rsidR="00BC7B13" w:rsidRDefault="004E7EF9">
      <w:pPr>
        <w:ind w:left="567" w:hanging="567"/>
        <w:rPr>
          <w:b/>
        </w:rPr>
      </w:pPr>
      <w:r>
        <w:rPr>
          <w:b/>
        </w:rPr>
        <w:t>6.3</w:t>
      </w:r>
      <w:r>
        <w:rPr>
          <w:b/>
        </w:rPr>
        <w:tab/>
        <w:t>Tinkamumo laikas</w:t>
      </w:r>
    </w:p>
    <w:p w14:paraId="654E067D" w14:textId="77777777" w:rsidR="00BC7B13" w:rsidRDefault="00BC7B13">
      <w:pPr>
        <w:ind w:left="567" w:hanging="567"/>
      </w:pPr>
    </w:p>
    <w:p w14:paraId="7D5BE1AB" w14:textId="77777777" w:rsidR="00BC7B13" w:rsidRDefault="004E7EF9">
      <w:pPr>
        <w:ind w:left="567" w:hanging="567"/>
      </w:pPr>
      <w:r>
        <w:t>2 metai</w:t>
      </w:r>
    </w:p>
    <w:p w14:paraId="48ED4B6A" w14:textId="77777777" w:rsidR="00BC7B13" w:rsidRDefault="00BC7B13">
      <w:pPr>
        <w:ind w:left="567" w:hanging="567"/>
      </w:pPr>
    </w:p>
    <w:p w14:paraId="527309BB" w14:textId="77777777" w:rsidR="00BC7B13" w:rsidRDefault="004E7EF9">
      <w:pPr>
        <w:ind w:left="567" w:hanging="567"/>
        <w:rPr>
          <w:b/>
        </w:rPr>
      </w:pPr>
      <w:r>
        <w:rPr>
          <w:b/>
        </w:rPr>
        <w:t>6.4</w:t>
      </w:r>
      <w:r>
        <w:rPr>
          <w:b/>
        </w:rPr>
        <w:tab/>
        <w:t>Specialios laikymo sąlygos</w:t>
      </w:r>
    </w:p>
    <w:p w14:paraId="22493E2D" w14:textId="77777777" w:rsidR="00BC7B13" w:rsidRDefault="00BC7B13">
      <w:pPr>
        <w:rPr>
          <w:i/>
          <w:iCs/>
        </w:rPr>
      </w:pPr>
    </w:p>
    <w:p w14:paraId="6EE305C2" w14:textId="77777777" w:rsidR="00BC7B13" w:rsidRDefault="004E7EF9">
      <w:pPr>
        <w:ind w:left="567" w:hanging="567"/>
        <w:rPr>
          <w:noProof/>
        </w:rPr>
      </w:pPr>
      <w:r>
        <w:rPr>
          <w:noProof/>
        </w:rPr>
        <w:t>Šiam vaistiniam preparatui specialių laikymo sąlygų nereikia.</w:t>
      </w:r>
    </w:p>
    <w:p w14:paraId="1660D346" w14:textId="77777777" w:rsidR="00BC7B13" w:rsidRDefault="00BC7B13">
      <w:pPr>
        <w:ind w:left="567" w:hanging="567"/>
        <w:rPr>
          <w:u w:val="single"/>
        </w:rPr>
      </w:pPr>
    </w:p>
    <w:p w14:paraId="1B95D835" w14:textId="77777777" w:rsidR="00BC7B13" w:rsidRDefault="004E7EF9">
      <w:pPr>
        <w:ind w:left="567" w:hanging="567"/>
        <w:rPr>
          <w:b/>
        </w:rPr>
      </w:pPr>
      <w:r>
        <w:rPr>
          <w:b/>
        </w:rPr>
        <w:t>6.5</w:t>
      </w:r>
      <w:r>
        <w:rPr>
          <w:b/>
        </w:rPr>
        <w:tab/>
      </w:r>
      <w:proofErr w:type="spellStart"/>
      <w:r>
        <w:rPr>
          <w:b/>
        </w:rPr>
        <w:t>Talpyklės</w:t>
      </w:r>
      <w:proofErr w:type="spellEnd"/>
      <w:r>
        <w:rPr>
          <w:b/>
        </w:rPr>
        <w:t xml:space="preserve"> pobūdis ir jos turinys</w:t>
      </w:r>
    </w:p>
    <w:p w14:paraId="5E94306F" w14:textId="77777777" w:rsidR="00BC7B13" w:rsidRDefault="00BC7B13"/>
    <w:p w14:paraId="76130197" w14:textId="77777777" w:rsidR="00BC7B13" w:rsidRDefault="004E7EF9">
      <w:pPr>
        <w:widowControl w:val="0"/>
        <w:tabs>
          <w:tab w:val="left" w:pos="567"/>
        </w:tabs>
        <w:rPr>
          <w:szCs w:val="20"/>
          <w:lang w:eastAsia="sl-SI"/>
        </w:rPr>
      </w:pPr>
      <w:bookmarkStart w:id="4" w:name="_Hlk160112588"/>
      <w:r>
        <w:t>Perforuota arba neperforuota lizdinė plokštelė</w:t>
      </w:r>
      <w:bookmarkEnd w:id="4"/>
      <w:r>
        <w:t xml:space="preserve"> </w:t>
      </w:r>
      <w:r>
        <w:rPr>
          <w:szCs w:val="20"/>
          <w:lang w:eastAsia="sl-SI"/>
        </w:rPr>
        <w:t>PVC/PVDC//Aliuminio</w:t>
      </w:r>
      <w:r>
        <w:t xml:space="preserve"> </w:t>
      </w:r>
      <w:r>
        <w:rPr>
          <w:szCs w:val="20"/>
          <w:lang w:eastAsia="sl-SI"/>
        </w:rPr>
        <w:t>14, 28, 30, 56, 60, 90 arba 98 plėvele dengtos tabletės dėžutėje.</w:t>
      </w:r>
    </w:p>
    <w:p w14:paraId="5230F3F1" w14:textId="77777777" w:rsidR="00BC7B13" w:rsidRDefault="00BC7B13">
      <w:pPr>
        <w:ind w:left="567" w:hanging="567"/>
      </w:pPr>
    </w:p>
    <w:p w14:paraId="3B0B4895" w14:textId="77777777" w:rsidR="00BC7B13" w:rsidRDefault="004E7EF9">
      <w:pPr>
        <w:ind w:left="567" w:hanging="567"/>
      </w:pPr>
      <w:r>
        <w:t>Gali būti tiekiamos ne visų dydžių pakuotės.</w:t>
      </w:r>
    </w:p>
    <w:p w14:paraId="3AEC426A" w14:textId="77777777" w:rsidR="00BC7B13" w:rsidRDefault="00BC7B13">
      <w:pPr>
        <w:ind w:left="567" w:hanging="567"/>
      </w:pPr>
    </w:p>
    <w:p w14:paraId="14BC9E86" w14:textId="77777777" w:rsidR="00BC7B13" w:rsidRDefault="004E7EF9">
      <w:pPr>
        <w:ind w:left="567" w:hanging="567"/>
        <w:outlineLvl w:val="0"/>
        <w:rPr>
          <w:noProof/>
        </w:rPr>
      </w:pPr>
      <w:r>
        <w:rPr>
          <w:b/>
        </w:rPr>
        <w:t>6.6</w:t>
      </w:r>
      <w:r>
        <w:rPr>
          <w:b/>
        </w:rPr>
        <w:tab/>
      </w:r>
      <w:r>
        <w:rPr>
          <w:rStyle w:val="Grietas"/>
          <w:color w:val="000000"/>
        </w:rPr>
        <w:t>Specialūs reikalavimai atliekoms tvarkyti</w:t>
      </w:r>
    </w:p>
    <w:p w14:paraId="231A2F22" w14:textId="77777777" w:rsidR="00BC7B13" w:rsidRDefault="00BC7B13">
      <w:pPr>
        <w:ind w:left="567" w:hanging="567"/>
        <w:rPr>
          <w:b/>
        </w:rPr>
      </w:pPr>
    </w:p>
    <w:p w14:paraId="3E8EE486" w14:textId="77777777" w:rsidR="00BC7B13" w:rsidRDefault="004E7EF9">
      <w:pPr>
        <w:ind w:left="567" w:hanging="567"/>
        <w:rPr>
          <w:szCs w:val="22"/>
          <w:lang w:eastAsia="lt-LT"/>
        </w:rPr>
      </w:pPr>
      <w:r>
        <w:rPr>
          <w:szCs w:val="22"/>
          <w:lang w:eastAsia="lt-LT"/>
        </w:rPr>
        <w:t>Šis vaistinis preparatas gali kelti pavojų aplinkai (žr. 5.3 skyrių).</w:t>
      </w:r>
    </w:p>
    <w:p w14:paraId="0AE1B2DD" w14:textId="77777777" w:rsidR="00BC7B13" w:rsidRDefault="004E7EF9">
      <w:pPr>
        <w:ind w:left="567" w:hanging="567"/>
      </w:pPr>
      <w:r>
        <w:t>Nesuvartotą vaistinį preparatą ar atliekas reikia tvarkyti laikantis vietinių reikalavimų.</w:t>
      </w:r>
    </w:p>
    <w:p w14:paraId="0F977505" w14:textId="77777777" w:rsidR="00BC7B13" w:rsidRDefault="00BC7B13">
      <w:pPr>
        <w:ind w:left="567" w:hanging="567"/>
      </w:pPr>
    </w:p>
    <w:p w14:paraId="40710527" w14:textId="77777777" w:rsidR="00BC7B13" w:rsidRDefault="00BC7B13">
      <w:pPr>
        <w:ind w:left="567" w:hanging="567"/>
      </w:pPr>
    </w:p>
    <w:p w14:paraId="4ADF75D2" w14:textId="77777777" w:rsidR="00BC7B13" w:rsidRDefault="004E7EF9">
      <w:pPr>
        <w:ind w:left="567" w:hanging="567"/>
        <w:rPr>
          <w:b/>
          <w:caps/>
        </w:rPr>
      </w:pPr>
      <w:r>
        <w:rPr>
          <w:b/>
          <w:caps/>
        </w:rPr>
        <w:t>7.</w:t>
      </w:r>
      <w:r>
        <w:rPr>
          <w:b/>
          <w:caps/>
        </w:rPr>
        <w:tab/>
      </w:r>
      <w:r>
        <w:rPr>
          <w:b/>
          <w:caps/>
          <w:noProof/>
        </w:rPr>
        <w:t>REGISTRUOTOJAS</w:t>
      </w:r>
    </w:p>
    <w:p w14:paraId="79B7CC28" w14:textId="77777777" w:rsidR="00BC7B13" w:rsidRDefault="00BC7B13"/>
    <w:p w14:paraId="1B2016B1" w14:textId="77777777" w:rsidR="00BC7B13" w:rsidRDefault="004E7EF9">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39133707" w14:textId="77777777" w:rsidR="00BC7B13" w:rsidRDefault="004E7EF9">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3132E042" w14:textId="77777777" w:rsidR="00BC7B13" w:rsidRDefault="004E7EF9">
      <w:pPr>
        <w:widowControl w:val="0"/>
        <w:tabs>
          <w:tab w:val="left" w:pos="567"/>
        </w:tabs>
        <w:rPr>
          <w:szCs w:val="20"/>
          <w:lang w:eastAsia="sl-SI"/>
        </w:rPr>
      </w:pPr>
      <w:r>
        <w:rPr>
          <w:snapToGrid w:val="0"/>
          <w:szCs w:val="22"/>
        </w:rPr>
        <w:t>8501 Novo mesto</w:t>
      </w:r>
    </w:p>
    <w:p w14:paraId="07D22038" w14:textId="77777777" w:rsidR="00BC7B13" w:rsidRDefault="004E7EF9">
      <w:pPr>
        <w:widowControl w:val="0"/>
        <w:tabs>
          <w:tab w:val="left" w:pos="567"/>
        </w:tabs>
        <w:rPr>
          <w:snapToGrid w:val="0"/>
          <w:szCs w:val="22"/>
        </w:rPr>
      </w:pPr>
      <w:r>
        <w:rPr>
          <w:snapToGrid w:val="0"/>
          <w:szCs w:val="22"/>
        </w:rPr>
        <w:t>Slovėnija</w:t>
      </w:r>
    </w:p>
    <w:p w14:paraId="232AA876" w14:textId="77777777" w:rsidR="00BC7B13" w:rsidRDefault="00BC7B13">
      <w:pPr>
        <w:ind w:left="567" w:hanging="567"/>
      </w:pPr>
    </w:p>
    <w:p w14:paraId="368D7F79" w14:textId="77777777" w:rsidR="00BC7B13" w:rsidRDefault="00BC7B13">
      <w:pPr>
        <w:ind w:left="567" w:hanging="567"/>
      </w:pPr>
    </w:p>
    <w:p w14:paraId="6D601F2B" w14:textId="77777777" w:rsidR="00BC7B13" w:rsidRDefault="004E7EF9">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1B98A923" w14:textId="77777777" w:rsidR="00BC7B13" w:rsidRDefault="00BC7B13">
      <w:pPr>
        <w:rPr>
          <w:i/>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BC7B13" w14:paraId="408BBA65" w14:textId="77777777">
        <w:tc>
          <w:tcPr>
            <w:tcW w:w="4532" w:type="dxa"/>
          </w:tcPr>
          <w:p w14:paraId="4A9D6893" w14:textId="77777777" w:rsidR="00BC7B13" w:rsidRDefault="004E7EF9">
            <w:pPr>
              <w:rPr>
                <w:u w:val="single"/>
              </w:rPr>
            </w:pPr>
            <w:bookmarkStart w:id="5" w:name="_Hlk168381211"/>
            <w:r>
              <w:rPr>
                <w:u w:val="single"/>
              </w:rPr>
              <w:t>5 mg</w:t>
            </w:r>
          </w:p>
          <w:p w14:paraId="13C1A679" w14:textId="77777777" w:rsidR="00BC7B13" w:rsidRDefault="004E7EF9">
            <w:r>
              <w:t>LT/1/24/5460/001 – N14</w:t>
            </w:r>
          </w:p>
          <w:p w14:paraId="071C25FC" w14:textId="77777777" w:rsidR="00BC7B13" w:rsidRDefault="004E7EF9">
            <w:r>
              <w:t>LT/1/24/5460/002 – N28</w:t>
            </w:r>
          </w:p>
          <w:p w14:paraId="5DE9E699" w14:textId="77777777" w:rsidR="00BC7B13" w:rsidRDefault="004E7EF9">
            <w:r>
              <w:t>LT/1/24/5460/003 – N30</w:t>
            </w:r>
          </w:p>
          <w:p w14:paraId="7140624E" w14:textId="77777777" w:rsidR="00BC7B13" w:rsidRDefault="004E7EF9">
            <w:r>
              <w:lastRenderedPageBreak/>
              <w:t>LT/1/24/5460/004 – N56</w:t>
            </w:r>
          </w:p>
          <w:p w14:paraId="4E084BA9" w14:textId="77777777" w:rsidR="00BC7B13" w:rsidRDefault="004E7EF9">
            <w:r>
              <w:t>LT/1/24/5460/005 – N60</w:t>
            </w:r>
          </w:p>
          <w:p w14:paraId="2F4B8004" w14:textId="77777777" w:rsidR="00BC7B13" w:rsidRDefault="004E7EF9">
            <w:r>
              <w:t>LT/1/24/5460/006 – N90</w:t>
            </w:r>
          </w:p>
          <w:p w14:paraId="7E7AE953" w14:textId="77777777" w:rsidR="00BC7B13" w:rsidRDefault="004E7EF9">
            <w:pPr>
              <w:spacing w:after="120"/>
            </w:pPr>
            <w:r>
              <w:t>LT/1/24/5460/007 – N98</w:t>
            </w:r>
          </w:p>
        </w:tc>
        <w:tc>
          <w:tcPr>
            <w:tcW w:w="4533" w:type="dxa"/>
          </w:tcPr>
          <w:p w14:paraId="4C56071E" w14:textId="77777777" w:rsidR="00BC7B13" w:rsidRDefault="004E7EF9">
            <w:pPr>
              <w:rPr>
                <w:u w:val="single"/>
              </w:rPr>
            </w:pPr>
            <w:r>
              <w:rPr>
                <w:u w:val="single"/>
              </w:rPr>
              <w:lastRenderedPageBreak/>
              <w:t>10 mg</w:t>
            </w:r>
          </w:p>
          <w:p w14:paraId="1B5BEE61" w14:textId="77777777" w:rsidR="00BC7B13" w:rsidRDefault="004E7EF9">
            <w:r>
              <w:t>LT/1/24/5461/001 – N14</w:t>
            </w:r>
          </w:p>
          <w:p w14:paraId="30D4C8F8" w14:textId="77777777" w:rsidR="00BC7B13" w:rsidRDefault="004E7EF9">
            <w:r>
              <w:t>LT/1/24/5461/002 – N28</w:t>
            </w:r>
          </w:p>
          <w:p w14:paraId="6E2EA1BD" w14:textId="77777777" w:rsidR="00BC7B13" w:rsidRDefault="004E7EF9">
            <w:r>
              <w:t>LT/1/24/5461/003 – N30</w:t>
            </w:r>
          </w:p>
          <w:p w14:paraId="0DFFD316" w14:textId="77777777" w:rsidR="00BC7B13" w:rsidRDefault="004E7EF9">
            <w:r>
              <w:lastRenderedPageBreak/>
              <w:t>LT/1/24/5461/004 – N56</w:t>
            </w:r>
          </w:p>
          <w:p w14:paraId="2A51BD8C" w14:textId="77777777" w:rsidR="00BC7B13" w:rsidRDefault="004E7EF9">
            <w:r>
              <w:t>LT/1/24/5461/005 – N60</w:t>
            </w:r>
          </w:p>
          <w:p w14:paraId="1CE17370" w14:textId="77777777" w:rsidR="00BC7B13" w:rsidRDefault="004E7EF9">
            <w:r>
              <w:t>LT/1/24/5461/006 – N90</w:t>
            </w:r>
          </w:p>
          <w:p w14:paraId="10163F6C" w14:textId="77777777" w:rsidR="00BC7B13" w:rsidRDefault="004E7EF9">
            <w:r>
              <w:t>LT/1/24/5461/007 – N98</w:t>
            </w:r>
          </w:p>
        </w:tc>
      </w:tr>
      <w:tr w:rsidR="00BC7B13" w14:paraId="1EA869BF" w14:textId="77777777">
        <w:tc>
          <w:tcPr>
            <w:tcW w:w="4532" w:type="dxa"/>
          </w:tcPr>
          <w:p w14:paraId="4B7A9C51" w14:textId="77777777" w:rsidR="00BC7B13" w:rsidRDefault="004E7EF9">
            <w:pPr>
              <w:rPr>
                <w:u w:val="single"/>
              </w:rPr>
            </w:pPr>
            <w:r>
              <w:rPr>
                <w:u w:val="single"/>
              </w:rPr>
              <w:lastRenderedPageBreak/>
              <w:t>15 mg</w:t>
            </w:r>
          </w:p>
          <w:p w14:paraId="39CBB148" w14:textId="77777777" w:rsidR="00BC7B13" w:rsidRDefault="004E7EF9">
            <w:r>
              <w:t>LT/1/24/5462/001 – N14</w:t>
            </w:r>
          </w:p>
          <w:p w14:paraId="565CF989" w14:textId="77777777" w:rsidR="00BC7B13" w:rsidRDefault="004E7EF9">
            <w:r>
              <w:t>LT/1/24/5462/002 – N28</w:t>
            </w:r>
          </w:p>
          <w:p w14:paraId="47DDE991" w14:textId="77777777" w:rsidR="00BC7B13" w:rsidRDefault="004E7EF9">
            <w:r>
              <w:t>LT/1/24/5462/003 – N30</w:t>
            </w:r>
          </w:p>
          <w:p w14:paraId="27562FA0" w14:textId="77777777" w:rsidR="00BC7B13" w:rsidRDefault="004E7EF9">
            <w:r>
              <w:t>LT/1/24/5462/004 – N56</w:t>
            </w:r>
          </w:p>
          <w:p w14:paraId="306DDFB2" w14:textId="77777777" w:rsidR="00BC7B13" w:rsidRDefault="004E7EF9">
            <w:r>
              <w:t>LT/1/24/5462/005 – N60</w:t>
            </w:r>
          </w:p>
          <w:p w14:paraId="022B8FF3" w14:textId="77777777" w:rsidR="00BC7B13" w:rsidRDefault="004E7EF9">
            <w:r>
              <w:t>LT/1/24/5462/006 – N90</w:t>
            </w:r>
          </w:p>
          <w:p w14:paraId="5C3E2069" w14:textId="77777777" w:rsidR="00BC7B13" w:rsidRDefault="004E7EF9">
            <w:r>
              <w:t>LT/1/24/5462/007 – N98</w:t>
            </w:r>
          </w:p>
        </w:tc>
        <w:tc>
          <w:tcPr>
            <w:tcW w:w="4533" w:type="dxa"/>
          </w:tcPr>
          <w:p w14:paraId="566E52C2" w14:textId="77777777" w:rsidR="00BC7B13" w:rsidRDefault="004E7EF9">
            <w:pPr>
              <w:rPr>
                <w:u w:val="single"/>
              </w:rPr>
            </w:pPr>
            <w:r>
              <w:rPr>
                <w:u w:val="single"/>
              </w:rPr>
              <w:t>20 mg</w:t>
            </w:r>
          </w:p>
          <w:p w14:paraId="6169BB8F" w14:textId="77777777" w:rsidR="00BC7B13" w:rsidRDefault="004E7EF9">
            <w:r>
              <w:t>LT/1/24/5463/001 – N14</w:t>
            </w:r>
          </w:p>
          <w:p w14:paraId="304D4A0C" w14:textId="77777777" w:rsidR="00BC7B13" w:rsidRDefault="004E7EF9">
            <w:r>
              <w:t>LT/1/24/5463/002 – N28</w:t>
            </w:r>
          </w:p>
          <w:p w14:paraId="201E73D2" w14:textId="77777777" w:rsidR="00BC7B13" w:rsidRDefault="004E7EF9">
            <w:r>
              <w:t>LT/1/24/5463/003 – N30</w:t>
            </w:r>
          </w:p>
          <w:p w14:paraId="4B4E0160" w14:textId="77777777" w:rsidR="00BC7B13" w:rsidRDefault="004E7EF9">
            <w:r>
              <w:t>LT/1/24/5463/004 – N56</w:t>
            </w:r>
          </w:p>
          <w:p w14:paraId="0A97A1A9" w14:textId="77777777" w:rsidR="00BC7B13" w:rsidRDefault="004E7EF9">
            <w:r>
              <w:t>LT/1/24/5463/005 – N60</w:t>
            </w:r>
          </w:p>
          <w:p w14:paraId="76218571" w14:textId="77777777" w:rsidR="00BC7B13" w:rsidRDefault="004E7EF9">
            <w:r>
              <w:t>LT/1/24/5463/006 – N90</w:t>
            </w:r>
          </w:p>
          <w:p w14:paraId="7F0930F7" w14:textId="77777777" w:rsidR="00BC7B13" w:rsidRDefault="004E7EF9">
            <w:r>
              <w:t>LT/1/24/5463/007 – N98</w:t>
            </w:r>
          </w:p>
        </w:tc>
      </w:tr>
      <w:bookmarkEnd w:id="5"/>
    </w:tbl>
    <w:p w14:paraId="3DED7B29" w14:textId="77777777" w:rsidR="00BC7B13" w:rsidRDefault="00BC7B13">
      <w:pPr>
        <w:ind w:left="567" w:hanging="567"/>
      </w:pPr>
    </w:p>
    <w:p w14:paraId="5A9AA544" w14:textId="77777777" w:rsidR="00BC7B13" w:rsidRDefault="00BC7B13">
      <w:pPr>
        <w:ind w:left="567" w:hanging="567"/>
      </w:pPr>
    </w:p>
    <w:p w14:paraId="79C30594" w14:textId="77777777" w:rsidR="00BC7B13" w:rsidRDefault="004E7EF9">
      <w:pPr>
        <w:ind w:left="567" w:hanging="567"/>
        <w:rPr>
          <w:b/>
          <w:caps/>
        </w:rPr>
      </w:pPr>
      <w:r>
        <w:rPr>
          <w:b/>
          <w:caps/>
        </w:rPr>
        <w:t>9.</w:t>
      </w:r>
      <w:r>
        <w:rPr>
          <w:b/>
          <w:caps/>
        </w:rPr>
        <w:tab/>
      </w:r>
      <w:r>
        <w:rPr>
          <w:b/>
          <w:caps/>
          <w:noProof/>
        </w:rPr>
        <w:t xml:space="preserve">REGISTRAVIMO / PERREGISTRAVIMO </w:t>
      </w:r>
      <w:r>
        <w:rPr>
          <w:b/>
          <w:caps/>
        </w:rPr>
        <w:t>data</w:t>
      </w:r>
    </w:p>
    <w:p w14:paraId="49BA03D7" w14:textId="77777777" w:rsidR="00BC7B13" w:rsidRDefault="00BC7B13">
      <w:pPr>
        <w:ind w:left="567" w:hanging="567"/>
        <w:rPr>
          <w:b/>
          <w:caps/>
        </w:rPr>
      </w:pPr>
    </w:p>
    <w:p w14:paraId="0032195D" w14:textId="77777777" w:rsidR="00BC7B13" w:rsidRDefault="004E7EF9">
      <w:pPr>
        <w:rPr>
          <w:szCs w:val="22"/>
        </w:rPr>
      </w:pPr>
      <w:r>
        <w:rPr>
          <w:noProof/>
          <w:snapToGrid w:val="0"/>
        </w:rPr>
        <w:t xml:space="preserve">Registravimo data </w:t>
      </w:r>
      <w:r>
        <w:rPr>
          <w:szCs w:val="22"/>
        </w:rPr>
        <w:t>2024 m. birželio 3 d.</w:t>
      </w:r>
    </w:p>
    <w:p w14:paraId="1D03B87D" w14:textId="77777777" w:rsidR="00BC7B13" w:rsidRDefault="00BC7B13">
      <w:pPr>
        <w:ind w:left="567" w:hanging="567"/>
      </w:pPr>
    </w:p>
    <w:p w14:paraId="32C953A0" w14:textId="77777777" w:rsidR="00BC7B13" w:rsidRDefault="00BC7B13">
      <w:pPr>
        <w:ind w:left="567" w:hanging="567"/>
      </w:pPr>
    </w:p>
    <w:p w14:paraId="7099FC89" w14:textId="77777777" w:rsidR="00BC7B13" w:rsidRDefault="004E7EF9">
      <w:pPr>
        <w:ind w:left="567" w:hanging="567"/>
        <w:rPr>
          <w:b/>
          <w:caps/>
        </w:rPr>
      </w:pPr>
      <w:r>
        <w:rPr>
          <w:b/>
          <w:caps/>
        </w:rPr>
        <w:t>10.</w:t>
      </w:r>
      <w:r>
        <w:rPr>
          <w:b/>
          <w:caps/>
        </w:rPr>
        <w:tab/>
        <w:t>teksto peržiūros data</w:t>
      </w:r>
    </w:p>
    <w:p w14:paraId="5E7A04AF" w14:textId="77777777" w:rsidR="00BC7B13" w:rsidRDefault="00BC7B13">
      <w:pPr>
        <w:ind w:left="567" w:hanging="567"/>
        <w:rPr>
          <w:b/>
          <w:caps/>
        </w:rPr>
      </w:pPr>
    </w:p>
    <w:p w14:paraId="0A12A397" w14:textId="35B9FF1E" w:rsidR="00BC7B13" w:rsidRDefault="004E7EF9">
      <w:pPr>
        <w:suppressLineNumbers/>
        <w:tabs>
          <w:tab w:val="left" w:pos="567"/>
        </w:tabs>
        <w:rPr>
          <w:szCs w:val="22"/>
        </w:rPr>
      </w:pPr>
      <w:r>
        <w:rPr>
          <w:szCs w:val="22"/>
        </w:rPr>
        <w:t>2025 m. rugpjūčio 20 d.</w:t>
      </w:r>
    </w:p>
    <w:p w14:paraId="081A8E8F" w14:textId="77777777" w:rsidR="00BC7B13" w:rsidRDefault="00BC7B13">
      <w:pPr>
        <w:suppressLineNumbers/>
        <w:tabs>
          <w:tab w:val="left" w:pos="567"/>
        </w:tabs>
        <w:rPr>
          <w:szCs w:val="22"/>
        </w:rPr>
      </w:pPr>
    </w:p>
    <w:p w14:paraId="7DDBA7FC" w14:textId="77777777" w:rsidR="00BC7B13" w:rsidRDefault="004E7EF9">
      <w:pPr>
        <w:numPr>
          <w:ilvl w:val="12"/>
          <w:numId w:val="0"/>
        </w:numPr>
        <w:suppressLineNumbers/>
        <w:ind w:right="-2"/>
        <w:rPr>
          <w:szCs w:val="22"/>
        </w:rPr>
      </w:pPr>
      <w:r>
        <w:rPr>
          <w:rFonts w:eastAsia="SimSun"/>
          <w:szCs w:val="22"/>
        </w:rPr>
        <w:t>Išsami informacija apie šį vaistinį preparatą pateikiama Valstybinės vaistų kontrolės tarnybos prie Lietuvos Respublikos sveikatos apsaugos ministerijos tinklalapyje</w:t>
      </w:r>
      <w:r>
        <w:rPr>
          <w:rFonts w:eastAsia="SimSun"/>
          <w:i/>
          <w:szCs w:val="22"/>
        </w:rPr>
        <w:t xml:space="preserve"> </w:t>
      </w:r>
      <w:r>
        <w:rPr>
          <w:rFonts w:eastAsia="SimSun"/>
          <w:color w:val="0000FF"/>
          <w:szCs w:val="22"/>
          <w:u w:val="single"/>
        </w:rPr>
        <w:t>http://www.vvkt.lt</w:t>
      </w:r>
    </w:p>
    <w:p w14:paraId="6EC87CE8" w14:textId="77777777" w:rsidR="00BC7B13" w:rsidRDefault="00BC7B13">
      <w:pPr>
        <w:suppressLineNumbers/>
        <w:tabs>
          <w:tab w:val="left" w:pos="567"/>
        </w:tabs>
        <w:rPr>
          <w:szCs w:val="22"/>
        </w:rPr>
      </w:pPr>
    </w:p>
    <w:p w14:paraId="1C6CD4FB" w14:textId="77777777" w:rsidR="00BC7B13" w:rsidRDefault="00BC7B13">
      <w:pPr>
        <w:ind w:left="567" w:hanging="567"/>
      </w:pPr>
    </w:p>
    <w:p w14:paraId="16336F09" w14:textId="77777777" w:rsidR="00BC7B13" w:rsidRDefault="00BC7B13">
      <w:pPr>
        <w:ind w:left="567" w:hanging="567"/>
      </w:pPr>
    </w:p>
    <w:p w14:paraId="4E377B8B" w14:textId="77777777" w:rsidR="00BC7B13" w:rsidRDefault="004E7EF9">
      <w:pPr>
        <w:tabs>
          <w:tab w:val="left" w:pos="567"/>
        </w:tabs>
        <w:spacing w:line="260" w:lineRule="exact"/>
        <w:jc w:val="center"/>
      </w:pPr>
      <w:r>
        <w:br w:type="page"/>
      </w:r>
    </w:p>
    <w:p w14:paraId="418B6414" w14:textId="77777777" w:rsidR="00BC7B13" w:rsidRDefault="00BC7B13">
      <w:pPr>
        <w:widowControl w:val="0"/>
        <w:tabs>
          <w:tab w:val="left" w:pos="567"/>
        </w:tabs>
        <w:jc w:val="center"/>
        <w:rPr>
          <w:snapToGrid w:val="0"/>
          <w:szCs w:val="22"/>
        </w:rPr>
      </w:pPr>
    </w:p>
    <w:p w14:paraId="1B8B3247" w14:textId="77777777" w:rsidR="00BC7B13" w:rsidRDefault="00BC7B13">
      <w:pPr>
        <w:widowControl w:val="0"/>
        <w:tabs>
          <w:tab w:val="left" w:pos="567"/>
        </w:tabs>
        <w:jc w:val="center"/>
        <w:rPr>
          <w:snapToGrid w:val="0"/>
          <w:szCs w:val="22"/>
        </w:rPr>
      </w:pPr>
    </w:p>
    <w:p w14:paraId="46148D8F" w14:textId="77777777" w:rsidR="00BC7B13" w:rsidRDefault="00BC7B13">
      <w:pPr>
        <w:widowControl w:val="0"/>
        <w:tabs>
          <w:tab w:val="left" w:pos="567"/>
        </w:tabs>
        <w:jc w:val="center"/>
        <w:rPr>
          <w:snapToGrid w:val="0"/>
          <w:szCs w:val="22"/>
        </w:rPr>
      </w:pPr>
    </w:p>
    <w:p w14:paraId="1D877088" w14:textId="77777777" w:rsidR="00BC7B13" w:rsidRDefault="00BC7B13">
      <w:pPr>
        <w:widowControl w:val="0"/>
        <w:tabs>
          <w:tab w:val="left" w:pos="567"/>
        </w:tabs>
        <w:jc w:val="center"/>
        <w:rPr>
          <w:snapToGrid w:val="0"/>
          <w:szCs w:val="22"/>
        </w:rPr>
      </w:pPr>
    </w:p>
    <w:p w14:paraId="6FF4D31E" w14:textId="77777777" w:rsidR="00BC7B13" w:rsidRDefault="00BC7B13">
      <w:pPr>
        <w:widowControl w:val="0"/>
        <w:tabs>
          <w:tab w:val="left" w:pos="567"/>
        </w:tabs>
        <w:jc w:val="center"/>
        <w:rPr>
          <w:snapToGrid w:val="0"/>
          <w:szCs w:val="22"/>
        </w:rPr>
      </w:pPr>
    </w:p>
    <w:p w14:paraId="1E540B34" w14:textId="77777777" w:rsidR="00BC7B13" w:rsidRDefault="00BC7B13">
      <w:pPr>
        <w:widowControl w:val="0"/>
        <w:tabs>
          <w:tab w:val="left" w:pos="567"/>
        </w:tabs>
        <w:jc w:val="center"/>
        <w:rPr>
          <w:snapToGrid w:val="0"/>
          <w:szCs w:val="22"/>
        </w:rPr>
      </w:pPr>
    </w:p>
    <w:p w14:paraId="193E938C" w14:textId="77777777" w:rsidR="00BC7B13" w:rsidRDefault="00BC7B13">
      <w:pPr>
        <w:widowControl w:val="0"/>
        <w:tabs>
          <w:tab w:val="left" w:pos="567"/>
        </w:tabs>
        <w:jc w:val="center"/>
        <w:rPr>
          <w:snapToGrid w:val="0"/>
          <w:szCs w:val="22"/>
        </w:rPr>
      </w:pPr>
    </w:p>
    <w:p w14:paraId="10AF2A8B" w14:textId="77777777" w:rsidR="00BC7B13" w:rsidRDefault="00BC7B13">
      <w:pPr>
        <w:widowControl w:val="0"/>
        <w:tabs>
          <w:tab w:val="left" w:pos="567"/>
        </w:tabs>
        <w:jc w:val="center"/>
        <w:rPr>
          <w:snapToGrid w:val="0"/>
          <w:szCs w:val="22"/>
        </w:rPr>
      </w:pPr>
    </w:p>
    <w:p w14:paraId="2AFFD151" w14:textId="77777777" w:rsidR="00BC7B13" w:rsidRDefault="00BC7B13">
      <w:pPr>
        <w:widowControl w:val="0"/>
        <w:tabs>
          <w:tab w:val="left" w:pos="567"/>
        </w:tabs>
        <w:jc w:val="center"/>
        <w:rPr>
          <w:snapToGrid w:val="0"/>
          <w:szCs w:val="22"/>
        </w:rPr>
      </w:pPr>
    </w:p>
    <w:p w14:paraId="330DDA75" w14:textId="77777777" w:rsidR="00BC7B13" w:rsidRDefault="00BC7B13">
      <w:pPr>
        <w:widowControl w:val="0"/>
        <w:tabs>
          <w:tab w:val="left" w:pos="567"/>
        </w:tabs>
        <w:jc w:val="center"/>
        <w:rPr>
          <w:snapToGrid w:val="0"/>
          <w:szCs w:val="22"/>
        </w:rPr>
      </w:pPr>
    </w:p>
    <w:p w14:paraId="35827FAA" w14:textId="77777777" w:rsidR="00BC7B13" w:rsidRDefault="00BC7B13">
      <w:pPr>
        <w:widowControl w:val="0"/>
        <w:tabs>
          <w:tab w:val="left" w:pos="567"/>
        </w:tabs>
        <w:jc w:val="center"/>
        <w:rPr>
          <w:snapToGrid w:val="0"/>
          <w:szCs w:val="22"/>
        </w:rPr>
      </w:pPr>
    </w:p>
    <w:p w14:paraId="6A686955" w14:textId="77777777" w:rsidR="00BC7B13" w:rsidRDefault="00BC7B13">
      <w:pPr>
        <w:widowControl w:val="0"/>
        <w:tabs>
          <w:tab w:val="left" w:pos="567"/>
        </w:tabs>
        <w:jc w:val="center"/>
        <w:rPr>
          <w:snapToGrid w:val="0"/>
          <w:szCs w:val="22"/>
        </w:rPr>
      </w:pPr>
    </w:p>
    <w:p w14:paraId="429DD425" w14:textId="77777777" w:rsidR="00BC7B13" w:rsidRDefault="00BC7B13">
      <w:pPr>
        <w:widowControl w:val="0"/>
        <w:tabs>
          <w:tab w:val="left" w:pos="567"/>
        </w:tabs>
        <w:jc w:val="center"/>
        <w:rPr>
          <w:snapToGrid w:val="0"/>
          <w:szCs w:val="22"/>
        </w:rPr>
      </w:pPr>
    </w:p>
    <w:p w14:paraId="3BE0695B" w14:textId="77777777" w:rsidR="00BC7B13" w:rsidRDefault="00BC7B13">
      <w:pPr>
        <w:widowControl w:val="0"/>
        <w:tabs>
          <w:tab w:val="left" w:pos="567"/>
        </w:tabs>
        <w:jc w:val="center"/>
        <w:rPr>
          <w:snapToGrid w:val="0"/>
          <w:szCs w:val="22"/>
        </w:rPr>
      </w:pPr>
    </w:p>
    <w:p w14:paraId="2B36A0B3" w14:textId="77777777" w:rsidR="00BC7B13" w:rsidRDefault="00BC7B13">
      <w:pPr>
        <w:widowControl w:val="0"/>
        <w:tabs>
          <w:tab w:val="left" w:pos="567"/>
        </w:tabs>
        <w:jc w:val="center"/>
        <w:rPr>
          <w:snapToGrid w:val="0"/>
          <w:szCs w:val="22"/>
        </w:rPr>
      </w:pPr>
    </w:p>
    <w:p w14:paraId="69BFC84B" w14:textId="77777777" w:rsidR="00BC7B13" w:rsidRDefault="00BC7B13">
      <w:pPr>
        <w:widowControl w:val="0"/>
        <w:tabs>
          <w:tab w:val="left" w:pos="567"/>
        </w:tabs>
        <w:jc w:val="center"/>
        <w:rPr>
          <w:snapToGrid w:val="0"/>
          <w:szCs w:val="22"/>
        </w:rPr>
      </w:pPr>
    </w:p>
    <w:p w14:paraId="7D73DA35" w14:textId="77777777" w:rsidR="00BC7B13" w:rsidRDefault="00BC7B13">
      <w:pPr>
        <w:widowControl w:val="0"/>
        <w:tabs>
          <w:tab w:val="left" w:pos="567"/>
        </w:tabs>
        <w:jc w:val="center"/>
        <w:rPr>
          <w:snapToGrid w:val="0"/>
          <w:szCs w:val="22"/>
        </w:rPr>
      </w:pPr>
    </w:p>
    <w:p w14:paraId="608711D9" w14:textId="77777777" w:rsidR="00BC7B13" w:rsidRDefault="00BC7B13">
      <w:pPr>
        <w:widowControl w:val="0"/>
        <w:tabs>
          <w:tab w:val="left" w:pos="567"/>
        </w:tabs>
        <w:jc w:val="center"/>
        <w:rPr>
          <w:b/>
          <w:snapToGrid w:val="0"/>
          <w:szCs w:val="22"/>
        </w:rPr>
      </w:pPr>
    </w:p>
    <w:p w14:paraId="38C48F91" w14:textId="77777777" w:rsidR="00BC7B13" w:rsidRDefault="00BC7B13">
      <w:pPr>
        <w:widowControl w:val="0"/>
        <w:tabs>
          <w:tab w:val="left" w:pos="567"/>
        </w:tabs>
        <w:jc w:val="center"/>
        <w:rPr>
          <w:b/>
          <w:snapToGrid w:val="0"/>
          <w:szCs w:val="22"/>
        </w:rPr>
      </w:pPr>
    </w:p>
    <w:p w14:paraId="67C4906E" w14:textId="77777777" w:rsidR="00BC7B13" w:rsidRDefault="00BC7B13">
      <w:pPr>
        <w:widowControl w:val="0"/>
        <w:tabs>
          <w:tab w:val="left" w:pos="567"/>
        </w:tabs>
        <w:jc w:val="center"/>
        <w:rPr>
          <w:b/>
          <w:snapToGrid w:val="0"/>
          <w:szCs w:val="22"/>
        </w:rPr>
      </w:pPr>
    </w:p>
    <w:p w14:paraId="7AE5B53B" w14:textId="77777777" w:rsidR="00BC7B13" w:rsidRDefault="00BC7B13">
      <w:pPr>
        <w:widowControl w:val="0"/>
        <w:tabs>
          <w:tab w:val="left" w:pos="567"/>
        </w:tabs>
        <w:jc w:val="center"/>
        <w:rPr>
          <w:b/>
          <w:snapToGrid w:val="0"/>
          <w:szCs w:val="22"/>
        </w:rPr>
      </w:pPr>
    </w:p>
    <w:p w14:paraId="5966A081" w14:textId="77777777" w:rsidR="00BC7B13" w:rsidRDefault="00BC7B13">
      <w:pPr>
        <w:widowControl w:val="0"/>
        <w:tabs>
          <w:tab w:val="left" w:pos="567"/>
        </w:tabs>
        <w:jc w:val="center"/>
        <w:rPr>
          <w:b/>
          <w:snapToGrid w:val="0"/>
          <w:szCs w:val="22"/>
        </w:rPr>
      </w:pPr>
    </w:p>
    <w:p w14:paraId="5128494F" w14:textId="77777777" w:rsidR="00BC7B13" w:rsidRDefault="00BC7B13">
      <w:pPr>
        <w:widowControl w:val="0"/>
        <w:tabs>
          <w:tab w:val="left" w:pos="567"/>
        </w:tabs>
        <w:jc w:val="center"/>
        <w:rPr>
          <w:b/>
          <w:szCs w:val="20"/>
          <w:lang w:eastAsia="sl-SI"/>
        </w:rPr>
      </w:pPr>
    </w:p>
    <w:p w14:paraId="11912A61" w14:textId="77777777" w:rsidR="00BC7B13" w:rsidRDefault="004E7EF9">
      <w:pPr>
        <w:widowControl w:val="0"/>
        <w:tabs>
          <w:tab w:val="left" w:pos="567"/>
        </w:tabs>
        <w:jc w:val="center"/>
        <w:rPr>
          <w:b/>
          <w:snapToGrid w:val="0"/>
          <w:szCs w:val="22"/>
        </w:rPr>
      </w:pPr>
      <w:r>
        <w:rPr>
          <w:b/>
          <w:snapToGrid w:val="0"/>
          <w:szCs w:val="22"/>
        </w:rPr>
        <w:t>II PRIEDAS</w:t>
      </w:r>
    </w:p>
    <w:p w14:paraId="09137414" w14:textId="77777777" w:rsidR="00BC7B13" w:rsidRDefault="00BC7B13">
      <w:pPr>
        <w:widowControl w:val="0"/>
        <w:tabs>
          <w:tab w:val="left" w:pos="567"/>
        </w:tabs>
        <w:ind w:right="1416"/>
        <w:rPr>
          <w:snapToGrid w:val="0"/>
          <w:szCs w:val="22"/>
        </w:rPr>
      </w:pPr>
    </w:p>
    <w:p w14:paraId="4A58D684" w14:textId="77777777" w:rsidR="00BC7B13" w:rsidRDefault="004E7EF9">
      <w:pPr>
        <w:widowControl w:val="0"/>
        <w:tabs>
          <w:tab w:val="left" w:pos="567"/>
        </w:tabs>
        <w:jc w:val="center"/>
        <w:rPr>
          <w:i/>
          <w:snapToGrid w:val="0"/>
          <w:szCs w:val="22"/>
        </w:rPr>
      </w:pPr>
      <w:r>
        <w:rPr>
          <w:b/>
          <w:snapToGrid w:val="0"/>
          <w:szCs w:val="22"/>
        </w:rPr>
        <w:t>REGISTRACIJOS SĄLYGOS</w:t>
      </w:r>
    </w:p>
    <w:p w14:paraId="4D2A6915" w14:textId="77777777" w:rsidR="00BC7B13" w:rsidRDefault="00BC7B13">
      <w:pPr>
        <w:widowControl w:val="0"/>
        <w:tabs>
          <w:tab w:val="left" w:pos="567"/>
        </w:tabs>
        <w:jc w:val="center"/>
        <w:rPr>
          <w:snapToGrid w:val="0"/>
          <w:szCs w:val="22"/>
        </w:rPr>
      </w:pPr>
    </w:p>
    <w:p w14:paraId="6F0E3061" w14:textId="77777777" w:rsidR="00BC7B13" w:rsidRDefault="004E7EF9">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0E62ECB5" w14:textId="77777777" w:rsidR="00BC7B13" w:rsidRDefault="00BC7B13">
      <w:pPr>
        <w:widowControl w:val="0"/>
        <w:ind w:left="567" w:right="567" w:hanging="567"/>
        <w:rPr>
          <w:snapToGrid w:val="0"/>
          <w:szCs w:val="22"/>
        </w:rPr>
      </w:pPr>
    </w:p>
    <w:p w14:paraId="041F8BC9" w14:textId="77777777" w:rsidR="00BC7B13" w:rsidRDefault="004E7EF9">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4942620E" w14:textId="77777777" w:rsidR="00BC7B13" w:rsidRDefault="004E7EF9">
      <w:pPr>
        <w:widowControl w:val="0"/>
        <w:tabs>
          <w:tab w:val="left" w:pos="1701"/>
        </w:tabs>
        <w:ind w:left="1701" w:right="567" w:hanging="567"/>
        <w:rPr>
          <w:b/>
          <w:snapToGrid w:val="0"/>
          <w:szCs w:val="22"/>
        </w:rPr>
      </w:pPr>
      <w:r>
        <w:rPr>
          <w:snapToGrid w:val="0"/>
        </w:rPr>
        <w:br w:type="page"/>
      </w:r>
    </w:p>
    <w:p w14:paraId="12B88A3B" w14:textId="77777777" w:rsidR="00BC7B13" w:rsidRDefault="004E7EF9">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4C9BB66D" w14:textId="77777777" w:rsidR="00BC7B13" w:rsidRDefault="00BC7B13">
      <w:pPr>
        <w:widowControl w:val="0"/>
        <w:tabs>
          <w:tab w:val="left" w:pos="567"/>
        </w:tabs>
        <w:rPr>
          <w:snapToGrid w:val="0"/>
          <w:szCs w:val="22"/>
        </w:rPr>
      </w:pPr>
    </w:p>
    <w:p w14:paraId="0CB247E5" w14:textId="77777777" w:rsidR="00BC7B13" w:rsidRDefault="004E7EF9">
      <w:pPr>
        <w:widowControl w:val="0"/>
        <w:tabs>
          <w:tab w:val="left" w:pos="567"/>
        </w:tabs>
        <w:jc w:val="both"/>
        <w:rPr>
          <w:snapToGrid w:val="0"/>
          <w:szCs w:val="22"/>
        </w:rPr>
      </w:pPr>
      <w:r>
        <w:rPr>
          <w:snapToGrid w:val="0"/>
          <w:szCs w:val="22"/>
          <w:u w:val="single"/>
        </w:rPr>
        <w:t>Gamintojo (-ų), atsakingo (-ų) už serijų išleidimą, pavadinimas (-ai) ir adresas (-ai)</w:t>
      </w:r>
    </w:p>
    <w:p w14:paraId="2E7CDCEE" w14:textId="77777777" w:rsidR="00BC7B13" w:rsidRDefault="00BC7B13">
      <w:pPr>
        <w:widowControl w:val="0"/>
        <w:tabs>
          <w:tab w:val="left" w:pos="567"/>
        </w:tabs>
        <w:rPr>
          <w:snapToGrid w:val="0"/>
          <w:szCs w:val="22"/>
        </w:rPr>
      </w:pPr>
    </w:p>
    <w:p w14:paraId="07346DE8" w14:textId="77777777" w:rsidR="00BC7B13" w:rsidRDefault="004E7EF9">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01690FC9" w14:textId="77777777" w:rsidR="00BC7B13" w:rsidRDefault="004E7EF9">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368F55D5" w14:textId="77777777" w:rsidR="00BC7B13" w:rsidRDefault="004E7EF9">
      <w:pPr>
        <w:widowControl w:val="0"/>
        <w:tabs>
          <w:tab w:val="left" w:pos="567"/>
        </w:tabs>
        <w:rPr>
          <w:szCs w:val="20"/>
          <w:lang w:eastAsia="sl-SI"/>
        </w:rPr>
      </w:pPr>
      <w:r>
        <w:rPr>
          <w:snapToGrid w:val="0"/>
          <w:szCs w:val="22"/>
        </w:rPr>
        <w:t>8501 Novo mesto</w:t>
      </w:r>
    </w:p>
    <w:p w14:paraId="33DC8E9E" w14:textId="77777777" w:rsidR="00BC7B13" w:rsidRDefault="004E7EF9">
      <w:pPr>
        <w:widowControl w:val="0"/>
        <w:tabs>
          <w:tab w:val="left" w:pos="567"/>
        </w:tabs>
        <w:rPr>
          <w:snapToGrid w:val="0"/>
          <w:szCs w:val="22"/>
        </w:rPr>
      </w:pPr>
      <w:r>
        <w:rPr>
          <w:snapToGrid w:val="0"/>
          <w:szCs w:val="22"/>
        </w:rPr>
        <w:t>Slovėnija</w:t>
      </w:r>
    </w:p>
    <w:p w14:paraId="2F581838" w14:textId="77777777" w:rsidR="00BC7B13" w:rsidRDefault="00BC7B13">
      <w:pPr>
        <w:widowControl w:val="0"/>
        <w:tabs>
          <w:tab w:val="left" w:pos="567"/>
        </w:tabs>
        <w:rPr>
          <w:snapToGrid w:val="0"/>
          <w:szCs w:val="22"/>
        </w:rPr>
      </w:pPr>
    </w:p>
    <w:p w14:paraId="61A5E77F" w14:textId="77777777" w:rsidR="00BC7B13" w:rsidRDefault="00BC7B13">
      <w:pPr>
        <w:widowControl w:val="0"/>
        <w:tabs>
          <w:tab w:val="left" w:pos="567"/>
        </w:tabs>
        <w:rPr>
          <w:snapToGrid w:val="0"/>
          <w:szCs w:val="22"/>
        </w:rPr>
      </w:pPr>
    </w:p>
    <w:p w14:paraId="34AED418" w14:textId="77777777" w:rsidR="00BC7B13" w:rsidRDefault="004E7EF9">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320B7835" w14:textId="77777777" w:rsidR="00BC7B13" w:rsidRDefault="00BC7B13">
      <w:pPr>
        <w:widowControl w:val="0"/>
        <w:tabs>
          <w:tab w:val="left" w:pos="567"/>
        </w:tabs>
        <w:rPr>
          <w:snapToGrid w:val="0"/>
          <w:szCs w:val="22"/>
        </w:rPr>
      </w:pPr>
    </w:p>
    <w:p w14:paraId="7D0F5AC6" w14:textId="77777777" w:rsidR="00BC7B13" w:rsidRDefault="004E7EF9">
      <w:pPr>
        <w:widowControl w:val="0"/>
        <w:tabs>
          <w:tab w:val="left" w:pos="567"/>
        </w:tabs>
        <w:rPr>
          <w:snapToGrid w:val="0"/>
          <w:szCs w:val="22"/>
        </w:rPr>
      </w:pPr>
      <w:r>
        <w:rPr>
          <w:snapToGrid w:val="0"/>
          <w:szCs w:val="22"/>
        </w:rPr>
        <w:t>Receptinis vaistinis preparatas.</w:t>
      </w:r>
    </w:p>
    <w:p w14:paraId="511A4FBF" w14:textId="77777777" w:rsidR="00BC7B13" w:rsidRDefault="00BC7B13">
      <w:pPr>
        <w:widowControl w:val="0"/>
        <w:rPr>
          <w:snapToGrid w:val="0"/>
          <w:szCs w:val="22"/>
          <w:lang w:eastAsia="lt-LT"/>
        </w:rPr>
      </w:pPr>
    </w:p>
    <w:p w14:paraId="797228ED" w14:textId="77777777" w:rsidR="00BC7B13" w:rsidRDefault="00BC7B13">
      <w:pPr>
        <w:widowControl w:val="0"/>
        <w:tabs>
          <w:tab w:val="left" w:pos="567"/>
        </w:tabs>
        <w:rPr>
          <w:snapToGrid w:val="0"/>
          <w:szCs w:val="22"/>
        </w:rPr>
      </w:pPr>
    </w:p>
    <w:p w14:paraId="2B99046F" w14:textId="77777777" w:rsidR="00BC7B13" w:rsidRDefault="004E7EF9">
      <w:pPr>
        <w:widowControl w:val="0"/>
        <w:tabs>
          <w:tab w:val="left" w:pos="4962"/>
        </w:tabs>
        <w:rPr>
          <w:rFonts w:eastAsia="SimSun"/>
          <w:color w:val="000000"/>
          <w:szCs w:val="22"/>
        </w:rPr>
      </w:pPr>
      <w:r>
        <w:rPr>
          <w:rFonts w:eastAsia="SimSun"/>
          <w:b/>
          <w:szCs w:val="22"/>
        </w:rPr>
        <w:br w:type="page"/>
      </w:r>
    </w:p>
    <w:p w14:paraId="284BE560" w14:textId="77777777" w:rsidR="00BC7B13" w:rsidRDefault="00BC7B13">
      <w:pPr>
        <w:rPr>
          <w:noProof/>
        </w:rPr>
      </w:pPr>
    </w:p>
    <w:p w14:paraId="02AB5F8F" w14:textId="77777777" w:rsidR="00BC7B13" w:rsidRDefault="00BC7B13">
      <w:pPr>
        <w:rPr>
          <w:noProof/>
        </w:rPr>
      </w:pPr>
    </w:p>
    <w:p w14:paraId="037D8F99" w14:textId="77777777" w:rsidR="00BC7B13" w:rsidRDefault="00BC7B13">
      <w:pPr>
        <w:rPr>
          <w:noProof/>
        </w:rPr>
      </w:pPr>
    </w:p>
    <w:p w14:paraId="02FA9F3A" w14:textId="77777777" w:rsidR="00BC7B13" w:rsidRDefault="00BC7B13">
      <w:pPr>
        <w:rPr>
          <w:noProof/>
        </w:rPr>
      </w:pPr>
    </w:p>
    <w:p w14:paraId="63BB38D8" w14:textId="77777777" w:rsidR="00BC7B13" w:rsidRDefault="00BC7B13">
      <w:pPr>
        <w:rPr>
          <w:noProof/>
        </w:rPr>
      </w:pPr>
    </w:p>
    <w:p w14:paraId="20809DAD" w14:textId="77777777" w:rsidR="00BC7B13" w:rsidRDefault="00BC7B13">
      <w:pPr>
        <w:rPr>
          <w:noProof/>
        </w:rPr>
      </w:pPr>
    </w:p>
    <w:p w14:paraId="012DCC52" w14:textId="77777777" w:rsidR="00BC7B13" w:rsidRDefault="00BC7B13">
      <w:pPr>
        <w:rPr>
          <w:noProof/>
        </w:rPr>
      </w:pPr>
    </w:p>
    <w:p w14:paraId="55040A6E" w14:textId="77777777" w:rsidR="00BC7B13" w:rsidRDefault="00BC7B13">
      <w:pPr>
        <w:rPr>
          <w:noProof/>
        </w:rPr>
      </w:pPr>
    </w:p>
    <w:p w14:paraId="1710F0FC" w14:textId="77777777" w:rsidR="00BC7B13" w:rsidRDefault="00BC7B13">
      <w:pPr>
        <w:rPr>
          <w:noProof/>
        </w:rPr>
      </w:pPr>
    </w:p>
    <w:p w14:paraId="7FF9BC60" w14:textId="77777777" w:rsidR="00BC7B13" w:rsidRDefault="00BC7B13">
      <w:pPr>
        <w:rPr>
          <w:noProof/>
        </w:rPr>
      </w:pPr>
    </w:p>
    <w:p w14:paraId="2ABC9DFF" w14:textId="77777777" w:rsidR="00BC7B13" w:rsidRDefault="00BC7B13">
      <w:pPr>
        <w:rPr>
          <w:noProof/>
        </w:rPr>
      </w:pPr>
    </w:p>
    <w:p w14:paraId="21060180" w14:textId="77777777" w:rsidR="00BC7B13" w:rsidRDefault="00BC7B13">
      <w:pPr>
        <w:rPr>
          <w:noProof/>
        </w:rPr>
      </w:pPr>
    </w:p>
    <w:p w14:paraId="7E74585F" w14:textId="77777777" w:rsidR="00BC7B13" w:rsidRDefault="00BC7B13">
      <w:pPr>
        <w:rPr>
          <w:noProof/>
        </w:rPr>
      </w:pPr>
    </w:p>
    <w:p w14:paraId="506F42A6" w14:textId="77777777" w:rsidR="00BC7B13" w:rsidRDefault="00BC7B13">
      <w:pPr>
        <w:rPr>
          <w:noProof/>
        </w:rPr>
      </w:pPr>
    </w:p>
    <w:p w14:paraId="575CCA2C" w14:textId="77777777" w:rsidR="00BC7B13" w:rsidRDefault="00BC7B13">
      <w:pPr>
        <w:rPr>
          <w:noProof/>
        </w:rPr>
      </w:pPr>
    </w:p>
    <w:p w14:paraId="1DC4DB18" w14:textId="77777777" w:rsidR="00BC7B13" w:rsidRDefault="00BC7B13">
      <w:pPr>
        <w:rPr>
          <w:noProof/>
        </w:rPr>
      </w:pPr>
    </w:p>
    <w:p w14:paraId="2415EAC8" w14:textId="77777777" w:rsidR="00BC7B13" w:rsidRDefault="00BC7B13">
      <w:pPr>
        <w:rPr>
          <w:noProof/>
        </w:rPr>
      </w:pPr>
    </w:p>
    <w:p w14:paraId="77DCC3EF" w14:textId="77777777" w:rsidR="00BC7B13" w:rsidRDefault="00BC7B13">
      <w:pPr>
        <w:rPr>
          <w:noProof/>
        </w:rPr>
      </w:pPr>
    </w:p>
    <w:p w14:paraId="6B559A63" w14:textId="77777777" w:rsidR="00BC7B13" w:rsidRDefault="00BC7B13">
      <w:pPr>
        <w:rPr>
          <w:noProof/>
        </w:rPr>
      </w:pPr>
    </w:p>
    <w:p w14:paraId="4E10BDD4" w14:textId="77777777" w:rsidR="00BC7B13" w:rsidRDefault="00BC7B13">
      <w:pPr>
        <w:rPr>
          <w:noProof/>
        </w:rPr>
      </w:pPr>
    </w:p>
    <w:p w14:paraId="734F3D36" w14:textId="77777777" w:rsidR="00BC7B13" w:rsidRDefault="00BC7B13">
      <w:pPr>
        <w:rPr>
          <w:noProof/>
        </w:rPr>
      </w:pPr>
    </w:p>
    <w:p w14:paraId="41EC4098" w14:textId="77777777" w:rsidR="00BC7B13" w:rsidRDefault="00BC7B13">
      <w:pPr>
        <w:rPr>
          <w:noProof/>
        </w:rPr>
      </w:pPr>
    </w:p>
    <w:p w14:paraId="1F76EA5A" w14:textId="77777777" w:rsidR="00BC7B13" w:rsidRDefault="004E7EF9">
      <w:pPr>
        <w:pStyle w:val="Sraopastraipa"/>
        <w:numPr>
          <w:ilvl w:val="0"/>
          <w:numId w:val="12"/>
        </w:numPr>
        <w:jc w:val="center"/>
        <w:outlineLvl w:val="0"/>
        <w:rPr>
          <w:noProof/>
        </w:rPr>
      </w:pPr>
      <w:r>
        <w:rPr>
          <w:b/>
          <w:noProof/>
        </w:rPr>
        <w:t>ŽENKLINIMAS</w:t>
      </w:r>
    </w:p>
    <w:p w14:paraId="30093E16" w14:textId="77777777" w:rsidR="00BC7B13" w:rsidRDefault="004E7EF9">
      <w:pPr>
        <w:shd w:val="clear" w:color="auto" w:fill="FFFFFF"/>
        <w:rPr>
          <w:noProof/>
        </w:rPr>
      </w:pPr>
      <w:r>
        <w:rPr>
          <w:noProof/>
        </w:rPr>
        <w:br w:type="page"/>
      </w:r>
    </w:p>
    <w:p w14:paraId="6D9F9F17" w14:textId="77777777" w:rsidR="00BC7B13" w:rsidRDefault="004E7EF9">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1FA7320A" w14:textId="77777777" w:rsidR="00BC7B13" w:rsidRDefault="00BC7B13">
      <w:pPr>
        <w:pBdr>
          <w:top w:val="single" w:sz="4" w:space="1" w:color="auto"/>
          <w:left w:val="single" w:sz="4" w:space="4" w:color="auto"/>
          <w:bottom w:val="single" w:sz="4" w:space="1" w:color="auto"/>
          <w:right w:val="single" w:sz="4" w:space="4" w:color="auto"/>
        </w:pBdr>
        <w:ind w:left="567" w:hanging="567"/>
        <w:rPr>
          <w:bCs/>
          <w:noProof/>
        </w:rPr>
      </w:pPr>
    </w:p>
    <w:p w14:paraId="6C3766B2" w14:textId="77777777" w:rsidR="00BC7B13" w:rsidRDefault="004E7EF9">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246BBC4B" w14:textId="77777777" w:rsidR="00BC7B13" w:rsidRDefault="00BC7B13">
      <w:pPr>
        <w:rPr>
          <w:noProof/>
          <w:sz w:val="16"/>
          <w:szCs w:val="16"/>
        </w:rPr>
      </w:pPr>
    </w:p>
    <w:p w14:paraId="54234603" w14:textId="77777777" w:rsidR="00BC7B13" w:rsidRDefault="00BC7B13">
      <w:pPr>
        <w:rPr>
          <w:noProof/>
        </w:rPr>
      </w:pPr>
    </w:p>
    <w:p w14:paraId="6841C6D7"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3E761992" w14:textId="77777777" w:rsidR="00BC7B13" w:rsidRDefault="00BC7B13">
      <w:pPr>
        <w:rPr>
          <w:noProof/>
        </w:rPr>
      </w:pPr>
    </w:p>
    <w:p w14:paraId="53BFCC5B" w14:textId="77777777" w:rsidR="00BC7B13" w:rsidRDefault="004E7EF9">
      <w:pPr>
        <w:rPr>
          <w:color w:val="000000" w:themeColor="text1"/>
        </w:rPr>
      </w:pPr>
      <w:bookmarkStart w:id="6" w:name="_Hlk156902138"/>
      <w:r>
        <w:rPr>
          <w:noProof/>
        </w:rPr>
        <w:t>Varesta 5 mg plėvele dengtos tabletės</w:t>
      </w:r>
    </w:p>
    <w:p w14:paraId="000FA27E" w14:textId="77777777" w:rsidR="00BC7B13" w:rsidRDefault="004E7EF9">
      <w:pPr>
        <w:rPr>
          <w:color w:val="000000" w:themeColor="text1"/>
          <w:highlight w:val="lightGray"/>
        </w:rPr>
      </w:pPr>
      <w:r>
        <w:rPr>
          <w:noProof/>
          <w:highlight w:val="lightGray"/>
        </w:rPr>
        <w:t>Varesta 10 mg plėvele dengtos tabletės</w:t>
      </w:r>
    </w:p>
    <w:p w14:paraId="72D970AC" w14:textId="77777777" w:rsidR="00BC7B13" w:rsidRDefault="004E7EF9">
      <w:pPr>
        <w:rPr>
          <w:color w:val="000000" w:themeColor="text1"/>
          <w:highlight w:val="lightGray"/>
        </w:rPr>
      </w:pPr>
      <w:r>
        <w:rPr>
          <w:noProof/>
          <w:highlight w:val="lightGray"/>
        </w:rPr>
        <w:t>Varesta 15 mg plėvele dengtos tabletės</w:t>
      </w:r>
    </w:p>
    <w:p w14:paraId="1AC45978" w14:textId="77777777" w:rsidR="00BC7B13" w:rsidRDefault="004E7EF9">
      <w:pPr>
        <w:rPr>
          <w:color w:val="000000" w:themeColor="text1"/>
        </w:rPr>
      </w:pPr>
      <w:r>
        <w:rPr>
          <w:noProof/>
          <w:highlight w:val="lightGray"/>
        </w:rPr>
        <w:t>Varesta 20 mg plėvele dengtos tabletės</w:t>
      </w:r>
    </w:p>
    <w:bookmarkEnd w:id="6"/>
    <w:p w14:paraId="79A90FC1" w14:textId="77777777" w:rsidR="00BC7B13" w:rsidRDefault="00BC7B13">
      <w:pPr>
        <w:rPr>
          <w:noProof/>
          <w:sz w:val="16"/>
          <w:szCs w:val="16"/>
        </w:rPr>
      </w:pPr>
    </w:p>
    <w:p w14:paraId="65CE6409" w14:textId="77777777" w:rsidR="00BC7B13" w:rsidRDefault="004E7EF9">
      <w:pPr>
        <w:rPr>
          <w:noProof/>
        </w:rPr>
      </w:pPr>
      <w:r>
        <w:rPr>
          <w:noProof/>
        </w:rPr>
        <w:t>vortioksetinas</w:t>
      </w:r>
    </w:p>
    <w:p w14:paraId="39E0901A" w14:textId="77777777" w:rsidR="00BC7B13" w:rsidRDefault="00BC7B13">
      <w:pPr>
        <w:rPr>
          <w:noProof/>
        </w:rPr>
      </w:pPr>
    </w:p>
    <w:p w14:paraId="7704FF52" w14:textId="77777777" w:rsidR="00BC7B13" w:rsidRDefault="00BC7B13">
      <w:pPr>
        <w:rPr>
          <w:noProof/>
        </w:rPr>
      </w:pPr>
    </w:p>
    <w:p w14:paraId="15C3F0BE"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8F7578E" w14:textId="77777777" w:rsidR="00BC7B13" w:rsidRDefault="00BC7B13">
      <w:pPr>
        <w:rPr>
          <w:noProof/>
          <w:sz w:val="16"/>
          <w:szCs w:val="16"/>
        </w:rPr>
      </w:pPr>
    </w:p>
    <w:p w14:paraId="63E6B4B5" w14:textId="77777777" w:rsidR="00BC7B13" w:rsidRDefault="004E7EF9">
      <w:r>
        <w:rPr>
          <w:rFonts w:eastAsia="TimesNewRoman"/>
          <w:szCs w:val="22"/>
          <w:lang w:eastAsia="lt-LT"/>
        </w:rPr>
        <w:t xml:space="preserve">Kiekvienoje plėvele dengtoje tabletėje yra 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24AF6098" w14:textId="77777777" w:rsidR="00BC7B13" w:rsidRDefault="004E7EF9">
      <w:pPr>
        <w:rPr>
          <w:highlight w:val="lightGray"/>
        </w:rPr>
      </w:pPr>
      <w:r>
        <w:rPr>
          <w:rFonts w:eastAsia="TimesNewRoman"/>
          <w:szCs w:val="22"/>
          <w:highlight w:val="lightGray"/>
          <w:lang w:eastAsia="lt-LT"/>
        </w:rPr>
        <w:t xml:space="preserve">Kiekvienoje plėvele dengtoje tabletėje yra 10 mg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hidrobromido</w:t>
      </w:r>
      <w:proofErr w:type="spellEnd"/>
      <w:r>
        <w:rPr>
          <w:rFonts w:eastAsia="TimesNewRoman"/>
          <w:szCs w:val="22"/>
          <w:highlight w:val="lightGray"/>
          <w:lang w:eastAsia="lt-LT"/>
        </w:rPr>
        <w:t xml:space="preserve"> pavidalu).</w:t>
      </w:r>
    </w:p>
    <w:p w14:paraId="77195CB7" w14:textId="77777777" w:rsidR="00BC7B13" w:rsidRDefault="004E7EF9">
      <w:pPr>
        <w:rPr>
          <w:highlight w:val="lightGray"/>
        </w:rPr>
      </w:pPr>
      <w:r>
        <w:rPr>
          <w:rFonts w:eastAsia="TimesNewRoman"/>
          <w:szCs w:val="22"/>
          <w:highlight w:val="lightGray"/>
          <w:lang w:eastAsia="lt-LT"/>
        </w:rPr>
        <w:t xml:space="preserve">Kiekvienoje plėvele dengtoje tabletėje yra 15 mg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hidrobromido</w:t>
      </w:r>
      <w:proofErr w:type="spellEnd"/>
      <w:r>
        <w:rPr>
          <w:rFonts w:eastAsia="TimesNewRoman"/>
          <w:szCs w:val="22"/>
          <w:highlight w:val="lightGray"/>
          <w:lang w:eastAsia="lt-LT"/>
        </w:rPr>
        <w:t xml:space="preserve"> pavidalu).</w:t>
      </w:r>
    </w:p>
    <w:p w14:paraId="2306CCD9" w14:textId="77777777" w:rsidR="00BC7B13" w:rsidRDefault="004E7EF9">
      <w:r>
        <w:rPr>
          <w:rFonts w:eastAsia="TimesNewRoman"/>
          <w:szCs w:val="22"/>
          <w:highlight w:val="lightGray"/>
          <w:lang w:eastAsia="lt-LT"/>
        </w:rPr>
        <w:t xml:space="preserve">Kiekvienoje plėvele dengtoje tabletėje yra 20 mg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vortioksetino</w:t>
      </w:r>
      <w:proofErr w:type="spellEnd"/>
      <w:r>
        <w:rPr>
          <w:rFonts w:eastAsia="TimesNewRoman"/>
          <w:szCs w:val="22"/>
          <w:highlight w:val="lightGray"/>
          <w:lang w:eastAsia="lt-LT"/>
        </w:rPr>
        <w:t xml:space="preserve"> </w:t>
      </w:r>
      <w:proofErr w:type="spellStart"/>
      <w:r>
        <w:rPr>
          <w:rFonts w:eastAsia="TimesNewRoman"/>
          <w:szCs w:val="22"/>
          <w:highlight w:val="lightGray"/>
          <w:lang w:eastAsia="lt-LT"/>
        </w:rPr>
        <w:t>hidrobromido</w:t>
      </w:r>
      <w:proofErr w:type="spellEnd"/>
      <w:r>
        <w:rPr>
          <w:rFonts w:eastAsia="TimesNewRoman"/>
          <w:szCs w:val="22"/>
          <w:highlight w:val="lightGray"/>
          <w:lang w:eastAsia="lt-LT"/>
        </w:rPr>
        <w:t xml:space="preserve"> pavidalu).</w:t>
      </w:r>
    </w:p>
    <w:p w14:paraId="56ED57C1" w14:textId="77777777" w:rsidR="00BC7B13" w:rsidRDefault="00BC7B13">
      <w:pPr>
        <w:rPr>
          <w:noProof/>
        </w:rPr>
      </w:pPr>
    </w:p>
    <w:p w14:paraId="6A4C666B" w14:textId="77777777" w:rsidR="00BC7B13" w:rsidRDefault="00BC7B13">
      <w:pPr>
        <w:rPr>
          <w:noProof/>
        </w:rPr>
      </w:pPr>
    </w:p>
    <w:p w14:paraId="100218E0"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3B810279" w14:textId="77777777" w:rsidR="00BC7B13" w:rsidRDefault="00BC7B13">
      <w:pPr>
        <w:rPr>
          <w:noProof/>
        </w:rPr>
      </w:pPr>
    </w:p>
    <w:p w14:paraId="5F489F2B" w14:textId="77777777" w:rsidR="00BC7B13" w:rsidRDefault="00BC7B13">
      <w:pPr>
        <w:rPr>
          <w:noProof/>
        </w:rPr>
      </w:pPr>
    </w:p>
    <w:p w14:paraId="000F0BD8"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C45FB10" w14:textId="77777777" w:rsidR="00BC7B13" w:rsidRDefault="00BC7B13">
      <w:pPr>
        <w:rPr>
          <w:noProof/>
        </w:rPr>
      </w:pPr>
    </w:p>
    <w:p w14:paraId="03BD8B5B" w14:textId="77777777" w:rsidR="00BC7B13" w:rsidRDefault="004E7EF9">
      <w:r>
        <w:rPr>
          <w:highlight w:val="lightGray"/>
        </w:rPr>
        <w:t>Plėvele dengta tabletė</w:t>
      </w:r>
    </w:p>
    <w:p w14:paraId="1997CA73" w14:textId="77777777" w:rsidR="00BC7B13" w:rsidRDefault="00BC7B13">
      <w:pPr>
        <w:rPr>
          <w:sz w:val="16"/>
          <w:szCs w:val="16"/>
        </w:rPr>
      </w:pPr>
    </w:p>
    <w:p w14:paraId="6F3E4D94" w14:textId="77777777" w:rsidR="00BC7B13" w:rsidRDefault="004E7EF9">
      <w:pPr>
        <w:widowControl w:val="0"/>
        <w:rPr>
          <w:szCs w:val="20"/>
          <w:lang w:val="en-GB" w:eastAsia="sl-SI"/>
        </w:rPr>
      </w:pPr>
      <w:r>
        <w:rPr>
          <w:szCs w:val="20"/>
          <w:lang w:val="en-GB" w:eastAsia="sl-SI"/>
        </w:rPr>
        <w:t xml:space="preserve">14 </w:t>
      </w:r>
      <w:proofErr w:type="spellStart"/>
      <w:r>
        <w:rPr>
          <w:szCs w:val="20"/>
          <w:lang w:val="en-GB" w:eastAsia="sl-SI"/>
        </w:rPr>
        <w:t>plėvele</w:t>
      </w:r>
      <w:proofErr w:type="spellEnd"/>
      <w:r>
        <w:rPr>
          <w:szCs w:val="20"/>
          <w:lang w:val="en-GB" w:eastAsia="sl-SI"/>
        </w:rPr>
        <w:t xml:space="preserve"> </w:t>
      </w:r>
      <w:proofErr w:type="spellStart"/>
      <w:r>
        <w:rPr>
          <w:szCs w:val="20"/>
          <w:lang w:val="en-GB" w:eastAsia="sl-SI"/>
        </w:rPr>
        <w:t>dengtų</w:t>
      </w:r>
      <w:proofErr w:type="spellEnd"/>
      <w:r>
        <w:rPr>
          <w:szCs w:val="20"/>
          <w:lang w:val="en-GB" w:eastAsia="sl-SI"/>
        </w:rPr>
        <w:t xml:space="preserve"> </w:t>
      </w:r>
      <w:proofErr w:type="spellStart"/>
      <w:r>
        <w:rPr>
          <w:szCs w:val="20"/>
          <w:lang w:val="en-GB" w:eastAsia="sl-SI"/>
        </w:rPr>
        <w:t>tablečių</w:t>
      </w:r>
      <w:proofErr w:type="spellEnd"/>
    </w:p>
    <w:p w14:paraId="4433229F" w14:textId="77777777" w:rsidR="00BC7B13" w:rsidRDefault="004E7EF9">
      <w:pPr>
        <w:widowControl w:val="0"/>
        <w:rPr>
          <w:szCs w:val="20"/>
          <w:highlight w:val="lightGray"/>
          <w:lang w:val="en-GB" w:eastAsia="sl-SI"/>
        </w:rPr>
      </w:pPr>
      <w:r>
        <w:rPr>
          <w:szCs w:val="20"/>
          <w:highlight w:val="lightGray"/>
          <w:lang w:val="en-GB" w:eastAsia="sl-SI"/>
        </w:rPr>
        <w:t xml:space="preserve">28 </w:t>
      </w:r>
      <w:bookmarkStart w:id="7" w:name="_Hlk156901681"/>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dengtos</w:t>
      </w:r>
      <w:proofErr w:type="spellEnd"/>
      <w:r>
        <w:rPr>
          <w:szCs w:val="20"/>
          <w:highlight w:val="lightGray"/>
          <w:lang w:val="en-GB" w:eastAsia="sl-SI"/>
        </w:rPr>
        <w:t xml:space="preserve"> </w:t>
      </w:r>
      <w:proofErr w:type="spellStart"/>
      <w:r>
        <w:rPr>
          <w:szCs w:val="20"/>
          <w:highlight w:val="lightGray"/>
          <w:lang w:val="en-GB" w:eastAsia="sl-SI"/>
        </w:rPr>
        <w:t>tabletės</w:t>
      </w:r>
      <w:bookmarkEnd w:id="7"/>
      <w:proofErr w:type="spellEnd"/>
    </w:p>
    <w:p w14:paraId="78C41157" w14:textId="77777777" w:rsidR="00BC7B13" w:rsidRDefault="004E7EF9">
      <w:pPr>
        <w:widowControl w:val="0"/>
        <w:rPr>
          <w:szCs w:val="20"/>
          <w:highlight w:val="lightGray"/>
          <w:lang w:val="en-GB" w:eastAsia="sl-SI"/>
        </w:rPr>
      </w:pPr>
      <w:r>
        <w:rPr>
          <w:szCs w:val="20"/>
          <w:highlight w:val="lightGray"/>
          <w:lang w:val="en-GB" w:eastAsia="sl-SI"/>
        </w:rPr>
        <w:t xml:space="preserve">30 </w:t>
      </w:r>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dengtų</w:t>
      </w:r>
      <w:proofErr w:type="spellEnd"/>
      <w:r>
        <w:rPr>
          <w:szCs w:val="20"/>
          <w:highlight w:val="lightGray"/>
          <w:lang w:val="en-GB" w:eastAsia="sl-SI"/>
        </w:rPr>
        <w:t xml:space="preserve"> </w:t>
      </w:r>
      <w:proofErr w:type="spellStart"/>
      <w:r>
        <w:rPr>
          <w:szCs w:val="20"/>
          <w:highlight w:val="lightGray"/>
          <w:lang w:val="en-GB" w:eastAsia="sl-SI"/>
        </w:rPr>
        <w:t>tablečių</w:t>
      </w:r>
      <w:proofErr w:type="spellEnd"/>
    </w:p>
    <w:p w14:paraId="14DA1FCF" w14:textId="77777777" w:rsidR="00BC7B13" w:rsidRDefault="004E7EF9">
      <w:pPr>
        <w:widowControl w:val="0"/>
        <w:rPr>
          <w:szCs w:val="20"/>
          <w:highlight w:val="lightGray"/>
          <w:lang w:val="en-GB" w:eastAsia="sl-SI"/>
        </w:rPr>
      </w:pPr>
      <w:r>
        <w:rPr>
          <w:szCs w:val="20"/>
          <w:highlight w:val="lightGray"/>
          <w:lang w:val="en-GB" w:eastAsia="sl-SI"/>
        </w:rPr>
        <w:t xml:space="preserve">56 </w:t>
      </w:r>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dengtos</w:t>
      </w:r>
      <w:proofErr w:type="spellEnd"/>
      <w:r>
        <w:rPr>
          <w:szCs w:val="20"/>
          <w:highlight w:val="lightGray"/>
          <w:lang w:val="en-GB" w:eastAsia="sl-SI"/>
        </w:rPr>
        <w:t xml:space="preserve"> </w:t>
      </w:r>
      <w:proofErr w:type="spellStart"/>
      <w:r>
        <w:rPr>
          <w:szCs w:val="20"/>
          <w:highlight w:val="lightGray"/>
          <w:lang w:val="en-GB" w:eastAsia="sl-SI"/>
        </w:rPr>
        <w:t>tabletės</w:t>
      </w:r>
      <w:proofErr w:type="spellEnd"/>
    </w:p>
    <w:p w14:paraId="0F02FC94" w14:textId="77777777" w:rsidR="00BC7B13" w:rsidRDefault="004E7EF9">
      <w:pPr>
        <w:widowControl w:val="0"/>
        <w:rPr>
          <w:szCs w:val="20"/>
          <w:highlight w:val="lightGray"/>
          <w:lang w:val="en-GB" w:eastAsia="sl-SI"/>
        </w:rPr>
      </w:pPr>
      <w:r>
        <w:rPr>
          <w:szCs w:val="20"/>
          <w:highlight w:val="lightGray"/>
          <w:lang w:val="en-GB" w:eastAsia="sl-SI"/>
        </w:rPr>
        <w:t xml:space="preserve">60 </w:t>
      </w:r>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dengtų</w:t>
      </w:r>
      <w:proofErr w:type="spellEnd"/>
      <w:r>
        <w:rPr>
          <w:szCs w:val="20"/>
          <w:highlight w:val="lightGray"/>
          <w:lang w:val="en-GB" w:eastAsia="sl-SI"/>
        </w:rPr>
        <w:t xml:space="preserve"> </w:t>
      </w:r>
      <w:proofErr w:type="spellStart"/>
      <w:r>
        <w:rPr>
          <w:szCs w:val="20"/>
          <w:highlight w:val="lightGray"/>
          <w:lang w:val="en-GB" w:eastAsia="sl-SI"/>
        </w:rPr>
        <w:t>tablečių</w:t>
      </w:r>
      <w:proofErr w:type="spellEnd"/>
    </w:p>
    <w:p w14:paraId="00A06BF9" w14:textId="77777777" w:rsidR="00BC7B13" w:rsidRDefault="004E7EF9">
      <w:pPr>
        <w:widowControl w:val="0"/>
        <w:rPr>
          <w:noProof/>
          <w:szCs w:val="22"/>
          <w:highlight w:val="lightGray"/>
          <w:lang w:val="en-GB"/>
        </w:rPr>
      </w:pPr>
      <w:r>
        <w:rPr>
          <w:szCs w:val="20"/>
          <w:highlight w:val="lightGray"/>
          <w:lang w:val="en-GB" w:eastAsia="sl-SI"/>
        </w:rPr>
        <w:t xml:space="preserve">90 </w:t>
      </w:r>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dengtų</w:t>
      </w:r>
      <w:proofErr w:type="spellEnd"/>
      <w:r>
        <w:rPr>
          <w:szCs w:val="20"/>
          <w:highlight w:val="lightGray"/>
          <w:lang w:val="en-GB" w:eastAsia="sl-SI"/>
        </w:rPr>
        <w:t xml:space="preserve"> </w:t>
      </w:r>
      <w:proofErr w:type="spellStart"/>
      <w:r>
        <w:rPr>
          <w:szCs w:val="20"/>
          <w:highlight w:val="lightGray"/>
          <w:lang w:val="en-GB" w:eastAsia="sl-SI"/>
        </w:rPr>
        <w:t>tablečių</w:t>
      </w:r>
      <w:proofErr w:type="spellEnd"/>
    </w:p>
    <w:p w14:paraId="255AD765" w14:textId="77777777" w:rsidR="00BC7B13" w:rsidRDefault="004E7EF9">
      <w:pPr>
        <w:widowControl w:val="0"/>
        <w:rPr>
          <w:szCs w:val="20"/>
          <w:highlight w:val="lightGray"/>
          <w:lang w:val="en-GB" w:eastAsia="sl-SI"/>
        </w:rPr>
      </w:pPr>
      <w:r>
        <w:rPr>
          <w:szCs w:val="20"/>
          <w:highlight w:val="lightGray"/>
          <w:lang w:val="en-GB" w:eastAsia="sl-SI"/>
        </w:rPr>
        <w:t xml:space="preserve">98 </w:t>
      </w:r>
      <w:proofErr w:type="spellStart"/>
      <w:r>
        <w:rPr>
          <w:szCs w:val="20"/>
          <w:highlight w:val="lightGray"/>
          <w:lang w:val="en-GB" w:eastAsia="sl-SI"/>
        </w:rPr>
        <w:t>plėvele</w:t>
      </w:r>
      <w:proofErr w:type="spellEnd"/>
      <w:r>
        <w:rPr>
          <w:szCs w:val="20"/>
          <w:highlight w:val="lightGray"/>
          <w:lang w:val="en-GB" w:eastAsia="sl-SI"/>
        </w:rPr>
        <w:t xml:space="preserve"> </w:t>
      </w:r>
      <w:proofErr w:type="spellStart"/>
      <w:r>
        <w:rPr>
          <w:szCs w:val="20"/>
          <w:highlight w:val="lightGray"/>
          <w:lang w:val="en-GB" w:eastAsia="sl-SI"/>
        </w:rPr>
        <w:t>dengtos</w:t>
      </w:r>
      <w:proofErr w:type="spellEnd"/>
      <w:r>
        <w:rPr>
          <w:szCs w:val="20"/>
          <w:highlight w:val="lightGray"/>
          <w:lang w:val="en-GB" w:eastAsia="sl-SI"/>
        </w:rPr>
        <w:t xml:space="preserve"> </w:t>
      </w:r>
      <w:proofErr w:type="spellStart"/>
      <w:r>
        <w:rPr>
          <w:szCs w:val="20"/>
          <w:highlight w:val="lightGray"/>
          <w:lang w:val="en-GB" w:eastAsia="sl-SI"/>
        </w:rPr>
        <w:t>tabletės</w:t>
      </w:r>
      <w:proofErr w:type="spellEnd"/>
    </w:p>
    <w:p w14:paraId="2906106A" w14:textId="77777777" w:rsidR="00BC7B13" w:rsidRDefault="00BC7B13">
      <w:pPr>
        <w:rPr>
          <w:noProof/>
        </w:rPr>
      </w:pPr>
    </w:p>
    <w:p w14:paraId="68B085DD" w14:textId="77777777" w:rsidR="00BC7B13" w:rsidRDefault="00BC7B13">
      <w:pPr>
        <w:rPr>
          <w:noProof/>
        </w:rPr>
      </w:pPr>
    </w:p>
    <w:p w14:paraId="570C5F31"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10ACAC2D" w14:textId="77777777" w:rsidR="00BC7B13" w:rsidRDefault="00BC7B13">
      <w:pPr>
        <w:rPr>
          <w:i/>
          <w:noProof/>
        </w:rPr>
      </w:pPr>
    </w:p>
    <w:p w14:paraId="4B55F7DD" w14:textId="77777777" w:rsidR="00BC7B13" w:rsidRDefault="004E7EF9">
      <w:pPr>
        <w:rPr>
          <w:noProof/>
        </w:rPr>
      </w:pPr>
      <w:r>
        <w:rPr>
          <w:noProof/>
        </w:rPr>
        <w:t>Prieš vartojimą perskaitykite pakuotės lapelį.</w:t>
      </w:r>
    </w:p>
    <w:p w14:paraId="3C12B7FF" w14:textId="77777777" w:rsidR="00BC7B13" w:rsidRDefault="004E7EF9">
      <w:pPr>
        <w:rPr>
          <w:noProof/>
        </w:rPr>
      </w:pPr>
      <w:r>
        <w:rPr>
          <w:noProof/>
        </w:rPr>
        <w:t>Vartoti per burną</w:t>
      </w:r>
    </w:p>
    <w:p w14:paraId="35297BE4" w14:textId="77777777" w:rsidR="00BC7B13" w:rsidRDefault="00BC7B13">
      <w:pPr>
        <w:rPr>
          <w:noProof/>
        </w:rPr>
      </w:pPr>
    </w:p>
    <w:p w14:paraId="1382B3E5" w14:textId="77777777" w:rsidR="00BC7B13" w:rsidRDefault="00BC7B13">
      <w:pPr>
        <w:rPr>
          <w:noProof/>
        </w:rPr>
      </w:pPr>
    </w:p>
    <w:p w14:paraId="183C1868" w14:textId="77777777" w:rsidR="00BC7B13" w:rsidRDefault="004E7EF9">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4811ACE" w14:textId="77777777" w:rsidR="00BC7B13" w:rsidRDefault="00BC7B13">
      <w:pPr>
        <w:rPr>
          <w:noProof/>
          <w:sz w:val="16"/>
          <w:szCs w:val="16"/>
        </w:rPr>
      </w:pPr>
    </w:p>
    <w:p w14:paraId="77EE468C" w14:textId="77777777" w:rsidR="00BC7B13" w:rsidRDefault="004E7EF9">
      <w:pPr>
        <w:pStyle w:val="Pagrindinistekstas"/>
        <w:rPr>
          <w:i w:val="0"/>
          <w:iCs/>
          <w:noProof/>
          <w:color w:val="auto"/>
          <w:lang w:val="lt-LT"/>
        </w:rPr>
      </w:pPr>
      <w:r>
        <w:rPr>
          <w:i w:val="0"/>
          <w:iCs/>
          <w:noProof/>
          <w:color w:val="auto"/>
          <w:lang w:val="lt-LT"/>
        </w:rPr>
        <w:t>Laikyti vaikams nepastebimoje ir nepasiekiamoje vietoje.</w:t>
      </w:r>
    </w:p>
    <w:p w14:paraId="0B15506A" w14:textId="77777777" w:rsidR="00BC7B13" w:rsidRDefault="00BC7B13">
      <w:pPr>
        <w:rPr>
          <w:noProof/>
        </w:rPr>
      </w:pPr>
    </w:p>
    <w:p w14:paraId="4BBAA72F" w14:textId="77777777" w:rsidR="00BC7B13" w:rsidRDefault="00BC7B13">
      <w:pPr>
        <w:rPr>
          <w:noProof/>
        </w:rPr>
      </w:pPr>
    </w:p>
    <w:p w14:paraId="52AC8426"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3F5689FC" w14:textId="77777777" w:rsidR="00BC7B13" w:rsidRDefault="00BC7B13">
      <w:pPr>
        <w:rPr>
          <w:noProof/>
          <w:sz w:val="16"/>
          <w:szCs w:val="16"/>
        </w:rPr>
      </w:pPr>
    </w:p>
    <w:p w14:paraId="75F85CC3" w14:textId="77777777" w:rsidR="00BC7B13" w:rsidRDefault="00BC7B13">
      <w:pPr>
        <w:rPr>
          <w:noProof/>
        </w:rPr>
      </w:pPr>
    </w:p>
    <w:p w14:paraId="540BAB56"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5EB8DDE1" w14:textId="77777777" w:rsidR="00BC7B13" w:rsidRDefault="00BC7B13">
      <w:pPr>
        <w:rPr>
          <w:i/>
          <w:noProof/>
        </w:rPr>
      </w:pPr>
    </w:p>
    <w:p w14:paraId="7524E032" w14:textId="77777777" w:rsidR="00BC7B13" w:rsidRDefault="004E7EF9">
      <w:pPr>
        <w:rPr>
          <w:iCs/>
          <w:noProof/>
        </w:rPr>
      </w:pPr>
      <w:r>
        <w:rPr>
          <w:iCs/>
          <w:noProof/>
        </w:rPr>
        <w:t xml:space="preserve">EXP </w:t>
      </w:r>
      <w:r>
        <w:rPr>
          <w:snapToGrid w:val="0"/>
        </w:rPr>
        <w:t>(mm/MMMM)</w:t>
      </w:r>
    </w:p>
    <w:p w14:paraId="22B9C7BD" w14:textId="77777777" w:rsidR="00BC7B13" w:rsidRDefault="00BC7B13">
      <w:pPr>
        <w:rPr>
          <w:noProof/>
        </w:rPr>
      </w:pPr>
    </w:p>
    <w:p w14:paraId="4C3074F4" w14:textId="77777777" w:rsidR="00BC7B13" w:rsidRDefault="00BC7B13">
      <w:pPr>
        <w:rPr>
          <w:noProof/>
        </w:rPr>
      </w:pPr>
    </w:p>
    <w:p w14:paraId="7A037F91"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341D017" w14:textId="77777777" w:rsidR="00BC7B13" w:rsidRDefault="00BC7B13">
      <w:pPr>
        <w:rPr>
          <w:i/>
          <w:noProof/>
        </w:rPr>
      </w:pPr>
    </w:p>
    <w:p w14:paraId="3ED8EA48" w14:textId="77777777" w:rsidR="00BC7B13" w:rsidRDefault="00BC7B13">
      <w:pPr>
        <w:ind w:left="567" w:hanging="567"/>
        <w:rPr>
          <w:i/>
          <w:iCs/>
        </w:rPr>
      </w:pPr>
    </w:p>
    <w:p w14:paraId="22A0A39A" w14:textId="77777777" w:rsidR="00BC7B13" w:rsidRDefault="00BC7B13">
      <w:pPr>
        <w:ind w:left="567" w:hanging="567"/>
        <w:rPr>
          <w:noProof/>
        </w:rPr>
      </w:pPr>
    </w:p>
    <w:p w14:paraId="07B0FD73" w14:textId="77777777" w:rsidR="00BC7B13" w:rsidRDefault="004E7EF9">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BF7E897" w14:textId="77777777" w:rsidR="00BC7B13" w:rsidRDefault="00BC7B13">
      <w:pPr>
        <w:rPr>
          <w:noProof/>
        </w:rPr>
      </w:pPr>
    </w:p>
    <w:p w14:paraId="60A2AB17" w14:textId="77777777" w:rsidR="00BC7B13" w:rsidRDefault="00BC7B13">
      <w:pPr>
        <w:rPr>
          <w:noProof/>
        </w:rPr>
      </w:pPr>
    </w:p>
    <w:p w14:paraId="5B8A8112" w14:textId="77777777" w:rsidR="00BC7B13" w:rsidRDefault="004E7EF9">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B868912" w14:textId="77777777" w:rsidR="00BC7B13" w:rsidRDefault="00BC7B13"/>
    <w:p w14:paraId="23456935" w14:textId="77777777" w:rsidR="00BC7B13" w:rsidRDefault="004E7EF9">
      <w:pPr>
        <w:widowControl w:val="0"/>
        <w:rPr>
          <w:noProof/>
          <w:szCs w:val="22"/>
          <w:lang w:eastAsia="sl-SI"/>
        </w:rPr>
      </w:pPr>
      <w:r>
        <w:rPr>
          <w:noProof/>
          <w:szCs w:val="22"/>
          <w:lang w:eastAsia="sl-SI"/>
        </w:rPr>
        <w:t>KRKA, d.d., Novo mesto</w:t>
      </w:r>
    </w:p>
    <w:p w14:paraId="38E1DEDC" w14:textId="77777777" w:rsidR="00BC7B13" w:rsidRDefault="004E7EF9">
      <w:pPr>
        <w:widowControl w:val="0"/>
        <w:rPr>
          <w:noProof/>
          <w:szCs w:val="22"/>
          <w:lang w:eastAsia="sl-SI"/>
        </w:rPr>
      </w:pPr>
      <w:r>
        <w:rPr>
          <w:noProof/>
          <w:szCs w:val="22"/>
          <w:lang w:eastAsia="sl-SI"/>
        </w:rPr>
        <w:t>Šmarješka cesta 6</w:t>
      </w:r>
    </w:p>
    <w:p w14:paraId="4C2F7823" w14:textId="77777777" w:rsidR="00BC7B13" w:rsidRDefault="004E7EF9">
      <w:pPr>
        <w:widowControl w:val="0"/>
        <w:rPr>
          <w:noProof/>
          <w:szCs w:val="22"/>
          <w:lang w:eastAsia="sl-SI"/>
        </w:rPr>
      </w:pPr>
      <w:r>
        <w:rPr>
          <w:noProof/>
          <w:szCs w:val="22"/>
          <w:lang w:eastAsia="sl-SI"/>
        </w:rPr>
        <w:t>8501 Novo mesto</w:t>
      </w:r>
    </w:p>
    <w:p w14:paraId="5420A4DD" w14:textId="77777777" w:rsidR="00BC7B13" w:rsidRDefault="004E7EF9">
      <w:pPr>
        <w:rPr>
          <w:noProof/>
          <w:szCs w:val="22"/>
          <w:lang w:eastAsia="sl-SI"/>
        </w:rPr>
      </w:pPr>
      <w:r>
        <w:rPr>
          <w:noProof/>
          <w:szCs w:val="22"/>
          <w:lang w:eastAsia="sl-SI"/>
        </w:rPr>
        <w:t>Slovėnija</w:t>
      </w:r>
    </w:p>
    <w:p w14:paraId="03619D70" w14:textId="77777777" w:rsidR="00BC7B13" w:rsidRDefault="00BC7B13">
      <w:pPr>
        <w:rPr>
          <w:noProof/>
        </w:rPr>
      </w:pPr>
    </w:p>
    <w:p w14:paraId="52E17B6C" w14:textId="77777777" w:rsidR="00BC7B13" w:rsidRDefault="00BC7B13">
      <w:pPr>
        <w:rPr>
          <w:noProof/>
        </w:rPr>
      </w:pPr>
    </w:p>
    <w:p w14:paraId="2F48BEBE" w14:textId="77777777" w:rsidR="00BC7B13" w:rsidRDefault="004E7EF9">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4CA5711" w14:textId="77777777" w:rsidR="00BC7B13" w:rsidRDefault="00BC7B13">
      <w:pPr>
        <w:rPr>
          <w:noProof/>
        </w:rPr>
      </w:pPr>
    </w:p>
    <w:p w14:paraId="317AEB10" w14:textId="77777777" w:rsidR="00BC7B13" w:rsidRDefault="004E7EF9">
      <w:pPr>
        <w:rPr>
          <w:u w:val="single"/>
          <w:shd w:val="clear" w:color="auto" w:fill="D9D9D9" w:themeFill="background1" w:themeFillShade="D9"/>
        </w:rPr>
      </w:pPr>
      <w:r>
        <w:rPr>
          <w:u w:val="single"/>
          <w:shd w:val="clear" w:color="auto" w:fill="D9D9D9" w:themeFill="background1" w:themeFillShade="D9"/>
        </w:rPr>
        <w:t>5 mg</w:t>
      </w:r>
    </w:p>
    <w:p w14:paraId="53988E04" w14:textId="77777777" w:rsidR="00BC7B13" w:rsidRDefault="004E7EF9">
      <w:pPr>
        <w:rPr>
          <w:shd w:val="clear" w:color="auto" w:fill="D9D9D9" w:themeFill="background1" w:themeFillShade="D9"/>
        </w:rPr>
      </w:pPr>
      <w:r>
        <w:t xml:space="preserve">LT/1/24/5460/001 </w:t>
      </w:r>
      <w:r>
        <w:rPr>
          <w:shd w:val="clear" w:color="auto" w:fill="D9D9D9" w:themeFill="background1" w:themeFillShade="D9"/>
        </w:rPr>
        <w:t>– N14</w:t>
      </w:r>
    </w:p>
    <w:p w14:paraId="1E8D1B0D" w14:textId="77777777" w:rsidR="00BC7B13" w:rsidRDefault="004E7EF9">
      <w:pPr>
        <w:rPr>
          <w:shd w:val="clear" w:color="auto" w:fill="D9D9D9" w:themeFill="background1" w:themeFillShade="D9"/>
        </w:rPr>
      </w:pPr>
      <w:r>
        <w:rPr>
          <w:shd w:val="clear" w:color="auto" w:fill="D9D9D9" w:themeFill="background1" w:themeFillShade="D9"/>
        </w:rPr>
        <w:t>LT/1/24/5460/002 – N28</w:t>
      </w:r>
    </w:p>
    <w:p w14:paraId="26539545" w14:textId="77777777" w:rsidR="00BC7B13" w:rsidRDefault="004E7EF9">
      <w:pPr>
        <w:rPr>
          <w:shd w:val="clear" w:color="auto" w:fill="D9D9D9" w:themeFill="background1" w:themeFillShade="D9"/>
        </w:rPr>
      </w:pPr>
      <w:r>
        <w:rPr>
          <w:shd w:val="clear" w:color="auto" w:fill="D9D9D9" w:themeFill="background1" w:themeFillShade="D9"/>
        </w:rPr>
        <w:t>LT/1/24/5460/003 – N30</w:t>
      </w:r>
    </w:p>
    <w:p w14:paraId="6F923FD8" w14:textId="77777777" w:rsidR="00BC7B13" w:rsidRDefault="004E7EF9">
      <w:pPr>
        <w:rPr>
          <w:shd w:val="clear" w:color="auto" w:fill="D9D9D9" w:themeFill="background1" w:themeFillShade="D9"/>
        </w:rPr>
      </w:pPr>
      <w:r>
        <w:rPr>
          <w:shd w:val="clear" w:color="auto" w:fill="D9D9D9" w:themeFill="background1" w:themeFillShade="D9"/>
        </w:rPr>
        <w:t>LT/1/24/5460/004 – N56</w:t>
      </w:r>
    </w:p>
    <w:p w14:paraId="58A8421F" w14:textId="77777777" w:rsidR="00BC7B13" w:rsidRDefault="004E7EF9">
      <w:pPr>
        <w:rPr>
          <w:shd w:val="clear" w:color="auto" w:fill="D9D9D9" w:themeFill="background1" w:themeFillShade="D9"/>
        </w:rPr>
      </w:pPr>
      <w:r>
        <w:rPr>
          <w:shd w:val="clear" w:color="auto" w:fill="D9D9D9" w:themeFill="background1" w:themeFillShade="D9"/>
        </w:rPr>
        <w:t>LT/1/24/5460/005 – N60</w:t>
      </w:r>
    </w:p>
    <w:p w14:paraId="49FD7474" w14:textId="77777777" w:rsidR="00BC7B13" w:rsidRDefault="004E7EF9">
      <w:pPr>
        <w:rPr>
          <w:shd w:val="clear" w:color="auto" w:fill="D9D9D9" w:themeFill="background1" w:themeFillShade="D9"/>
        </w:rPr>
      </w:pPr>
      <w:r>
        <w:rPr>
          <w:shd w:val="clear" w:color="auto" w:fill="D9D9D9" w:themeFill="background1" w:themeFillShade="D9"/>
        </w:rPr>
        <w:t>LT/1/24/5460/006 – N90</w:t>
      </w:r>
    </w:p>
    <w:p w14:paraId="1B697423" w14:textId="77777777" w:rsidR="00BC7B13" w:rsidRDefault="004E7EF9">
      <w:pPr>
        <w:rPr>
          <w:shd w:val="clear" w:color="auto" w:fill="D9D9D9" w:themeFill="background1" w:themeFillShade="D9"/>
        </w:rPr>
      </w:pPr>
      <w:r>
        <w:rPr>
          <w:shd w:val="clear" w:color="auto" w:fill="D9D9D9" w:themeFill="background1" w:themeFillShade="D9"/>
        </w:rPr>
        <w:t>LT/1/24/5460/007 – N98</w:t>
      </w:r>
    </w:p>
    <w:p w14:paraId="37992F11" w14:textId="77777777" w:rsidR="00BC7B13" w:rsidRDefault="00BC7B13">
      <w:pPr>
        <w:rPr>
          <w:shd w:val="clear" w:color="auto" w:fill="D9D9D9" w:themeFill="background1" w:themeFillShade="D9"/>
        </w:rPr>
      </w:pPr>
    </w:p>
    <w:p w14:paraId="0AAF7C8A" w14:textId="77777777" w:rsidR="00BC7B13" w:rsidRDefault="004E7EF9">
      <w:pPr>
        <w:rPr>
          <w:u w:val="single"/>
          <w:shd w:val="clear" w:color="auto" w:fill="D9D9D9" w:themeFill="background1" w:themeFillShade="D9"/>
        </w:rPr>
      </w:pPr>
      <w:r>
        <w:rPr>
          <w:u w:val="single"/>
          <w:shd w:val="clear" w:color="auto" w:fill="D9D9D9" w:themeFill="background1" w:themeFillShade="D9"/>
        </w:rPr>
        <w:t>10 mg</w:t>
      </w:r>
    </w:p>
    <w:p w14:paraId="09497A0D" w14:textId="77777777" w:rsidR="00BC7B13" w:rsidRDefault="004E7EF9">
      <w:pPr>
        <w:rPr>
          <w:shd w:val="clear" w:color="auto" w:fill="D9D9D9" w:themeFill="background1" w:themeFillShade="D9"/>
        </w:rPr>
      </w:pPr>
      <w:r>
        <w:rPr>
          <w:shd w:val="clear" w:color="auto" w:fill="D9D9D9" w:themeFill="background1" w:themeFillShade="D9"/>
        </w:rPr>
        <w:t>LT/1/24/5461/001 – N14</w:t>
      </w:r>
    </w:p>
    <w:p w14:paraId="62DBF5E0" w14:textId="77777777" w:rsidR="00BC7B13" w:rsidRDefault="004E7EF9">
      <w:pPr>
        <w:rPr>
          <w:shd w:val="clear" w:color="auto" w:fill="D9D9D9" w:themeFill="background1" w:themeFillShade="D9"/>
        </w:rPr>
      </w:pPr>
      <w:r>
        <w:rPr>
          <w:shd w:val="clear" w:color="auto" w:fill="D9D9D9" w:themeFill="background1" w:themeFillShade="D9"/>
        </w:rPr>
        <w:t>LT/1/24/5461/002 – N28</w:t>
      </w:r>
    </w:p>
    <w:p w14:paraId="2B747236" w14:textId="77777777" w:rsidR="00BC7B13" w:rsidRDefault="004E7EF9">
      <w:pPr>
        <w:rPr>
          <w:shd w:val="clear" w:color="auto" w:fill="D9D9D9" w:themeFill="background1" w:themeFillShade="D9"/>
        </w:rPr>
      </w:pPr>
      <w:r>
        <w:rPr>
          <w:shd w:val="clear" w:color="auto" w:fill="D9D9D9" w:themeFill="background1" w:themeFillShade="D9"/>
        </w:rPr>
        <w:t>LT/1/24/5461/003 – N30</w:t>
      </w:r>
    </w:p>
    <w:p w14:paraId="2D4E414F" w14:textId="77777777" w:rsidR="00BC7B13" w:rsidRDefault="004E7EF9">
      <w:pPr>
        <w:rPr>
          <w:shd w:val="clear" w:color="auto" w:fill="D9D9D9" w:themeFill="background1" w:themeFillShade="D9"/>
        </w:rPr>
      </w:pPr>
      <w:r>
        <w:rPr>
          <w:shd w:val="clear" w:color="auto" w:fill="D9D9D9" w:themeFill="background1" w:themeFillShade="D9"/>
        </w:rPr>
        <w:t>LT/1/24/5461/004 – N56</w:t>
      </w:r>
    </w:p>
    <w:p w14:paraId="2E2C3650" w14:textId="77777777" w:rsidR="00BC7B13" w:rsidRDefault="004E7EF9">
      <w:pPr>
        <w:rPr>
          <w:shd w:val="clear" w:color="auto" w:fill="D9D9D9" w:themeFill="background1" w:themeFillShade="D9"/>
        </w:rPr>
      </w:pPr>
      <w:r>
        <w:rPr>
          <w:shd w:val="clear" w:color="auto" w:fill="D9D9D9" w:themeFill="background1" w:themeFillShade="D9"/>
        </w:rPr>
        <w:t>LT/1/24/5461/005 – N60</w:t>
      </w:r>
    </w:p>
    <w:p w14:paraId="712C60E5" w14:textId="77777777" w:rsidR="00BC7B13" w:rsidRDefault="004E7EF9">
      <w:pPr>
        <w:rPr>
          <w:shd w:val="clear" w:color="auto" w:fill="D9D9D9" w:themeFill="background1" w:themeFillShade="D9"/>
        </w:rPr>
      </w:pPr>
      <w:r>
        <w:rPr>
          <w:shd w:val="clear" w:color="auto" w:fill="D9D9D9" w:themeFill="background1" w:themeFillShade="D9"/>
        </w:rPr>
        <w:t>LT/1/24/5461/006 – N90</w:t>
      </w:r>
    </w:p>
    <w:p w14:paraId="4E8E161F" w14:textId="77777777" w:rsidR="00BC7B13" w:rsidRDefault="004E7EF9">
      <w:pPr>
        <w:rPr>
          <w:shd w:val="clear" w:color="auto" w:fill="D9D9D9" w:themeFill="background1" w:themeFillShade="D9"/>
        </w:rPr>
      </w:pPr>
      <w:r>
        <w:rPr>
          <w:shd w:val="clear" w:color="auto" w:fill="D9D9D9" w:themeFill="background1" w:themeFillShade="D9"/>
        </w:rPr>
        <w:t>LT/1/24/5461/007 – N98</w:t>
      </w:r>
    </w:p>
    <w:p w14:paraId="3BF37083" w14:textId="77777777" w:rsidR="00BC7B13" w:rsidRDefault="00BC7B13">
      <w:pPr>
        <w:rPr>
          <w:shd w:val="clear" w:color="auto" w:fill="D9D9D9" w:themeFill="background1" w:themeFillShade="D9"/>
        </w:rPr>
      </w:pPr>
    </w:p>
    <w:p w14:paraId="053035D9" w14:textId="77777777" w:rsidR="00BC7B13" w:rsidRDefault="004E7EF9">
      <w:pPr>
        <w:rPr>
          <w:u w:val="single"/>
          <w:shd w:val="clear" w:color="auto" w:fill="D9D9D9" w:themeFill="background1" w:themeFillShade="D9"/>
        </w:rPr>
      </w:pPr>
      <w:r>
        <w:rPr>
          <w:u w:val="single"/>
          <w:shd w:val="clear" w:color="auto" w:fill="D9D9D9" w:themeFill="background1" w:themeFillShade="D9"/>
        </w:rPr>
        <w:t>15 mg</w:t>
      </w:r>
    </w:p>
    <w:p w14:paraId="258E7AA9" w14:textId="77777777" w:rsidR="00BC7B13" w:rsidRDefault="004E7EF9">
      <w:pPr>
        <w:rPr>
          <w:shd w:val="clear" w:color="auto" w:fill="D9D9D9" w:themeFill="background1" w:themeFillShade="D9"/>
        </w:rPr>
      </w:pPr>
      <w:r>
        <w:rPr>
          <w:shd w:val="clear" w:color="auto" w:fill="D9D9D9" w:themeFill="background1" w:themeFillShade="D9"/>
        </w:rPr>
        <w:t>LT/1/24/5462/001 – N14</w:t>
      </w:r>
    </w:p>
    <w:p w14:paraId="66045B0B" w14:textId="77777777" w:rsidR="00BC7B13" w:rsidRDefault="004E7EF9">
      <w:pPr>
        <w:rPr>
          <w:shd w:val="clear" w:color="auto" w:fill="D9D9D9" w:themeFill="background1" w:themeFillShade="D9"/>
        </w:rPr>
      </w:pPr>
      <w:r>
        <w:rPr>
          <w:shd w:val="clear" w:color="auto" w:fill="D9D9D9" w:themeFill="background1" w:themeFillShade="D9"/>
        </w:rPr>
        <w:t>LT/1/24/5462/002 – N28</w:t>
      </w:r>
    </w:p>
    <w:p w14:paraId="502590EF" w14:textId="77777777" w:rsidR="00BC7B13" w:rsidRDefault="004E7EF9">
      <w:pPr>
        <w:rPr>
          <w:shd w:val="clear" w:color="auto" w:fill="D9D9D9" w:themeFill="background1" w:themeFillShade="D9"/>
        </w:rPr>
      </w:pPr>
      <w:r>
        <w:rPr>
          <w:shd w:val="clear" w:color="auto" w:fill="D9D9D9" w:themeFill="background1" w:themeFillShade="D9"/>
        </w:rPr>
        <w:t>LT/1/24/5462/003 – N30</w:t>
      </w:r>
    </w:p>
    <w:p w14:paraId="4C35F5CB" w14:textId="77777777" w:rsidR="00BC7B13" w:rsidRDefault="004E7EF9">
      <w:pPr>
        <w:rPr>
          <w:shd w:val="clear" w:color="auto" w:fill="D9D9D9" w:themeFill="background1" w:themeFillShade="D9"/>
        </w:rPr>
      </w:pPr>
      <w:r>
        <w:rPr>
          <w:shd w:val="clear" w:color="auto" w:fill="D9D9D9" w:themeFill="background1" w:themeFillShade="D9"/>
        </w:rPr>
        <w:t>LT/1/24/5462/004 – N56</w:t>
      </w:r>
    </w:p>
    <w:p w14:paraId="4D2345D6" w14:textId="77777777" w:rsidR="00BC7B13" w:rsidRDefault="004E7EF9">
      <w:pPr>
        <w:rPr>
          <w:shd w:val="clear" w:color="auto" w:fill="D9D9D9" w:themeFill="background1" w:themeFillShade="D9"/>
        </w:rPr>
      </w:pPr>
      <w:r>
        <w:rPr>
          <w:shd w:val="clear" w:color="auto" w:fill="D9D9D9" w:themeFill="background1" w:themeFillShade="D9"/>
        </w:rPr>
        <w:t>LT/1/24/5462/005 – N60</w:t>
      </w:r>
    </w:p>
    <w:p w14:paraId="5D3AFB75" w14:textId="77777777" w:rsidR="00BC7B13" w:rsidRDefault="004E7EF9">
      <w:pPr>
        <w:rPr>
          <w:shd w:val="clear" w:color="auto" w:fill="D9D9D9" w:themeFill="background1" w:themeFillShade="D9"/>
        </w:rPr>
      </w:pPr>
      <w:r>
        <w:rPr>
          <w:shd w:val="clear" w:color="auto" w:fill="D9D9D9" w:themeFill="background1" w:themeFillShade="D9"/>
        </w:rPr>
        <w:t>LT/1/24/5462/006 – N90</w:t>
      </w:r>
    </w:p>
    <w:p w14:paraId="3ACD93BE" w14:textId="77777777" w:rsidR="00BC7B13" w:rsidRDefault="004E7EF9">
      <w:pPr>
        <w:rPr>
          <w:shd w:val="clear" w:color="auto" w:fill="D9D9D9" w:themeFill="background1" w:themeFillShade="D9"/>
        </w:rPr>
      </w:pPr>
      <w:r>
        <w:rPr>
          <w:shd w:val="clear" w:color="auto" w:fill="D9D9D9" w:themeFill="background1" w:themeFillShade="D9"/>
        </w:rPr>
        <w:t>LT/1/24/5462/007 – N98</w:t>
      </w:r>
    </w:p>
    <w:p w14:paraId="7BA9AA80" w14:textId="77777777" w:rsidR="00BC7B13" w:rsidRDefault="00BC7B13">
      <w:pPr>
        <w:rPr>
          <w:shd w:val="clear" w:color="auto" w:fill="D9D9D9" w:themeFill="background1" w:themeFillShade="D9"/>
        </w:rPr>
      </w:pPr>
    </w:p>
    <w:p w14:paraId="36FEDF78" w14:textId="77777777" w:rsidR="00BC7B13" w:rsidRDefault="004E7EF9">
      <w:pPr>
        <w:rPr>
          <w:u w:val="single"/>
          <w:shd w:val="clear" w:color="auto" w:fill="D9D9D9" w:themeFill="background1" w:themeFillShade="D9"/>
        </w:rPr>
      </w:pPr>
      <w:r>
        <w:rPr>
          <w:u w:val="single"/>
          <w:shd w:val="clear" w:color="auto" w:fill="D9D9D9" w:themeFill="background1" w:themeFillShade="D9"/>
        </w:rPr>
        <w:t>20 mg</w:t>
      </w:r>
    </w:p>
    <w:p w14:paraId="6ACFD8E1" w14:textId="77777777" w:rsidR="00BC7B13" w:rsidRDefault="004E7EF9">
      <w:pPr>
        <w:rPr>
          <w:shd w:val="clear" w:color="auto" w:fill="D9D9D9" w:themeFill="background1" w:themeFillShade="D9"/>
        </w:rPr>
      </w:pPr>
      <w:r>
        <w:rPr>
          <w:shd w:val="clear" w:color="auto" w:fill="D9D9D9" w:themeFill="background1" w:themeFillShade="D9"/>
        </w:rPr>
        <w:t>LT/1/24/5463/001 – N14</w:t>
      </w:r>
    </w:p>
    <w:p w14:paraId="42C02B38" w14:textId="77777777" w:rsidR="00BC7B13" w:rsidRDefault="004E7EF9">
      <w:pPr>
        <w:rPr>
          <w:shd w:val="clear" w:color="auto" w:fill="D9D9D9" w:themeFill="background1" w:themeFillShade="D9"/>
        </w:rPr>
      </w:pPr>
      <w:r>
        <w:rPr>
          <w:shd w:val="clear" w:color="auto" w:fill="D9D9D9" w:themeFill="background1" w:themeFillShade="D9"/>
        </w:rPr>
        <w:t>LT/1/24/5463/002 – N28</w:t>
      </w:r>
    </w:p>
    <w:p w14:paraId="6146EA5E" w14:textId="77777777" w:rsidR="00BC7B13" w:rsidRDefault="004E7EF9">
      <w:pPr>
        <w:rPr>
          <w:shd w:val="clear" w:color="auto" w:fill="D9D9D9" w:themeFill="background1" w:themeFillShade="D9"/>
        </w:rPr>
      </w:pPr>
      <w:r>
        <w:rPr>
          <w:shd w:val="clear" w:color="auto" w:fill="D9D9D9" w:themeFill="background1" w:themeFillShade="D9"/>
        </w:rPr>
        <w:t>LT/1/24/5463/003 – N30</w:t>
      </w:r>
    </w:p>
    <w:p w14:paraId="789A0EFB" w14:textId="77777777" w:rsidR="00BC7B13" w:rsidRDefault="004E7EF9">
      <w:pPr>
        <w:rPr>
          <w:shd w:val="clear" w:color="auto" w:fill="D9D9D9" w:themeFill="background1" w:themeFillShade="D9"/>
        </w:rPr>
      </w:pPr>
      <w:r>
        <w:rPr>
          <w:shd w:val="clear" w:color="auto" w:fill="D9D9D9" w:themeFill="background1" w:themeFillShade="D9"/>
        </w:rPr>
        <w:t>LT/1/24/5463/004 – N56</w:t>
      </w:r>
    </w:p>
    <w:p w14:paraId="493DB688" w14:textId="77777777" w:rsidR="00BC7B13" w:rsidRDefault="004E7EF9">
      <w:pPr>
        <w:rPr>
          <w:shd w:val="clear" w:color="auto" w:fill="D9D9D9" w:themeFill="background1" w:themeFillShade="D9"/>
        </w:rPr>
      </w:pPr>
      <w:r>
        <w:rPr>
          <w:shd w:val="clear" w:color="auto" w:fill="D9D9D9" w:themeFill="background1" w:themeFillShade="D9"/>
        </w:rPr>
        <w:t>LT/1/24/5463/005 – N60</w:t>
      </w:r>
    </w:p>
    <w:p w14:paraId="5F906947" w14:textId="77777777" w:rsidR="00BC7B13" w:rsidRDefault="004E7EF9">
      <w:pPr>
        <w:rPr>
          <w:shd w:val="clear" w:color="auto" w:fill="D9D9D9" w:themeFill="background1" w:themeFillShade="D9"/>
        </w:rPr>
      </w:pPr>
      <w:r>
        <w:rPr>
          <w:shd w:val="clear" w:color="auto" w:fill="D9D9D9" w:themeFill="background1" w:themeFillShade="D9"/>
        </w:rPr>
        <w:t>LT/1/24/5463/006 – N90</w:t>
      </w:r>
    </w:p>
    <w:p w14:paraId="4223BBE2" w14:textId="77777777" w:rsidR="00BC7B13" w:rsidRDefault="004E7EF9">
      <w:pPr>
        <w:rPr>
          <w:shd w:val="clear" w:color="auto" w:fill="D9D9D9" w:themeFill="background1" w:themeFillShade="D9"/>
        </w:rPr>
      </w:pPr>
      <w:r>
        <w:rPr>
          <w:shd w:val="clear" w:color="auto" w:fill="D9D9D9" w:themeFill="background1" w:themeFillShade="D9"/>
        </w:rPr>
        <w:t>LT/1/24/5463/007 – N98</w:t>
      </w:r>
    </w:p>
    <w:p w14:paraId="6FEBA6F0" w14:textId="77777777" w:rsidR="00BC7B13" w:rsidRDefault="00BC7B13">
      <w:pPr>
        <w:rPr>
          <w:shd w:val="clear" w:color="auto" w:fill="D9D9D9" w:themeFill="background1" w:themeFillShade="D9"/>
        </w:rPr>
      </w:pPr>
    </w:p>
    <w:p w14:paraId="3E703D39" w14:textId="77777777" w:rsidR="00BC7B13" w:rsidRDefault="00BC7B13">
      <w:pPr>
        <w:rPr>
          <w:noProof/>
        </w:rPr>
      </w:pPr>
    </w:p>
    <w:p w14:paraId="72E98D3E" w14:textId="77777777" w:rsidR="00BC7B13" w:rsidRDefault="004E7EF9">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04DC860D" w14:textId="77777777" w:rsidR="00BC7B13" w:rsidRDefault="00BC7B13">
      <w:pPr>
        <w:rPr>
          <w:i/>
          <w:noProof/>
        </w:rPr>
      </w:pPr>
    </w:p>
    <w:p w14:paraId="1B0F6463" w14:textId="77777777" w:rsidR="00BC7B13" w:rsidRDefault="004E7EF9">
      <w:pPr>
        <w:rPr>
          <w:noProof/>
        </w:rPr>
      </w:pPr>
      <w:r>
        <w:rPr>
          <w:noProof/>
        </w:rPr>
        <w:t>Lot</w:t>
      </w:r>
    </w:p>
    <w:p w14:paraId="388ADE44" w14:textId="77777777" w:rsidR="00BC7B13" w:rsidRDefault="00BC7B13">
      <w:pPr>
        <w:rPr>
          <w:noProof/>
        </w:rPr>
      </w:pPr>
    </w:p>
    <w:p w14:paraId="427DA84D" w14:textId="77777777" w:rsidR="00BC7B13" w:rsidRDefault="00BC7B13">
      <w:pPr>
        <w:rPr>
          <w:noProof/>
        </w:rPr>
      </w:pPr>
    </w:p>
    <w:p w14:paraId="69AE6464" w14:textId="77777777" w:rsidR="00BC7B13" w:rsidRDefault="004E7EF9">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24E4909" w14:textId="77777777" w:rsidR="00BC7B13" w:rsidRDefault="00BC7B13">
      <w:pPr>
        <w:rPr>
          <w:noProof/>
        </w:rPr>
      </w:pPr>
    </w:p>
    <w:p w14:paraId="7054D002" w14:textId="77777777" w:rsidR="00BC7B13" w:rsidRDefault="004E7EF9">
      <w:pPr>
        <w:widowControl w:val="0"/>
        <w:tabs>
          <w:tab w:val="left" w:pos="567"/>
        </w:tabs>
        <w:rPr>
          <w:snapToGrid w:val="0"/>
          <w:szCs w:val="22"/>
        </w:rPr>
      </w:pPr>
      <w:r>
        <w:rPr>
          <w:snapToGrid w:val="0"/>
          <w:szCs w:val="22"/>
        </w:rPr>
        <w:t>Receptinis vaistas</w:t>
      </w:r>
    </w:p>
    <w:p w14:paraId="00BCD298" w14:textId="77777777" w:rsidR="00BC7B13" w:rsidRDefault="00BC7B13">
      <w:pPr>
        <w:rPr>
          <w:noProof/>
        </w:rPr>
      </w:pPr>
    </w:p>
    <w:p w14:paraId="66E7BA0D" w14:textId="77777777" w:rsidR="00BC7B13" w:rsidRDefault="00BC7B13">
      <w:pPr>
        <w:rPr>
          <w:noProof/>
        </w:rPr>
      </w:pPr>
    </w:p>
    <w:p w14:paraId="62D984B3" w14:textId="77777777" w:rsidR="00BC7B13" w:rsidRDefault="004E7EF9">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DC4B59F" w14:textId="77777777" w:rsidR="00BC7B13" w:rsidRDefault="00BC7B13">
      <w:pPr>
        <w:rPr>
          <w:i/>
          <w:iCs/>
        </w:rPr>
      </w:pPr>
    </w:p>
    <w:p w14:paraId="0E787280" w14:textId="77777777" w:rsidR="00BC7B13" w:rsidRDefault="00BC7B13">
      <w:pPr>
        <w:rPr>
          <w:noProof/>
        </w:rPr>
      </w:pPr>
    </w:p>
    <w:p w14:paraId="3DCD54E5" w14:textId="77777777" w:rsidR="00BC7B13" w:rsidRDefault="004E7EF9">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93E981B" w14:textId="77777777" w:rsidR="00BC7B13" w:rsidRDefault="00BC7B13">
      <w:pPr>
        <w:rPr>
          <w:noProof/>
        </w:rPr>
      </w:pPr>
    </w:p>
    <w:p w14:paraId="415DFF27" w14:textId="77777777" w:rsidR="00BC7B13" w:rsidRDefault="004E7EF9">
      <w:pPr>
        <w:rPr>
          <w:color w:val="000000" w:themeColor="text1"/>
        </w:rPr>
      </w:pPr>
      <w:r>
        <w:rPr>
          <w:noProof/>
        </w:rPr>
        <w:t>Varesta 5 mg</w:t>
      </w:r>
    </w:p>
    <w:p w14:paraId="4E124F9D" w14:textId="77777777" w:rsidR="00BC7B13" w:rsidRDefault="004E7EF9">
      <w:pPr>
        <w:rPr>
          <w:color w:val="000000" w:themeColor="text1"/>
          <w:highlight w:val="lightGray"/>
        </w:rPr>
      </w:pPr>
      <w:r>
        <w:rPr>
          <w:noProof/>
          <w:highlight w:val="lightGray"/>
        </w:rPr>
        <w:t>Varesta 10 mg</w:t>
      </w:r>
    </w:p>
    <w:p w14:paraId="2F8508B6" w14:textId="77777777" w:rsidR="00BC7B13" w:rsidRDefault="004E7EF9">
      <w:pPr>
        <w:rPr>
          <w:noProof/>
        </w:rPr>
      </w:pPr>
      <w:r>
        <w:rPr>
          <w:noProof/>
          <w:highlight w:val="lightGray"/>
        </w:rPr>
        <w:t>Varesta 15 mg</w:t>
      </w:r>
    </w:p>
    <w:p w14:paraId="1DABFD52" w14:textId="77777777" w:rsidR="00BC7B13" w:rsidRDefault="004E7EF9">
      <w:pPr>
        <w:rPr>
          <w:color w:val="000000" w:themeColor="text1"/>
        </w:rPr>
      </w:pPr>
      <w:r>
        <w:rPr>
          <w:noProof/>
          <w:highlight w:val="lightGray"/>
        </w:rPr>
        <w:t>Varesta 20 mg</w:t>
      </w:r>
    </w:p>
    <w:p w14:paraId="6A21E60A" w14:textId="77777777" w:rsidR="00BC7B13" w:rsidRDefault="00BC7B13">
      <w:pPr>
        <w:rPr>
          <w:noProof/>
          <w:szCs w:val="22"/>
          <w:shd w:val="clear" w:color="auto" w:fill="CCCCCC"/>
        </w:rPr>
      </w:pPr>
    </w:p>
    <w:p w14:paraId="3182F0C4" w14:textId="77777777" w:rsidR="00BC7B13" w:rsidRDefault="00BC7B13">
      <w:pPr>
        <w:rPr>
          <w:noProof/>
          <w:szCs w:val="22"/>
          <w:shd w:val="clear" w:color="auto" w:fill="CCCCCC"/>
        </w:rPr>
      </w:pPr>
    </w:p>
    <w:p w14:paraId="075B4E99" w14:textId="77777777" w:rsidR="00BC7B13" w:rsidRDefault="004E7EF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4E2EA52" w14:textId="77777777" w:rsidR="00BC7B13" w:rsidRDefault="00BC7B13">
      <w:pPr>
        <w:rPr>
          <w:noProof/>
        </w:rPr>
      </w:pPr>
    </w:p>
    <w:p w14:paraId="2044221C" w14:textId="77777777" w:rsidR="00BC7B13" w:rsidRDefault="004E7EF9">
      <w:pPr>
        <w:rPr>
          <w:noProof/>
          <w:szCs w:val="22"/>
          <w:shd w:val="clear" w:color="auto" w:fill="CCCCCC"/>
        </w:rPr>
      </w:pPr>
      <w:r>
        <w:rPr>
          <w:noProof/>
          <w:highlight w:val="lightGray"/>
        </w:rPr>
        <w:t>2D brūkšninis kodas su nurodytu unikaliu identifikatoriumi.</w:t>
      </w:r>
    </w:p>
    <w:p w14:paraId="70DD493C" w14:textId="77777777" w:rsidR="00BC7B13" w:rsidRDefault="00BC7B13">
      <w:pPr>
        <w:rPr>
          <w:noProof/>
        </w:rPr>
      </w:pPr>
    </w:p>
    <w:p w14:paraId="744F846C" w14:textId="77777777" w:rsidR="00BC7B13" w:rsidRDefault="00BC7B13">
      <w:pPr>
        <w:rPr>
          <w:noProof/>
        </w:rPr>
      </w:pPr>
    </w:p>
    <w:p w14:paraId="2998065E" w14:textId="77777777" w:rsidR="00BC7B13" w:rsidRDefault="004E7EF9">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839039D" w14:textId="77777777" w:rsidR="00BC7B13" w:rsidRDefault="00BC7B13">
      <w:pPr>
        <w:rPr>
          <w:noProof/>
        </w:rPr>
      </w:pPr>
    </w:p>
    <w:p w14:paraId="4E4C721B" w14:textId="77777777" w:rsidR="00BC7B13" w:rsidRDefault="004E7EF9">
      <w:pPr>
        <w:widowControl w:val="0"/>
        <w:tabs>
          <w:tab w:val="left" w:pos="567"/>
        </w:tabs>
        <w:spacing w:line="260" w:lineRule="exact"/>
        <w:rPr>
          <w:color w:val="000000"/>
          <w:szCs w:val="22"/>
          <w:lang w:val="en-GB"/>
        </w:rPr>
      </w:pPr>
      <w:r>
        <w:rPr>
          <w:color w:val="000000"/>
          <w:szCs w:val="22"/>
          <w:lang w:val="en-GB"/>
        </w:rPr>
        <w:t>PC</w:t>
      </w:r>
    </w:p>
    <w:p w14:paraId="65C24801" w14:textId="77777777" w:rsidR="00BC7B13" w:rsidRDefault="004E7EF9">
      <w:pPr>
        <w:widowControl w:val="0"/>
        <w:tabs>
          <w:tab w:val="left" w:pos="567"/>
        </w:tabs>
        <w:spacing w:line="260" w:lineRule="exact"/>
        <w:rPr>
          <w:color w:val="000000"/>
          <w:szCs w:val="22"/>
          <w:lang w:val="en-GB"/>
        </w:rPr>
      </w:pPr>
      <w:r>
        <w:rPr>
          <w:color w:val="000000"/>
          <w:szCs w:val="22"/>
          <w:lang w:val="en-GB"/>
        </w:rPr>
        <w:t>SN</w:t>
      </w:r>
    </w:p>
    <w:p w14:paraId="6951322A" w14:textId="77777777" w:rsidR="00BC7B13" w:rsidRDefault="004E7EF9">
      <w:pPr>
        <w:widowControl w:val="0"/>
        <w:tabs>
          <w:tab w:val="left" w:pos="567"/>
        </w:tabs>
        <w:spacing w:line="260" w:lineRule="exact"/>
        <w:rPr>
          <w:color w:val="000000"/>
          <w:szCs w:val="22"/>
          <w:lang w:val="en-GB"/>
        </w:rPr>
      </w:pPr>
      <w:r>
        <w:rPr>
          <w:color w:val="000000"/>
          <w:szCs w:val="22"/>
          <w:highlight w:val="lightGray"/>
          <w:lang w:val="en-GB"/>
        </w:rPr>
        <w:t>NN</w:t>
      </w:r>
    </w:p>
    <w:p w14:paraId="6AFE735C" w14:textId="77777777" w:rsidR="00BC7B13" w:rsidRDefault="00BC7B13">
      <w:pPr>
        <w:ind w:left="-198"/>
        <w:rPr>
          <w:szCs w:val="22"/>
        </w:rPr>
      </w:pPr>
    </w:p>
    <w:p w14:paraId="3E9C8529" w14:textId="77777777" w:rsidR="00BC7B13" w:rsidRDefault="004E7EF9">
      <w:pPr>
        <w:pBdr>
          <w:top w:val="single" w:sz="4" w:space="1" w:color="auto"/>
          <w:left w:val="single" w:sz="4" w:space="4" w:color="auto"/>
          <w:bottom w:val="single" w:sz="4" w:space="1" w:color="auto"/>
          <w:right w:val="single" w:sz="4" w:space="4" w:color="auto"/>
        </w:pBdr>
        <w:rPr>
          <w:noProof/>
          <w:szCs w:val="22"/>
        </w:rPr>
      </w:pPr>
      <w:r>
        <w:rPr>
          <w:b/>
          <w:noProof/>
          <w:color w:val="FF0000"/>
        </w:rPr>
        <w:br w:type="page"/>
      </w:r>
      <w:bookmarkStart w:id="8" w:name="_Hlk147313864"/>
      <w:bookmarkStart w:id="9" w:name="_Hlk147313146"/>
    </w:p>
    <w:bookmarkEnd w:id="8"/>
    <w:p w14:paraId="15AD4FBD" w14:textId="77777777" w:rsidR="00BC7B13" w:rsidRDefault="00BC7B13">
      <w:pPr>
        <w:rPr>
          <w:noProof/>
          <w:szCs w:val="22"/>
        </w:rPr>
      </w:pPr>
    </w:p>
    <w:bookmarkEnd w:id="9"/>
    <w:p w14:paraId="34D8B0F8" w14:textId="77777777" w:rsidR="00BC7B13" w:rsidRDefault="00BC7B13">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5734919B" w14:textId="77777777">
        <w:trPr>
          <w:trHeight w:val="785"/>
        </w:trPr>
        <w:tc>
          <w:tcPr>
            <w:tcW w:w="9287" w:type="dxa"/>
            <w:tcBorders>
              <w:bottom w:val="single" w:sz="4" w:space="0" w:color="auto"/>
            </w:tcBorders>
          </w:tcPr>
          <w:p w14:paraId="7809F37B" w14:textId="77777777" w:rsidR="00BC7B13" w:rsidRDefault="004E7EF9">
            <w:pPr>
              <w:rPr>
                <w:b/>
                <w:noProof/>
              </w:rPr>
            </w:pPr>
            <w:r>
              <w:rPr>
                <w:b/>
                <w:noProof/>
              </w:rPr>
              <w:t xml:space="preserve">MINIMALI </w:t>
            </w:r>
            <w:r>
              <w:rPr>
                <w:b/>
                <w:caps/>
                <w:noProof/>
              </w:rPr>
              <w:t xml:space="preserve">informacija ant </w:t>
            </w:r>
            <w:r>
              <w:rPr>
                <w:b/>
                <w:noProof/>
              </w:rPr>
              <w:t>LIZDINIŲ PLOKŠTELIŲ ARBA DVISLUOKSNIŲ JUOSTELIŲ</w:t>
            </w:r>
          </w:p>
          <w:p w14:paraId="30CEAA46" w14:textId="77777777" w:rsidR="00BC7B13" w:rsidRDefault="00BC7B13">
            <w:pPr>
              <w:rPr>
                <w:b/>
                <w:noProof/>
              </w:rPr>
            </w:pPr>
          </w:p>
          <w:p w14:paraId="03670B30" w14:textId="77777777" w:rsidR="00BC7B13" w:rsidRDefault="004E7EF9">
            <w:pPr>
              <w:rPr>
                <w:b/>
                <w:noProof/>
              </w:rPr>
            </w:pPr>
            <w:r>
              <w:rPr>
                <w:b/>
                <w:noProof/>
              </w:rPr>
              <w:t>LIZDINĖS PLOKŠTELĖS</w:t>
            </w:r>
          </w:p>
          <w:p w14:paraId="2324D60E" w14:textId="77777777" w:rsidR="00BC7B13" w:rsidRDefault="004E7EF9">
            <w:pPr>
              <w:rPr>
                <w:bCs/>
                <w:noProof/>
              </w:rPr>
            </w:pPr>
            <w:bookmarkStart w:id="10" w:name="_Hlk161142196"/>
            <w:r>
              <w:rPr>
                <w:bCs/>
                <w:noProof/>
              </w:rPr>
              <w:t>ES visas/</w:t>
            </w:r>
            <w:r>
              <w:rPr>
                <w:bCs/>
                <w:i/>
                <w:iCs/>
                <w:noProof/>
                <w:highlight w:val="darkGray"/>
                <w:shd w:val="clear" w:color="auto" w:fill="AEAAAA" w:themeFill="background2" w:themeFillShade="BF"/>
              </w:rPr>
              <w:t>sumažintas</w:t>
            </w:r>
            <w:r>
              <w:rPr>
                <w:bCs/>
                <w:noProof/>
              </w:rPr>
              <w:t xml:space="preserve"> suderinto ženklinimo tekstas</w:t>
            </w:r>
            <w:bookmarkEnd w:id="10"/>
          </w:p>
        </w:tc>
      </w:tr>
    </w:tbl>
    <w:p w14:paraId="16C2BBD5" w14:textId="77777777" w:rsidR="00BC7B13" w:rsidRDefault="00BC7B13">
      <w:pPr>
        <w:rPr>
          <w:b/>
          <w:noProof/>
        </w:rPr>
      </w:pPr>
    </w:p>
    <w:p w14:paraId="47AC89A9" w14:textId="77777777" w:rsidR="00BC7B13" w:rsidRDefault="00BC7B13">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7F0872F1" w14:textId="77777777">
        <w:tc>
          <w:tcPr>
            <w:tcW w:w="9287" w:type="dxa"/>
          </w:tcPr>
          <w:p w14:paraId="4129E379" w14:textId="77777777" w:rsidR="00BC7B13" w:rsidRDefault="004E7EF9">
            <w:pPr>
              <w:tabs>
                <w:tab w:val="left" w:pos="142"/>
              </w:tabs>
              <w:ind w:left="567" w:hanging="567"/>
              <w:rPr>
                <w:b/>
                <w:noProof/>
              </w:rPr>
            </w:pPr>
            <w:r>
              <w:rPr>
                <w:b/>
                <w:noProof/>
              </w:rPr>
              <w:t>1.</w:t>
            </w:r>
            <w:r>
              <w:rPr>
                <w:b/>
                <w:noProof/>
              </w:rPr>
              <w:tab/>
            </w:r>
            <w:r>
              <w:rPr>
                <w:b/>
                <w:caps/>
                <w:noProof/>
              </w:rPr>
              <w:t>Vaistinio preparato pavadinimas</w:t>
            </w:r>
          </w:p>
        </w:tc>
      </w:tr>
    </w:tbl>
    <w:p w14:paraId="022E8D87" w14:textId="77777777" w:rsidR="00BC7B13" w:rsidRDefault="00BC7B13">
      <w:pPr>
        <w:ind w:left="567" w:hanging="567"/>
        <w:rPr>
          <w:noProof/>
        </w:rPr>
      </w:pPr>
    </w:p>
    <w:p w14:paraId="4EF81ED4" w14:textId="77777777" w:rsidR="00BC7B13" w:rsidRDefault="004E7EF9">
      <w:pPr>
        <w:rPr>
          <w:color w:val="000000" w:themeColor="text1"/>
        </w:rPr>
      </w:pPr>
      <w:r>
        <w:rPr>
          <w:noProof/>
        </w:rPr>
        <w:t xml:space="preserve">Varesta 5 mg </w:t>
      </w:r>
      <w:r>
        <w:rPr>
          <w:i/>
          <w:iCs/>
          <w:noProof/>
          <w:highlight w:val="darkGray"/>
        </w:rPr>
        <w:t>plėvele dengtos</w:t>
      </w:r>
      <w:r>
        <w:rPr>
          <w:noProof/>
        </w:rPr>
        <w:t xml:space="preserve"> tabletės</w:t>
      </w:r>
    </w:p>
    <w:p w14:paraId="1FC379FF" w14:textId="77777777" w:rsidR="00BC7B13" w:rsidRDefault="004E7EF9">
      <w:pPr>
        <w:rPr>
          <w:color w:val="000000" w:themeColor="text1"/>
          <w:highlight w:val="lightGray"/>
        </w:rPr>
      </w:pPr>
      <w:r>
        <w:rPr>
          <w:noProof/>
          <w:highlight w:val="lightGray"/>
        </w:rPr>
        <w:t xml:space="preserve">Varesta 10 mg </w:t>
      </w:r>
      <w:r>
        <w:rPr>
          <w:i/>
          <w:iCs/>
          <w:noProof/>
          <w:highlight w:val="darkGray"/>
        </w:rPr>
        <w:t>plėvele dengtos</w:t>
      </w:r>
      <w:r>
        <w:rPr>
          <w:noProof/>
          <w:highlight w:val="darkGray"/>
        </w:rPr>
        <w:t xml:space="preserve"> </w:t>
      </w:r>
      <w:r>
        <w:rPr>
          <w:noProof/>
          <w:highlight w:val="lightGray"/>
        </w:rPr>
        <w:t>tabletės</w:t>
      </w:r>
    </w:p>
    <w:p w14:paraId="292BE0FD" w14:textId="77777777" w:rsidR="00BC7B13" w:rsidRDefault="004E7EF9">
      <w:pPr>
        <w:rPr>
          <w:color w:val="000000" w:themeColor="text1"/>
          <w:highlight w:val="lightGray"/>
        </w:rPr>
      </w:pPr>
      <w:r>
        <w:rPr>
          <w:noProof/>
          <w:highlight w:val="lightGray"/>
        </w:rPr>
        <w:t xml:space="preserve">Varesta 15 mg </w:t>
      </w:r>
      <w:r>
        <w:rPr>
          <w:i/>
          <w:iCs/>
          <w:noProof/>
          <w:highlight w:val="darkGray"/>
        </w:rPr>
        <w:t>plėvele dengtos</w:t>
      </w:r>
      <w:r>
        <w:rPr>
          <w:noProof/>
          <w:highlight w:val="darkGray"/>
        </w:rPr>
        <w:t xml:space="preserve"> </w:t>
      </w:r>
      <w:r>
        <w:rPr>
          <w:noProof/>
          <w:highlight w:val="lightGray"/>
        </w:rPr>
        <w:t>tabletės</w:t>
      </w:r>
    </w:p>
    <w:p w14:paraId="136309FA" w14:textId="77777777" w:rsidR="00BC7B13" w:rsidRDefault="004E7EF9">
      <w:pPr>
        <w:rPr>
          <w:color w:val="000000" w:themeColor="text1"/>
        </w:rPr>
      </w:pPr>
      <w:r>
        <w:rPr>
          <w:noProof/>
          <w:highlight w:val="lightGray"/>
        </w:rPr>
        <w:t xml:space="preserve">Varesta 20 mg </w:t>
      </w:r>
      <w:r>
        <w:rPr>
          <w:i/>
          <w:iCs/>
          <w:noProof/>
          <w:highlight w:val="darkGray"/>
        </w:rPr>
        <w:t>plėvele dengtos</w:t>
      </w:r>
      <w:r>
        <w:rPr>
          <w:noProof/>
          <w:highlight w:val="darkGray"/>
        </w:rPr>
        <w:t xml:space="preserve"> </w:t>
      </w:r>
      <w:r>
        <w:rPr>
          <w:noProof/>
          <w:highlight w:val="lightGray"/>
        </w:rPr>
        <w:t>tabletės</w:t>
      </w:r>
    </w:p>
    <w:p w14:paraId="59827AE9" w14:textId="77777777" w:rsidR="00BC7B13" w:rsidRDefault="00BC7B13">
      <w:pPr>
        <w:rPr>
          <w:noProof/>
        </w:rPr>
      </w:pPr>
    </w:p>
    <w:p w14:paraId="7DB2143B" w14:textId="77777777" w:rsidR="00BC7B13" w:rsidRDefault="004E7EF9">
      <w:pPr>
        <w:rPr>
          <w:noProof/>
        </w:rPr>
      </w:pPr>
      <w:r>
        <w:rPr>
          <w:noProof/>
        </w:rPr>
        <w:t>vortioksetinas</w:t>
      </w:r>
    </w:p>
    <w:p w14:paraId="33BF2899" w14:textId="77777777" w:rsidR="00BC7B13" w:rsidRDefault="00BC7B13">
      <w:pPr>
        <w:rPr>
          <w:b/>
          <w:noProof/>
        </w:rPr>
      </w:pPr>
    </w:p>
    <w:p w14:paraId="47855783" w14:textId="77777777" w:rsidR="00BC7B13" w:rsidRDefault="00BC7B13">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4C6B50DD" w14:textId="77777777">
        <w:tc>
          <w:tcPr>
            <w:tcW w:w="9287" w:type="dxa"/>
          </w:tcPr>
          <w:p w14:paraId="617B25F0" w14:textId="77777777" w:rsidR="00BC7B13" w:rsidRDefault="004E7EF9">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4C09FE9C" w14:textId="77777777" w:rsidR="00BC7B13" w:rsidRDefault="00BC7B13">
      <w:pPr>
        <w:rPr>
          <w:b/>
          <w:noProof/>
        </w:rPr>
      </w:pPr>
    </w:p>
    <w:p w14:paraId="367975B9" w14:textId="77777777" w:rsidR="00BC7B13" w:rsidRDefault="004E7EF9">
      <w:pPr>
        <w:widowControl w:val="0"/>
        <w:rPr>
          <w:rFonts w:eastAsia="Calibri"/>
          <w:szCs w:val="22"/>
          <w:lang w:eastAsia="lt-LT"/>
        </w:rPr>
      </w:pPr>
      <w:r>
        <w:rPr>
          <w:rFonts w:eastAsia="Calibri"/>
          <w:szCs w:val="22"/>
          <w:lang w:eastAsia="lt-LT"/>
        </w:rPr>
        <w:t>KRKA</w:t>
      </w:r>
    </w:p>
    <w:p w14:paraId="6CA605E2" w14:textId="77777777" w:rsidR="00BC7B13" w:rsidRDefault="00BC7B13">
      <w:pPr>
        <w:rPr>
          <w:b/>
          <w:noProof/>
        </w:rPr>
      </w:pPr>
    </w:p>
    <w:p w14:paraId="383C9A7A" w14:textId="77777777" w:rsidR="00BC7B13" w:rsidRDefault="00BC7B13">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5BA4A962" w14:textId="77777777">
        <w:tc>
          <w:tcPr>
            <w:tcW w:w="9287" w:type="dxa"/>
          </w:tcPr>
          <w:p w14:paraId="07FEF90A" w14:textId="77777777" w:rsidR="00BC7B13" w:rsidRDefault="004E7EF9">
            <w:pPr>
              <w:tabs>
                <w:tab w:val="left" w:pos="142"/>
              </w:tabs>
              <w:ind w:left="567" w:hanging="567"/>
              <w:rPr>
                <w:b/>
                <w:noProof/>
              </w:rPr>
            </w:pPr>
            <w:r>
              <w:rPr>
                <w:b/>
                <w:noProof/>
              </w:rPr>
              <w:t>3.</w:t>
            </w:r>
            <w:r>
              <w:rPr>
                <w:b/>
                <w:noProof/>
              </w:rPr>
              <w:tab/>
            </w:r>
            <w:r>
              <w:rPr>
                <w:b/>
                <w:caps/>
                <w:noProof/>
              </w:rPr>
              <w:t>tinkamumo laikas</w:t>
            </w:r>
          </w:p>
        </w:tc>
      </w:tr>
    </w:tbl>
    <w:p w14:paraId="5702E9A5" w14:textId="77777777" w:rsidR="00BC7B13" w:rsidRDefault="00BC7B13">
      <w:pPr>
        <w:rPr>
          <w:b/>
          <w:noProof/>
        </w:rPr>
      </w:pPr>
    </w:p>
    <w:p w14:paraId="25CA3F00" w14:textId="77777777" w:rsidR="00BC7B13" w:rsidRDefault="004E7EF9">
      <w:pPr>
        <w:rPr>
          <w:noProof/>
        </w:rPr>
      </w:pPr>
      <w:r>
        <w:rPr>
          <w:noProof/>
        </w:rPr>
        <w:t xml:space="preserve">EXP </w:t>
      </w:r>
      <w:r>
        <w:rPr>
          <w:snapToGrid w:val="0"/>
        </w:rPr>
        <w:t>(mm/MMMM)</w:t>
      </w:r>
    </w:p>
    <w:p w14:paraId="5ADFB798" w14:textId="77777777" w:rsidR="00BC7B13" w:rsidRDefault="00BC7B13">
      <w:pPr>
        <w:rPr>
          <w:noProof/>
        </w:rPr>
      </w:pPr>
    </w:p>
    <w:p w14:paraId="53931ED4" w14:textId="77777777" w:rsidR="00BC7B13" w:rsidRDefault="00BC7B13">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3A6AF59B" w14:textId="77777777">
        <w:tc>
          <w:tcPr>
            <w:tcW w:w="9287" w:type="dxa"/>
          </w:tcPr>
          <w:p w14:paraId="4E129856" w14:textId="77777777" w:rsidR="00BC7B13" w:rsidRDefault="004E7EF9">
            <w:pPr>
              <w:tabs>
                <w:tab w:val="left" w:pos="142"/>
              </w:tabs>
              <w:ind w:left="567" w:hanging="567"/>
              <w:rPr>
                <w:b/>
                <w:noProof/>
              </w:rPr>
            </w:pPr>
            <w:r>
              <w:rPr>
                <w:b/>
                <w:noProof/>
              </w:rPr>
              <w:t>4.</w:t>
            </w:r>
            <w:r>
              <w:rPr>
                <w:b/>
                <w:noProof/>
              </w:rPr>
              <w:tab/>
            </w:r>
            <w:r>
              <w:rPr>
                <w:b/>
                <w:caps/>
                <w:noProof/>
              </w:rPr>
              <w:t>serijos numeris</w:t>
            </w:r>
          </w:p>
        </w:tc>
      </w:tr>
    </w:tbl>
    <w:p w14:paraId="345D1766" w14:textId="77777777" w:rsidR="00BC7B13" w:rsidRDefault="00BC7B13">
      <w:pPr>
        <w:ind w:right="113"/>
        <w:rPr>
          <w:i/>
          <w:noProof/>
          <w:highlight w:val="yellow"/>
        </w:rPr>
      </w:pPr>
    </w:p>
    <w:p w14:paraId="72576098" w14:textId="77777777" w:rsidR="00BC7B13" w:rsidRDefault="004E7EF9">
      <w:pPr>
        <w:ind w:right="113"/>
        <w:rPr>
          <w:noProof/>
        </w:rPr>
      </w:pPr>
      <w:r>
        <w:rPr>
          <w:noProof/>
        </w:rPr>
        <w:t>Lot</w:t>
      </w:r>
    </w:p>
    <w:p w14:paraId="1D219E6F" w14:textId="77777777" w:rsidR="00BC7B13" w:rsidRDefault="00BC7B13">
      <w:pPr>
        <w:ind w:right="113"/>
        <w:rPr>
          <w:noProof/>
        </w:rPr>
      </w:pPr>
    </w:p>
    <w:p w14:paraId="2DC7BB80" w14:textId="77777777" w:rsidR="00BC7B13" w:rsidRDefault="00BC7B13">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7B13" w14:paraId="2326B245" w14:textId="77777777">
        <w:tc>
          <w:tcPr>
            <w:tcW w:w="9287" w:type="dxa"/>
          </w:tcPr>
          <w:p w14:paraId="6270F9A9" w14:textId="77777777" w:rsidR="00BC7B13" w:rsidRDefault="004E7EF9">
            <w:pPr>
              <w:tabs>
                <w:tab w:val="left" w:pos="142"/>
              </w:tabs>
              <w:ind w:left="567" w:hanging="567"/>
              <w:rPr>
                <w:b/>
                <w:noProof/>
              </w:rPr>
            </w:pPr>
            <w:r>
              <w:rPr>
                <w:b/>
                <w:noProof/>
              </w:rPr>
              <w:t>5.</w:t>
            </w:r>
            <w:r>
              <w:rPr>
                <w:b/>
                <w:noProof/>
              </w:rPr>
              <w:tab/>
              <w:t>KITA</w:t>
            </w:r>
          </w:p>
        </w:tc>
      </w:tr>
    </w:tbl>
    <w:p w14:paraId="1E91CDCC" w14:textId="77777777" w:rsidR="00BC7B13" w:rsidRDefault="00BC7B13">
      <w:pPr>
        <w:widowControl w:val="0"/>
        <w:ind w:left="567" w:hanging="567"/>
        <w:rPr>
          <w:noProof/>
          <w:color w:val="000000"/>
          <w:szCs w:val="22"/>
          <w:lang w:val="en-GB" w:eastAsia="sl-SI"/>
        </w:rPr>
      </w:pPr>
    </w:p>
    <w:p w14:paraId="5A90BE95" w14:textId="77777777" w:rsidR="00BC7B13" w:rsidRDefault="00BC7B13">
      <w:pPr>
        <w:ind w:right="113"/>
        <w:rPr>
          <w:noProof/>
        </w:rPr>
      </w:pPr>
    </w:p>
    <w:p w14:paraId="7DEC5229" w14:textId="77777777" w:rsidR="00BC7B13" w:rsidRDefault="004E7EF9">
      <w:pPr>
        <w:rPr>
          <w:b/>
          <w:noProof/>
          <w:color w:val="FF0000"/>
        </w:rPr>
      </w:pPr>
      <w:r>
        <w:rPr>
          <w:b/>
          <w:noProof/>
          <w:color w:val="FF0000"/>
        </w:rPr>
        <w:br w:type="page"/>
      </w:r>
    </w:p>
    <w:p w14:paraId="6E18EEA5" w14:textId="77777777" w:rsidR="00BC7B13" w:rsidRDefault="00BC7B13">
      <w:pPr>
        <w:rPr>
          <w:noProof/>
        </w:rPr>
      </w:pPr>
    </w:p>
    <w:p w14:paraId="4D88249B" w14:textId="77777777" w:rsidR="00BC7B13" w:rsidRDefault="00BC7B13">
      <w:pPr>
        <w:rPr>
          <w:noProof/>
        </w:rPr>
      </w:pPr>
    </w:p>
    <w:p w14:paraId="7AF1211A" w14:textId="77777777" w:rsidR="00BC7B13" w:rsidRDefault="00BC7B13">
      <w:pPr>
        <w:rPr>
          <w:noProof/>
        </w:rPr>
      </w:pPr>
    </w:p>
    <w:p w14:paraId="0F8FD7A3" w14:textId="77777777" w:rsidR="00BC7B13" w:rsidRDefault="00BC7B13">
      <w:pPr>
        <w:rPr>
          <w:noProof/>
        </w:rPr>
      </w:pPr>
    </w:p>
    <w:p w14:paraId="1C503EFD" w14:textId="77777777" w:rsidR="00BC7B13" w:rsidRDefault="00BC7B13">
      <w:pPr>
        <w:rPr>
          <w:noProof/>
        </w:rPr>
      </w:pPr>
    </w:p>
    <w:p w14:paraId="4D8D4148" w14:textId="77777777" w:rsidR="00BC7B13" w:rsidRDefault="00BC7B13">
      <w:pPr>
        <w:rPr>
          <w:noProof/>
        </w:rPr>
      </w:pPr>
    </w:p>
    <w:p w14:paraId="3F0E4B09" w14:textId="77777777" w:rsidR="00BC7B13" w:rsidRDefault="00BC7B13">
      <w:pPr>
        <w:rPr>
          <w:noProof/>
        </w:rPr>
      </w:pPr>
    </w:p>
    <w:p w14:paraId="226176FB" w14:textId="77777777" w:rsidR="00BC7B13" w:rsidRDefault="00BC7B13">
      <w:pPr>
        <w:rPr>
          <w:noProof/>
        </w:rPr>
      </w:pPr>
    </w:p>
    <w:p w14:paraId="101E4571" w14:textId="77777777" w:rsidR="00BC7B13" w:rsidRDefault="00BC7B13">
      <w:pPr>
        <w:rPr>
          <w:noProof/>
        </w:rPr>
      </w:pPr>
    </w:p>
    <w:p w14:paraId="745AB3C0" w14:textId="77777777" w:rsidR="00BC7B13" w:rsidRDefault="00BC7B13">
      <w:pPr>
        <w:rPr>
          <w:noProof/>
        </w:rPr>
      </w:pPr>
    </w:p>
    <w:p w14:paraId="56AEB353" w14:textId="77777777" w:rsidR="00BC7B13" w:rsidRDefault="00BC7B13">
      <w:pPr>
        <w:rPr>
          <w:noProof/>
        </w:rPr>
      </w:pPr>
    </w:p>
    <w:p w14:paraId="07226A9F" w14:textId="77777777" w:rsidR="00BC7B13" w:rsidRDefault="00BC7B13">
      <w:pPr>
        <w:rPr>
          <w:noProof/>
        </w:rPr>
      </w:pPr>
    </w:p>
    <w:p w14:paraId="4E6105B7" w14:textId="77777777" w:rsidR="00BC7B13" w:rsidRDefault="00BC7B13">
      <w:pPr>
        <w:rPr>
          <w:noProof/>
        </w:rPr>
      </w:pPr>
    </w:p>
    <w:p w14:paraId="7B2520E8" w14:textId="77777777" w:rsidR="00BC7B13" w:rsidRDefault="00BC7B13">
      <w:pPr>
        <w:rPr>
          <w:noProof/>
        </w:rPr>
      </w:pPr>
    </w:p>
    <w:p w14:paraId="5A6C65E8" w14:textId="77777777" w:rsidR="00BC7B13" w:rsidRDefault="00BC7B13">
      <w:pPr>
        <w:rPr>
          <w:noProof/>
        </w:rPr>
      </w:pPr>
    </w:p>
    <w:p w14:paraId="0B8E586A" w14:textId="77777777" w:rsidR="00BC7B13" w:rsidRDefault="00BC7B13">
      <w:pPr>
        <w:rPr>
          <w:noProof/>
        </w:rPr>
      </w:pPr>
    </w:p>
    <w:p w14:paraId="6EE299E5" w14:textId="77777777" w:rsidR="00BC7B13" w:rsidRDefault="00BC7B13">
      <w:pPr>
        <w:rPr>
          <w:noProof/>
        </w:rPr>
      </w:pPr>
    </w:p>
    <w:p w14:paraId="0636D9A9" w14:textId="77777777" w:rsidR="00BC7B13" w:rsidRDefault="00BC7B13">
      <w:pPr>
        <w:rPr>
          <w:noProof/>
        </w:rPr>
      </w:pPr>
    </w:p>
    <w:p w14:paraId="0148D86D" w14:textId="77777777" w:rsidR="00BC7B13" w:rsidRDefault="00BC7B13">
      <w:pPr>
        <w:rPr>
          <w:noProof/>
        </w:rPr>
      </w:pPr>
    </w:p>
    <w:p w14:paraId="62A391A1" w14:textId="77777777" w:rsidR="00BC7B13" w:rsidRDefault="00BC7B13">
      <w:pPr>
        <w:rPr>
          <w:noProof/>
        </w:rPr>
      </w:pPr>
    </w:p>
    <w:p w14:paraId="3816CAFF" w14:textId="77777777" w:rsidR="00BC7B13" w:rsidRDefault="00BC7B13">
      <w:pPr>
        <w:rPr>
          <w:noProof/>
        </w:rPr>
      </w:pPr>
    </w:p>
    <w:p w14:paraId="5D766117" w14:textId="77777777" w:rsidR="00BC7B13" w:rsidRDefault="00BC7B13">
      <w:pPr>
        <w:rPr>
          <w:noProof/>
        </w:rPr>
      </w:pPr>
    </w:p>
    <w:p w14:paraId="2177A1FF" w14:textId="77777777" w:rsidR="00BC7B13" w:rsidRDefault="00BC7B13">
      <w:pPr>
        <w:rPr>
          <w:noProof/>
        </w:rPr>
      </w:pPr>
    </w:p>
    <w:p w14:paraId="058E8A08" w14:textId="77777777" w:rsidR="00BC7B13" w:rsidRDefault="004E7EF9">
      <w:pPr>
        <w:tabs>
          <w:tab w:val="left" w:pos="567"/>
        </w:tabs>
        <w:spacing w:line="260" w:lineRule="exact"/>
        <w:jc w:val="center"/>
        <w:outlineLvl w:val="0"/>
        <w:rPr>
          <w:b/>
          <w:snapToGrid w:val="0"/>
          <w:szCs w:val="20"/>
        </w:rPr>
      </w:pPr>
      <w:r>
        <w:rPr>
          <w:b/>
          <w:snapToGrid w:val="0"/>
          <w:szCs w:val="20"/>
        </w:rPr>
        <w:t>B. PAKUOTĖS LAPELIS</w:t>
      </w:r>
    </w:p>
    <w:p w14:paraId="485218F1" w14:textId="77777777" w:rsidR="00BC7B13" w:rsidRDefault="004E7EF9">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1093ACB2" w14:textId="77777777" w:rsidR="00BC7B13" w:rsidRDefault="00BC7B13">
      <w:pPr>
        <w:jc w:val="center"/>
        <w:outlineLvl w:val="0"/>
        <w:rPr>
          <w:b/>
          <w:noProof/>
        </w:rPr>
      </w:pPr>
    </w:p>
    <w:p w14:paraId="0C54E5A9" w14:textId="77777777" w:rsidR="00BC7B13" w:rsidRDefault="004E7EF9">
      <w:pPr>
        <w:jc w:val="center"/>
        <w:rPr>
          <w:b/>
          <w:bCs/>
          <w:color w:val="000000" w:themeColor="text1"/>
        </w:rPr>
      </w:pPr>
      <w:r>
        <w:rPr>
          <w:b/>
          <w:bCs/>
          <w:noProof/>
        </w:rPr>
        <w:t>Varesta 5 mg plėvele dengtos tabletės</w:t>
      </w:r>
    </w:p>
    <w:p w14:paraId="2FFB3254" w14:textId="77777777" w:rsidR="00BC7B13" w:rsidRDefault="004E7EF9">
      <w:pPr>
        <w:jc w:val="center"/>
        <w:rPr>
          <w:b/>
          <w:bCs/>
          <w:color w:val="000000" w:themeColor="text1"/>
          <w:highlight w:val="lightGray"/>
        </w:rPr>
      </w:pPr>
      <w:r>
        <w:rPr>
          <w:b/>
          <w:bCs/>
          <w:noProof/>
          <w:highlight w:val="lightGray"/>
        </w:rPr>
        <w:t>Varesta 10 mg plėvele dengtos tabletės</w:t>
      </w:r>
    </w:p>
    <w:p w14:paraId="52C68141" w14:textId="77777777" w:rsidR="00BC7B13" w:rsidRDefault="004E7EF9">
      <w:pPr>
        <w:jc w:val="center"/>
        <w:rPr>
          <w:b/>
          <w:bCs/>
          <w:color w:val="000000" w:themeColor="text1"/>
          <w:highlight w:val="lightGray"/>
        </w:rPr>
      </w:pPr>
      <w:r>
        <w:rPr>
          <w:b/>
          <w:bCs/>
          <w:noProof/>
          <w:highlight w:val="lightGray"/>
        </w:rPr>
        <w:t>Varesta 15 mg plėvele dengtos tabletės</w:t>
      </w:r>
    </w:p>
    <w:p w14:paraId="2459720E" w14:textId="77777777" w:rsidR="00BC7B13" w:rsidRDefault="004E7EF9">
      <w:pPr>
        <w:jc w:val="center"/>
        <w:rPr>
          <w:b/>
          <w:bCs/>
          <w:color w:val="000000" w:themeColor="text1"/>
        </w:rPr>
      </w:pPr>
      <w:r>
        <w:rPr>
          <w:b/>
          <w:bCs/>
          <w:noProof/>
          <w:highlight w:val="lightGray"/>
        </w:rPr>
        <w:t>Varesta 20 mg plėvele dengtos tabletės</w:t>
      </w:r>
    </w:p>
    <w:p w14:paraId="16795BF4" w14:textId="77777777" w:rsidR="00BC7B13" w:rsidRDefault="004E7EF9">
      <w:pPr>
        <w:jc w:val="center"/>
        <w:rPr>
          <w:noProof/>
        </w:rPr>
      </w:pPr>
      <w:bookmarkStart w:id="11" w:name="_Hlk157604738"/>
      <w:r>
        <w:rPr>
          <w:noProof/>
        </w:rPr>
        <w:t>vortioksetinas</w:t>
      </w:r>
    </w:p>
    <w:bookmarkEnd w:id="11"/>
    <w:p w14:paraId="48C96373" w14:textId="77777777" w:rsidR="00BC7B13" w:rsidRDefault="00BC7B13">
      <w:pPr>
        <w:jc w:val="center"/>
        <w:rPr>
          <w:noProof/>
        </w:rPr>
      </w:pPr>
    </w:p>
    <w:p w14:paraId="70F91B60" w14:textId="77777777" w:rsidR="00BC7B13" w:rsidRDefault="004E7EF9">
      <w:pPr>
        <w:widowControl w:val="0"/>
        <w:rPr>
          <w:b/>
          <w:noProof/>
          <w:szCs w:val="22"/>
        </w:rPr>
      </w:pPr>
      <w:r>
        <w:rPr>
          <w:b/>
          <w:noProof/>
          <w:szCs w:val="22"/>
        </w:rPr>
        <w:t>Atidžiai perskaitykite visą šį lapelį, prieš pradėdami vartoti vaistą, nes jame pateikiama Jums svarbi informacija.</w:t>
      </w:r>
    </w:p>
    <w:p w14:paraId="1F9C2198" w14:textId="77777777" w:rsidR="00BC7B13" w:rsidRDefault="004E7EF9">
      <w:pPr>
        <w:ind w:left="567" w:hanging="567"/>
        <w:rPr>
          <w:noProof/>
        </w:rPr>
      </w:pPr>
      <w:r>
        <w:rPr>
          <w:noProof/>
        </w:rPr>
        <w:t>-</w:t>
      </w:r>
      <w:r>
        <w:rPr>
          <w:noProof/>
        </w:rPr>
        <w:tab/>
        <w:t>Neišmeskite šio lapelio, nes vėl gali prireikti jį perskaityti.</w:t>
      </w:r>
    </w:p>
    <w:p w14:paraId="43C19777" w14:textId="77777777" w:rsidR="00BC7B13" w:rsidRDefault="004E7EF9">
      <w:pPr>
        <w:ind w:left="567" w:hanging="567"/>
        <w:rPr>
          <w:noProof/>
        </w:rPr>
      </w:pPr>
      <w:r>
        <w:rPr>
          <w:noProof/>
        </w:rPr>
        <w:t>-</w:t>
      </w:r>
      <w:r>
        <w:rPr>
          <w:noProof/>
        </w:rPr>
        <w:tab/>
        <w:t>Jeigu kiltų daugiau klausimų, kreipkitės į gydytoją arba vaistininką</w:t>
      </w:r>
      <w:r>
        <w:t>.</w:t>
      </w:r>
    </w:p>
    <w:p w14:paraId="74DC8280" w14:textId="77777777" w:rsidR="00BC7B13" w:rsidRDefault="004E7EF9">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4A875346" w14:textId="77777777" w:rsidR="00BC7B13" w:rsidRDefault="004E7EF9">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44927820" w14:textId="77777777" w:rsidR="00BC7B13" w:rsidRDefault="00BC7B13">
      <w:pPr>
        <w:numPr>
          <w:ilvl w:val="12"/>
          <w:numId w:val="0"/>
        </w:numPr>
        <w:ind w:right="-2"/>
        <w:outlineLvl w:val="0"/>
        <w:rPr>
          <w:b/>
          <w:noProof/>
        </w:rPr>
      </w:pPr>
    </w:p>
    <w:p w14:paraId="42173958" w14:textId="77777777" w:rsidR="00BC7B13" w:rsidRDefault="004E7EF9">
      <w:pPr>
        <w:ind w:left="567" w:hanging="567"/>
        <w:rPr>
          <w:b/>
          <w:szCs w:val="22"/>
        </w:rPr>
      </w:pPr>
      <w:r>
        <w:rPr>
          <w:b/>
          <w:szCs w:val="22"/>
        </w:rPr>
        <w:t>Apie ką rašoma šiame lapelyje?</w:t>
      </w:r>
    </w:p>
    <w:p w14:paraId="0FFFB705" w14:textId="77777777" w:rsidR="00BC7B13" w:rsidRDefault="00BC7B13">
      <w:pPr>
        <w:rPr>
          <w:b/>
          <w:noProof/>
        </w:rPr>
      </w:pPr>
    </w:p>
    <w:p w14:paraId="601CEA52" w14:textId="77777777" w:rsidR="00BC7B13" w:rsidRDefault="004E7EF9">
      <w:pPr>
        <w:ind w:left="567" w:hanging="567"/>
        <w:rPr>
          <w:noProof/>
        </w:rPr>
      </w:pPr>
      <w:r>
        <w:rPr>
          <w:noProof/>
        </w:rPr>
        <w:t>1.</w:t>
      </w:r>
      <w:r>
        <w:rPr>
          <w:noProof/>
        </w:rPr>
        <w:tab/>
        <w:t>Kas yra Varesta ir kam jis vartojamas</w:t>
      </w:r>
    </w:p>
    <w:p w14:paraId="50562BC6" w14:textId="77777777" w:rsidR="00BC7B13" w:rsidRDefault="004E7EF9">
      <w:pPr>
        <w:ind w:left="567" w:hanging="567"/>
        <w:rPr>
          <w:noProof/>
        </w:rPr>
      </w:pPr>
      <w:r>
        <w:rPr>
          <w:noProof/>
        </w:rPr>
        <w:t>2.</w:t>
      </w:r>
      <w:r>
        <w:rPr>
          <w:noProof/>
        </w:rPr>
        <w:tab/>
        <w:t>Kas žinotina prieš vartojant Varesta</w:t>
      </w:r>
    </w:p>
    <w:p w14:paraId="14DA188F" w14:textId="77777777" w:rsidR="00BC7B13" w:rsidRDefault="004E7EF9">
      <w:pPr>
        <w:ind w:left="567" w:hanging="567"/>
        <w:rPr>
          <w:noProof/>
        </w:rPr>
      </w:pPr>
      <w:r>
        <w:rPr>
          <w:noProof/>
        </w:rPr>
        <w:t>3.</w:t>
      </w:r>
      <w:r>
        <w:rPr>
          <w:noProof/>
        </w:rPr>
        <w:tab/>
        <w:t>Kaip vartoti Varesta</w:t>
      </w:r>
    </w:p>
    <w:p w14:paraId="0DECE052" w14:textId="77777777" w:rsidR="00BC7B13" w:rsidRDefault="004E7EF9">
      <w:pPr>
        <w:ind w:left="567" w:hanging="567"/>
        <w:rPr>
          <w:noProof/>
        </w:rPr>
      </w:pPr>
      <w:r>
        <w:rPr>
          <w:noProof/>
        </w:rPr>
        <w:t>4.</w:t>
      </w:r>
      <w:r>
        <w:rPr>
          <w:noProof/>
        </w:rPr>
        <w:tab/>
        <w:t>Galimas šalutinis poveikis</w:t>
      </w:r>
    </w:p>
    <w:p w14:paraId="5366705F" w14:textId="77777777" w:rsidR="00BC7B13" w:rsidRDefault="004E7EF9">
      <w:pPr>
        <w:ind w:left="567" w:hanging="567"/>
        <w:rPr>
          <w:noProof/>
        </w:rPr>
      </w:pPr>
      <w:r>
        <w:rPr>
          <w:noProof/>
        </w:rPr>
        <w:t>5.</w:t>
      </w:r>
      <w:r>
        <w:rPr>
          <w:noProof/>
        </w:rPr>
        <w:tab/>
        <w:t>Kaip laikyti Varesta</w:t>
      </w:r>
    </w:p>
    <w:p w14:paraId="1BF1CA66" w14:textId="77777777" w:rsidR="00BC7B13" w:rsidRDefault="004E7EF9">
      <w:pPr>
        <w:ind w:left="567" w:hanging="567"/>
        <w:rPr>
          <w:noProof/>
        </w:rPr>
      </w:pPr>
      <w:r>
        <w:rPr>
          <w:noProof/>
        </w:rPr>
        <w:t>6.</w:t>
      </w:r>
      <w:r>
        <w:rPr>
          <w:noProof/>
        </w:rPr>
        <w:tab/>
      </w:r>
      <w:r>
        <w:t>Pakuotės turinys ir kita</w:t>
      </w:r>
      <w:r>
        <w:rPr>
          <w:noProof/>
        </w:rPr>
        <w:t xml:space="preserve"> informacija</w:t>
      </w:r>
    </w:p>
    <w:p w14:paraId="25EE7563" w14:textId="77777777" w:rsidR="00BC7B13" w:rsidRDefault="00BC7B13">
      <w:pPr>
        <w:numPr>
          <w:ilvl w:val="12"/>
          <w:numId w:val="0"/>
        </w:numPr>
        <w:rPr>
          <w:noProof/>
        </w:rPr>
      </w:pPr>
    </w:p>
    <w:p w14:paraId="481A11A2" w14:textId="77777777" w:rsidR="00BC7B13" w:rsidRDefault="00BC7B13">
      <w:pPr>
        <w:numPr>
          <w:ilvl w:val="12"/>
          <w:numId w:val="0"/>
        </w:numPr>
        <w:rPr>
          <w:noProof/>
        </w:rPr>
      </w:pPr>
    </w:p>
    <w:p w14:paraId="2B23564F" w14:textId="77777777" w:rsidR="00BC7B13" w:rsidRDefault="004E7EF9">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Varesta</w:t>
      </w:r>
      <w:proofErr w:type="spellEnd"/>
      <w:r>
        <w:rPr>
          <w:b/>
        </w:rPr>
        <w:t xml:space="preserve"> ir kam jis vartojamas</w:t>
      </w:r>
    </w:p>
    <w:p w14:paraId="05B2E21B" w14:textId="77777777" w:rsidR="00BC7B13" w:rsidRDefault="00BC7B13">
      <w:pPr>
        <w:ind w:left="567" w:hanging="567"/>
        <w:rPr>
          <w:noProof/>
        </w:rPr>
      </w:pPr>
    </w:p>
    <w:p w14:paraId="3A98CB46" w14:textId="77777777" w:rsidR="00BC7B13" w:rsidRDefault="004E7EF9">
      <w:pPr>
        <w:autoSpaceDE w:val="0"/>
        <w:autoSpaceDN w:val="0"/>
        <w:adjustRightInd w:val="0"/>
        <w:rPr>
          <w:szCs w:val="22"/>
          <w:lang w:eastAsia="lt-LT"/>
        </w:rPr>
      </w:pPr>
      <w:proofErr w:type="spellStart"/>
      <w:r>
        <w:rPr>
          <w:szCs w:val="22"/>
          <w:lang w:eastAsia="lt-LT"/>
        </w:rPr>
        <w:t>Varesta</w:t>
      </w:r>
      <w:proofErr w:type="spellEnd"/>
      <w:r>
        <w:rPr>
          <w:szCs w:val="22"/>
          <w:lang w:eastAsia="lt-LT"/>
        </w:rPr>
        <w:t xml:space="preserve"> sudėtyje yra veikliosios medžiagos </w:t>
      </w:r>
      <w:proofErr w:type="spellStart"/>
      <w:r>
        <w:rPr>
          <w:szCs w:val="22"/>
          <w:lang w:eastAsia="lt-LT"/>
        </w:rPr>
        <w:t>vortioksetino</w:t>
      </w:r>
      <w:proofErr w:type="spellEnd"/>
      <w:r>
        <w:rPr>
          <w:szCs w:val="22"/>
          <w:lang w:eastAsia="lt-LT"/>
        </w:rPr>
        <w:t>. Jis priklauso vaistų, vadinamų antidepresantais, grupei.</w:t>
      </w:r>
    </w:p>
    <w:p w14:paraId="12BB0F61" w14:textId="77777777" w:rsidR="00BC7B13" w:rsidRDefault="00BC7B13">
      <w:pPr>
        <w:autoSpaceDE w:val="0"/>
        <w:autoSpaceDN w:val="0"/>
        <w:adjustRightInd w:val="0"/>
        <w:rPr>
          <w:szCs w:val="22"/>
          <w:lang w:eastAsia="lt-LT"/>
        </w:rPr>
      </w:pPr>
    </w:p>
    <w:p w14:paraId="2D49B2A3" w14:textId="77777777" w:rsidR="00BC7B13" w:rsidRDefault="004E7EF9">
      <w:pPr>
        <w:autoSpaceDE w:val="0"/>
        <w:autoSpaceDN w:val="0"/>
        <w:adjustRightInd w:val="0"/>
        <w:rPr>
          <w:szCs w:val="22"/>
          <w:lang w:eastAsia="lt-LT"/>
        </w:rPr>
      </w:pPr>
      <w:proofErr w:type="spellStart"/>
      <w:r>
        <w:rPr>
          <w:szCs w:val="22"/>
          <w:lang w:eastAsia="lt-LT"/>
        </w:rPr>
        <w:t>Varesta</w:t>
      </w:r>
      <w:proofErr w:type="spellEnd"/>
      <w:r>
        <w:rPr>
          <w:szCs w:val="22"/>
          <w:lang w:eastAsia="lt-LT"/>
        </w:rPr>
        <w:t xml:space="preserve"> vartojamas suaugusiems žmonėms didžiosios depresijos epizodams gydyti.</w:t>
      </w:r>
    </w:p>
    <w:p w14:paraId="7F56EC1B" w14:textId="77777777" w:rsidR="00BC7B13" w:rsidRDefault="00BC7B13">
      <w:pPr>
        <w:autoSpaceDE w:val="0"/>
        <w:autoSpaceDN w:val="0"/>
        <w:adjustRightInd w:val="0"/>
        <w:rPr>
          <w:szCs w:val="22"/>
          <w:lang w:eastAsia="lt-LT"/>
        </w:rPr>
      </w:pPr>
    </w:p>
    <w:p w14:paraId="44ACC04B" w14:textId="77777777" w:rsidR="00BC7B13" w:rsidRDefault="004E7EF9">
      <w:pPr>
        <w:autoSpaceDE w:val="0"/>
        <w:autoSpaceDN w:val="0"/>
        <w:adjustRightInd w:val="0"/>
        <w:rPr>
          <w:szCs w:val="22"/>
          <w:lang w:eastAsia="lt-LT"/>
        </w:rPr>
      </w:pPr>
      <w:r>
        <w:rPr>
          <w:szCs w:val="22"/>
          <w:lang w:eastAsia="lt-LT"/>
        </w:rPr>
        <w:t xml:space="preserve">Nustatyta, kad </w:t>
      </w:r>
      <w:proofErr w:type="spellStart"/>
      <w:r>
        <w:rPr>
          <w:szCs w:val="22"/>
          <w:lang w:eastAsia="lt-LT"/>
        </w:rPr>
        <w:t>Varesta</w:t>
      </w:r>
      <w:proofErr w:type="spellEnd"/>
      <w:r>
        <w:rPr>
          <w:szCs w:val="22"/>
          <w:lang w:eastAsia="lt-LT"/>
        </w:rPr>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w:t>
      </w:r>
    </w:p>
    <w:p w14:paraId="3259DA15" w14:textId="77777777" w:rsidR="00BC7B13" w:rsidRDefault="00BC7B13">
      <w:pPr>
        <w:numPr>
          <w:ilvl w:val="12"/>
          <w:numId w:val="0"/>
        </w:numPr>
        <w:rPr>
          <w:noProof/>
        </w:rPr>
      </w:pPr>
    </w:p>
    <w:p w14:paraId="3C10337E" w14:textId="77777777" w:rsidR="00BC7B13" w:rsidRDefault="00BC7B13">
      <w:pPr>
        <w:numPr>
          <w:ilvl w:val="12"/>
          <w:numId w:val="0"/>
        </w:numPr>
        <w:rPr>
          <w:noProof/>
        </w:rPr>
      </w:pPr>
    </w:p>
    <w:p w14:paraId="549436C6" w14:textId="77777777" w:rsidR="00BC7B13" w:rsidRDefault="004E7EF9">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Varesta</w:t>
      </w:r>
    </w:p>
    <w:p w14:paraId="55062724" w14:textId="77777777" w:rsidR="00BC7B13" w:rsidRDefault="00BC7B13">
      <w:pPr>
        <w:ind w:left="567" w:hanging="567"/>
        <w:rPr>
          <w:noProof/>
        </w:rPr>
      </w:pPr>
    </w:p>
    <w:p w14:paraId="6818686B" w14:textId="77777777" w:rsidR="00BC7B13" w:rsidRDefault="004E7EF9">
      <w:pPr>
        <w:ind w:left="567" w:hanging="567"/>
        <w:rPr>
          <w:b/>
          <w:caps/>
          <w:noProof/>
        </w:rPr>
      </w:pPr>
      <w:r>
        <w:rPr>
          <w:b/>
          <w:bCs/>
          <w:noProof/>
        </w:rPr>
        <w:t>Varesta vartoti draudžiama:</w:t>
      </w:r>
    </w:p>
    <w:p w14:paraId="0B6AB0A2" w14:textId="77777777" w:rsidR="00BC7B13" w:rsidRDefault="004E7EF9">
      <w:pPr>
        <w:numPr>
          <w:ilvl w:val="12"/>
          <w:numId w:val="0"/>
        </w:numPr>
        <w:ind w:left="567" w:hanging="567"/>
        <w:rPr>
          <w:noProof/>
        </w:rPr>
      </w:pPr>
      <w:r>
        <w:rPr>
          <w:noProof/>
        </w:rPr>
        <w:t>-</w:t>
      </w:r>
      <w:r>
        <w:rPr>
          <w:noProof/>
        </w:rPr>
        <w:tab/>
        <w:t xml:space="preserve">jeigu yra alergija </w:t>
      </w:r>
      <w:proofErr w:type="spellStart"/>
      <w:r>
        <w:rPr>
          <w:szCs w:val="22"/>
        </w:rPr>
        <w:t>vortioksetinui</w:t>
      </w:r>
      <w:proofErr w:type="spellEnd"/>
      <w:r>
        <w:rPr>
          <w:noProof/>
        </w:rPr>
        <w:t xml:space="preserve"> arba bet kuriai pagalbinei šio vaisto medžiagai </w:t>
      </w:r>
      <w:r>
        <w:rPr>
          <w:szCs w:val="22"/>
        </w:rPr>
        <w:t>(jos išvardytos 6 skyriuje);</w:t>
      </w:r>
    </w:p>
    <w:p w14:paraId="1706EF93" w14:textId="77777777" w:rsidR="00BC7B13" w:rsidRDefault="004E7EF9">
      <w:pPr>
        <w:widowControl w:val="0"/>
        <w:numPr>
          <w:ilvl w:val="0"/>
          <w:numId w:val="5"/>
        </w:numPr>
        <w:autoSpaceDE w:val="0"/>
        <w:autoSpaceDN w:val="0"/>
        <w:ind w:left="567" w:hanging="567"/>
        <w:rPr>
          <w:color w:val="000000"/>
          <w:szCs w:val="22"/>
          <w:lang w:val="en-US"/>
        </w:rPr>
      </w:pPr>
      <w:r>
        <w:t xml:space="preserve">jeigu vartojate kitų vaistų depresijai gydyti, kurie yra neselektyvieji </w:t>
      </w:r>
      <w:proofErr w:type="spellStart"/>
      <w:r>
        <w:t>monoamino</w:t>
      </w:r>
      <w:proofErr w:type="spellEnd"/>
      <w:r>
        <w:t xml:space="preserve"> </w:t>
      </w:r>
      <w:proofErr w:type="spellStart"/>
      <w:r>
        <w:t>oksidazės</w:t>
      </w:r>
      <w:proofErr w:type="spellEnd"/>
      <w:r>
        <w:t xml:space="preserve"> (MAO) inhibitoriai ar selektyvieji MAO-A inhibitoriai. Jeigu abejojate, klauskite gydytojo.</w:t>
      </w:r>
    </w:p>
    <w:p w14:paraId="0021A124" w14:textId="77777777" w:rsidR="00BC7B13" w:rsidRDefault="00BC7B13">
      <w:pPr>
        <w:ind w:left="567" w:hanging="567"/>
        <w:rPr>
          <w:noProof/>
        </w:rPr>
      </w:pPr>
    </w:p>
    <w:p w14:paraId="252F812D" w14:textId="77777777" w:rsidR="00BC7B13" w:rsidRDefault="004E7EF9">
      <w:pPr>
        <w:ind w:left="567" w:hanging="567"/>
        <w:rPr>
          <w:b/>
          <w:noProof/>
        </w:rPr>
      </w:pPr>
      <w:r>
        <w:rPr>
          <w:b/>
          <w:noProof/>
        </w:rPr>
        <w:t>Įspėjimai ir atsargumo priemonės</w:t>
      </w:r>
    </w:p>
    <w:p w14:paraId="2A7B5D70" w14:textId="77777777" w:rsidR="00BC7B13" w:rsidRDefault="004E7EF9">
      <w:pPr>
        <w:rPr>
          <w:szCs w:val="22"/>
        </w:rPr>
      </w:pPr>
      <w:r>
        <w:rPr>
          <w:szCs w:val="22"/>
        </w:rPr>
        <w:t xml:space="preserve">Pasitarkite su gydytoju arba vaistininku, prieš pradėdami vartoti </w:t>
      </w:r>
      <w:proofErr w:type="spellStart"/>
      <w:r>
        <w:rPr>
          <w:szCs w:val="22"/>
        </w:rPr>
        <w:t>Varesta</w:t>
      </w:r>
      <w:proofErr w:type="spellEnd"/>
      <w:r>
        <w:t>:</w:t>
      </w:r>
    </w:p>
    <w:p w14:paraId="59BC5B7E" w14:textId="77777777" w:rsidR="00BC7B13" w:rsidRDefault="00BC7B13">
      <w:pPr>
        <w:numPr>
          <w:ilvl w:val="12"/>
          <w:numId w:val="0"/>
        </w:numPr>
        <w:rPr>
          <w:noProof/>
        </w:rPr>
      </w:pPr>
      <w:bookmarkStart w:id="12" w:name="_Hlk157511816"/>
    </w:p>
    <w:p w14:paraId="2A0EC764" w14:textId="77777777" w:rsidR="00BC7B13" w:rsidRDefault="004E7EF9">
      <w:pPr>
        <w:widowControl w:val="0"/>
        <w:numPr>
          <w:ilvl w:val="0"/>
          <w:numId w:val="5"/>
        </w:numPr>
        <w:autoSpaceDE w:val="0"/>
        <w:autoSpaceDN w:val="0"/>
        <w:ind w:left="567" w:hanging="567"/>
        <w:rPr>
          <w:color w:val="000000"/>
          <w:szCs w:val="22"/>
        </w:rPr>
      </w:pPr>
      <w:bookmarkStart w:id="13" w:name="_Hlk157511807"/>
      <w:r>
        <w:t xml:space="preserve">jeigu vartojate vaistų, kurie sukelia </w:t>
      </w:r>
      <w:proofErr w:type="spellStart"/>
      <w:r>
        <w:t>serotoninerginį</w:t>
      </w:r>
      <w:proofErr w:type="spellEnd"/>
      <w:r>
        <w:t xml:space="preserve"> poveikį, pavyzdžiui:</w:t>
      </w:r>
      <w:bookmarkEnd w:id="13"/>
    </w:p>
    <w:bookmarkEnd w:id="12"/>
    <w:p w14:paraId="14042045" w14:textId="77777777" w:rsidR="00BC7B13" w:rsidRDefault="004E7EF9">
      <w:pPr>
        <w:pStyle w:val="Sraopastraipa"/>
        <w:widowControl w:val="0"/>
        <w:numPr>
          <w:ilvl w:val="0"/>
          <w:numId w:val="5"/>
        </w:numPr>
        <w:autoSpaceDE w:val="0"/>
        <w:autoSpaceDN w:val="0"/>
        <w:ind w:left="1418" w:hanging="567"/>
        <w:contextualSpacing w:val="0"/>
        <w:rPr>
          <w:color w:val="000000"/>
          <w:szCs w:val="22"/>
        </w:rPr>
      </w:pPr>
      <w:proofErr w:type="spellStart"/>
      <w:r>
        <w:rPr>
          <w:szCs w:val="22"/>
          <w:lang w:eastAsia="lt-LT"/>
        </w:rPr>
        <w:t>tramadolio</w:t>
      </w:r>
      <w:proofErr w:type="spellEnd"/>
      <w:r>
        <w:rPr>
          <w:szCs w:val="22"/>
          <w:lang w:eastAsia="lt-LT"/>
        </w:rPr>
        <w:t xml:space="preserve"> ir panašių vaistų (stiprių skausmą malšinančių vaistų)</w:t>
      </w:r>
      <w:r>
        <w:t>;</w:t>
      </w:r>
    </w:p>
    <w:p w14:paraId="7D56C1D7" w14:textId="77777777" w:rsidR="00BC7B13" w:rsidRDefault="004E7EF9">
      <w:pPr>
        <w:pStyle w:val="Sraopastraipa"/>
        <w:widowControl w:val="0"/>
        <w:numPr>
          <w:ilvl w:val="0"/>
          <w:numId w:val="5"/>
        </w:numPr>
        <w:autoSpaceDE w:val="0"/>
        <w:autoSpaceDN w:val="0"/>
        <w:ind w:left="1418" w:hanging="567"/>
        <w:contextualSpacing w:val="0"/>
        <w:rPr>
          <w:color w:val="000000"/>
          <w:szCs w:val="22"/>
          <w:lang w:val="pt-PT"/>
        </w:rPr>
      </w:pPr>
      <w:proofErr w:type="spellStart"/>
      <w:r>
        <w:rPr>
          <w:szCs w:val="22"/>
          <w:lang w:eastAsia="lt-LT"/>
        </w:rPr>
        <w:t>sumatriptano</w:t>
      </w:r>
      <w:proofErr w:type="spellEnd"/>
      <w:r>
        <w:rPr>
          <w:szCs w:val="22"/>
          <w:lang w:eastAsia="lt-LT"/>
        </w:rPr>
        <w:t xml:space="preserve"> ir panašių vaistų, kurių veikliosios medžiagos pavadinimas baigiasi „</w:t>
      </w:r>
      <w:proofErr w:type="spellStart"/>
      <w:r>
        <w:rPr>
          <w:szCs w:val="22"/>
          <w:lang w:eastAsia="lt-LT"/>
        </w:rPr>
        <w:t>triptanas</w:t>
      </w:r>
      <w:proofErr w:type="spellEnd"/>
      <w:r>
        <w:rPr>
          <w:szCs w:val="22"/>
          <w:lang w:eastAsia="lt-LT"/>
        </w:rPr>
        <w:t>“ (vartojamų migrenai gydyti).</w:t>
      </w:r>
    </w:p>
    <w:p w14:paraId="04575FF4" w14:textId="77777777" w:rsidR="00BC7B13" w:rsidRDefault="004E7EF9">
      <w:pPr>
        <w:widowControl w:val="0"/>
        <w:autoSpaceDE w:val="0"/>
        <w:autoSpaceDN w:val="0"/>
        <w:rPr>
          <w:color w:val="000000"/>
          <w:szCs w:val="22"/>
          <w:lang w:val="pt-PT"/>
        </w:rPr>
      </w:pPr>
      <w:r>
        <w:rPr>
          <w:color w:val="000000"/>
          <w:szCs w:val="22"/>
          <w:lang w:val="pt-PT"/>
        </w:rPr>
        <w:t>Šių vaistų vartojimas kartu su Varesta gali didinti serotonino sindromo atsiradimo riziką. Šis</w:t>
      </w:r>
    </w:p>
    <w:p w14:paraId="2708B715" w14:textId="77777777" w:rsidR="00BC7B13" w:rsidRDefault="004E7EF9">
      <w:pPr>
        <w:widowControl w:val="0"/>
        <w:autoSpaceDE w:val="0"/>
        <w:autoSpaceDN w:val="0"/>
        <w:rPr>
          <w:color w:val="000000"/>
          <w:szCs w:val="22"/>
          <w:lang w:val="pt-PT"/>
        </w:rPr>
      </w:pPr>
      <w:r>
        <w:rPr>
          <w:color w:val="000000"/>
          <w:szCs w:val="22"/>
          <w:lang w:val="pt-PT"/>
        </w:rPr>
        <w:t>sindromas gali būti susijęs su haliucinacijomis, nevalingais trūkčiojimais, širdies plakimo</w:t>
      </w:r>
    </w:p>
    <w:p w14:paraId="14647740" w14:textId="77777777" w:rsidR="00BC7B13" w:rsidRDefault="004E7EF9">
      <w:pPr>
        <w:widowControl w:val="0"/>
        <w:autoSpaceDE w:val="0"/>
        <w:autoSpaceDN w:val="0"/>
        <w:rPr>
          <w:color w:val="000000"/>
          <w:szCs w:val="22"/>
          <w:lang w:val="pt-PT"/>
        </w:rPr>
      </w:pPr>
      <w:r>
        <w:rPr>
          <w:color w:val="000000"/>
          <w:szCs w:val="22"/>
          <w:lang w:val="pt-PT"/>
        </w:rPr>
        <w:t>pagreitėjimu, kraujospūdžio padidėjimu, karščiavimu, pykinimu ir viduriavimu;</w:t>
      </w:r>
    </w:p>
    <w:p w14:paraId="6D3F84D3" w14:textId="77777777" w:rsidR="00BC7B13" w:rsidRDefault="00BC7B13">
      <w:pPr>
        <w:widowControl w:val="0"/>
        <w:autoSpaceDE w:val="0"/>
        <w:autoSpaceDN w:val="0"/>
        <w:rPr>
          <w:color w:val="000000"/>
          <w:szCs w:val="22"/>
          <w:lang w:val="pt-PT"/>
        </w:rPr>
      </w:pPr>
    </w:p>
    <w:p w14:paraId="38D783CB" w14:textId="77777777" w:rsidR="00BC7B13" w:rsidRDefault="004E7EF9">
      <w:pPr>
        <w:widowControl w:val="0"/>
        <w:numPr>
          <w:ilvl w:val="0"/>
          <w:numId w:val="5"/>
        </w:numPr>
        <w:autoSpaceDE w:val="0"/>
        <w:autoSpaceDN w:val="0"/>
        <w:ind w:left="567" w:hanging="567"/>
        <w:rPr>
          <w:color w:val="000000"/>
          <w:szCs w:val="22"/>
          <w:lang w:val="pt-PT"/>
        </w:rPr>
      </w:pPr>
      <w:r>
        <w:t>jeigu esate patyrę priepuolių (traukulių).</w:t>
      </w:r>
    </w:p>
    <w:p w14:paraId="3EE7E760" w14:textId="77777777" w:rsidR="00BC7B13" w:rsidRDefault="004E7EF9">
      <w:pPr>
        <w:autoSpaceDE w:val="0"/>
        <w:autoSpaceDN w:val="0"/>
        <w:adjustRightInd w:val="0"/>
        <w:rPr>
          <w:szCs w:val="22"/>
          <w:lang w:eastAsia="lt-LT"/>
        </w:rPr>
      </w:pPr>
      <w:r>
        <w:rPr>
          <w:szCs w:val="22"/>
          <w:lang w:eastAsia="lt-LT"/>
        </w:rPr>
        <w:t>Gydytojas gydys laikydamasis atsargumo priemonių, jeigu praeityje Jums yra buvę priepuolių arba sergate nestabilių priepuolių sutrikimu ar epilepsija. Vaistai, kuriais gydoma depresija, gali kelti priepuolių pasireiškimo riziką. Visiems pacientams, kuriems pasireiškia priepuolių arba priepuoliai padažnėja, gydymą reikia nutraukti;</w:t>
      </w:r>
    </w:p>
    <w:p w14:paraId="61A4258A" w14:textId="77777777" w:rsidR="00BC7B13" w:rsidRDefault="00BC7B13">
      <w:pPr>
        <w:autoSpaceDE w:val="0"/>
        <w:autoSpaceDN w:val="0"/>
        <w:adjustRightInd w:val="0"/>
        <w:rPr>
          <w:szCs w:val="22"/>
          <w:lang w:eastAsia="lt-LT"/>
        </w:rPr>
      </w:pPr>
    </w:p>
    <w:p w14:paraId="71410CE6"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jeigu pasireiškia manija;</w:t>
      </w:r>
    </w:p>
    <w:p w14:paraId="6798D7BA"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jeigu yra polinkis lengvesniam kraujavimo ar mėlynių atsiradimui arba esate nėščia (žr. „Nėštumas, žindymo laikotarpis ir vaisingumas“);</w:t>
      </w:r>
    </w:p>
    <w:p w14:paraId="6D98E44B"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jeigu yra sumažėjusi natrio koncentracija kraujyje;</w:t>
      </w:r>
    </w:p>
    <w:p w14:paraId="1D7AF667"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jeigu esate 65 metų arba vyresnis;</w:t>
      </w:r>
    </w:p>
    <w:p w14:paraId="114B894A"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jeigu sergate sunkia inkstų liga;</w:t>
      </w:r>
    </w:p>
    <w:p w14:paraId="19DE9462"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jeigu sergate sunkia kepenų liga arba kepenų liga, kuri vadinama ciroze;</w:t>
      </w:r>
    </w:p>
    <w:p w14:paraId="0AEF256F" w14:textId="77777777" w:rsidR="00BC7B13" w:rsidRDefault="004E7EF9">
      <w:pPr>
        <w:widowControl w:val="0"/>
        <w:numPr>
          <w:ilvl w:val="0"/>
          <w:numId w:val="5"/>
        </w:numPr>
        <w:autoSpaceDE w:val="0"/>
        <w:autoSpaceDN w:val="0"/>
        <w:ind w:left="567" w:hanging="567"/>
        <w:rPr>
          <w:color w:val="000000"/>
          <w:szCs w:val="22"/>
        </w:rPr>
      </w:pPr>
      <w:r>
        <w:rPr>
          <w:szCs w:val="22"/>
          <w:lang w:eastAsia="lt-LT"/>
        </w:rPr>
        <w:t>jeigu padidėjęs Jūsų akispūdis arba sergate glaukoma. Jeigu gydymo metu ima skaudėti akis arba pradedate</w:t>
      </w:r>
      <w:r>
        <w:rPr>
          <w:color w:val="000000"/>
          <w:szCs w:val="22"/>
        </w:rPr>
        <w:t xml:space="preserve"> </w:t>
      </w:r>
      <w:r>
        <w:rPr>
          <w:szCs w:val="22"/>
          <w:lang w:eastAsia="lt-LT"/>
        </w:rPr>
        <w:t>neryškiai matyti, kreipkitės į gydytoją.</w:t>
      </w:r>
    </w:p>
    <w:p w14:paraId="137BBEC9" w14:textId="77777777" w:rsidR="00BC7B13" w:rsidRDefault="00BC7B13">
      <w:pPr>
        <w:autoSpaceDE w:val="0"/>
        <w:autoSpaceDN w:val="0"/>
        <w:adjustRightInd w:val="0"/>
        <w:rPr>
          <w:rFonts w:ascii="TimesNewRoman" w:hAnsi="TimesNewRoman" w:cs="TimesNewRoman"/>
          <w:szCs w:val="22"/>
          <w:lang w:eastAsia="lt-LT"/>
        </w:rPr>
      </w:pPr>
    </w:p>
    <w:p w14:paraId="0D52E5FC" w14:textId="77777777" w:rsidR="00BC7B13" w:rsidRDefault="004E7EF9">
      <w:pPr>
        <w:autoSpaceDE w:val="0"/>
        <w:autoSpaceDN w:val="0"/>
        <w:adjustRightInd w:val="0"/>
        <w:rPr>
          <w:szCs w:val="22"/>
          <w:lang w:eastAsia="lt-LT"/>
        </w:rPr>
      </w:pPr>
      <w:r>
        <w:rPr>
          <w:szCs w:val="22"/>
          <w:lang w:eastAsia="lt-LT"/>
        </w:rPr>
        <w:t xml:space="preserve">Vartodami vaistų nuo depresijos, įskaitant </w:t>
      </w:r>
      <w:proofErr w:type="spellStart"/>
      <w:r>
        <w:rPr>
          <w:szCs w:val="22"/>
          <w:lang w:eastAsia="lt-LT"/>
        </w:rPr>
        <w:t>vortioksetiną</w:t>
      </w:r>
      <w:proofErr w:type="spellEnd"/>
      <w:r>
        <w:rPr>
          <w:szCs w:val="22"/>
          <w:lang w:eastAsia="lt-LT"/>
        </w:rPr>
        <w:t>, taip pat galite jausti agresyvumą, susijaudinimą, pyktį ir irzlumą. Jeigu pasireiškia tokių sutrikimų, kreipkitės į gydytoją.</w:t>
      </w:r>
    </w:p>
    <w:p w14:paraId="404DBA88" w14:textId="77777777" w:rsidR="00BC7B13" w:rsidRDefault="00BC7B13">
      <w:pPr>
        <w:autoSpaceDE w:val="0"/>
        <w:autoSpaceDN w:val="0"/>
        <w:adjustRightInd w:val="0"/>
        <w:rPr>
          <w:szCs w:val="22"/>
          <w:lang w:eastAsia="lt-LT"/>
        </w:rPr>
      </w:pPr>
    </w:p>
    <w:p w14:paraId="00F9BFEA"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Mintys apie savižudybę ir depresijos arba nerimo sutrikimų pasunkėjimas</w:t>
      </w:r>
    </w:p>
    <w:p w14:paraId="08441295"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368995CD" w14:textId="77777777" w:rsidR="00BC7B13" w:rsidRDefault="00BC7B13">
      <w:pPr>
        <w:autoSpaceDE w:val="0"/>
        <w:autoSpaceDN w:val="0"/>
        <w:adjustRightInd w:val="0"/>
        <w:rPr>
          <w:rFonts w:eastAsia="TimesNewRoman,Bold"/>
          <w:szCs w:val="22"/>
          <w:lang w:eastAsia="lt-LT"/>
        </w:rPr>
      </w:pPr>
    </w:p>
    <w:p w14:paraId="5744BD3D"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Tokia minčių tikimybė Jums yra didesnė šiais atvejais:</w:t>
      </w:r>
    </w:p>
    <w:p w14:paraId="031CB491" w14:textId="77777777" w:rsidR="00BC7B13" w:rsidRDefault="004E7EF9">
      <w:pPr>
        <w:widowControl w:val="0"/>
        <w:numPr>
          <w:ilvl w:val="0"/>
          <w:numId w:val="5"/>
        </w:numPr>
        <w:autoSpaceDE w:val="0"/>
        <w:autoSpaceDN w:val="0"/>
        <w:ind w:left="567" w:hanging="567"/>
        <w:rPr>
          <w:color w:val="000000"/>
          <w:szCs w:val="22"/>
        </w:rPr>
      </w:pPr>
      <w:r>
        <w:rPr>
          <w:rFonts w:eastAsia="TimesNewRoman,Bold"/>
          <w:szCs w:val="22"/>
          <w:lang w:eastAsia="lt-LT"/>
        </w:rPr>
        <w:t>jeigu anksčiau mąstėte apie savižudybę arba savęs žalojimą;</w:t>
      </w:r>
    </w:p>
    <w:p w14:paraId="7F47C543" w14:textId="77777777" w:rsidR="00BC7B13" w:rsidRDefault="004E7EF9">
      <w:pPr>
        <w:widowControl w:val="0"/>
        <w:numPr>
          <w:ilvl w:val="0"/>
          <w:numId w:val="5"/>
        </w:numPr>
        <w:autoSpaceDE w:val="0"/>
        <w:autoSpaceDN w:val="0"/>
        <w:ind w:left="567" w:hanging="567"/>
        <w:rPr>
          <w:color w:val="000000"/>
          <w:szCs w:val="22"/>
          <w:lang w:val="pt-PT"/>
        </w:rPr>
      </w:pPr>
      <w:r>
        <w:rPr>
          <w:rFonts w:eastAsia="TimesNewRoman,Bold"/>
          <w:szCs w:val="22"/>
          <w:lang w:eastAsia="lt-LT"/>
        </w:rPr>
        <w:t>jeigu esate jaunas suaugęs žmogus.</w:t>
      </w:r>
    </w:p>
    <w:p w14:paraId="7F678A15" w14:textId="77777777" w:rsidR="00BC7B13" w:rsidRDefault="00BC7B13">
      <w:pPr>
        <w:widowControl w:val="0"/>
        <w:autoSpaceDE w:val="0"/>
        <w:autoSpaceDN w:val="0"/>
        <w:rPr>
          <w:color w:val="000000"/>
          <w:szCs w:val="22"/>
          <w:lang w:val="pt-PT"/>
        </w:rPr>
      </w:pPr>
    </w:p>
    <w:p w14:paraId="42294A61"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Klinikinių tyrimų duomenys parodė, kad psichikos sutrikimais sergantiems jauniems suaugusiesiems (jaunesniems kaip 25 metų), vartojant antidepresantų, su savižudybe siejamo elgesio rizika yra didesnė.</w:t>
      </w:r>
    </w:p>
    <w:p w14:paraId="451743BB" w14:textId="77777777" w:rsidR="00BC7B13" w:rsidRDefault="00BC7B13">
      <w:pPr>
        <w:autoSpaceDE w:val="0"/>
        <w:autoSpaceDN w:val="0"/>
        <w:adjustRightInd w:val="0"/>
        <w:rPr>
          <w:rFonts w:eastAsia="TimesNewRoman,Bold"/>
          <w:szCs w:val="22"/>
          <w:lang w:eastAsia="lt-LT"/>
        </w:rPr>
      </w:pPr>
    </w:p>
    <w:p w14:paraId="288E2444"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w:t>
      </w:r>
    </w:p>
    <w:p w14:paraId="70121B8B" w14:textId="77777777" w:rsidR="00BC7B13" w:rsidRDefault="00BC7B13">
      <w:pPr>
        <w:autoSpaceDE w:val="0"/>
        <w:autoSpaceDN w:val="0"/>
        <w:adjustRightInd w:val="0"/>
        <w:rPr>
          <w:rFonts w:eastAsia="TimesNewRoman,Bold"/>
          <w:b/>
          <w:bCs/>
          <w:szCs w:val="22"/>
          <w:lang w:eastAsia="lt-LT"/>
        </w:rPr>
      </w:pPr>
    </w:p>
    <w:p w14:paraId="01B79158"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Vaikams ir paaugliams</w:t>
      </w:r>
    </w:p>
    <w:p w14:paraId="7A4F9B88" w14:textId="77777777" w:rsidR="00BC7B13" w:rsidRDefault="004E7EF9">
      <w:pPr>
        <w:autoSpaceDE w:val="0"/>
        <w:autoSpaceDN w:val="0"/>
        <w:adjustRightInd w:val="0"/>
        <w:rPr>
          <w:rFonts w:eastAsia="TimesNewRoman,Bold"/>
          <w:szCs w:val="22"/>
          <w:lang w:eastAsia="lt-LT"/>
        </w:rPr>
      </w:pPr>
      <w:proofErr w:type="spellStart"/>
      <w:r>
        <w:rPr>
          <w:rFonts w:eastAsia="TimesNewRoman,Bold"/>
          <w:szCs w:val="22"/>
          <w:lang w:eastAsia="lt-LT"/>
        </w:rPr>
        <w:t>Varesta</w:t>
      </w:r>
      <w:proofErr w:type="spellEnd"/>
      <w:r>
        <w:rPr>
          <w:rFonts w:eastAsia="TimesNewRoman,Bold"/>
          <w:szCs w:val="22"/>
          <w:lang w:eastAsia="lt-LT"/>
        </w:rPr>
        <w:t xml:space="preserve"> negalima vartoti vaikams (jaunesniems kaip 18 metų), nes veiksmingumas nebuvo įrodytas. </w:t>
      </w:r>
      <w:proofErr w:type="spellStart"/>
      <w:r>
        <w:rPr>
          <w:rFonts w:eastAsia="TimesNewRoman,Bold"/>
          <w:szCs w:val="22"/>
          <w:lang w:eastAsia="lt-LT"/>
        </w:rPr>
        <w:t>Varesta</w:t>
      </w:r>
      <w:proofErr w:type="spellEnd"/>
      <w:r>
        <w:rPr>
          <w:rFonts w:eastAsia="TimesNewRoman,Bold"/>
          <w:szCs w:val="22"/>
          <w:lang w:eastAsia="lt-LT"/>
        </w:rPr>
        <w:t xml:space="preserve"> saugumas vaikams ir paaugliams nuo 7 iki 17 metų aprašytas 4 skyriuje.</w:t>
      </w:r>
    </w:p>
    <w:p w14:paraId="5B0EA3F2" w14:textId="77777777" w:rsidR="00BC7B13" w:rsidRDefault="00BC7B13">
      <w:pPr>
        <w:autoSpaceDE w:val="0"/>
        <w:autoSpaceDN w:val="0"/>
        <w:adjustRightInd w:val="0"/>
        <w:rPr>
          <w:rFonts w:ascii="TimesNewRoman,Bold" w:eastAsia="TimesNewRoman,Bold" w:cs="TimesNewRoman,Bold"/>
          <w:b/>
          <w:bCs/>
          <w:szCs w:val="22"/>
          <w:lang w:eastAsia="lt-LT"/>
        </w:rPr>
      </w:pPr>
    </w:p>
    <w:p w14:paraId="5BB46F47"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 xml:space="preserve">Kiti vaistai ir </w:t>
      </w:r>
      <w:proofErr w:type="spellStart"/>
      <w:r>
        <w:rPr>
          <w:rFonts w:eastAsia="TimesNewRoman,Bold"/>
          <w:b/>
          <w:bCs/>
          <w:szCs w:val="22"/>
          <w:lang w:eastAsia="lt-LT"/>
        </w:rPr>
        <w:t>Varesta</w:t>
      </w:r>
      <w:proofErr w:type="spellEnd"/>
    </w:p>
    <w:p w14:paraId="341DD401"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Jeigu vartojate ar neseniai vartojote kitų vaistų arba dėl to nesate tikri, apie tai pasakykite gydytojui arba vaistininkui.</w:t>
      </w:r>
    </w:p>
    <w:p w14:paraId="775B02B3" w14:textId="77777777" w:rsidR="00BC7B13" w:rsidRDefault="00BC7B13">
      <w:pPr>
        <w:autoSpaceDE w:val="0"/>
        <w:autoSpaceDN w:val="0"/>
        <w:adjustRightInd w:val="0"/>
        <w:rPr>
          <w:rFonts w:eastAsia="TimesNewRoman,Bold"/>
          <w:szCs w:val="22"/>
          <w:lang w:eastAsia="lt-LT"/>
        </w:rPr>
      </w:pPr>
    </w:p>
    <w:p w14:paraId="79839325"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Pasakykite gydytojui, jeigu vartojate kurio nors iš toliau išvardytų vaistų:</w:t>
      </w:r>
    </w:p>
    <w:p w14:paraId="47B0F80A"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rFonts w:eastAsia="TimesNewRoman,Bold"/>
          <w:szCs w:val="22"/>
          <w:lang w:eastAsia="lt-LT"/>
        </w:rPr>
        <w:t>fenelzino</w:t>
      </w:r>
      <w:proofErr w:type="spellEnd"/>
      <w:r>
        <w:rPr>
          <w:rFonts w:eastAsia="TimesNewRoman,Bold"/>
          <w:szCs w:val="22"/>
          <w:lang w:eastAsia="lt-LT"/>
        </w:rPr>
        <w:t xml:space="preserve">, </w:t>
      </w:r>
      <w:proofErr w:type="spellStart"/>
      <w:r>
        <w:rPr>
          <w:rFonts w:eastAsia="TimesNewRoman,Bold"/>
          <w:szCs w:val="22"/>
          <w:lang w:eastAsia="lt-LT"/>
        </w:rPr>
        <w:t>iproniazido</w:t>
      </w:r>
      <w:proofErr w:type="spellEnd"/>
      <w:r>
        <w:rPr>
          <w:rFonts w:eastAsia="TimesNewRoman,Bold"/>
          <w:szCs w:val="22"/>
          <w:lang w:eastAsia="lt-LT"/>
        </w:rPr>
        <w:t xml:space="preserve">, </w:t>
      </w:r>
      <w:proofErr w:type="spellStart"/>
      <w:r>
        <w:rPr>
          <w:rFonts w:eastAsia="TimesNewRoman,Bold"/>
          <w:szCs w:val="22"/>
          <w:lang w:eastAsia="lt-LT"/>
        </w:rPr>
        <w:t>izokarboksazido</w:t>
      </w:r>
      <w:proofErr w:type="spellEnd"/>
      <w:r>
        <w:rPr>
          <w:rFonts w:eastAsia="TimesNewRoman,Bold"/>
          <w:szCs w:val="22"/>
          <w:lang w:eastAsia="lt-LT"/>
        </w:rPr>
        <w:t xml:space="preserve">, </w:t>
      </w:r>
      <w:proofErr w:type="spellStart"/>
      <w:r>
        <w:rPr>
          <w:rFonts w:eastAsia="TimesNewRoman,Bold"/>
          <w:szCs w:val="22"/>
          <w:lang w:eastAsia="lt-LT"/>
        </w:rPr>
        <w:t>nialamido</w:t>
      </w:r>
      <w:proofErr w:type="spellEnd"/>
      <w:r>
        <w:rPr>
          <w:rFonts w:eastAsia="TimesNewRoman,Bold"/>
          <w:szCs w:val="22"/>
          <w:lang w:eastAsia="lt-LT"/>
        </w:rPr>
        <w:t xml:space="preserve">, </w:t>
      </w:r>
      <w:proofErr w:type="spellStart"/>
      <w:r>
        <w:rPr>
          <w:rFonts w:eastAsia="TimesNewRoman,Bold"/>
          <w:szCs w:val="22"/>
          <w:lang w:eastAsia="lt-LT"/>
        </w:rPr>
        <w:t>tranilcipromino</w:t>
      </w:r>
      <w:proofErr w:type="spellEnd"/>
      <w:r>
        <w:rPr>
          <w:rFonts w:eastAsia="TimesNewRoman,Bold"/>
          <w:szCs w:val="22"/>
          <w:lang w:eastAsia="lt-LT"/>
        </w:rPr>
        <w:t xml:space="preserve"> (vaistų depresijai gydyti, kurie</w:t>
      </w:r>
      <w:r>
        <w:rPr>
          <w:color w:val="000000"/>
          <w:szCs w:val="22"/>
        </w:rPr>
        <w:t xml:space="preserve"> </w:t>
      </w:r>
      <w:r>
        <w:rPr>
          <w:rFonts w:eastAsia="TimesNewRoman,Bold"/>
          <w:szCs w:val="22"/>
          <w:lang w:eastAsia="lt-LT"/>
        </w:rPr>
        <w:t xml:space="preserve">vadinami neselektyviaisiais </w:t>
      </w:r>
      <w:proofErr w:type="spellStart"/>
      <w:r>
        <w:rPr>
          <w:rFonts w:eastAsia="TimesNewRoman,Bold"/>
          <w:szCs w:val="22"/>
          <w:lang w:eastAsia="lt-LT"/>
        </w:rPr>
        <w:t>monoamino</w:t>
      </w:r>
      <w:proofErr w:type="spellEnd"/>
      <w:r>
        <w:rPr>
          <w:rFonts w:eastAsia="TimesNewRoman,Bold"/>
          <w:szCs w:val="22"/>
          <w:lang w:eastAsia="lt-LT"/>
        </w:rPr>
        <w:t xml:space="preserve"> </w:t>
      </w:r>
      <w:proofErr w:type="spellStart"/>
      <w:r>
        <w:rPr>
          <w:rFonts w:eastAsia="TimesNewRoman,Bold"/>
          <w:szCs w:val="22"/>
          <w:lang w:eastAsia="lt-LT"/>
        </w:rPr>
        <w:t>oksidazės</w:t>
      </w:r>
      <w:proofErr w:type="spellEnd"/>
      <w:r>
        <w:rPr>
          <w:rFonts w:eastAsia="TimesNewRoman,Bold"/>
          <w:szCs w:val="22"/>
          <w:lang w:eastAsia="lt-LT"/>
        </w:rPr>
        <w:t xml:space="preserve"> inhibitoriais); bet kurio iš šių vaistų kartu su</w:t>
      </w:r>
      <w:r>
        <w:rPr>
          <w:color w:val="000000"/>
          <w:szCs w:val="22"/>
        </w:rPr>
        <w:t xml:space="preserve"> </w:t>
      </w:r>
      <w:proofErr w:type="spellStart"/>
      <w:r>
        <w:rPr>
          <w:rFonts w:eastAsia="TimesNewRoman,Bold"/>
          <w:szCs w:val="22"/>
          <w:lang w:eastAsia="lt-LT"/>
        </w:rPr>
        <w:t>Varesta</w:t>
      </w:r>
      <w:proofErr w:type="spellEnd"/>
      <w:r>
        <w:rPr>
          <w:rFonts w:eastAsia="TimesNewRoman,Bold"/>
          <w:szCs w:val="22"/>
          <w:lang w:eastAsia="lt-LT"/>
        </w:rPr>
        <w:t xml:space="preserve"> vartoti draudžiama. Jeigu vartojate kurio nors iš šių vaistų, turite palaukti 14 dienų ir tik tada</w:t>
      </w:r>
      <w:r>
        <w:rPr>
          <w:color w:val="000000"/>
          <w:szCs w:val="22"/>
        </w:rPr>
        <w:t xml:space="preserve"> </w:t>
      </w:r>
      <w:r>
        <w:rPr>
          <w:rFonts w:eastAsia="TimesNewRoman,Bold"/>
          <w:szCs w:val="22"/>
          <w:lang w:eastAsia="lt-LT"/>
        </w:rPr>
        <w:t xml:space="preserve">pradėti vartoti </w:t>
      </w:r>
      <w:proofErr w:type="spellStart"/>
      <w:r>
        <w:rPr>
          <w:rFonts w:eastAsia="TimesNewRoman,Bold"/>
          <w:szCs w:val="22"/>
          <w:lang w:eastAsia="lt-LT"/>
        </w:rPr>
        <w:t>Varesta</w:t>
      </w:r>
      <w:proofErr w:type="spellEnd"/>
      <w:r>
        <w:rPr>
          <w:rFonts w:eastAsia="TimesNewRoman,Bold"/>
          <w:szCs w:val="22"/>
          <w:lang w:eastAsia="lt-LT"/>
        </w:rPr>
        <w:t xml:space="preserve">. Nutraukus </w:t>
      </w:r>
      <w:proofErr w:type="spellStart"/>
      <w:r>
        <w:rPr>
          <w:rFonts w:eastAsia="TimesNewRoman,Bold"/>
          <w:szCs w:val="22"/>
          <w:lang w:eastAsia="lt-LT"/>
        </w:rPr>
        <w:t>Varesta</w:t>
      </w:r>
      <w:proofErr w:type="spellEnd"/>
      <w:r>
        <w:rPr>
          <w:rFonts w:eastAsia="TimesNewRoman,Bold"/>
          <w:szCs w:val="22"/>
          <w:lang w:eastAsia="lt-LT"/>
        </w:rPr>
        <w:t xml:space="preserve"> vartojimą, privalote palaukti 14 dienų ir tik tada pradėti</w:t>
      </w:r>
      <w:r>
        <w:rPr>
          <w:color w:val="000000"/>
          <w:szCs w:val="22"/>
          <w:lang w:val="pt-PT"/>
        </w:rPr>
        <w:t xml:space="preserve"> </w:t>
      </w:r>
      <w:r>
        <w:rPr>
          <w:rFonts w:eastAsia="TimesNewRoman,Bold"/>
          <w:szCs w:val="22"/>
          <w:lang w:eastAsia="lt-LT"/>
        </w:rPr>
        <w:t>vartoti kurio nors iš šių vaistų;</w:t>
      </w:r>
    </w:p>
    <w:p w14:paraId="6B286C60" w14:textId="77777777" w:rsidR="00BC7B13" w:rsidRDefault="004E7EF9">
      <w:pPr>
        <w:widowControl w:val="0"/>
        <w:numPr>
          <w:ilvl w:val="0"/>
          <w:numId w:val="5"/>
        </w:numPr>
        <w:autoSpaceDE w:val="0"/>
        <w:autoSpaceDN w:val="0"/>
        <w:ind w:left="567" w:hanging="567"/>
        <w:rPr>
          <w:color w:val="000000"/>
          <w:szCs w:val="22"/>
          <w:lang w:val="en-US"/>
        </w:rPr>
      </w:pPr>
      <w:proofErr w:type="spellStart"/>
      <w:r>
        <w:rPr>
          <w:rFonts w:eastAsia="TimesNewRoman,Bold"/>
          <w:szCs w:val="22"/>
          <w:lang w:eastAsia="lt-LT"/>
        </w:rPr>
        <w:t>moklobemido</w:t>
      </w:r>
      <w:proofErr w:type="spellEnd"/>
      <w:r>
        <w:rPr>
          <w:rFonts w:eastAsia="TimesNewRoman,Bold"/>
          <w:szCs w:val="22"/>
          <w:lang w:eastAsia="lt-LT"/>
        </w:rPr>
        <w:t xml:space="preserve"> (vaisto depresijai gydyti);</w:t>
      </w:r>
    </w:p>
    <w:p w14:paraId="08D2896D"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rFonts w:eastAsia="TimesNewRoman,Bold"/>
          <w:szCs w:val="22"/>
          <w:lang w:eastAsia="lt-LT"/>
        </w:rPr>
        <w:t>selegilino</w:t>
      </w:r>
      <w:proofErr w:type="spellEnd"/>
      <w:r>
        <w:rPr>
          <w:rFonts w:eastAsia="TimesNewRoman,Bold"/>
          <w:szCs w:val="22"/>
          <w:lang w:eastAsia="lt-LT"/>
        </w:rPr>
        <w:t xml:space="preserve">, </w:t>
      </w:r>
      <w:proofErr w:type="spellStart"/>
      <w:r>
        <w:rPr>
          <w:rFonts w:eastAsia="TimesNewRoman,Bold"/>
          <w:szCs w:val="22"/>
          <w:lang w:eastAsia="lt-LT"/>
        </w:rPr>
        <w:t>razagilino</w:t>
      </w:r>
      <w:proofErr w:type="spellEnd"/>
      <w:r>
        <w:rPr>
          <w:rFonts w:eastAsia="TimesNewRoman,Bold"/>
          <w:szCs w:val="22"/>
          <w:lang w:eastAsia="lt-LT"/>
        </w:rPr>
        <w:t xml:space="preserve"> (vaistų Parkinsono ligai gydyti);</w:t>
      </w:r>
    </w:p>
    <w:p w14:paraId="0FEED977"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linezolido</w:t>
      </w:r>
      <w:proofErr w:type="spellEnd"/>
      <w:r>
        <w:rPr>
          <w:szCs w:val="22"/>
          <w:lang w:eastAsia="lt-LT"/>
        </w:rPr>
        <w:t xml:space="preserve"> (vaisto bakterijų sukeltoms infekcinėms ligoms gydyti);</w:t>
      </w:r>
    </w:p>
    <w:p w14:paraId="59196CEA" w14:textId="77777777" w:rsidR="00BC7B13" w:rsidRDefault="004E7EF9">
      <w:pPr>
        <w:widowControl w:val="0"/>
        <w:numPr>
          <w:ilvl w:val="0"/>
          <w:numId w:val="5"/>
        </w:numPr>
        <w:autoSpaceDE w:val="0"/>
        <w:autoSpaceDN w:val="0"/>
        <w:ind w:left="567" w:hanging="567"/>
        <w:rPr>
          <w:color w:val="000000"/>
          <w:szCs w:val="22"/>
        </w:rPr>
      </w:pPr>
      <w:r>
        <w:rPr>
          <w:szCs w:val="22"/>
          <w:lang w:eastAsia="lt-LT"/>
        </w:rPr>
        <w:t xml:space="preserve">vaistų, turinčių </w:t>
      </w:r>
      <w:proofErr w:type="spellStart"/>
      <w:r>
        <w:rPr>
          <w:szCs w:val="22"/>
          <w:lang w:eastAsia="lt-LT"/>
        </w:rPr>
        <w:t>serotoninerginį</w:t>
      </w:r>
      <w:proofErr w:type="spellEnd"/>
      <w:r>
        <w:rPr>
          <w:szCs w:val="22"/>
          <w:lang w:eastAsia="lt-LT"/>
        </w:rPr>
        <w:t xml:space="preserve"> poveikį, pvz., </w:t>
      </w:r>
      <w:proofErr w:type="spellStart"/>
      <w:r>
        <w:rPr>
          <w:szCs w:val="22"/>
          <w:lang w:eastAsia="lt-LT"/>
        </w:rPr>
        <w:t>tramadolio</w:t>
      </w:r>
      <w:proofErr w:type="spellEnd"/>
      <w:r>
        <w:rPr>
          <w:szCs w:val="22"/>
          <w:lang w:eastAsia="lt-LT"/>
        </w:rPr>
        <w:t xml:space="preserve"> ir panašių vaistų (stiprių</w:t>
      </w:r>
      <w:r>
        <w:rPr>
          <w:color w:val="000000"/>
          <w:szCs w:val="22"/>
          <w:lang w:val="pt-PT"/>
        </w:rPr>
        <w:t xml:space="preserve"> </w:t>
      </w:r>
      <w:r>
        <w:rPr>
          <w:szCs w:val="22"/>
          <w:lang w:eastAsia="lt-LT"/>
        </w:rPr>
        <w:t xml:space="preserve">skausmą </w:t>
      </w:r>
      <w:r>
        <w:rPr>
          <w:szCs w:val="22"/>
          <w:lang w:eastAsia="lt-LT"/>
        </w:rPr>
        <w:lastRenderedPageBreak/>
        <w:t xml:space="preserve">malšinančių vaistų) bei </w:t>
      </w:r>
      <w:proofErr w:type="spellStart"/>
      <w:r>
        <w:rPr>
          <w:szCs w:val="22"/>
          <w:lang w:eastAsia="lt-LT"/>
        </w:rPr>
        <w:t>sumatriptano</w:t>
      </w:r>
      <w:proofErr w:type="spellEnd"/>
      <w:r>
        <w:rPr>
          <w:szCs w:val="22"/>
          <w:lang w:eastAsia="lt-LT"/>
        </w:rPr>
        <w:t xml:space="preserve"> ir panašių vaistų, kurių veikliųjų medžiagų</w:t>
      </w:r>
      <w:r>
        <w:rPr>
          <w:color w:val="000000"/>
          <w:szCs w:val="22"/>
          <w:lang w:val="pt-PT"/>
        </w:rPr>
        <w:t xml:space="preserve"> </w:t>
      </w:r>
      <w:r>
        <w:rPr>
          <w:szCs w:val="22"/>
          <w:lang w:eastAsia="lt-LT"/>
        </w:rPr>
        <w:t>pavadinimai baigiasi „-</w:t>
      </w:r>
      <w:proofErr w:type="spellStart"/>
      <w:r>
        <w:rPr>
          <w:szCs w:val="22"/>
          <w:lang w:eastAsia="lt-LT"/>
        </w:rPr>
        <w:t>triptanai</w:t>
      </w:r>
      <w:proofErr w:type="spellEnd"/>
      <w:r>
        <w:rPr>
          <w:szCs w:val="22"/>
          <w:lang w:eastAsia="lt-LT"/>
        </w:rPr>
        <w:t xml:space="preserve">“ (vartojamų migrenai gydyti). Šių vaistų vartojimas kartu su </w:t>
      </w:r>
      <w:proofErr w:type="spellStart"/>
      <w:r>
        <w:rPr>
          <w:szCs w:val="22"/>
          <w:lang w:eastAsia="lt-LT"/>
        </w:rPr>
        <w:t>Varesta</w:t>
      </w:r>
      <w:proofErr w:type="spellEnd"/>
      <w:r>
        <w:rPr>
          <w:color w:val="000000"/>
          <w:szCs w:val="22"/>
        </w:rPr>
        <w:t xml:space="preserve"> </w:t>
      </w:r>
      <w:r>
        <w:rPr>
          <w:szCs w:val="22"/>
          <w:lang w:eastAsia="lt-LT"/>
        </w:rPr>
        <w:t xml:space="preserve">gali padidinti </w:t>
      </w:r>
      <w:proofErr w:type="spellStart"/>
      <w:r>
        <w:rPr>
          <w:szCs w:val="22"/>
          <w:lang w:eastAsia="lt-LT"/>
        </w:rPr>
        <w:t>serotonino</w:t>
      </w:r>
      <w:proofErr w:type="spellEnd"/>
      <w:r>
        <w:rPr>
          <w:szCs w:val="22"/>
          <w:lang w:eastAsia="lt-LT"/>
        </w:rPr>
        <w:t xml:space="preserve"> sindromo riziką (žr. skyrių „Įspėjimai ir atsargumo priemonės“);</w:t>
      </w:r>
    </w:p>
    <w:p w14:paraId="3F74402C"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 xml:space="preserve">ličio (vaisto depresijai ir psichikos sutrikimams gydyti) ar </w:t>
      </w:r>
      <w:proofErr w:type="spellStart"/>
      <w:r>
        <w:rPr>
          <w:szCs w:val="22"/>
          <w:lang w:eastAsia="lt-LT"/>
        </w:rPr>
        <w:t>triptofano</w:t>
      </w:r>
      <w:proofErr w:type="spellEnd"/>
      <w:r>
        <w:rPr>
          <w:szCs w:val="22"/>
          <w:lang w:eastAsia="lt-LT"/>
        </w:rPr>
        <w:t>;</w:t>
      </w:r>
    </w:p>
    <w:p w14:paraId="69CEB8CA"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vaistų, kurie mažina natrio kiekį kraujyje;</w:t>
      </w:r>
    </w:p>
    <w:p w14:paraId="3A94114C"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rifampicino</w:t>
      </w:r>
      <w:proofErr w:type="spellEnd"/>
      <w:r>
        <w:rPr>
          <w:szCs w:val="22"/>
          <w:lang w:eastAsia="lt-LT"/>
        </w:rPr>
        <w:t xml:space="preserve"> (vaisto, kuriuo gydoma tuberkuliozė ir kitokios infekcinės ligos);</w:t>
      </w:r>
    </w:p>
    <w:p w14:paraId="5D686A5F"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karbamazepino</w:t>
      </w:r>
      <w:proofErr w:type="spellEnd"/>
      <w:r>
        <w:rPr>
          <w:szCs w:val="22"/>
          <w:lang w:eastAsia="lt-LT"/>
        </w:rPr>
        <w:t xml:space="preserve">, </w:t>
      </w:r>
      <w:proofErr w:type="spellStart"/>
      <w:r>
        <w:rPr>
          <w:szCs w:val="22"/>
          <w:lang w:eastAsia="lt-LT"/>
        </w:rPr>
        <w:t>fenitoino</w:t>
      </w:r>
      <w:proofErr w:type="spellEnd"/>
      <w:r>
        <w:rPr>
          <w:szCs w:val="22"/>
          <w:lang w:eastAsia="lt-LT"/>
        </w:rPr>
        <w:t xml:space="preserve"> (vaistų epilepsijai ir kitokioms ligoms gydyti);</w:t>
      </w:r>
    </w:p>
    <w:p w14:paraId="09C5AF95"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 xml:space="preserve">varfarino, </w:t>
      </w:r>
      <w:proofErr w:type="spellStart"/>
      <w:r>
        <w:rPr>
          <w:szCs w:val="22"/>
          <w:lang w:eastAsia="lt-LT"/>
        </w:rPr>
        <w:t>dipiridamolio</w:t>
      </w:r>
      <w:proofErr w:type="spellEnd"/>
      <w:r>
        <w:rPr>
          <w:szCs w:val="22"/>
          <w:lang w:eastAsia="lt-LT"/>
        </w:rPr>
        <w:t xml:space="preserve">, </w:t>
      </w:r>
      <w:proofErr w:type="spellStart"/>
      <w:r>
        <w:rPr>
          <w:szCs w:val="22"/>
          <w:lang w:eastAsia="lt-LT"/>
        </w:rPr>
        <w:t>fenprokumono</w:t>
      </w:r>
      <w:proofErr w:type="spellEnd"/>
      <w:r>
        <w:rPr>
          <w:szCs w:val="22"/>
          <w:lang w:eastAsia="lt-LT"/>
        </w:rPr>
        <w:t xml:space="preserve">, kai kuriuos </w:t>
      </w:r>
      <w:proofErr w:type="spellStart"/>
      <w:r>
        <w:rPr>
          <w:szCs w:val="22"/>
          <w:lang w:eastAsia="lt-LT"/>
        </w:rPr>
        <w:t>antipsichozinių</w:t>
      </w:r>
      <w:proofErr w:type="spellEnd"/>
      <w:r>
        <w:rPr>
          <w:szCs w:val="22"/>
          <w:lang w:eastAsia="lt-LT"/>
        </w:rPr>
        <w:t xml:space="preserve"> vaistų, </w:t>
      </w:r>
      <w:proofErr w:type="spellStart"/>
      <w:r>
        <w:rPr>
          <w:szCs w:val="22"/>
          <w:lang w:eastAsia="lt-LT"/>
        </w:rPr>
        <w:t>fenotiazinų</w:t>
      </w:r>
      <w:proofErr w:type="spellEnd"/>
      <w:r>
        <w:rPr>
          <w:szCs w:val="22"/>
          <w:lang w:eastAsia="lt-LT"/>
        </w:rPr>
        <w:t xml:space="preserve">, </w:t>
      </w:r>
      <w:proofErr w:type="spellStart"/>
      <w:r>
        <w:rPr>
          <w:szCs w:val="22"/>
          <w:lang w:eastAsia="lt-LT"/>
        </w:rPr>
        <w:t>triciklių</w:t>
      </w:r>
      <w:proofErr w:type="spellEnd"/>
      <w:r>
        <w:rPr>
          <w:color w:val="000000"/>
          <w:szCs w:val="22"/>
          <w:lang w:val="pt-PT"/>
        </w:rPr>
        <w:t xml:space="preserve"> </w:t>
      </w:r>
      <w:r>
        <w:rPr>
          <w:szCs w:val="22"/>
          <w:lang w:eastAsia="lt-LT"/>
        </w:rPr>
        <w:t xml:space="preserve">antidepresantų, mažas </w:t>
      </w:r>
      <w:proofErr w:type="spellStart"/>
      <w:r>
        <w:rPr>
          <w:szCs w:val="22"/>
          <w:lang w:eastAsia="lt-LT"/>
        </w:rPr>
        <w:t>acetilsalicilo</w:t>
      </w:r>
      <w:proofErr w:type="spellEnd"/>
      <w:r>
        <w:rPr>
          <w:szCs w:val="22"/>
          <w:lang w:eastAsia="lt-LT"/>
        </w:rPr>
        <w:t xml:space="preserve"> rūgšties dozes ir nesteroidinių vaistų nuo uždegimo (kraują</w:t>
      </w:r>
      <w:r>
        <w:rPr>
          <w:color w:val="000000"/>
          <w:szCs w:val="22"/>
          <w:lang w:val="pt-PT"/>
        </w:rPr>
        <w:t xml:space="preserve"> </w:t>
      </w:r>
      <w:r>
        <w:rPr>
          <w:szCs w:val="22"/>
          <w:lang w:eastAsia="lt-LT"/>
        </w:rPr>
        <w:t>skystinančių vaistų ir vaistų nuo skausmo). Jie gali didinti polinkį kraujuoti.</w:t>
      </w:r>
    </w:p>
    <w:p w14:paraId="7FED9E46" w14:textId="77777777" w:rsidR="00BC7B13" w:rsidRDefault="00BC7B13">
      <w:pPr>
        <w:autoSpaceDE w:val="0"/>
        <w:autoSpaceDN w:val="0"/>
        <w:adjustRightInd w:val="0"/>
        <w:rPr>
          <w:rFonts w:ascii="TimesNewRoman" w:hAnsi="TimesNewRoman" w:cs="TimesNewRoman"/>
          <w:szCs w:val="22"/>
          <w:lang w:eastAsia="lt-LT"/>
        </w:rPr>
      </w:pPr>
    </w:p>
    <w:p w14:paraId="59DDD7A4" w14:textId="77777777" w:rsidR="00BC7B13" w:rsidRDefault="004E7EF9">
      <w:pPr>
        <w:autoSpaceDE w:val="0"/>
        <w:autoSpaceDN w:val="0"/>
        <w:adjustRightInd w:val="0"/>
        <w:rPr>
          <w:szCs w:val="22"/>
          <w:lang w:eastAsia="lt-LT"/>
        </w:rPr>
      </w:pPr>
      <w:r>
        <w:rPr>
          <w:szCs w:val="22"/>
          <w:lang w:eastAsia="lt-LT"/>
        </w:rPr>
        <w:t>Vaistai, kurie didina priepuolių riziką:</w:t>
      </w:r>
    </w:p>
    <w:p w14:paraId="2EA6A44B"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sumatriptanas</w:t>
      </w:r>
      <w:proofErr w:type="spellEnd"/>
      <w:r>
        <w:rPr>
          <w:szCs w:val="22"/>
          <w:lang w:eastAsia="lt-LT"/>
        </w:rPr>
        <w:t xml:space="preserve"> ir panašūs vaistai, kurių veikliosios medžiagos pavadinimas baigiasi „</w:t>
      </w:r>
      <w:proofErr w:type="spellStart"/>
      <w:r>
        <w:rPr>
          <w:szCs w:val="22"/>
          <w:lang w:eastAsia="lt-LT"/>
        </w:rPr>
        <w:t>triptanas</w:t>
      </w:r>
      <w:proofErr w:type="spellEnd"/>
      <w:r>
        <w:rPr>
          <w:szCs w:val="22"/>
          <w:lang w:eastAsia="lt-LT"/>
        </w:rPr>
        <w:t>”;</w:t>
      </w:r>
    </w:p>
    <w:p w14:paraId="49F9926F"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tramadolis</w:t>
      </w:r>
      <w:proofErr w:type="spellEnd"/>
      <w:r>
        <w:rPr>
          <w:szCs w:val="22"/>
          <w:lang w:eastAsia="lt-LT"/>
        </w:rPr>
        <w:t xml:space="preserve"> (stipriai skausmą malšinantis vaistas);</w:t>
      </w:r>
    </w:p>
    <w:p w14:paraId="06738737"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meflokvinas</w:t>
      </w:r>
      <w:proofErr w:type="spellEnd"/>
      <w:r>
        <w:rPr>
          <w:szCs w:val="22"/>
          <w:lang w:eastAsia="lt-LT"/>
        </w:rPr>
        <w:t xml:space="preserve"> (vaistas maliarijos profilaktikai ir gydymui);</w:t>
      </w:r>
    </w:p>
    <w:p w14:paraId="1917091F"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bupropionas</w:t>
      </w:r>
      <w:proofErr w:type="spellEnd"/>
      <w:r>
        <w:rPr>
          <w:szCs w:val="22"/>
          <w:lang w:eastAsia="lt-LT"/>
        </w:rPr>
        <w:t xml:space="preserve"> (vaistas depresijai gydyti, o taip pat vartojamas norint mesti rūkyti);</w:t>
      </w:r>
    </w:p>
    <w:p w14:paraId="23C5B052"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fluoksetinas</w:t>
      </w:r>
      <w:proofErr w:type="spellEnd"/>
      <w:r>
        <w:rPr>
          <w:szCs w:val="22"/>
          <w:lang w:eastAsia="lt-LT"/>
        </w:rPr>
        <w:t xml:space="preserve">, </w:t>
      </w:r>
      <w:proofErr w:type="spellStart"/>
      <w:r>
        <w:rPr>
          <w:szCs w:val="22"/>
          <w:lang w:eastAsia="lt-LT"/>
        </w:rPr>
        <w:t>paroksetinas</w:t>
      </w:r>
      <w:proofErr w:type="spellEnd"/>
      <w:r>
        <w:rPr>
          <w:szCs w:val="22"/>
          <w:lang w:eastAsia="lt-LT"/>
        </w:rPr>
        <w:t xml:space="preserve"> ir kiti vaistai depresijai gydyti, vadinami SSRI / SNRI, </w:t>
      </w:r>
      <w:proofErr w:type="spellStart"/>
      <w:r>
        <w:rPr>
          <w:szCs w:val="22"/>
          <w:lang w:eastAsia="lt-LT"/>
        </w:rPr>
        <w:t>tricikliais</w:t>
      </w:r>
      <w:proofErr w:type="spellEnd"/>
      <w:r>
        <w:rPr>
          <w:color w:val="000000"/>
          <w:szCs w:val="22"/>
          <w:lang w:val="pt-PT"/>
        </w:rPr>
        <w:t xml:space="preserve"> </w:t>
      </w:r>
      <w:r>
        <w:rPr>
          <w:szCs w:val="22"/>
          <w:lang w:eastAsia="lt-LT"/>
        </w:rPr>
        <w:t>antidepresantais;</w:t>
      </w:r>
    </w:p>
    <w:p w14:paraId="720A0D42"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jonažolės (</w:t>
      </w:r>
      <w:proofErr w:type="spellStart"/>
      <w:r>
        <w:rPr>
          <w:i/>
          <w:iCs/>
          <w:szCs w:val="22"/>
          <w:lang w:eastAsia="lt-LT"/>
        </w:rPr>
        <w:t>Hypericum</w:t>
      </w:r>
      <w:proofErr w:type="spellEnd"/>
      <w:r>
        <w:rPr>
          <w:i/>
          <w:iCs/>
          <w:szCs w:val="22"/>
          <w:lang w:eastAsia="lt-LT"/>
        </w:rPr>
        <w:t xml:space="preserve"> </w:t>
      </w:r>
      <w:proofErr w:type="spellStart"/>
      <w:r>
        <w:rPr>
          <w:i/>
          <w:iCs/>
          <w:szCs w:val="22"/>
          <w:lang w:eastAsia="lt-LT"/>
        </w:rPr>
        <w:t>perforatum</w:t>
      </w:r>
      <w:proofErr w:type="spellEnd"/>
      <w:r>
        <w:rPr>
          <w:szCs w:val="22"/>
          <w:lang w:eastAsia="lt-LT"/>
        </w:rPr>
        <w:t>) vaistai (vaistai depresijai gydyti);</w:t>
      </w:r>
    </w:p>
    <w:p w14:paraId="06AB8428"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chinidinas</w:t>
      </w:r>
      <w:proofErr w:type="spellEnd"/>
      <w:r>
        <w:rPr>
          <w:szCs w:val="22"/>
          <w:lang w:eastAsia="lt-LT"/>
        </w:rPr>
        <w:t xml:space="preserve"> (vaistas širdies plakimo sutrikimams gydyti);</w:t>
      </w:r>
    </w:p>
    <w:p w14:paraId="7CF9AAA6" w14:textId="77777777" w:rsidR="00BC7B13" w:rsidRDefault="004E7EF9">
      <w:pPr>
        <w:widowControl w:val="0"/>
        <w:numPr>
          <w:ilvl w:val="0"/>
          <w:numId w:val="5"/>
        </w:numPr>
        <w:autoSpaceDE w:val="0"/>
        <w:autoSpaceDN w:val="0"/>
        <w:ind w:left="567" w:hanging="567"/>
        <w:rPr>
          <w:color w:val="000000"/>
          <w:szCs w:val="22"/>
          <w:lang w:val="pt-PT"/>
        </w:rPr>
      </w:pPr>
      <w:proofErr w:type="spellStart"/>
      <w:r>
        <w:rPr>
          <w:szCs w:val="22"/>
          <w:lang w:eastAsia="lt-LT"/>
        </w:rPr>
        <w:t>chlorpromazinas</w:t>
      </w:r>
      <w:proofErr w:type="spellEnd"/>
      <w:r>
        <w:rPr>
          <w:szCs w:val="22"/>
          <w:lang w:eastAsia="lt-LT"/>
        </w:rPr>
        <w:t xml:space="preserve">, </w:t>
      </w:r>
      <w:proofErr w:type="spellStart"/>
      <w:r>
        <w:rPr>
          <w:szCs w:val="22"/>
          <w:lang w:eastAsia="lt-LT"/>
        </w:rPr>
        <w:t>chlorprotiksenas</w:t>
      </w:r>
      <w:proofErr w:type="spellEnd"/>
      <w:r>
        <w:rPr>
          <w:szCs w:val="22"/>
          <w:lang w:eastAsia="lt-LT"/>
        </w:rPr>
        <w:t xml:space="preserve">, </w:t>
      </w:r>
      <w:proofErr w:type="spellStart"/>
      <w:r>
        <w:rPr>
          <w:szCs w:val="22"/>
          <w:lang w:eastAsia="lt-LT"/>
        </w:rPr>
        <w:t>haloperidolis</w:t>
      </w:r>
      <w:proofErr w:type="spellEnd"/>
      <w:r>
        <w:rPr>
          <w:szCs w:val="22"/>
          <w:lang w:eastAsia="lt-LT"/>
        </w:rPr>
        <w:t xml:space="preserve"> (vaistai psichikos sutrikimams gydyti, kurie</w:t>
      </w:r>
      <w:r>
        <w:rPr>
          <w:color w:val="000000"/>
          <w:szCs w:val="22"/>
          <w:lang w:val="pt-PT"/>
        </w:rPr>
        <w:t xml:space="preserve"> </w:t>
      </w:r>
      <w:r>
        <w:rPr>
          <w:szCs w:val="22"/>
          <w:lang w:eastAsia="lt-LT"/>
        </w:rPr>
        <w:t xml:space="preserve">priklauso grupėms, vadinamoms </w:t>
      </w:r>
      <w:proofErr w:type="spellStart"/>
      <w:r>
        <w:rPr>
          <w:szCs w:val="22"/>
          <w:lang w:eastAsia="lt-LT"/>
        </w:rPr>
        <w:t>fenotiazinais</w:t>
      </w:r>
      <w:proofErr w:type="spellEnd"/>
      <w:r>
        <w:rPr>
          <w:szCs w:val="22"/>
          <w:lang w:eastAsia="lt-LT"/>
        </w:rPr>
        <w:t xml:space="preserve">, </w:t>
      </w:r>
      <w:proofErr w:type="spellStart"/>
      <w:r>
        <w:rPr>
          <w:szCs w:val="22"/>
          <w:lang w:eastAsia="lt-LT"/>
        </w:rPr>
        <w:t>tioksantenais</w:t>
      </w:r>
      <w:proofErr w:type="spellEnd"/>
      <w:r>
        <w:rPr>
          <w:szCs w:val="22"/>
          <w:lang w:eastAsia="lt-LT"/>
        </w:rPr>
        <w:t xml:space="preserve">, </w:t>
      </w:r>
      <w:proofErr w:type="spellStart"/>
      <w:r>
        <w:rPr>
          <w:szCs w:val="22"/>
          <w:lang w:eastAsia="lt-LT"/>
        </w:rPr>
        <w:t>butirofenonais</w:t>
      </w:r>
      <w:proofErr w:type="spellEnd"/>
      <w:r>
        <w:rPr>
          <w:szCs w:val="22"/>
          <w:lang w:eastAsia="lt-LT"/>
        </w:rPr>
        <w:t>).</w:t>
      </w:r>
    </w:p>
    <w:p w14:paraId="1114A462" w14:textId="77777777" w:rsidR="00BC7B13" w:rsidRDefault="00BC7B13">
      <w:pPr>
        <w:autoSpaceDE w:val="0"/>
        <w:autoSpaceDN w:val="0"/>
        <w:adjustRightInd w:val="0"/>
        <w:rPr>
          <w:szCs w:val="22"/>
          <w:lang w:eastAsia="lt-LT"/>
        </w:rPr>
      </w:pPr>
    </w:p>
    <w:p w14:paraId="5FF303AA" w14:textId="77777777" w:rsidR="00BC7B13" w:rsidRDefault="004E7EF9">
      <w:pPr>
        <w:autoSpaceDE w:val="0"/>
        <w:autoSpaceDN w:val="0"/>
        <w:adjustRightInd w:val="0"/>
        <w:rPr>
          <w:szCs w:val="22"/>
          <w:lang w:eastAsia="lt-LT"/>
        </w:rPr>
      </w:pPr>
      <w:r>
        <w:rPr>
          <w:szCs w:val="22"/>
          <w:lang w:eastAsia="lt-LT"/>
        </w:rPr>
        <w:t>Pasakykite gydytojui, jei vartojate bet kurio iš ankščiau išvardytų vaistų, kadangi gydytojas turi žinoti, ar Jums jau yra traukulių atsiradimo rizika.</w:t>
      </w:r>
    </w:p>
    <w:p w14:paraId="08E07637" w14:textId="77777777" w:rsidR="00BC7B13" w:rsidRDefault="00BC7B13">
      <w:pPr>
        <w:widowControl w:val="0"/>
        <w:autoSpaceDE w:val="0"/>
        <w:autoSpaceDN w:val="0"/>
        <w:rPr>
          <w:color w:val="000000"/>
          <w:szCs w:val="22"/>
        </w:rPr>
      </w:pPr>
    </w:p>
    <w:p w14:paraId="2623CD36" w14:textId="77777777" w:rsidR="00BC7B13" w:rsidRDefault="004E7EF9">
      <w:pPr>
        <w:autoSpaceDE w:val="0"/>
        <w:autoSpaceDN w:val="0"/>
        <w:adjustRightInd w:val="0"/>
        <w:rPr>
          <w:szCs w:val="22"/>
          <w:lang w:eastAsia="lt-LT"/>
        </w:rPr>
      </w:pPr>
      <w:r>
        <w:rPr>
          <w:szCs w:val="22"/>
          <w:lang w:eastAsia="lt-LT"/>
        </w:rPr>
        <w:t xml:space="preserve">Jeigu Jums atliekamas narkotikų nustatymo šlapime tyrimas, dėl </w:t>
      </w:r>
      <w:proofErr w:type="spellStart"/>
      <w:r>
        <w:rPr>
          <w:szCs w:val="22"/>
          <w:lang w:eastAsia="lt-LT"/>
        </w:rPr>
        <w:t>Varesta</w:t>
      </w:r>
      <w:proofErr w:type="spellEnd"/>
      <w:r>
        <w:rPr>
          <w:szCs w:val="22"/>
          <w:lang w:eastAsia="lt-LT"/>
        </w:rPr>
        <w:t xml:space="preserve"> vartojimo taikant tam tikrą tyrimo metodą gali būti gauti teigiami metadono rezultatai, nors galbūt metadono nevartojote. Tokiu atveju galima atlikti tikslesnį tyrimą.</w:t>
      </w:r>
    </w:p>
    <w:p w14:paraId="4684510E" w14:textId="77777777" w:rsidR="00BC7B13" w:rsidRDefault="00BC7B13">
      <w:pPr>
        <w:autoSpaceDE w:val="0"/>
        <w:autoSpaceDN w:val="0"/>
        <w:adjustRightInd w:val="0"/>
        <w:rPr>
          <w:rFonts w:eastAsia="TimesNewRoman,Bold"/>
          <w:b/>
          <w:bCs/>
          <w:szCs w:val="22"/>
          <w:lang w:eastAsia="lt-LT"/>
        </w:rPr>
      </w:pPr>
    </w:p>
    <w:p w14:paraId="5D266804" w14:textId="77777777" w:rsidR="00BC7B13" w:rsidRDefault="004E7EF9">
      <w:pPr>
        <w:autoSpaceDE w:val="0"/>
        <w:autoSpaceDN w:val="0"/>
        <w:adjustRightInd w:val="0"/>
        <w:rPr>
          <w:rFonts w:eastAsia="TimesNewRoman,Bold"/>
          <w:b/>
          <w:bCs/>
          <w:szCs w:val="22"/>
          <w:lang w:eastAsia="lt-LT"/>
        </w:rPr>
      </w:pPr>
      <w:proofErr w:type="spellStart"/>
      <w:r>
        <w:rPr>
          <w:rFonts w:eastAsia="TimesNewRoman,Bold"/>
          <w:b/>
          <w:bCs/>
          <w:szCs w:val="22"/>
          <w:lang w:eastAsia="lt-LT"/>
        </w:rPr>
        <w:t>Varesta</w:t>
      </w:r>
      <w:proofErr w:type="spellEnd"/>
      <w:r>
        <w:rPr>
          <w:rFonts w:eastAsia="TimesNewRoman,Bold"/>
          <w:b/>
          <w:bCs/>
          <w:szCs w:val="22"/>
          <w:lang w:eastAsia="lt-LT"/>
        </w:rPr>
        <w:t xml:space="preserve"> vartojimas su alkoholiu</w:t>
      </w:r>
    </w:p>
    <w:p w14:paraId="25714ACE"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Šio vaisto nerekomenduojama vartoti kartu su alkoholiu.</w:t>
      </w:r>
    </w:p>
    <w:p w14:paraId="064F8327" w14:textId="77777777" w:rsidR="00BC7B13" w:rsidRDefault="00BC7B13">
      <w:pPr>
        <w:autoSpaceDE w:val="0"/>
        <w:autoSpaceDN w:val="0"/>
        <w:adjustRightInd w:val="0"/>
        <w:rPr>
          <w:rFonts w:eastAsia="TimesNewRoman,Bold"/>
          <w:szCs w:val="22"/>
          <w:lang w:eastAsia="lt-LT"/>
        </w:rPr>
      </w:pPr>
    </w:p>
    <w:p w14:paraId="33671921"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Nėštumas, žindymo laikotarpis ir vaisingumas</w:t>
      </w:r>
    </w:p>
    <w:p w14:paraId="153BD60A"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Jeigu esate nėščia, žindote kūdikį, manote, kad galbūt esate nėščia arba planuojate pastoti, tai prieš vartodama šį vaistą, pasitarkite su gydytoju.</w:t>
      </w:r>
    </w:p>
    <w:p w14:paraId="338F0950" w14:textId="77777777" w:rsidR="00BC7B13" w:rsidRDefault="00BC7B13">
      <w:pPr>
        <w:autoSpaceDE w:val="0"/>
        <w:autoSpaceDN w:val="0"/>
        <w:adjustRightInd w:val="0"/>
        <w:rPr>
          <w:rFonts w:ascii="TimesNewRoman,Bold" w:eastAsia="TimesNewRoman,Bold" w:cs="TimesNewRoman,Bold"/>
          <w:b/>
          <w:bCs/>
          <w:szCs w:val="22"/>
          <w:lang w:eastAsia="lt-LT"/>
        </w:rPr>
      </w:pPr>
    </w:p>
    <w:p w14:paraId="11650713"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Nėštumas</w:t>
      </w:r>
    </w:p>
    <w:p w14:paraId="6BCD228A" w14:textId="77777777" w:rsidR="00BC7B13" w:rsidRDefault="004E7EF9">
      <w:pPr>
        <w:autoSpaceDE w:val="0"/>
        <w:autoSpaceDN w:val="0"/>
        <w:adjustRightInd w:val="0"/>
        <w:rPr>
          <w:rFonts w:eastAsia="TimesNewRoman,Bold"/>
          <w:szCs w:val="22"/>
          <w:lang w:eastAsia="lt-LT"/>
        </w:rPr>
      </w:pPr>
      <w:proofErr w:type="spellStart"/>
      <w:r>
        <w:rPr>
          <w:rFonts w:eastAsia="TimesNewRoman,Bold"/>
          <w:szCs w:val="22"/>
          <w:lang w:eastAsia="lt-LT"/>
        </w:rPr>
        <w:t>Varesta</w:t>
      </w:r>
      <w:proofErr w:type="spellEnd"/>
      <w:r>
        <w:rPr>
          <w:rFonts w:eastAsia="TimesNewRoman,Bold"/>
          <w:szCs w:val="22"/>
          <w:lang w:eastAsia="lt-LT"/>
        </w:rPr>
        <w:t xml:space="preserve"> vartoti nėštumo metu negalima, išskyrus atvejus, kai gydytojas teigia, kad tai neabejotinai būtina.</w:t>
      </w:r>
    </w:p>
    <w:p w14:paraId="37B302A4" w14:textId="77777777" w:rsidR="00BC7B13" w:rsidRDefault="00BC7B13">
      <w:pPr>
        <w:autoSpaceDE w:val="0"/>
        <w:autoSpaceDN w:val="0"/>
        <w:adjustRightInd w:val="0"/>
        <w:rPr>
          <w:rFonts w:eastAsia="TimesNewRoman,Bold"/>
          <w:szCs w:val="22"/>
          <w:lang w:eastAsia="lt-LT"/>
        </w:rPr>
      </w:pPr>
    </w:p>
    <w:p w14:paraId="697926D1"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Jeigu per paskutiniuosius 3 nėštumo mėnesius vartojate vaistų depresijai gydyti, įskaitant </w:t>
      </w:r>
      <w:proofErr w:type="spellStart"/>
      <w:r>
        <w:rPr>
          <w:rFonts w:eastAsia="TimesNewRoman,Bold"/>
          <w:szCs w:val="22"/>
          <w:lang w:eastAsia="lt-LT"/>
        </w:rPr>
        <w:t>Varesta</w:t>
      </w:r>
      <w:proofErr w:type="spellEnd"/>
      <w:r>
        <w:rPr>
          <w:rFonts w:eastAsia="TimesNewRoman,Bold"/>
          <w:szCs w:val="22"/>
          <w:lang w:eastAsia="lt-LT"/>
        </w:rPr>
        <w:t>,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sutrikimai. Jeigu Jūsų naujagimiui pasireiškė kuris nors iš šių simptomų, nedelsdami kreipkitės į gydytoją.</w:t>
      </w:r>
    </w:p>
    <w:p w14:paraId="67D30693" w14:textId="77777777" w:rsidR="00BC7B13" w:rsidRDefault="00BC7B13">
      <w:pPr>
        <w:autoSpaceDE w:val="0"/>
        <w:autoSpaceDN w:val="0"/>
        <w:adjustRightInd w:val="0"/>
        <w:rPr>
          <w:rFonts w:eastAsia="TimesNewRoman,Bold"/>
          <w:szCs w:val="22"/>
          <w:lang w:eastAsia="lt-LT"/>
        </w:rPr>
      </w:pPr>
    </w:p>
    <w:p w14:paraId="25B02FC3"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Būtinai pasakykite akušerei ir (arba) gydytojui, kad vartojate </w:t>
      </w:r>
      <w:proofErr w:type="spellStart"/>
      <w:r>
        <w:rPr>
          <w:rFonts w:eastAsia="TimesNewRoman,Bold"/>
          <w:szCs w:val="22"/>
          <w:lang w:eastAsia="lt-LT"/>
        </w:rPr>
        <w:t>Varesta</w:t>
      </w:r>
      <w:proofErr w:type="spellEnd"/>
      <w:r>
        <w:rPr>
          <w:rFonts w:eastAsia="TimesNewRoman,Bold"/>
          <w:szCs w:val="22"/>
          <w:lang w:eastAsia="lt-LT"/>
        </w:rPr>
        <w:t xml:space="preserve">. Nėštumo pabaigoje, ypač per paskutiniuosius 3 nėštumo mėnesius vartojami į </w:t>
      </w:r>
      <w:proofErr w:type="spellStart"/>
      <w:r>
        <w:rPr>
          <w:rFonts w:eastAsia="TimesNewRoman,Bold"/>
          <w:szCs w:val="22"/>
          <w:lang w:eastAsia="lt-LT"/>
        </w:rPr>
        <w:t>Varesta</w:t>
      </w:r>
      <w:proofErr w:type="spellEnd"/>
      <w:r>
        <w:rPr>
          <w:rFonts w:eastAsia="TimesNewRoman,Bold"/>
          <w:szCs w:val="22"/>
          <w:lang w:eastAsia="lt-LT"/>
        </w:rPr>
        <w:t xml:space="preserve"> panašūs vaistai gali didinti sunkios naujagimio ligos, vadinamos išlikusia naujagimio plaučių hipertenzija (INPH), riziką. Dėl to naujagimis gali dažniau kvėpuoti ir pamėlti. Tokių simptomų dažniausiai atsiranda per pirmąsias 24 valandas naujagimiui gimus. Jeigu Jūsų naujagimiui pasireiškia toks poveikis, turite nedelsdami kreiptis į akušerę ir (arba) gydytoją.</w:t>
      </w:r>
    </w:p>
    <w:p w14:paraId="73251711" w14:textId="77777777" w:rsidR="00BC7B13" w:rsidRDefault="004E7EF9">
      <w:pPr>
        <w:autoSpaceDE w:val="0"/>
        <w:autoSpaceDN w:val="0"/>
        <w:adjustRightInd w:val="0"/>
        <w:rPr>
          <w:color w:val="000000"/>
          <w:szCs w:val="22"/>
          <w:lang w:eastAsia="lt-LT"/>
        </w:rPr>
      </w:pPr>
      <w:r>
        <w:rPr>
          <w:color w:val="000000"/>
          <w:szCs w:val="22"/>
          <w:lang w:eastAsia="lt-LT"/>
        </w:rPr>
        <w:t xml:space="preserve">Jeigu Jūs vartojate </w:t>
      </w:r>
      <w:proofErr w:type="spellStart"/>
      <w:r>
        <w:rPr>
          <w:color w:val="000000"/>
          <w:szCs w:val="22"/>
          <w:lang w:eastAsia="lt-LT"/>
        </w:rPr>
        <w:t>Varesta</w:t>
      </w:r>
      <w:proofErr w:type="spellEnd"/>
      <w:r>
        <w:rPr>
          <w:color w:val="000000"/>
          <w:szCs w:val="22"/>
          <w:lang w:eastAsia="lt-LT"/>
        </w:rPr>
        <w:t xml:space="preserve"> nėštumo laikotarpio pabaigoje, Jums gali kilti didesnis stipraus kraujavimo iš makšties tuoj po gimdymo pavojus, ypač jeigu Jums praeityje buvo diagnozuota kraujavimo </w:t>
      </w:r>
      <w:r>
        <w:rPr>
          <w:color w:val="000000"/>
          <w:szCs w:val="22"/>
          <w:lang w:eastAsia="lt-LT"/>
        </w:rPr>
        <w:lastRenderedPageBreak/>
        <w:t xml:space="preserve">sutrikimų. Gydytojui arba akušeriui reikia pranešti apie tai, kad Jūs vartojate </w:t>
      </w:r>
      <w:proofErr w:type="spellStart"/>
      <w:r>
        <w:rPr>
          <w:color w:val="000000"/>
          <w:szCs w:val="22"/>
          <w:lang w:eastAsia="lt-LT"/>
        </w:rPr>
        <w:t>Varesta</w:t>
      </w:r>
      <w:proofErr w:type="spellEnd"/>
      <w:r>
        <w:rPr>
          <w:color w:val="000000"/>
          <w:szCs w:val="22"/>
          <w:lang w:eastAsia="lt-LT"/>
        </w:rPr>
        <w:t>, kad jie galėtų Jums patarti.</w:t>
      </w:r>
    </w:p>
    <w:p w14:paraId="70F2CF19" w14:textId="77777777" w:rsidR="00BC7B13" w:rsidRDefault="00BC7B13">
      <w:pPr>
        <w:autoSpaceDE w:val="0"/>
        <w:autoSpaceDN w:val="0"/>
        <w:adjustRightInd w:val="0"/>
        <w:rPr>
          <w:color w:val="000000"/>
          <w:szCs w:val="22"/>
          <w:lang w:eastAsia="lt-LT"/>
        </w:rPr>
      </w:pPr>
    </w:p>
    <w:p w14:paraId="2DFFEFE3" w14:textId="77777777" w:rsidR="00BC7B13" w:rsidRDefault="004E7EF9">
      <w:pPr>
        <w:autoSpaceDE w:val="0"/>
        <w:autoSpaceDN w:val="0"/>
        <w:adjustRightInd w:val="0"/>
        <w:rPr>
          <w:rFonts w:eastAsia="TimesNewRoman,Bold"/>
          <w:b/>
          <w:bCs/>
          <w:color w:val="000000"/>
          <w:szCs w:val="22"/>
          <w:lang w:eastAsia="lt-LT"/>
        </w:rPr>
      </w:pPr>
      <w:r>
        <w:rPr>
          <w:rFonts w:eastAsia="TimesNewRoman,Bold"/>
          <w:b/>
          <w:bCs/>
          <w:color w:val="000000"/>
          <w:szCs w:val="22"/>
          <w:lang w:eastAsia="lt-LT"/>
        </w:rPr>
        <w:t>Žindymo laikotarpis</w:t>
      </w:r>
    </w:p>
    <w:p w14:paraId="4EA2B067" w14:textId="77777777" w:rsidR="00BC7B13" w:rsidRDefault="004E7EF9">
      <w:pPr>
        <w:autoSpaceDE w:val="0"/>
        <w:autoSpaceDN w:val="0"/>
        <w:adjustRightInd w:val="0"/>
        <w:rPr>
          <w:color w:val="000000"/>
          <w:szCs w:val="22"/>
          <w:lang w:eastAsia="lt-LT"/>
        </w:rPr>
      </w:pPr>
      <w:r>
        <w:rPr>
          <w:color w:val="000000"/>
          <w:szCs w:val="22"/>
          <w:lang w:eastAsia="lt-LT"/>
        </w:rPr>
        <w:t xml:space="preserve">Tikėtina, kad </w:t>
      </w:r>
      <w:proofErr w:type="spellStart"/>
      <w:r>
        <w:rPr>
          <w:color w:val="000000"/>
          <w:szCs w:val="22"/>
          <w:lang w:eastAsia="lt-LT"/>
        </w:rPr>
        <w:t>Varesta</w:t>
      </w:r>
      <w:proofErr w:type="spellEnd"/>
      <w:r>
        <w:rPr>
          <w:color w:val="000000"/>
          <w:szCs w:val="22"/>
          <w:lang w:eastAsia="lt-LT"/>
        </w:rPr>
        <w:t xml:space="preserve"> sudėtyje esančių medžiagų patenka į moters pieną. </w:t>
      </w:r>
      <w:proofErr w:type="spellStart"/>
      <w:r>
        <w:rPr>
          <w:color w:val="000000"/>
          <w:szCs w:val="22"/>
          <w:lang w:eastAsia="lt-LT"/>
        </w:rPr>
        <w:t>Varesta</w:t>
      </w:r>
      <w:proofErr w:type="spellEnd"/>
      <w:r>
        <w:rPr>
          <w:color w:val="000000"/>
          <w:szCs w:val="22"/>
          <w:lang w:eastAsia="lt-LT"/>
        </w:rPr>
        <w:t xml:space="preserve"> neskirtas vartoti žindymo laikotarpiu. Gydytojas, atsižvelgdamas į žindymo naudą vaikui ir gydymo naudą Jums, nuspręs, ar nutraukti žindymą, ar nutraukti </w:t>
      </w:r>
      <w:proofErr w:type="spellStart"/>
      <w:r>
        <w:rPr>
          <w:color w:val="000000"/>
          <w:szCs w:val="22"/>
          <w:lang w:eastAsia="lt-LT"/>
        </w:rPr>
        <w:t>Varesta</w:t>
      </w:r>
      <w:proofErr w:type="spellEnd"/>
      <w:r>
        <w:rPr>
          <w:color w:val="000000"/>
          <w:szCs w:val="22"/>
          <w:lang w:eastAsia="lt-LT"/>
        </w:rPr>
        <w:t xml:space="preserve"> vartojimą.</w:t>
      </w:r>
    </w:p>
    <w:p w14:paraId="5256508F" w14:textId="77777777" w:rsidR="00BC7B13" w:rsidRDefault="00BC7B13">
      <w:pPr>
        <w:autoSpaceDE w:val="0"/>
        <w:autoSpaceDN w:val="0"/>
        <w:adjustRightInd w:val="0"/>
        <w:rPr>
          <w:color w:val="000000"/>
          <w:szCs w:val="22"/>
          <w:lang w:eastAsia="lt-LT"/>
        </w:rPr>
      </w:pPr>
    </w:p>
    <w:p w14:paraId="545D626D" w14:textId="77777777" w:rsidR="00BC7B13" w:rsidRDefault="004E7EF9">
      <w:pPr>
        <w:autoSpaceDE w:val="0"/>
        <w:autoSpaceDN w:val="0"/>
        <w:adjustRightInd w:val="0"/>
        <w:rPr>
          <w:rFonts w:eastAsia="TimesNewRoman,Bold"/>
          <w:b/>
          <w:bCs/>
          <w:color w:val="000000"/>
          <w:szCs w:val="22"/>
          <w:lang w:eastAsia="lt-LT"/>
        </w:rPr>
      </w:pPr>
      <w:r>
        <w:rPr>
          <w:rFonts w:eastAsia="TimesNewRoman,Bold"/>
          <w:b/>
          <w:bCs/>
          <w:color w:val="000000"/>
          <w:szCs w:val="22"/>
          <w:lang w:eastAsia="lt-LT"/>
        </w:rPr>
        <w:t>Vairavimas ir mechanizmų valdymas</w:t>
      </w:r>
    </w:p>
    <w:p w14:paraId="1D95DFB1" w14:textId="77777777" w:rsidR="00BC7B13" w:rsidRDefault="004E7EF9">
      <w:pPr>
        <w:autoSpaceDE w:val="0"/>
        <w:autoSpaceDN w:val="0"/>
        <w:adjustRightInd w:val="0"/>
        <w:rPr>
          <w:color w:val="222222"/>
          <w:szCs w:val="22"/>
          <w:lang w:eastAsia="lt-LT"/>
        </w:rPr>
      </w:pPr>
      <w:proofErr w:type="spellStart"/>
      <w:r>
        <w:rPr>
          <w:color w:val="000000"/>
          <w:szCs w:val="22"/>
          <w:lang w:eastAsia="lt-LT"/>
        </w:rPr>
        <w:t>Varesta</w:t>
      </w:r>
      <w:proofErr w:type="spellEnd"/>
      <w:r>
        <w:rPr>
          <w:color w:val="000000"/>
          <w:szCs w:val="22"/>
          <w:lang w:eastAsia="lt-LT"/>
        </w:rPr>
        <w:t xml:space="preserve"> gebėjimo vairuoti ir valdyti mechanizmus neveikia arba veikia nereikšmingai. Vis dėlto, </w:t>
      </w:r>
      <w:r>
        <w:rPr>
          <w:color w:val="222222"/>
          <w:szCs w:val="22"/>
          <w:lang w:eastAsia="lt-LT"/>
        </w:rPr>
        <w:t xml:space="preserve">buvo pranešta apie šalutinį poveikį, tokį kaip svaigulys, todėl </w:t>
      </w:r>
      <w:r>
        <w:rPr>
          <w:color w:val="000000"/>
          <w:szCs w:val="22"/>
          <w:lang w:eastAsia="lt-LT"/>
        </w:rPr>
        <w:t>užsiimti tokia veikla pradėjus gydymą</w:t>
      </w:r>
      <w:r>
        <w:rPr>
          <w:color w:val="222222"/>
          <w:szCs w:val="22"/>
          <w:lang w:eastAsia="lt-LT"/>
        </w:rPr>
        <w:t xml:space="preserve"> </w:t>
      </w:r>
      <w:proofErr w:type="spellStart"/>
      <w:r>
        <w:rPr>
          <w:color w:val="000000"/>
          <w:szCs w:val="22"/>
          <w:lang w:eastAsia="lt-LT"/>
        </w:rPr>
        <w:t>Varesta</w:t>
      </w:r>
      <w:proofErr w:type="spellEnd"/>
      <w:r>
        <w:rPr>
          <w:color w:val="000000"/>
          <w:szCs w:val="22"/>
          <w:lang w:eastAsia="lt-LT"/>
        </w:rPr>
        <w:t xml:space="preserve"> ar pakeitus vaisto dozę patariama laikantis atsargumo priemonių.</w:t>
      </w:r>
    </w:p>
    <w:p w14:paraId="19B358F4" w14:textId="77777777" w:rsidR="00BC7B13" w:rsidRDefault="00BC7B13">
      <w:pPr>
        <w:autoSpaceDE w:val="0"/>
        <w:autoSpaceDN w:val="0"/>
        <w:adjustRightInd w:val="0"/>
        <w:rPr>
          <w:rFonts w:eastAsia="TimesNewRoman,Bold"/>
          <w:b/>
          <w:bCs/>
          <w:color w:val="000000"/>
          <w:szCs w:val="22"/>
          <w:lang w:eastAsia="lt-LT"/>
        </w:rPr>
      </w:pPr>
    </w:p>
    <w:p w14:paraId="10683F57" w14:textId="77777777" w:rsidR="00BC7B13" w:rsidRDefault="004E7EF9">
      <w:pPr>
        <w:autoSpaceDE w:val="0"/>
        <w:autoSpaceDN w:val="0"/>
        <w:adjustRightInd w:val="0"/>
        <w:rPr>
          <w:rFonts w:eastAsia="TimesNewRoman,Bold"/>
          <w:b/>
          <w:bCs/>
          <w:color w:val="000000"/>
          <w:szCs w:val="22"/>
          <w:lang w:eastAsia="lt-LT"/>
        </w:rPr>
      </w:pPr>
      <w:proofErr w:type="spellStart"/>
      <w:r>
        <w:rPr>
          <w:rFonts w:eastAsia="TimesNewRoman,Bold"/>
          <w:b/>
          <w:bCs/>
          <w:color w:val="000000"/>
          <w:szCs w:val="22"/>
          <w:lang w:eastAsia="lt-LT"/>
        </w:rPr>
        <w:t>Varesta</w:t>
      </w:r>
      <w:proofErr w:type="spellEnd"/>
      <w:r>
        <w:rPr>
          <w:rFonts w:eastAsia="TimesNewRoman,Bold"/>
          <w:b/>
          <w:bCs/>
          <w:color w:val="000000"/>
          <w:szCs w:val="22"/>
          <w:lang w:eastAsia="lt-LT"/>
        </w:rPr>
        <w:t xml:space="preserve"> sudėtyje yra natrio</w:t>
      </w:r>
    </w:p>
    <w:p w14:paraId="0A52B703" w14:textId="77777777" w:rsidR="00BC7B13" w:rsidRDefault="004E7EF9">
      <w:pPr>
        <w:widowControl w:val="0"/>
        <w:autoSpaceDE w:val="0"/>
        <w:autoSpaceDN w:val="0"/>
        <w:rPr>
          <w:color w:val="000000"/>
          <w:szCs w:val="22"/>
          <w:lang w:eastAsia="lt-LT"/>
        </w:rPr>
      </w:pPr>
      <w:r>
        <w:rPr>
          <w:color w:val="000000"/>
          <w:szCs w:val="22"/>
          <w:lang w:eastAsia="lt-LT"/>
        </w:rPr>
        <w:t>Šio vaisto plėvele dengtoje tabletėje yra mažiau kaip 1 </w:t>
      </w:r>
      <w:proofErr w:type="spellStart"/>
      <w:r>
        <w:rPr>
          <w:color w:val="000000"/>
          <w:szCs w:val="22"/>
          <w:lang w:eastAsia="lt-LT"/>
        </w:rPr>
        <w:t>mmol</w:t>
      </w:r>
      <w:proofErr w:type="spellEnd"/>
      <w:r>
        <w:rPr>
          <w:color w:val="000000"/>
          <w:szCs w:val="22"/>
          <w:lang w:eastAsia="lt-LT"/>
        </w:rPr>
        <w:t xml:space="preserve"> (23 mg) natrio, t. y. jis beveik neturi reikšmės.</w:t>
      </w:r>
    </w:p>
    <w:p w14:paraId="2243AFBB" w14:textId="77777777" w:rsidR="00BC7B13" w:rsidRDefault="00BC7B13">
      <w:pPr>
        <w:widowControl w:val="0"/>
        <w:autoSpaceDE w:val="0"/>
        <w:autoSpaceDN w:val="0"/>
        <w:rPr>
          <w:color w:val="000000"/>
          <w:szCs w:val="22"/>
        </w:rPr>
      </w:pPr>
    </w:p>
    <w:p w14:paraId="19B950E8" w14:textId="77777777" w:rsidR="00BC7B13" w:rsidRDefault="00BC7B13">
      <w:pPr>
        <w:widowControl w:val="0"/>
        <w:autoSpaceDE w:val="0"/>
        <w:autoSpaceDN w:val="0"/>
        <w:rPr>
          <w:color w:val="000000"/>
          <w:szCs w:val="22"/>
        </w:rPr>
      </w:pPr>
    </w:p>
    <w:p w14:paraId="7561A20E" w14:textId="77777777" w:rsidR="00BC7B13" w:rsidRDefault="004E7EF9">
      <w:pPr>
        <w:numPr>
          <w:ilvl w:val="12"/>
          <w:numId w:val="0"/>
        </w:numPr>
        <w:ind w:left="567" w:hanging="567"/>
        <w:outlineLvl w:val="0"/>
        <w:rPr>
          <w:b/>
          <w:caps/>
          <w:noProof/>
        </w:rPr>
      </w:pPr>
      <w:r>
        <w:rPr>
          <w:b/>
          <w:noProof/>
        </w:rPr>
        <w:t>3.</w:t>
      </w:r>
      <w:r>
        <w:rPr>
          <w:b/>
          <w:noProof/>
        </w:rPr>
        <w:tab/>
      </w:r>
      <w:r>
        <w:rPr>
          <w:b/>
        </w:rPr>
        <w:t xml:space="preserve">Kaip vartoti </w:t>
      </w:r>
      <w:r>
        <w:rPr>
          <w:b/>
          <w:noProof/>
        </w:rPr>
        <w:t>Varesta</w:t>
      </w:r>
    </w:p>
    <w:p w14:paraId="3D92E1C1" w14:textId="77777777" w:rsidR="00BC7B13" w:rsidRDefault="00BC7B13">
      <w:pPr>
        <w:ind w:left="567" w:hanging="567"/>
        <w:rPr>
          <w:noProof/>
        </w:rPr>
      </w:pPr>
    </w:p>
    <w:p w14:paraId="46EB8DE4" w14:textId="77777777" w:rsidR="00BC7B13" w:rsidRDefault="004E7EF9">
      <w:pPr>
        <w:autoSpaceDE w:val="0"/>
        <w:autoSpaceDN w:val="0"/>
        <w:adjustRightInd w:val="0"/>
        <w:rPr>
          <w:szCs w:val="22"/>
          <w:lang w:eastAsia="lt-LT"/>
        </w:rPr>
      </w:pPr>
      <w:r>
        <w:rPr>
          <w:szCs w:val="22"/>
          <w:lang w:eastAsia="lt-LT"/>
        </w:rPr>
        <w:t>Visada vartokite šį vaistą tiksliai, kaip nurodė gydytojas. Jeigu abejojate, kreipkitės į gydytoją arba vaistininką.</w:t>
      </w:r>
    </w:p>
    <w:p w14:paraId="55AF496E" w14:textId="77777777" w:rsidR="00BC7B13" w:rsidRDefault="00BC7B13">
      <w:pPr>
        <w:autoSpaceDE w:val="0"/>
        <w:autoSpaceDN w:val="0"/>
        <w:adjustRightInd w:val="0"/>
        <w:rPr>
          <w:szCs w:val="22"/>
          <w:lang w:eastAsia="lt-LT"/>
        </w:rPr>
      </w:pPr>
    </w:p>
    <w:p w14:paraId="40A0E67D" w14:textId="77777777" w:rsidR="00BC7B13" w:rsidRDefault="004E7EF9">
      <w:pPr>
        <w:autoSpaceDE w:val="0"/>
        <w:autoSpaceDN w:val="0"/>
        <w:adjustRightInd w:val="0"/>
        <w:rPr>
          <w:szCs w:val="22"/>
          <w:lang w:eastAsia="lt-LT"/>
        </w:rPr>
      </w:pPr>
      <w:r>
        <w:rPr>
          <w:szCs w:val="22"/>
          <w:lang w:eastAsia="lt-LT"/>
        </w:rPr>
        <w:t xml:space="preserve">Jaunesniems kaip 65 metų žmonėms rekomenduojama </w:t>
      </w:r>
      <w:proofErr w:type="spellStart"/>
      <w:r>
        <w:rPr>
          <w:szCs w:val="22"/>
          <w:lang w:eastAsia="lt-LT"/>
        </w:rPr>
        <w:t>Varesta</w:t>
      </w:r>
      <w:proofErr w:type="spellEnd"/>
      <w:r>
        <w:rPr>
          <w:szCs w:val="22"/>
          <w:lang w:eastAsia="lt-LT"/>
        </w:rPr>
        <w:t xml:space="preserve"> dozė yra 10 mg </w:t>
      </w:r>
      <w:proofErr w:type="spellStart"/>
      <w:r>
        <w:rPr>
          <w:szCs w:val="22"/>
          <w:lang w:eastAsia="lt-LT"/>
        </w:rPr>
        <w:t>vortioksetino</w:t>
      </w:r>
      <w:proofErr w:type="spellEnd"/>
      <w:r>
        <w:rPr>
          <w:szCs w:val="22"/>
          <w:lang w:eastAsia="lt-LT"/>
        </w:rPr>
        <w:t xml:space="preserve"> vieną kartą per parą. Gydytojas, atsižvelgdamas į Jūsų organizmo atsaką į gydymą, dozę gali padidinti iki didžiausios 20 mg </w:t>
      </w:r>
      <w:proofErr w:type="spellStart"/>
      <w:r>
        <w:rPr>
          <w:szCs w:val="22"/>
          <w:lang w:eastAsia="lt-LT"/>
        </w:rPr>
        <w:t>vortioksetino</w:t>
      </w:r>
      <w:proofErr w:type="spellEnd"/>
      <w:r>
        <w:rPr>
          <w:szCs w:val="22"/>
          <w:lang w:eastAsia="lt-LT"/>
        </w:rPr>
        <w:t xml:space="preserve"> dozės per parą arba sumažinti iki mažiausios 5 mg </w:t>
      </w:r>
      <w:proofErr w:type="spellStart"/>
      <w:r>
        <w:rPr>
          <w:szCs w:val="22"/>
          <w:lang w:eastAsia="lt-LT"/>
        </w:rPr>
        <w:t>vortioksetino</w:t>
      </w:r>
      <w:proofErr w:type="spellEnd"/>
      <w:r>
        <w:rPr>
          <w:szCs w:val="22"/>
          <w:lang w:eastAsia="lt-LT"/>
        </w:rPr>
        <w:t xml:space="preserve"> dozės per parą.</w:t>
      </w:r>
    </w:p>
    <w:p w14:paraId="77B727F7" w14:textId="77777777" w:rsidR="00BC7B13" w:rsidRDefault="00BC7B13">
      <w:pPr>
        <w:rPr>
          <w:szCs w:val="22"/>
          <w:lang w:eastAsia="lt-LT"/>
        </w:rPr>
      </w:pPr>
    </w:p>
    <w:p w14:paraId="488537C6" w14:textId="77777777" w:rsidR="00BC7B13" w:rsidRDefault="004E7EF9">
      <w:pPr>
        <w:rPr>
          <w:szCs w:val="22"/>
          <w:lang w:eastAsia="lt-LT"/>
        </w:rPr>
      </w:pPr>
      <w:r>
        <w:rPr>
          <w:szCs w:val="22"/>
          <w:lang w:eastAsia="lt-LT"/>
        </w:rPr>
        <w:t xml:space="preserve">Pradinė dozė 65 metų ir vyresniems pacientams yra 5 mg </w:t>
      </w:r>
      <w:proofErr w:type="spellStart"/>
      <w:r>
        <w:rPr>
          <w:szCs w:val="22"/>
          <w:lang w:eastAsia="lt-LT"/>
        </w:rPr>
        <w:t>vortioksetino</w:t>
      </w:r>
      <w:proofErr w:type="spellEnd"/>
      <w:r>
        <w:rPr>
          <w:szCs w:val="22"/>
          <w:lang w:eastAsia="lt-LT"/>
        </w:rPr>
        <w:t xml:space="preserve"> vieną kartą per parą.</w:t>
      </w:r>
    </w:p>
    <w:p w14:paraId="39B98950" w14:textId="77777777" w:rsidR="00BC7B13" w:rsidRDefault="00BC7B13">
      <w:pPr>
        <w:rPr>
          <w:noProof/>
        </w:rPr>
      </w:pPr>
    </w:p>
    <w:p w14:paraId="1DD5887F"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Vartojimo metodas</w:t>
      </w:r>
    </w:p>
    <w:p w14:paraId="23E24016"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Išgerkite vieną tabletę užsigerdami stikline vandens.</w:t>
      </w:r>
    </w:p>
    <w:p w14:paraId="39C15E90"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Tabletę galima išgerti valgant arba nevalgius.</w:t>
      </w:r>
    </w:p>
    <w:p w14:paraId="4A559A98" w14:textId="77777777" w:rsidR="00BC7B13" w:rsidRDefault="00BC7B13">
      <w:pPr>
        <w:autoSpaceDE w:val="0"/>
        <w:autoSpaceDN w:val="0"/>
        <w:adjustRightInd w:val="0"/>
        <w:rPr>
          <w:rFonts w:eastAsia="TimesNewRoman,Bold"/>
          <w:b/>
          <w:bCs/>
          <w:szCs w:val="22"/>
          <w:lang w:eastAsia="lt-LT"/>
        </w:rPr>
      </w:pPr>
    </w:p>
    <w:p w14:paraId="5118A2B8"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Gydymo trukmė</w:t>
      </w:r>
    </w:p>
    <w:p w14:paraId="39273D18"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Vartokite </w:t>
      </w:r>
      <w:proofErr w:type="spellStart"/>
      <w:r>
        <w:rPr>
          <w:rFonts w:eastAsia="TimesNewRoman,Bold"/>
          <w:szCs w:val="22"/>
          <w:lang w:eastAsia="lt-LT"/>
        </w:rPr>
        <w:t>Varesta</w:t>
      </w:r>
      <w:proofErr w:type="spellEnd"/>
      <w:r>
        <w:rPr>
          <w:rFonts w:eastAsia="TimesNewRoman,Bold"/>
          <w:szCs w:val="22"/>
          <w:lang w:eastAsia="lt-LT"/>
        </w:rPr>
        <w:t xml:space="preserve"> visą gydytojo rekomenduotą laikotarpį.</w:t>
      </w:r>
    </w:p>
    <w:p w14:paraId="315F89CD" w14:textId="77777777" w:rsidR="00BC7B13" w:rsidRDefault="00BC7B13">
      <w:pPr>
        <w:autoSpaceDE w:val="0"/>
        <w:autoSpaceDN w:val="0"/>
        <w:adjustRightInd w:val="0"/>
        <w:rPr>
          <w:rFonts w:eastAsia="TimesNewRoman,Bold"/>
          <w:szCs w:val="22"/>
          <w:lang w:eastAsia="lt-LT"/>
        </w:rPr>
      </w:pPr>
    </w:p>
    <w:p w14:paraId="39364D46"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Ir toliau vartokite </w:t>
      </w:r>
      <w:proofErr w:type="spellStart"/>
      <w:r>
        <w:rPr>
          <w:rFonts w:eastAsia="TimesNewRoman,Bold"/>
          <w:szCs w:val="22"/>
          <w:lang w:eastAsia="lt-LT"/>
        </w:rPr>
        <w:t>Varesta</w:t>
      </w:r>
      <w:proofErr w:type="spellEnd"/>
      <w:r>
        <w:rPr>
          <w:rFonts w:eastAsia="TimesNewRoman,Bold"/>
          <w:szCs w:val="22"/>
          <w:lang w:eastAsia="lt-LT"/>
        </w:rPr>
        <w:t>, net jeigu tam tikrą laikotarpį nejuntate jokio savo būklės pagerėjimo.</w:t>
      </w:r>
    </w:p>
    <w:p w14:paraId="733F3B10" w14:textId="77777777" w:rsidR="00BC7B13" w:rsidRDefault="00BC7B13">
      <w:pPr>
        <w:autoSpaceDE w:val="0"/>
        <w:autoSpaceDN w:val="0"/>
        <w:adjustRightInd w:val="0"/>
        <w:rPr>
          <w:rFonts w:eastAsia="TimesNewRoman,Bold"/>
          <w:szCs w:val="22"/>
          <w:lang w:eastAsia="lt-LT"/>
        </w:rPr>
      </w:pPr>
    </w:p>
    <w:p w14:paraId="5BC9BD56"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Gydymą reikia tęsti ne trumpiau kaip 6 mėnesius po to, kai vėl pradedate gerai jaustis.</w:t>
      </w:r>
    </w:p>
    <w:p w14:paraId="65717511" w14:textId="77777777" w:rsidR="00BC7B13" w:rsidRDefault="00BC7B13">
      <w:pPr>
        <w:autoSpaceDE w:val="0"/>
        <w:autoSpaceDN w:val="0"/>
        <w:adjustRightInd w:val="0"/>
        <w:rPr>
          <w:rFonts w:eastAsia="TimesNewRoman,Bold"/>
          <w:b/>
          <w:bCs/>
          <w:szCs w:val="22"/>
          <w:lang w:eastAsia="lt-LT"/>
        </w:rPr>
      </w:pPr>
    </w:p>
    <w:p w14:paraId="4CA4EB6F"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10 mg, 15 mg ir 20 mg tabletes galima padalyti į lygias dozes.</w:t>
      </w:r>
    </w:p>
    <w:p w14:paraId="6DE8EE7E" w14:textId="77777777" w:rsidR="00BC7B13" w:rsidRDefault="00BC7B13">
      <w:pPr>
        <w:autoSpaceDE w:val="0"/>
        <w:autoSpaceDN w:val="0"/>
        <w:adjustRightInd w:val="0"/>
        <w:rPr>
          <w:rFonts w:eastAsia="TimesNewRoman,Bold"/>
          <w:b/>
          <w:bCs/>
          <w:szCs w:val="22"/>
          <w:lang w:eastAsia="lt-LT"/>
        </w:rPr>
      </w:pPr>
    </w:p>
    <w:p w14:paraId="1C124A91"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 xml:space="preserve">Ką daryti pavartojus per didelę </w:t>
      </w:r>
      <w:proofErr w:type="spellStart"/>
      <w:r>
        <w:rPr>
          <w:rFonts w:eastAsia="TimesNewRoman,Bold"/>
          <w:b/>
          <w:bCs/>
          <w:szCs w:val="22"/>
          <w:lang w:eastAsia="lt-LT"/>
        </w:rPr>
        <w:t>Varesta</w:t>
      </w:r>
      <w:proofErr w:type="spellEnd"/>
      <w:r>
        <w:rPr>
          <w:rFonts w:eastAsia="TimesNewRoman,Bold"/>
          <w:b/>
          <w:bCs/>
          <w:szCs w:val="22"/>
          <w:lang w:eastAsia="lt-LT"/>
        </w:rPr>
        <w:t xml:space="preserve"> dozę</w:t>
      </w:r>
    </w:p>
    <w:p w14:paraId="04C35AA5"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Jeigu išgėrėte didesnę už paskirtąją </w:t>
      </w:r>
      <w:proofErr w:type="spellStart"/>
      <w:r>
        <w:rPr>
          <w:rFonts w:eastAsia="TimesNewRoman,Bold"/>
          <w:szCs w:val="22"/>
          <w:lang w:eastAsia="lt-LT"/>
        </w:rPr>
        <w:t>Varesta</w:t>
      </w:r>
      <w:proofErr w:type="spellEnd"/>
      <w:r>
        <w:rPr>
          <w:rFonts w:eastAsia="TimesNewRoman,Bold"/>
          <w:szCs w:val="22"/>
          <w:lang w:eastAsia="lt-LT"/>
        </w:rPr>
        <w:t xml:space="preserve"> dozę, nedelsdami kreipkitės į gydytoją arba artimiausios ligoninės priėmimo skyrių. Kartu pasiimkite pakuotę ir visas likusias tabletes. Tai padaryti reikia ir tuo atveju, jeigu nejuntate jokių požymių ar diskomforto. Perdozavimo požymiai yra svaigulys, pykinimas, viduriavimas, diskomfortas pilve, viso kūno niežulys, mieguistumas bei veido ir kaklo paraudimas.</w:t>
      </w:r>
    </w:p>
    <w:p w14:paraId="557927BC" w14:textId="77777777" w:rsidR="00BC7B13" w:rsidRDefault="00BC7B13">
      <w:pPr>
        <w:autoSpaceDE w:val="0"/>
        <w:autoSpaceDN w:val="0"/>
        <w:adjustRightInd w:val="0"/>
        <w:rPr>
          <w:rFonts w:eastAsia="TimesNewRoman,Bold"/>
          <w:szCs w:val="22"/>
          <w:lang w:eastAsia="lt-LT"/>
        </w:rPr>
      </w:pPr>
    </w:p>
    <w:p w14:paraId="23F62F31"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Gauta pranešimų apie pavartojus kelis kartus didesnes nei skirtoji dozes pasireiškusius traukulius ir retai pasitaikančią būklę, vadinamą </w:t>
      </w:r>
      <w:proofErr w:type="spellStart"/>
      <w:r>
        <w:rPr>
          <w:rFonts w:eastAsia="TimesNewRoman,Bold"/>
          <w:szCs w:val="22"/>
          <w:lang w:eastAsia="lt-LT"/>
        </w:rPr>
        <w:t>serotonino</w:t>
      </w:r>
      <w:proofErr w:type="spellEnd"/>
      <w:r>
        <w:rPr>
          <w:rFonts w:eastAsia="TimesNewRoman,Bold"/>
          <w:szCs w:val="22"/>
          <w:lang w:eastAsia="lt-LT"/>
        </w:rPr>
        <w:t xml:space="preserve"> sindromu.</w:t>
      </w:r>
    </w:p>
    <w:p w14:paraId="367D20C0" w14:textId="77777777" w:rsidR="00BC7B13" w:rsidRDefault="00BC7B13">
      <w:pPr>
        <w:autoSpaceDE w:val="0"/>
        <w:autoSpaceDN w:val="0"/>
        <w:adjustRightInd w:val="0"/>
        <w:rPr>
          <w:rFonts w:eastAsia="TimesNewRoman,Bold"/>
          <w:b/>
          <w:bCs/>
          <w:szCs w:val="22"/>
          <w:lang w:eastAsia="lt-LT"/>
        </w:rPr>
      </w:pPr>
    </w:p>
    <w:p w14:paraId="795E3732"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 xml:space="preserve">Pamiršus pavartoti </w:t>
      </w:r>
      <w:proofErr w:type="spellStart"/>
      <w:r>
        <w:rPr>
          <w:rFonts w:eastAsia="TimesNewRoman,Bold"/>
          <w:b/>
          <w:bCs/>
          <w:szCs w:val="22"/>
          <w:lang w:eastAsia="lt-LT"/>
        </w:rPr>
        <w:t>Varesta</w:t>
      </w:r>
      <w:proofErr w:type="spellEnd"/>
    </w:p>
    <w:p w14:paraId="2E786403"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Išgerkite kitą dozę įprastu laiku. Negalima vartoti dvigubos dozės norint kompensuoti praleistą dozę.</w:t>
      </w:r>
    </w:p>
    <w:p w14:paraId="5BA1A1D4" w14:textId="77777777" w:rsidR="00BC7B13" w:rsidRDefault="00BC7B13">
      <w:pPr>
        <w:autoSpaceDE w:val="0"/>
        <w:autoSpaceDN w:val="0"/>
        <w:adjustRightInd w:val="0"/>
        <w:rPr>
          <w:rFonts w:eastAsia="TimesNewRoman,Bold"/>
          <w:b/>
          <w:bCs/>
          <w:szCs w:val="22"/>
          <w:lang w:eastAsia="lt-LT"/>
        </w:rPr>
      </w:pPr>
    </w:p>
    <w:p w14:paraId="62CA1A94"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 xml:space="preserve">Nustojus vartoti </w:t>
      </w:r>
      <w:proofErr w:type="spellStart"/>
      <w:r>
        <w:rPr>
          <w:rFonts w:eastAsia="TimesNewRoman,Bold"/>
          <w:b/>
          <w:bCs/>
          <w:szCs w:val="22"/>
          <w:lang w:eastAsia="lt-LT"/>
        </w:rPr>
        <w:t>Varesta</w:t>
      </w:r>
      <w:proofErr w:type="spellEnd"/>
    </w:p>
    <w:p w14:paraId="7E6A946D"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lastRenderedPageBreak/>
        <w:t xml:space="preserve">Nenutraukite </w:t>
      </w:r>
      <w:proofErr w:type="spellStart"/>
      <w:r>
        <w:rPr>
          <w:rFonts w:eastAsia="TimesNewRoman,Bold"/>
          <w:szCs w:val="22"/>
          <w:lang w:eastAsia="lt-LT"/>
        </w:rPr>
        <w:t>Varesta</w:t>
      </w:r>
      <w:proofErr w:type="spellEnd"/>
      <w:r>
        <w:rPr>
          <w:rFonts w:eastAsia="TimesNewRoman,Bold"/>
          <w:szCs w:val="22"/>
          <w:lang w:eastAsia="lt-LT"/>
        </w:rPr>
        <w:t xml:space="preserve"> vartojimo pirmiau nepasitarę su gydytoju.</w:t>
      </w:r>
    </w:p>
    <w:p w14:paraId="59CD12AE" w14:textId="77777777" w:rsidR="00BC7B13" w:rsidRDefault="00BC7B13">
      <w:pPr>
        <w:autoSpaceDE w:val="0"/>
        <w:autoSpaceDN w:val="0"/>
        <w:adjustRightInd w:val="0"/>
        <w:rPr>
          <w:rFonts w:eastAsia="TimesNewRoman,Bold"/>
          <w:szCs w:val="22"/>
          <w:lang w:eastAsia="lt-LT"/>
        </w:rPr>
      </w:pPr>
    </w:p>
    <w:p w14:paraId="2B528B6F"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Gydytojas gali nuspręsti mažinti dozę, kol galiausiai nustosite vartoti šio vaisto. Kai kuriems pacientams, kurie nustojo vartoti </w:t>
      </w:r>
      <w:proofErr w:type="spellStart"/>
      <w:r>
        <w:rPr>
          <w:rFonts w:eastAsia="TimesNewRoman,Bold"/>
          <w:szCs w:val="22"/>
          <w:lang w:eastAsia="lt-LT"/>
        </w:rPr>
        <w:t>Varesta</w:t>
      </w:r>
      <w:proofErr w:type="spellEnd"/>
      <w:r>
        <w:rPr>
          <w:rFonts w:eastAsia="TimesNewRoman,Bold"/>
          <w:szCs w:val="22"/>
          <w:lang w:eastAsia="lt-LT"/>
        </w:rPr>
        <w:t xml:space="preserve">, pasireiškė tokių simptomų kaip svaigulys, galvos skausmas, dilgčiojimas, lyg smeigtukų ir adatėlių arba į elektros šoką panašus jausmas (ypač galvoje), negalėjimas užmigti, pykinimas ar vėmimas, nerimas, dirglumas ar susijaudinimas, nuovargio jausmas ar drebulys. Šių simptomų gali pasireikšti per pirmąją savaitę, nustojus vartoti </w:t>
      </w:r>
      <w:proofErr w:type="spellStart"/>
      <w:r>
        <w:rPr>
          <w:rFonts w:eastAsia="TimesNewRoman,Bold"/>
          <w:szCs w:val="22"/>
          <w:lang w:eastAsia="lt-LT"/>
        </w:rPr>
        <w:t>Varesta</w:t>
      </w:r>
      <w:proofErr w:type="spellEnd"/>
      <w:r>
        <w:rPr>
          <w:rFonts w:eastAsia="TimesNewRoman,Bold"/>
          <w:szCs w:val="22"/>
          <w:lang w:eastAsia="lt-LT"/>
        </w:rPr>
        <w:t>.</w:t>
      </w:r>
    </w:p>
    <w:p w14:paraId="18BBDC38" w14:textId="77777777" w:rsidR="00BC7B13" w:rsidRDefault="00BC7B13">
      <w:pPr>
        <w:numPr>
          <w:ilvl w:val="12"/>
          <w:numId w:val="0"/>
        </w:numPr>
        <w:ind w:right="-2"/>
        <w:rPr>
          <w:rFonts w:eastAsia="TimesNewRoman,Bold"/>
          <w:szCs w:val="22"/>
          <w:lang w:eastAsia="lt-LT"/>
        </w:rPr>
      </w:pPr>
    </w:p>
    <w:p w14:paraId="79FC2157" w14:textId="77777777" w:rsidR="00BC7B13" w:rsidRDefault="004E7EF9">
      <w:pPr>
        <w:numPr>
          <w:ilvl w:val="12"/>
          <w:numId w:val="0"/>
        </w:numPr>
        <w:ind w:right="-2"/>
        <w:rPr>
          <w:rFonts w:eastAsia="TimesNewRoman,Bold"/>
          <w:szCs w:val="22"/>
          <w:lang w:eastAsia="lt-LT"/>
        </w:rPr>
      </w:pPr>
      <w:r>
        <w:rPr>
          <w:rFonts w:eastAsia="TimesNewRoman,Bold"/>
          <w:szCs w:val="22"/>
          <w:lang w:eastAsia="lt-LT"/>
        </w:rPr>
        <w:t>Jeigu kiltų daugiau klausimų dėl šio vaisto vartojimo, kreipkitės į gydytoją arba vaistininką.</w:t>
      </w:r>
    </w:p>
    <w:p w14:paraId="5897EE01" w14:textId="77777777" w:rsidR="00BC7B13" w:rsidRDefault="00BC7B13">
      <w:pPr>
        <w:numPr>
          <w:ilvl w:val="12"/>
          <w:numId w:val="0"/>
        </w:numPr>
        <w:ind w:right="-2"/>
        <w:rPr>
          <w:rFonts w:eastAsia="TimesNewRoman,Bold"/>
          <w:szCs w:val="22"/>
          <w:lang w:eastAsia="lt-LT"/>
        </w:rPr>
      </w:pPr>
    </w:p>
    <w:p w14:paraId="57928FAD" w14:textId="77777777" w:rsidR="00BC7B13" w:rsidRDefault="00BC7B13">
      <w:pPr>
        <w:numPr>
          <w:ilvl w:val="12"/>
          <w:numId w:val="0"/>
        </w:numPr>
        <w:ind w:right="-2"/>
        <w:rPr>
          <w:noProof/>
        </w:rPr>
      </w:pPr>
    </w:p>
    <w:p w14:paraId="2C9ECE98" w14:textId="77777777" w:rsidR="00BC7B13" w:rsidRDefault="004E7EF9">
      <w:pPr>
        <w:numPr>
          <w:ilvl w:val="12"/>
          <w:numId w:val="0"/>
        </w:numPr>
        <w:ind w:left="567" w:hanging="567"/>
        <w:outlineLvl w:val="0"/>
        <w:rPr>
          <w:b/>
          <w:caps/>
          <w:noProof/>
        </w:rPr>
      </w:pPr>
      <w:r>
        <w:rPr>
          <w:b/>
          <w:caps/>
          <w:noProof/>
        </w:rPr>
        <w:t>4.</w:t>
      </w:r>
      <w:r>
        <w:rPr>
          <w:b/>
          <w:caps/>
          <w:noProof/>
        </w:rPr>
        <w:tab/>
      </w:r>
      <w:r>
        <w:rPr>
          <w:b/>
        </w:rPr>
        <w:t>Galimas šalutinis poveikis</w:t>
      </w:r>
    </w:p>
    <w:p w14:paraId="63686287" w14:textId="77777777" w:rsidR="00BC7B13" w:rsidRDefault="00BC7B13">
      <w:pPr>
        <w:ind w:left="567" w:hanging="567"/>
        <w:rPr>
          <w:noProof/>
        </w:rPr>
      </w:pPr>
    </w:p>
    <w:p w14:paraId="3698AF8F" w14:textId="77777777" w:rsidR="00BC7B13" w:rsidRDefault="004E7EF9">
      <w:pPr>
        <w:autoSpaceDE w:val="0"/>
        <w:autoSpaceDN w:val="0"/>
        <w:adjustRightInd w:val="0"/>
        <w:rPr>
          <w:szCs w:val="22"/>
          <w:lang w:eastAsia="lt-LT"/>
        </w:rPr>
      </w:pPr>
      <w:r>
        <w:rPr>
          <w:szCs w:val="22"/>
          <w:lang w:eastAsia="lt-LT"/>
        </w:rPr>
        <w:t>Šis vaistas, kaip ir visi kiti, gali sukelti šalutinį poveikį, nors jis pasireiškia ne visiems žmonėms.</w:t>
      </w:r>
    </w:p>
    <w:p w14:paraId="1A93C49D" w14:textId="77777777" w:rsidR="00BC7B13" w:rsidRDefault="00BC7B13">
      <w:pPr>
        <w:autoSpaceDE w:val="0"/>
        <w:autoSpaceDN w:val="0"/>
        <w:adjustRightInd w:val="0"/>
        <w:rPr>
          <w:szCs w:val="22"/>
          <w:lang w:eastAsia="lt-LT"/>
        </w:rPr>
      </w:pPr>
    </w:p>
    <w:p w14:paraId="31EA6F56" w14:textId="77777777" w:rsidR="00BC7B13" w:rsidRDefault="004E7EF9">
      <w:pPr>
        <w:autoSpaceDE w:val="0"/>
        <w:autoSpaceDN w:val="0"/>
        <w:adjustRightInd w:val="0"/>
        <w:rPr>
          <w:szCs w:val="22"/>
          <w:lang w:eastAsia="lt-LT"/>
        </w:rPr>
      </w:pPr>
      <w:r>
        <w:rPr>
          <w:szCs w:val="22"/>
          <w:lang w:eastAsia="lt-LT"/>
        </w:rPr>
        <w:t>Apskritai stebėtas šalutinis poveikis buvo lengvas ar vidutinio sunkumo ir pasireiškė per pirmąsias dvi gydymo savaites. Reakcijos dažniausiai buvo trumpalaikės ir gydymo dėl jų nutraukti neprireikė.</w:t>
      </w:r>
    </w:p>
    <w:p w14:paraId="09BE07D8" w14:textId="77777777" w:rsidR="00BC7B13" w:rsidRDefault="00BC7B13">
      <w:pPr>
        <w:autoSpaceDE w:val="0"/>
        <w:autoSpaceDN w:val="0"/>
        <w:adjustRightInd w:val="0"/>
        <w:rPr>
          <w:szCs w:val="22"/>
          <w:lang w:eastAsia="lt-LT"/>
        </w:rPr>
      </w:pPr>
    </w:p>
    <w:p w14:paraId="5A3F9586" w14:textId="77777777" w:rsidR="00BC7B13" w:rsidRDefault="004E7EF9">
      <w:pPr>
        <w:autoSpaceDE w:val="0"/>
        <w:autoSpaceDN w:val="0"/>
        <w:adjustRightInd w:val="0"/>
        <w:rPr>
          <w:szCs w:val="22"/>
          <w:lang w:eastAsia="lt-LT"/>
        </w:rPr>
      </w:pPr>
      <w:r>
        <w:rPr>
          <w:szCs w:val="22"/>
          <w:lang w:eastAsia="lt-LT"/>
        </w:rPr>
        <w:t>Toliau išvardytas šalutinis poveikis, apie kurį buvo pranešta, pasireiškė nurodytu dažnumu.</w:t>
      </w:r>
    </w:p>
    <w:p w14:paraId="54582E63" w14:textId="77777777" w:rsidR="00BC7B13" w:rsidRDefault="00BC7B13">
      <w:pPr>
        <w:autoSpaceDE w:val="0"/>
        <w:autoSpaceDN w:val="0"/>
        <w:adjustRightInd w:val="0"/>
        <w:rPr>
          <w:szCs w:val="22"/>
          <w:lang w:eastAsia="lt-LT"/>
        </w:rPr>
      </w:pPr>
    </w:p>
    <w:p w14:paraId="55F87DB4" w14:textId="77777777" w:rsidR="00BC7B13" w:rsidRDefault="004E7EF9">
      <w:pPr>
        <w:autoSpaceDE w:val="0"/>
        <w:autoSpaceDN w:val="0"/>
        <w:adjustRightInd w:val="0"/>
        <w:rPr>
          <w:b/>
          <w:bCs/>
          <w:szCs w:val="22"/>
          <w:lang w:eastAsia="lt-LT"/>
        </w:rPr>
      </w:pPr>
      <w:r>
        <w:rPr>
          <w:b/>
          <w:bCs/>
          <w:szCs w:val="22"/>
          <w:lang w:eastAsia="lt-LT"/>
        </w:rPr>
        <w:t>Labai dažni šalutinio poveikio reiškiniai (gali pasireikšti ne rečiau kaip 1 iš 10 asmenų):</w:t>
      </w:r>
    </w:p>
    <w:p w14:paraId="38FB5841"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pykinimas.</w:t>
      </w:r>
    </w:p>
    <w:p w14:paraId="1D7584BD" w14:textId="77777777" w:rsidR="00BC7B13" w:rsidRDefault="00BC7B13">
      <w:pPr>
        <w:numPr>
          <w:ilvl w:val="12"/>
          <w:numId w:val="0"/>
        </w:numPr>
        <w:ind w:right="-2"/>
        <w:rPr>
          <w:b/>
          <w:bCs/>
          <w:noProof/>
          <w:snapToGrid w:val="0"/>
          <w:szCs w:val="22"/>
        </w:rPr>
      </w:pPr>
    </w:p>
    <w:p w14:paraId="4072194E" w14:textId="77777777" w:rsidR="00BC7B13" w:rsidRDefault="004E7EF9">
      <w:pPr>
        <w:numPr>
          <w:ilvl w:val="12"/>
          <w:numId w:val="0"/>
        </w:numPr>
        <w:ind w:right="-2"/>
        <w:rPr>
          <w:b/>
          <w:bCs/>
          <w:noProof/>
          <w:snapToGrid w:val="0"/>
          <w:szCs w:val="22"/>
        </w:rPr>
      </w:pPr>
      <w:r>
        <w:rPr>
          <w:b/>
          <w:bCs/>
          <w:noProof/>
          <w:snapToGrid w:val="0"/>
          <w:szCs w:val="22"/>
        </w:rPr>
        <w:t>Dažni šalutinio poveikio reiškiniai (gali pasireikšti rečiau kaip 1 iš 10 asmenų):</w:t>
      </w:r>
    </w:p>
    <w:p w14:paraId="7441AC96"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viduriavimas, vidurių užkietėjimas, vėmimas;</w:t>
      </w:r>
    </w:p>
    <w:p w14:paraId="1686DBDF"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svaigulys;</w:t>
      </w:r>
    </w:p>
    <w:p w14:paraId="4EADCAB5"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viso kūno niežulys;</w:t>
      </w:r>
    </w:p>
    <w:p w14:paraId="7C4673A4"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nenormalūs sapnai;</w:t>
      </w:r>
    </w:p>
    <w:p w14:paraId="35CF5E61"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sustiprėjęs prakaitavimas;</w:t>
      </w:r>
    </w:p>
    <w:p w14:paraId="6F647631" w14:textId="77777777" w:rsidR="00BC7B13" w:rsidRDefault="004E7EF9">
      <w:pPr>
        <w:widowControl w:val="0"/>
        <w:numPr>
          <w:ilvl w:val="0"/>
          <w:numId w:val="5"/>
        </w:numPr>
        <w:autoSpaceDE w:val="0"/>
        <w:autoSpaceDN w:val="0"/>
        <w:ind w:left="567" w:hanging="567"/>
        <w:rPr>
          <w:color w:val="000000"/>
          <w:szCs w:val="22"/>
          <w:lang w:val="en-US"/>
        </w:rPr>
      </w:pPr>
      <w:proofErr w:type="spellStart"/>
      <w:r>
        <w:rPr>
          <w:szCs w:val="22"/>
          <w:lang w:eastAsia="lt-LT"/>
        </w:rPr>
        <w:t>nevirškinimas</w:t>
      </w:r>
      <w:proofErr w:type="spellEnd"/>
      <w:r>
        <w:rPr>
          <w:szCs w:val="22"/>
          <w:lang w:eastAsia="lt-LT"/>
        </w:rPr>
        <w:t>.</w:t>
      </w:r>
    </w:p>
    <w:p w14:paraId="7C173686" w14:textId="77777777" w:rsidR="00BC7B13" w:rsidRDefault="00BC7B13">
      <w:pPr>
        <w:numPr>
          <w:ilvl w:val="12"/>
          <w:numId w:val="0"/>
        </w:numPr>
        <w:ind w:left="567" w:right="-2" w:hanging="567"/>
        <w:rPr>
          <w:b/>
          <w:noProof/>
        </w:rPr>
      </w:pPr>
    </w:p>
    <w:p w14:paraId="2193B548" w14:textId="77777777" w:rsidR="00BC7B13" w:rsidRDefault="004E7EF9">
      <w:pPr>
        <w:numPr>
          <w:ilvl w:val="12"/>
          <w:numId w:val="0"/>
        </w:numPr>
        <w:ind w:left="567" w:right="-2" w:hanging="567"/>
        <w:rPr>
          <w:b/>
          <w:bCs/>
          <w:noProof/>
        </w:rPr>
      </w:pPr>
      <w:r>
        <w:rPr>
          <w:b/>
          <w:bCs/>
          <w:noProof/>
          <w:snapToGrid w:val="0"/>
          <w:szCs w:val="22"/>
        </w:rPr>
        <w:t>Nedažni šalutinio poveikio reiškiniai (gali pasireikšti rečiau kaip 1 iš 100 asmenų):</w:t>
      </w:r>
    </w:p>
    <w:p w14:paraId="3A9E55B6" w14:textId="77777777" w:rsidR="00BC7B13" w:rsidRDefault="004E7EF9">
      <w:pPr>
        <w:widowControl w:val="0"/>
        <w:numPr>
          <w:ilvl w:val="0"/>
          <w:numId w:val="5"/>
        </w:numPr>
        <w:autoSpaceDE w:val="0"/>
        <w:autoSpaceDN w:val="0"/>
        <w:ind w:left="567" w:hanging="567"/>
        <w:rPr>
          <w:color w:val="000000"/>
          <w:szCs w:val="22"/>
          <w:lang w:val="en-US"/>
        </w:rPr>
      </w:pPr>
      <w:r>
        <w:t>veido ir kaklo paraudimas;</w:t>
      </w:r>
    </w:p>
    <w:p w14:paraId="674AF6B0" w14:textId="77777777" w:rsidR="00BC7B13" w:rsidRDefault="004E7EF9">
      <w:pPr>
        <w:widowControl w:val="0"/>
        <w:numPr>
          <w:ilvl w:val="0"/>
          <w:numId w:val="5"/>
        </w:numPr>
        <w:autoSpaceDE w:val="0"/>
        <w:autoSpaceDN w:val="0"/>
        <w:ind w:left="567" w:hanging="567"/>
        <w:rPr>
          <w:color w:val="000000"/>
          <w:szCs w:val="22"/>
          <w:lang w:val="en-US"/>
        </w:rPr>
      </w:pPr>
      <w:r>
        <w:t>prakaitavimas naktimis;</w:t>
      </w:r>
    </w:p>
    <w:p w14:paraId="41E6BA65" w14:textId="77777777" w:rsidR="00BC7B13" w:rsidRDefault="004E7EF9">
      <w:pPr>
        <w:widowControl w:val="0"/>
        <w:numPr>
          <w:ilvl w:val="0"/>
          <w:numId w:val="5"/>
        </w:numPr>
        <w:autoSpaceDE w:val="0"/>
        <w:autoSpaceDN w:val="0"/>
        <w:ind w:left="567" w:hanging="567"/>
        <w:rPr>
          <w:color w:val="000000"/>
          <w:szCs w:val="22"/>
          <w:lang w:val="en-US"/>
        </w:rPr>
      </w:pPr>
      <w:r>
        <w:t>neryškus matymas;</w:t>
      </w:r>
    </w:p>
    <w:p w14:paraId="4B898337" w14:textId="77777777" w:rsidR="00BC7B13" w:rsidRPr="00401CBB" w:rsidRDefault="004E7EF9">
      <w:pPr>
        <w:widowControl w:val="0"/>
        <w:numPr>
          <w:ilvl w:val="0"/>
          <w:numId w:val="5"/>
        </w:numPr>
        <w:autoSpaceDE w:val="0"/>
        <w:autoSpaceDN w:val="0"/>
        <w:ind w:left="567" w:hanging="567"/>
        <w:rPr>
          <w:color w:val="000000"/>
          <w:szCs w:val="22"/>
          <w:lang w:val="en-US"/>
        </w:rPr>
      </w:pPr>
      <w:r>
        <w:t>nevalingas drebulys (tremoras);</w:t>
      </w:r>
    </w:p>
    <w:p w14:paraId="757BBC9A" w14:textId="3B7CF931" w:rsidR="00BC7B13" w:rsidRPr="00401CBB" w:rsidRDefault="004E7EF9">
      <w:pPr>
        <w:widowControl w:val="0"/>
        <w:numPr>
          <w:ilvl w:val="0"/>
          <w:numId w:val="5"/>
        </w:numPr>
        <w:autoSpaceDE w:val="0"/>
        <w:autoSpaceDN w:val="0"/>
        <w:ind w:left="567" w:hanging="567"/>
        <w:rPr>
          <w:color w:val="000000"/>
          <w:szCs w:val="22"/>
          <w:lang w:val="pt-PT"/>
        </w:rPr>
      </w:pPr>
      <w:r>
        <w:t>haliucinacijos (kai matoma, girdima arba jaučiama tai, ko nėra).</w:t>
      </w:r>
    </w:p>
    <w:p w14:paraId="26FF682B" w14:textId="77777777" w:rsidR="00BC7B13" w:rsidRPr="00401CBB" w:rsidRDefault="00BC7B13">
      <w:pPr>
        <w:widowControl w:val="0"/>
        <w:autoSpaceDE w:val="0"/>
        <w:autoSpaceDN w:val="0"/>
        <w:rPr>
          <w:color w:val="000000"/>
          <w:szCs w:val="22"/>
          <w:lang w:val="pt-PT"/>
        </w:rPr>
      </w:pPr>
    </w:p>
    <w:p w14:paraId="2F4BF5CA" w14:textId="77777777" w:rsidR="00BC7B13" w:rsidRDefault="004E7EF9">
      <w:pPr>
        <w:numPr>
          <w:ilvl w:val="12"/>
          <w:numId w:val="0"/>
        </w:numPr>
        <w:ind w:left="567" w:right="-2" w:hanging="567"/>
        <w:rPr>
          <w:b/>
          <w:bCs/>
          <w:noProof/>
        </w:rPr>
      </w:pPr>
      <w:r>
        <w:rPr>
          <w:b/>
          <w:bCs/>
          <w:noProof/>
          <w:snapToGrid w:val="0"/>
          <w:szCs w:val="22"/>
        </w:rPr>
        <w:t>Reti šalutinio poveikio reiškiniai (gali pasireikšti rečiau kaip 1 iš 1 000 asmenų):</w:t>
      </w:r>
    </w:p>
    <w:p w14:paraId="10211AC1" w14:textId="77777777" w:rsidR="00BC7B13" w:rsidRDefault="004E7EF9">
      <w:pPr>
        <w:widowControl w:val="0"/>
        <w:numPr>
          <w:ilvl w:val="0"/>
          <w:numId w:val="5"/>
        </w:numPr>
        <w:autoSpaceDE w:val="0"/>
        <w:autoSpaceDN w:val="0"/>
        <w:ind w:left="567" w:hanging="567"/>
        <w:rPr>
          <w:color w:val="000000"/>
          <w:szCs w:val="22"/>
        </w:rPr>
      </w:pPr>
      <w:r>
        <w:t>vyzdžių išsiplėtimas (</w:t>
      </w:r>
      <w:proofErr w:type="spellStart"/>
      <w:r>
        <w:t>midriazė</w:t>
      </w:r>
      <w:proofErr w:type="spellEnd"/>
      <w:r>
        <w:t>), dėl kurio gali padidėti glaukomos atsiradimo pavojus (žr. 2 skyrių).</w:t>
      </w:r>
    </w:p>
    <w:p w14:paraId="610C25D1" w14:textId="77777777" w:rsidR="00BC7B13" w:rsidRDefault="00BC7B13">
      <w:pPr>
        <w:numPr>
          <w:ilvl w:val="12"/>
          <w:numId w:val="0"/>
        </w:numPr>
        <w:ind w:left="567" w:right="-2" w:hanging="567"/>
        <w:rPr>
          <w:b/>
          <w:bCs/>
          <w:noProof/>
          <w:snapToGrid w:val="0"/>
          <w:szCs w:val="22"/>
        </w:rPr>
      </w:pPr>
    </w:p>
    <w:p w14:paraId="2A13BC9C" w14:textId="77777777" w:rsidR="00BC7B13" w:rsidRDefault="004E7EF9">
      <w:pPr>
        <w:numPr>
          <w:ilvl w:val="12"/>
          <w:numId w:val="0"/>
        </w:numPr>
        <w:ind w:left="567" w:right="-2" w:hanging="567"/>
        <w:rPr>
          <w:b/>
          <w:bCs/>
          <w:noProof/>
          <w:snapToGrid w:val="0"/>
          <w:szCs w:val="22"/>
        </w:rPr>
      </w:pPr>
      <w:r>
        <w:rPr>
          <w:b/>
          <w:bCs/>
          <w:noProof/>
          <w:snapToGrid w:val="0"/>
          <w:szCs w:val="22"/>
        </w:rPr>
        <w:t>Dažnis nežinomas (negali būti apskaičiuotas pagal turimus duomenis):</w:t>
      </w:r>
    </w:p>
    <w:p w14:paraId="523785E9" w14:textId="77777777" w:rsidR="00BC7B13" w:rsidRDefault="004E7EF9">
      <w:pPr>
        <w:widowControl w:val="0"/>
        <w:numPr>
          <w:ilvl w:val="0"/>
          <w:numId w:val="5"/>
        </w:numPr>
        <w:autoSpaceDE w:val="0"/>
        <w:autoSpaceDN w:val="0"/>
        <w:ind w:left="567" w:hanging="567"/>
        <w:rPr>
          <w:color w:val="000000"/>
          <w:szCs w:val="22"/>
        </w:rPr>
      </w:pPr>
      <w:r>
        <w:rPr>
          <w:szCs w:val="22"/>
          <w:lang w:eastAsia="lt-LT"/>
        </w:rPr>
        <w:t>sumažėjusi natrio koncentracija kraujyje (simptomai gali būti galvos svaigimas, silpnumas, sumišimas,</w:t>
      </w:r>
      <w:r>
        <w:rPr>
          <w:color w:val="000000"/>
          <w:szCs w:val="22"/>
        </w:rPr>
        <w:t xml:space="preserve"> </w:t>
      </w:r>
      <w:r>
        <w:rPr>
          <w:szCs w:val="22"/>
          <w:lang w:eastAsia="lt-LT"/>
        </w:rPr>
        <w:t>mieguistumas arba didelis nuovargis, pykinimas arba vėmimas; sunkesni simptomai yra alpimas,</w:t>
      </w:r>
      <w:r>
        <w:rPr>
          <w:color w:val="000000"/>
          <w:szCs w:val="22"/>
        </w:rPr>
        <w:t xml:space="preserve"> </w:t>
      </w:r>
      <w:r>
        <w:rPr>
          <w:szCs w:val="22"/>
          <w:lang w:eastAsia="lt-LT"/>
        </w:rPr>
        <w:t>priepuoliai arba griuvimas);</w:t>
      </w:r>
    </w:p>
    <w:p w14:paraId="3719224C" w14:textId="77777777" w:rsidR="00BC7B13" w:rsidRDefault="004E7EF9">
      <w:pPr>
        <w:widowControl w:val="0"/>
        <w:numPr>
          <w:ilvl w:val="0"/>
          <w:numId w:val="5"/>
        </w:numPr>
        <w:autoSpaceDE w:val="0"/>
        <w:autoSpaceDN w:val="0"/>
        <w:ind w:left="567" w:hanging="567"/>
        <w:rPr>
          <w:color w:val="000000"/>
          <w:szCs w:val="22"/>
          <w:lang w:val="en-US"/>
        </w:rPr>
      </w:pPr>
      <w:proofErr w:type="spellStart"/>
      <w:r>
        <w:rPr>
          <w:szCs w:val="22"/>
          <w:lang w:eastAsia="lt-LT"/>
        </w:rPr>
        <w:t>serotonino</w:t>
      </w:r>
      <w:proofErr w:type="spellEnd"/>
      <w:r>
        <w:rPr>
          <w:szCs w:val="22"/>
          <w:lang w:eastAsia="lt-LT"/>
        </w:rPr>
        <w:t xml:space="preserve"> sindromas (žr. 2 skyrių);</w:t>
      </w:r>
    </w:p>
    <w:p w14:paraId="5A45919A"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alerginės reakcijos, sukeliančios veido, lūpų, liežuvio ar ryklės tinimą, kvėpavimo ar rijimo sutrikimus</w:t>
      </w:r>
      <w:r>
        <w:rPr>
          <w:color w:val="000000"/>
          <w:szCs w:val="22"/>
          <w:lang w:val="en-US"/>
        </w:rPr>
        <w:t xml:space="preserve"> </w:t>
      </w:r>
      <w:r>
        <w:rPr>
          <w:szCs w:val="22"/>
          <w:lang w:eastAsia="lt-LT"/>
        </w:rPr>
        <w:t>ir (arba) staigų kraujospūdžio sumažėjimą (dėl kurio gali suktis arba svaigti galva); šios reakcijos gali</w:t>
      </w:r>
      <w:r>
        <w:rPr>
          <w:color w:val="000000"/>
          <w:szCs w:val="22"/>
          <w:lang w:val="en-US"/>
        </w:rPr>
        <w:t xml:space="preserve"> </w:t>
      </w:r>
      <w:r>
        <w:rPr>
          <w:szCs w:val="22"/>
          <w:lang w:eastAsia="lt-LT"/>
        </w:rPr>
        <w:t>būti sunkios;</w:t>
      </w:r>
    </w:p>
    <w:p w14:paraId="39EFB28A"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dilgėlinė;</w:t>
      </w:r>
    </w:p>
    <w:p w14:paraId="3BA119B2"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gausus arba nepaaiškinamas kraujavimas (įskaitant kraujosruvas, kraujavimą iš nosies, virškinimo</w:t>
      </w:r>
      <w:r>
        <w:rPr>
          <w:color w:val="000000"/>
          <w:szCs w:val="22"/>
          <w:lang w:val="en-US"/>
        </w:rPr>
        <w:t xml:space="preserve"> </w:t>
      </w:r>
      <w:r>
        <w:rPr>
          <w:szCs w:val="22"/>
          <w:lang w:eastAsia="lt-LT"/>
        </w:rPr>
        <w:t>trakto ir makšties);</w:t>
      </w:r>
    </w:p>
    <w:p w14:paraId="2E639908"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bėrimas;</w:t>
      </w:r>
    </w:p>
    <w:p w14:paraId="3DF299CE"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miego sutrikimai (nemiga);</w:t>
      </w:r>
    </w:p>
    <w:p w14:paraId="1F033BC5"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susijaudinimas ir agresyvumas. Jeigu pasireiškė toks šalutinis poveikis, kreipkitės į gydytoją (žr.</w:t>
      </w:r>
      <w:r>
        <w:rPr>
          <w:color w:val="000000"/>
          <w:szCs w:val="22"/>
          <w:lang w:val="en-US"/>
        </w:rPr>
        <w:t xml:space="preserve"> </w:t>
      </w:r>
      <w:r>
        <w:rPr>
          <w:szCs w:val="22"/>
          <w:lang w:eastAsia="lt-LT"/>
        </w:rPr>
        <w:t>2 skyrių);</w:t>
      </w:r>
    </w:p>
    <w:p w14:paraId="5A18B66D"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lastRenderedPageBreak/>
        <w:t>galvos skausmas;</w:t>
      </w:r>
    </w:p>
    <w:p w14:paraId="011B66D7"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padidėjusi hormono, vadinamo prolaktinu, koncentracija kraujyje;</w:t>
      </w:r>
    </w:p>
    <w:p w14:paraId="13450785"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nuolatinis noras judėti (</w:t>
      </w:r>
      <w:proofErr w:type="spellStart"/>
      <w:r>
        <w:rPr>
          <w:szCs w:val="22"/>
          <w:lang w:eastAsia="lt-LT"/>
        </w:rPr>
        <w:t>akatizija</w:t>
      </w:r>
      <w:proofErr w:type="spellEnd"/>
      <w:r>
        <w:rPr>
          <w:szCs w:val="22"/>
          <w:lang w:eastAsia="lt-LT"/>
        </w:rPr>
        <w:t>);</w:t>
      </w:r>
    </w:p>
    <w:p w14:paraId="5A3E42BF" w14:textId="77777777" w:rsidR="00BC7B13" w:rsidRDefault="004E7EF9">
      <w:pPr>
        <w:widowControl w:val="0"/>
        <w:numPr>
          <w:ilvl w:val="0"/>
          <w:numId w:val="5"/>
        </w:numPr>
        <w:autoSpaceDE w:val="0"/>
        <w:autoSpaceDN w:val="0"/>
        <w:ind w:left="567" w:hanging="567"/>
        <w:rPr>
          <w:color w:val="000000"/>
          <w:szCs w:val="22"/>
          <w:lang w:val="en-US"/>
        </w:rPr>
      </w:pPr>
      <w:r>
        <w:rPr>
          <w:szCs w:val="22"/>
          <w:lang w:eastAsia="lt-LT"/>
        </w:rPr>
        <w:t>griežimas dantimis (</w:t>
      </w:r>
      <w:proofErr w:type="spellStart"/>
      <w:r>
        <w:rPr>
          <w:szCs w:val="22"/>
          <w:lang w:eastAsia="lt-LT"/>
        </w:rPr>
        <w:t>bruksizmas</w:t>
      </w:r>
      <w:proofErr w:type="spellEnd"/>
      <w:r>
        <w:rPr>
          <w:szCs w:val="22"/>
          <w:lang w:eastAsia="lt-LT"/>
        </w:rPr>
        <w:t>);</w:t>
      </w:r>
    </w:p>
    <w:p w14:paraId="21937F07"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 xml:space="preserve">nesugebėjimas išsižioti (surakintas žandikaulis / </w:t>
      </w:r>
      <w:proofErr w:type="spellStart"/>
      <w:r>
        <w:rPr>
          <w:szCs w:val="22"/>
          <w:lang w:eastAsia="lt-LT"/>
        </w:rPr>
        <w:t>trizmas</w:t>
      </w:r>
      <w:proofErr w:type="spellEnd"/>
      <w:r>
        <w:rPr>
          <w:szCs w:val="22"/>
          <w:lang w:eastAsia="lt-LT"/>
        </w:rPr>
        <w:t>);</w:t>
      </w:r>
    </w:p>
    <w:p w14:paraId="327D0569"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neramių kojų sindromas (noras judinti kojas, siekiant sustabdyti skausmingą ar keistą pojūtį, dažnai</w:t>
      </w:r>
      <w:r>
        <w:rPr>
          <w:color w:val="000000"/>
          <w:szCs w:val="22"/>
          <w:lang w:val="pt-PT"/>
        </w:rPr>
        <w:t xml:space="preserve"> </w:t>
      </w:r>
      <w:r>
        <w:rPr>
          <w:szCs w:val="22"/>
          <w:lang w:eastAsia="lt-LT"/>
        </w:rPr>
        <w:t>pasireiškiantį naktį);</w:t>
      </w:r>
    </w:p>
    <w:p w14:paraId="01456D22" w14:textId="77777777" w:rsidR="00BC7B13" w:rsidRDefault="004E7EF9">
      <w:pPr>
        <w:widowControl w:val="0"/>
        <w:numPr>
          <w:ilvl w:val="0"/>
          <w:numId w:val="5"/>
        </w:numPr>
        <w:autoSpaceDE w:val="0"/>
        <w:autoSpaceDN w:val="0"/>
        <w:ind w:left="567" w:hanging="567"/>
        <w:rPr>
          <w:color w:val="000000"/>
          <w:szCs w:val="22"/>
          <w:lang w:val="pt-PT"/>
        </w:rPr>
      </w:pPr>
      <w:r>
        <w:rPr>
          <w:szCs w:val="22"/>
          <w:lang w:eastAsia="lt-LT"/>
        </w:rPr>
        <w:t>nenormalios pieniškos išskyros iš krūties (</w:t>
      </w:r>
      <w:proofErr w:type="spellStart"/>
      <w:r>
        <w:rPr>
          <w:szCs w:val="22"/>
          <w:lang w:eastAsia="lt-LT"/>
        </w:rPr>
        <w:t>galaktorėja</w:t>
      </w:r>
      <w:proofErr w:type="spellEnd"/>
      <w:r>
        <w:rPr>
          <w:szCs w:val="22"/>
          <w:lang w:eastAsia="lt-LT"/>
        </w:rPr>
        <w:t>).</w:t>
      </w:r>
    </w:p>
    <w:p w14:paraId="5F78589D" w14:textId="77777777" w:rsidR="00BC7B13" w:rsidRDefault="00BC7B13">
      <w:pPr>
        <w:widowControl w:val="0"/>
        <w:autoSpaceDE w:val="0"/>
        <w:autoSpaceDN w:val="0"/>
      </w:pPr>
    </w:p>
    <w:p w14:paraId="26EC5FC5" w14:textId="77777777" w:rsidR="00BC7B13" w:rsidRDefault="004E7EF9">
      <w:pPr>
        <w:autoSpaceDE w:val="0"/>
        <w:autoSpaceDN w:val="0"/>
        <w:adjustRightInd w:val="0"/>
        <w:rPr>
          <w:szCs w:val="22"/>
          <w:lang w:eastAsia="lt-LT"/>
        </w:rPr>
      </w:pPr>
      <w:r>
        <w:rPr>
          <w:szCs w:val="22"/>
          <w:lang w:eastAsia="lt-LT"/>
        </w:rPr>
        <w:t>Pastebėta, kad tokio tipo vaistų vartojantiems pacientams padidėja kaulų lūžių rizika.</w:t>
      </w:r>
    </w:p>
    <w:p w14:paraId="5522DA9D" w14:textId="77777777" w:rsidR="00BC7B13" w:rsidRDefault="00BC7B13">
      <w:pPr>
        <w:autoSpaceDE w:val="0"/>
        <w:autoSpaceDN w:val="0"/>
        <w:adjustRightInd w:val="0"/>
        <w:rPr>
          <w:szCs w:val="22"/>
          <w:lang w:eastAsia="lt-LT"/>
        </w:rPr>
      </w:pPr>
    </w:p>
    <w:p w14:paraId="35298EE7" w14:textId="77777777" w:rsidR="00BC7B13" w:rsidRDefault="004E7EF9">
      <w:pPr>
        <w:autoSpaceDE w:val="0"/>
        <w:autoSpaceDN w:val="0"/>
        <w:adjustRightInd w:val="0"/>
        <w:rPr>
          <w:szCs w:val="22"/>
          <w:lang w:eastAsia="lt-LT"/>
        </w:rPr>
      </w:pPr>
      <w:r>
        <w:rPr>
          <w:szCs w:val="22"/>
          <w:lang w:eastAsia="lt-LT"/>
        </w:rPr>
        <w:t>Buvo pranešta apie padidėjusią seksualinės funkcijos sutrikimo riziką vartojant 20 mg dozę, tačiau pastebėta, kad kai kuriems pacientams šis šalutinis poveikis pasireiškė ir vartojant mažesnes dozes.</w:t>
      </w:r>
    </w:p>
    <w:p w14:paraId="165C13E7" w14:textId="77777777" w:rsidR="00BC7B13" w:rsidRDefault="00BC7B13">
      <w:pPr>
        <w:autoSpaceDE w:val="0"/>
        <w:autoSpaceDN w:val="0"/>
        <w:adjustRightInd w:val="0"/>
        <w:rPr>
          <w:rFonts w:eastAsia="TimesNewRoman,Bold"/>
          <w:b/>
          <w:bCs/>
          <w:szCs w:val="22"/>
          <w:lang w:eastAsia="lt-LT"/>
        </w:rPr>
      </w:pPr>
    </w:p>
    <w:p w14:paraId="6574528B" w14:textId="77777777" w:rsidR="00BC7B13" w:rsidRDefault="004E7EF9">
      <w:pPr>
        <w:autoSpaceDE w:val="0"/>
        <w:autoSpaceDN w:val="0"/>
        <w:adjustRightInd w:val="0"/>
        <w:rPr>
          <w:rFonts w:eastAsia="TimesNewRoman,Bold"/>
          <w:b/>
          <w:bCs/>
          <w:szCs w:val="22"/>
          <w:lang w:eastAsia="lt-LT"/>
        </w:rPr>
      </w:pPr>
      <w:r>
        <w:rPr>
          <w:rFonts w:eastAsia="TimesNewRoman,Bold"/>
          <w:b/>
          <w:bCs/>
          <w:szCs w:val="22"/>
          <w:lang w:eastAsia="lt-LT"/>
        </w:rPr>
        <w:t>Kitas šalutinis poveikis, kuris gali pasireikšti vaikams ir paaugliams</w:t>
      </w:r>
    </w:p>
    <w:p w14:paraId="3A8F7F3B" w14:textId="77777777" w:rsidR="00BC7B13" w:rsidRDefault="004E7EF9">
      <w:pPr>
        <w:autoSpaceDE w:val="0"/>
        <w:autoSpaceDN w:val="0"/>
        <w:adjustRightInd w:val="0"/>
        <w:rPr>
          <w:rFonts w:eastAsia="TimesNewRoman,Bold"/>
          <w:szCs w:val="22"/>
          <w:lang w:eastAsia="lt-LT"/>
        </w:rPr>
      </w:pPr>
      <w:r>
        <w:rPr>
          <w:rFonts w:eastAsia="TimesNewRoman,Bold"/>
          <w:szCs w:val="22"/>
          <w:lang w:eastAsia="lt-LT"/>
        </w:rPr>
        <w:t xml:space="preserve">Šalutinis poveikis, nustatytas vartojant </w:t>
      </w:r>
      <w:proofErr w:type="spellStart"/>
      <w:r>
        <w:rPr>
          <w:rFonts w:eastAsia="TimesNewRoman,Bold"/>
          <w:szCs w:val="22"/>
          <w:lang w:eastAsia="lt-LT"/>
        </w:rPr>
        <w:t>vortioksetino</w:t>
      </w:r>
      <w:proofErr w:type="spellEnd"/>
      <w:r>
        <w:rPr>
          <w:rFonts w:eastAsia="TimesNewRoman,Bold"/>
          <w:szCs w:val="22"/>
          <w:lang w:eastAsia="lt-LT"/>
        </w:rPr>
        <w:t xml:space="preserve"> vaikams ir paaugliams, buvo panašus į nustatytą suaugusiesiems, išskyrus tai, kad vaikams ir paaugliams dažniau nei suaugusiesiems pasireiškė su pilvo skausmu susijusių reiškinių ir mintys apie savižudybę buvo dažnesnės paaugliams, negu suaugusiesiems.</w:t>
      </w:r>
    </w:p>
    <w:p w14:paraId="2E10C104" w14:textId="77777777" w:rsidR="00BC7B13" w:rsidRDefault="00BC7B13">
      <w:pPr>
        <w:tabs>
          <w:tab w:val="left" w:pos="567"/>
        </w:tabs>
        <w:rPr>
          <w:b/>
          <w:noProof/>
          <w:snapToGrid w:val="0"/>
        </w:rPr>
      </w:pPr>
    </w:p>
    <w:p w14:paraId="53C99456" w14:textId="77777777" w:rsidR="00BC7B13" w:rsidRDefault="004E7EF9">
      <w:pPr>
        <w:tabs>
          <w:tab w:val="left" w:pos="567"/>
        </w:tabs>
        <w:rPr>
          <w:b/>
          <w:snapToGrid w:val="0"/>
        </w:rPr>
      </w:pPr>
      <w:r>
        <w:rPr>
          <w:b/>
          <w:noProof/>
          <w:snapToGrid w:val="0"/>
        </w:rPr>
        <w:t>Pranešimas apie šalutinį poveikį</w:t>
      </w:r>
    </w:p>
    <w:p w14:paraId="774C97EE" w14:textId="77777777" w:rsidR="00BC7B13" w:rsidRDefault="004E7EF9">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0" w:history="1">
        <w:r>
          <w:rPr>
            <w:snapToGrid w:val="0"/>
            <w:color w:val="0000FF"/>
            <w:szCs w:val="20"/>
            <w:u w:val="single"/>
          </w:rPr>
          <w:t>https://www.vvkt.lt/index.php?4004286486</w:t>
        </w:r>
      </w:hyperlink>
      <w:r>
        <w:rPr>
          <w:snapToGrid w:val="0"/>
          <w:szCs w:val="20"/>
        </w:rPr>
        <w:t xml:space="preserve">, ir atsiunčiant elektroniniu paštu (adresu </w:t>
      </w:r>
      <w:hyperlink r:id="rId11"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506D8CDB" w14:textId="77777777" w:rsidR="00BC7B13" w:rsidRDefault="00BC7B13">
      <w:pPr>
        <w:widowControl w:val="0"/>
        <w:autoSpaceDE w:val="0"/>
        <w:autoSpaceDN w:val="0"/>
        <w:rPr>
          <w:color w:val="000000"/>
          <w:szCs w:val="22"/>
        </w:rPr>
      </w:pPr>
    </w:p>
    <w:p w14:paraId="15C19018" w14:textId="77777777" w:rsidR="00BC7B13" w:rsidRDefault="00BC7B13">
      <w:pPr>
        <w:widowControl w:val="0"/>
        <w:autoSpaceDE w:val="0"/>
        <w:autoSpaceDN w:val="0"/>
        <w:rPr>
          <w:color w:val="000000"/>
          <w:szCs w:val="22"/>
        </w:rPr>
      </w:pPr>
    </w:p>
    <w:p w14:paraId="3DC196BA" w14:textId="77777777" w:rsidR="00BC7B13" w:rsidRDefault="004E7EF9">
      <w:pPr>
        <w:numPr>
          <w:ilvl w:val="12"/>
          <w:numId w:val="0"/>
        </w:numPr>
        <w:ind w:left="567" w:right="-2" w:hanging="567"/>
        <w:rPr>
          <w:noProof/>
        </w:rPr>
      </w:pPr>
      <w:r>
        <w:rPr>
          <w:b/>
          <w:noProof/>
        </w:rPr>
        <w:t>5.</w:t>
      </w:r>
      <w:r>
        <w:rPr>
          <w:b/>
          <w:noProof/>
        </w:rPr>
        <w:tab/>
        <w:t>Kaip laikyti Varesta</w:t>
      </w:r>
    </w:p>
    <w:p w14:paraId="46C02547" w14:textId="77777777" w:rsidR="00BC7B13" w:rsidRDefault="00BC7B13">
      <w:pPr>
        <w:numPr>
          <w:ilvl w:val="12"/>
          <w:numId w:val="0"/>
        </w:numPr>
        <w:ind w:right="-2"/>
        <w:rPr>
          <w:noProof/>
        </w:rPr>
      </w:pPr>
    </w:p>
    <w:p w14:paraId="5462E81D" w14:textId="77777777" w:rsidR="00BC7B13" w:rsidRDefault="004E7EF9">
      <w:pPr>
        <w:numPr>
          <w:ilvl w:val="12"/>
          <w:numId w:val="0"/>
        </w:numPr>
        <w:ind w:right="-2"/>
        <w:rPr>
          <w:noProof/>
        </w:rPr>
      </w:pPr>
      <w:r>
        <w:t>Šį vaistą laikykite</w:t>
      </w:r>
      <w:r>
        <w:rPr>
          <w:noProof/>
        </w:rPr>
        <w:t xml:space="preserve"> vaikams nepastebimoje ir nepasiekiamoje vietoje.</w:t>
      </w:r>
    </w:p>
    <w:p w14:paraId="716F79C6" w14:textId="77777777" w:rsidR="00BC7B13" w:rsidRDefault="00BC7B13">
      <w:pPr>
        <w:numPr>
          <w:ilvl w:val="12"/>
          <w:numId w:val="0"/>
        </w:numPr>
        <w:ind w:right="-2"/>
        <w:rPr>
          <w:noProof/>
        </w:rPr>
      </w:pPr>
    </w:p>
    <w:p w14:paraId="5C9F8794" w14:textId="77777777" w:rsidR="00BC7B13" w:rsidRDefault="004E7EF9">
      <w:pPr>
        <w:pStyle w:val="Pagrindinistekstas"/>
        <w:rPr>
          <w:i w:val="0"/>
          <w:iCs/>
          <w:noProof/>
          <w:color w:val="auto"/>
          <w:lang w:val="lt-LT"/>
        </w:rPr>
      </w:pPr>
      <w:r>
        <w:rPr>
          <w:i w:val="0"/>
          <w:iCs/>
          <w:noProof/>
          <w:color w:val="auto"/>
          <w:lang w:val="lt-LT"/>
        </w:rPr>
        <w:t>Ant dėžutės ir lizdinės plokštelės arba konteinerio po „EXP“ nurodytam tinkamumo laikui pasibaigus, šio vaisto vartoti negalima. Vaistas tinkamas vartoti iki paskutinės nurodyto mėnesio dienos.</w:t>
      </w:r>
    </w:p>
    <w:p w14:paraId="6F213345" w14:textId="77777777" w:rsidR="00BC7B13" w:rsidRDefault="00BC7B13">
      <w:pPr>
        <w:numPr>
          <w:ilvl w:val="12"/>
          <w:numId w:val="0"/>
        </w:numPr>
        <w:ind w:right="-2"/>
        <w:rPr>
          <w:noProof/>
        </w:rPr>
      </w:pPr>
    </w:p>
    <w:p w14:paraId="67B8DD98" w14:textId="77777777" w:rsidR="00BC7B13" w:rsidRDefault="004E7EF9">
      <w:pPr>
        <w:numPr>
          <w:ilvl w:val="12"/>
          <w:numId w:val="0"/>
        </w:numPr>
        <w:ind w:right="-2"/>
        <w:rPr>
          <w:noProof/>
        </w:rPr>
      </w:pPr>
      <w:r>
        <w:rPr>
          <w:noProof/>
        </w:rPr>
        <w:t>Šiam vaistui specialių laikymo sąlygų nereikia.</w:t>
      </w:r>
    </w:p>
    <w:p w14:paraId="3A19F00D" w14:textId="77777777" w:rsidR="00BC7B13" w:rsidRDefault="00BC7B13">
      <w:pPr>
        <w:numPr>
          <w:ilvl w:val="12"/>
          <w:numId w:val="0"/>
        </w:numPr>
        <w:ind w:right="-2"/>
        <w:rPr>
          <w:noProof/>
        </w:rPr>
      </w:pPr>
    </w:p>
    <w:p w14:paraId="101B08C7" w14:textId="77777777" w:rsidR="00BC7B13" w:rsidRDefault="004E7EF9">
      <w:pPr>
        <w:numPr>
          <w:ilvl w:val="12"/>
          <w:numId w:val="0"/>
        </w:numPr>
        <w:ind w:right="-2"/>
      </w:pPr>
      <w:r>
        <w:t>Vaistų negalima išmesti į kanalizaciją. Kaip išmesti nereikalingus vaistus, klauskite vaistininko. Šios priemonės padės apsaugoti aplinką.</w:t>
      </w:r>
    </w:p>
    <w:p w14:paraId="782C7CE7" w14:textId="77777777" w:rsidR="00BC7B13" w:rsidRDefault="00BC7B13">
      <w:pPr>
        <w:numPr>
          <w:ilvl w:val="12"/>
          <w:numId w:val="0"/>
        </w:numPr>
        <w:ind w:right="-2"/>
      </w:pPr>
    </w:p>
    <w:p w14:paraId="5DC0961D" w14:textId="77777777" w:rsidR="00BC7B13" w:rsidRDefault="00BC7B13">
      <w:pPr>
        <w:numPr>
          <w:ilvl w:val="12"/>
          <w:numId w:val="0"/>
        </w:numPr>
        <w:ind w:right="-2"/>
        <w:rPr>
          <w:noProof/>
        </w:rPr>
      </w:pPr>
    </w:p>
    <w:p w14:paraId="404BBB77" w14:textId="77777777" w:rsidR="00BC7B13" w:rsidRDefault="004E7EF9">
      <w:pPr>
        <w:numPr>
          <w:ilvl w:val="12"/>
          <w:numId w:val="0"/>
        </w:numPr>
        <w:ind w:right="-2"/>
        <w:rPr>
          <w:b/>
          <w:noProof/>
        </w:rPr>
      </w:pPr>
      <w:r>
        <w:rPr>
          <w:b/>
          <w:noProof/>
        </w:rPr>
        <w:t>6.</w:t>
      </w:r>
      <w:r>
        <w:rPr>
          <w:b/>
          <w:noProof/>
        </w:rPr>
        <w:tab/>
        <w:t>Pakuotės turinys ir kita informacija</w:t>
      </w:r>
    </w:p>
    <w:p w14:paraId="34639168" w14:textId="77777777" w:rsidR="00BC7B13" w:rsidRDefault="00BC7B13">
      <w:pPr>
        <w:numPr>
          <w:ilvl w:val="12"/>
          <w:numId w:val="0"/>
        </w:numPr>
        <w:ind w:right="-2"/>
        <w:rPr>
          <w:noProof/>
        </w:rPr>
      </w:pPr>
    </w:p>
    <w:p w14:paraId="6ACE2011" w14:textId="77777777" w:rsidR="00BC7B13" w:rsidRDefault="004E7EF9">
      <w:pPr>
        <w:numPr>
          <w:ilvl w:val="12"/>
          <w:numId w:val="0"/>
        </w:numPr>
        <w:ind w:right="-2"/>
        <w:rPr>
          <w:noProof/>
          <w:u w:val="single"/>
        </w:rPr>
      </w:pPr>
      <w:r>
        <w:rPr>
          <w:b/>
          <w:bCs/>
          <w:noProof/>
        </w:rPr>
        <w:t>Danengo sudėtis</w:t>
      </w:r>
    </w:p>
    <w:p w14:paraId="00B10B7D" w14:textId="77777777" w:rsidR="00BC7B13" w:rsidRDefault="004E7EF9">
      <w:pPr>
        <w:numPr>
          <w:ilvl w:val="0"/>
          <w:numId w:val="1"/>
        </w:numPr>
        <w:ind w:left="567" w:right="-2" w:hanging="567"/>
        <w:rPr>
          <w:i/>
          <w:iCs/>
          <w:noProof/>
        </w:rPr>
      </w:pPr>
      <w:r>
        <w:rPr>
          <w:noProof/>
        </w:rPr>
        <w:t>Veiklioji medžiaga yra vortioksetinas.</w:t>
      </w:r>
    </w:p>
    <w:p w14:paraId="23126FB0" w14:textId="77777777" w:rsidR="00BC7B13" w:rsidRDefault="004E7EF9">
      <w:pPr>
        <w:ind w:right="-2"/>
        <w:rPr>
          <w:noProof/>
          <w:u w:val="single"/>
        </w:rPr>
      </w:pPr>
      <w:r>
        <w:rPr>
          <w:noProof/>
          <w:u w:val="single"/>
        </w:rPr>
        <w:t>Varesta 5 mg plėvele dengtos tabletės</w:t>
      </w:r>
    </w:p>
    <w:p w14:paraId="15536C09"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3C6463FB" w14:textId="77777777" w:rsidR="00BC7B13" w:rsidRDefault="004E7EF9">
      <w:pPr>
        <w:ind w:right="-2"/>
        <w:rPr>
          <w:noProof/>
          <w:u w:val="single"/>
        </w:rPr>
      </w:pPr>
      <w:r>
        <w:rPr>
          <w:noProof/>
          <w:u w:val="single"/>
        </w:rPr>
        <w:t>Varesta 10 mg plėvele dengtos tabletės</w:t>
      </w:r>
    </w:p>
    <w:p w14:paraId="725C7A0C"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60C3090E" w14:textId="77777777" w:rsidR="00BC7B13" w:rsidRDefault="004E7EF9">
      <w:pPr>
        <w:ind w:right="-2"/>
        <w:rPr>
          <w:noProof/>
          <w:u w:val="single"/>
        </w:rPr>
      </w:pPr>
      <w:r>
        <w:rPr>
          <w:noProof/>
          <w:u w:val="single"/>
        </w:rPr>
        <w:t>Varesta 15 mg plėvele dengtos tabletės</w:t>
      </w:r>
    </w:p>
    <w:p w14:paraId="353F511A"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15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59172551" w14:textId="77777777" w:rsidR="00BC7B13" w:rsidRDefault="004E7EF9">
      <w:pPr>
        <w:ind w:right="-2"/>
        <w:rPr>
          <w:noProof/>
          <w:u w:val="single"/>
        </w:rPr>
      </w:pPr>
      <w:r>
        <w:rPr>
          <w:noProof/>
          <w:u w:val="single"/>
        </w:rPr>
        <w:t>Varesta 20 mg plėvele dengtos tabletės</w:t>
      </w:r>
    </w:p>
    <w:p w14:paraId="67FF6A37" w14:textId="77777777" w:rsidR="00BC7B13" w:rsidRDefault="004E7EF9">
      <w:pPr>
        <w:autoSpaceDE w:val="0"/>
        <w:autoSpaceDN w:val="0"/>
        <w:adjustRightInd w:val="0"/>
        <w:rPr>
          <w:rFonts w:eastAsia="TimesNewRoman"/>
          <w:szCs w:val="22"/>
          <w:lang w:eastAsia="lt-LT"/>
        </w:rPr>
      </w:pPr>
      <w:r>
        <w:rPr>
          <w:rFonts w:eastAsia="TimesNewRoman"/>
          <w:szCs w:val="22"/>
          <w:lang w:eastAsia="lt-LT"/>
        </w:rPr>
        <w:t xml:space="preserve">Kiekvienoje plėvele dengtoje tabletėje yra 20 mg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vortioksetino</w:t>
      </w:r>
      <w:proofErr w:type="spellEnd"/>
      <w:r>
        <w:rPr>
          <w:rFonts w:eastAsia="TimesNewRoman"/>
          <w:szCs w:val="22"/>
          <w:lang w:eastAsia="lt-LT"/>
        </w:rPr>
        <w:t xml:space="preserve"> </w:t>
      </w:r>
      <w:proofErr w:type="spellStart"/>
      <w:r>
        <w:rPr>
          <w:rFonts w:eastAsia="TimesNewRoman"/>
          <w:szCs w:val="22"/>
          <w:lang w:eastAsia="lt-LT"/>
        </w:rPr>
        <w:t>hidrobromido</w:t>
      </w:r>
      <w:proofErr w:type="spellEnd"/>
      <w:r>
        <w:rPr>
          <w:rFonts w:eastAsia="TimesNewRoman"/>
          <w:szCs w:val="22"/>
          <w:lang w:eastAsia="lt-LT"/>
        </w:rPr>
        <w:t xml:space="preserve"> pavidalu).</w:t>
      </w:r>
    </w:p>
    <w:p w14:paraId="4C9ABF5C" w14:textId="77777777" w:rsidR="00BC7B13" w:rsidRDefault="00BC7B13">
      <w:pPr>
        <w:ind w:right="-2"/>
        <w:rPr>
          <w:noProof/>
          <w:u w:val="single"/>
        </w:rPr>
      </w:pPr>
    </w:p>
    <w:p w14:paraId="67ABFE2B" w14:textId="77777777" w:rsidR="00BC7B13" w:rsidRDefault="004E7EF9">
      <w:pPr>
        <w:numPr>
          <w:ilvl w:val="0"/>
          <w:numId w:val="1"/>
        </w:numPr>
        <w:ind w:left="567" w:right="-2" w:hanging="567"/>
        <w:rPr>
          <w:noProof/>
        </w:rPr>
      </w:pPr>
      <w:r>
        <w:rPr>
          <w:noProof/>
        </w:rPr>
        <w:lastRenderedPageBreak/>
        <w:t xml:space="preserve">Pagalbinės medžiagos yra manitolis, mikrokristalinė celiuliozė, hidroksipropilceliuliozė, karboksimetilkrakmolo A natrio druska, magnio stearatas (E 470b) tabletės branduolyje ir hipromeliozė, makrogolis 400, titano dioksidas (E 171), raudonasis geležies oksidas (E 172) – </w:t>
      </w:r>
      <w:r>
        <w:rPr>
          <w:i/>
          <w:iCs/>
          <w:noProof/>
        </w:rPr>
        <w:t>tik 5 mg, 15 mg ir 20 mg plėvele dengtose tabletėse</w:t>
      </w:r>
      <w:r>
        <w:rPr>
          <w:noProof/>
        </w:rPr>
        <w:t xml:space="preserve">, geltonasis geležies oksidas (E 172) – </w:t>
      </w:r>
      <w:r>
        <w:rPr>
          <w:i/>
          <w:iCs/>
          <w:noProof/>
        </w:rPr>
        <w:t>tik 10 mg ir 15 mg plėvele dengtoes tabletėse</w:t>
      </w:r>
      <w:r>
        <w:rPr>
          <w:noProof/>
        </w:rPr>
        <w:t xml:space="preserve"> tabletės plėvelėje. Žr. 2 skyrių „Varesta sudėtyje yra natrio“.</w:t>
      </w:r>
    </w:p>
    <w:p w14:paraId="4C4297FA" w14:textId="77777777" w:rsidR="00BC7B13" w:rsidRDefault="00BC7B13">
      <w:pPr>
        <w:ind w:right="-2"/>
        <w:rPr>
          <w:noProof/>
        </w:rPr>
      </w:pPr>
    </w:p>
    <w:p w14:paraId="31CD424A" w14:textId="77777777" w:rsidR="00BC7B13" w:rsidRDefault="004E7EF9">
      <w:pPr>
        <w:numPr>
          <w:ilvl w:val="12"/>
          <w:numId w:val="0"/>
        </w:numPr>
        <w:ind w:right="-2"/>
        <w:rPr>
          <w:b/>
          <w:bCs/>
          <w:noProof/>
        </w:rPr>
      </w:pPr>
      <w:r>
        <w:rPr>
          <w:b/>
          <w:bCs/>
          <w:noProof/>
        </w:rPr>
        <w:t>Varesta išvaizda ir kiekis pakuotėje</w:t>
      </w:r>
    </w:p>
    <w:p w14:paraId="2A74DD03" w14:textId="77777777" w:rsidR="00BC7B13" w:rsidRDefault="00BC7B13">
      <w:pPr>
        <w:numPr>
          <w:ilvl w:val="12"/>
          <w:numId w:val="0"/>
        </w:numPr>
        <w:ind w:right="-2"/>
        <w:rPr>
          <w:b/>
          <w:bCs/>
          <w:noProof/>
        </w:rPr>
      </w:pPr>
    </w:p>
    <w:p w14:paraId="604F848B" w14:textId="77777777" w:rsidR="00BC7B13" w:rsidRDefault="004E7EF9">
      <w:pPr>
        <w:rPr>
          <w:noProof/>
        </w:rPr>
      </w:pPr>
      <w:proofErr w:type="spellStart"/>
      <w:r>
        <w:rPr>
          <w:rFonts w:eastAsia="TimesNewRoman"/>
          <w:szCs w:val="22"/>
          <w:lang w:eastAsia="lt-LT"/>
        </w:rPr>
        <w:t>Varesta</w:t>
      </w:r>
      <w:proofErr w:type="spellEnd"/>
      <w:r>
        <w:rPr>
          <w:rFonts w:eastAsia="TimesNewRoman"/>
          <w:szCs w:val="22"/>
          <w:lang w:eastAsia="lt-LT"/>
        </w:rPr>
        <w:t xml:space="preserve"> 5 mg plėvele dengtos tabletės</w:t>
      </w:r>
    </w:p>
    <w:p w14:paraId="659CBB22" w14:textId="77777777" w:rsidR="00BC7B13" w:rsidRDefault="004E7EF9">
      <w:r>
        <w:t>Blyškiai pilkšvai rausvos, ovalios, abipus išgaubtos plėvele dengtos tabletės, kurių vienoje pusėje pažymėta 5.</w:t>
      </w:r>
    </w:p>
    <w:p w14:paraId="48C4041B" w14:textId="77777777" w:rsidR="00BC7B13" w:rsidRDefault="004E7EF9">
      <w:r>
        <w:t>Tabletės matmenys: maždaug 9 mm x 6 mm</w:t>
      </w:r>
    </w:p>
    <w:p w14:paraId="22DE6A35" w14:textId="77777777" w:rsidR="00BC7B13" w:rsidRDefault="00BC7B13">
      <w:pPr>
        <w:ind w:left="567" w:hanging="567"/>
      </w:pPr>
    </w:p>
    <w:p w14:paraId="499D4A65" w14:textId="77777777" w:rsidR="00BC7B13" w:rsidRDefault="004E7EF9">
      <w:pPr>
        <w:rPr>
          <w:noProof/>
        </w:rPr>
      </w:pPr>
      <w:proofErr w:type="spellStart"/>
      <w:r>
        <w:rPr>
          <w:rFonts w:eastAsia="TimesNewRoman"/>
          <w:szCs w:val="22"/>
          <w:lang w:eastAsia="lt-LT"/>
        </w:rPr>
        <w:t>Varesta</w:t>
      </w:r>
      <w:proofErr w:type="spellEnd"/>
      <w:r>
        <w:rPr>
          <w:rFonts w:eastAsia="TimesNewRoman"/>
          <w:szCs w:val="22"/>
          <w:lang w:eastAsia="lt-LT"/>
        </w:rPr>
        <w:t xml:space="preserve"> 10 mg plėvele dengtos tabletės</w:t>
      </w:r>
    </w:p>
    <w:p w14:paraId="323BE80C" w14:textId="77777777" w:rsidR="00BC7B13" w:rsidRDefault="004E7EF9">
      <w:r>
        <w:t>Blyškiai rusvai geltonos, ovalios, abipus išgaubtos plėvele dengtos tabletės, kurių vienoje pusėje pažymėta 10, o kitoje pusėje yra vagelė.</w:t>
      </w:r>
    </w:p>
    <w:p w14:paraId="3F41E8A7" w14:textId="77777777" w:rsidR="00BC7B13" w:rsidRDefault="004E7EF9">
      <w:r>
        <w:t>Tabletės matmenys: maždaug 9 mm x 6 mm.</w:t>
      </w:r>
    </w:p>
    <w:p w14:paraId="5E8735C5" w14:textId="77777777" w:rsidR="00BC7B13" w:rsidRDefault="004E7EF9">
      <w:pPr>
        <w:ind w:left="567" w:hanging="567"/>
      </w:pPr>
      <w:r>
        <w:t>Tabletę galima padalyti į lygias dozes.</w:t>
      </w:r>
    </w:p>
    <w:p w14:paraId="04269E03" w14:textId="77777777" w:rsidR="00BC7B13" w:rsidRDefault="00BC7B13">
      <w:pPr>
        <w:ind w:left="567" w:hanging="567"/>
      </w:pPr>
    </w:p>
    <w:p w14:paraId="58888B97" w14:textId="77777777" w:rsidR="00BC7B13" w:rsidRDefault="004E7EF9">
      <w:pPr>
        <w:rPr>
          <w:noProof/>
        </w:rPr>
      </w:pPr>
      <w:proofErr w:type="spellStart"/>
      <w:r>
        <w:rPr>
          <w:rFonts w:eastAsia="TimesNewRoman"/>
          <w:szCs w:val="22"/>
          <w:lang w:eastAsia="lt-LT"/>
        </w:rPr>
        <w:t>Varesta</w:t>
      </w:r>
      <w:proofErr w:type="spellEnd"/>
      <w:r>
        <w:rPr>
          <w:rFonts w:eastAsia="TimesNewRoman"/>
          <w:szCs w:val="22"/>
          <w:lang w:eastAsia="lt-LT"/>
        </w:rPr>
        <w:t xml:space="preserve"> 15 mg plėvele dengtos tabletės</w:t>
      </w:r>
    </w:p>
    <w:p w14:paraId="09600A08" w14:textId="77777777" w:rsidR="00BC7B13" w:rsidRDefault="004E7EF9">
      <w:r>
        <w:t>Blyškiai rusvai oranžinės spalvos, ovalios, abipus išgaubtos plėvele dengtos tabletės, kurių vienoje pusėje pažymėta 15, o kitoje – vagelė.</w:t>
      </w:r>
    </w:p>
    <w:p w14:paraId="446D9725" w14:textId="77777777" w:rsidR="00BC7B13" w:rsidRDefault="004E7EF9">
      <w:pPr>
        <w:ind w:left="567" w:hanging="567"/>
      </w:pPr>
      <w:r>
        <w:t>Tabletės matmenys: maždaug 9 mm x 6 mm.</w:t>
      </w:r>
    </w:p>
    <w:p w14:paraId="3B4C2FCC" w14:textId="77777777" w:rsidR="00BC7B13" w:rsidRDefault="004E7EF9">
      <w:pPr>
        <w:ind w:left="567" w:hanging="567"/>
      </w:pPr>
      <w:r>
        <w:t>Tabletę galima padalyti į lygias dozes.</w:t>
      </w:r>
    </w:p>
    <w:p w14:paraId="74D27847" w14:textId="77777777" w:rsidR="00BC7B13" w:rsidRDefault="00BC7B13">
      <w:pPr>
        <w:ind w:left="567" w:hanging="567"/>
      </w:pPr>
    </w:p>
    <w:p w14:paraId="495D2D75" w14:textId="77777777" w:rsidR="00BC7B13" w:rsidRDefault="004E7EF9">
      <w:pPr>
        <w:rPr>
          <w:noProof/>
        </w:rPr>
      </w:pPr>
      <w:proofErr w:type="spellStart"/>
      <w:r>
        <w:rPr>
          <w:rFonts w:eastAsia="TimesNewRoman"/>
          <w:szCs w:val="22"/>
          <w:lang w:eastAsia="lt-LT"/>
        </w:rPr>
        <w:t>Varesta</w:t>
      </w:r>
      <w:proofErr w:type="spellEnd"/>
      <w:r>
        <w:rPr>
          <w:rFonts w:eastAsia="TimesNewRoman"/>
          <w:szCs w:val="22"/>
          <w:lang w:eastAsia="lt-LT"/>
        </w:rPr>
        <w:t xml:space="preserve"> 20 mg plėvele dengtos tabletės</w:t>
      </w:r>
    </w:p>
    <w:p w14:paraId="16A5D07A" w14:textId="77777777" w:rsidR="00BC7B13" w:rsidRDefault="004E7EF9">
      <w:r>
        <w:t>Rudai raudonos, ovalios, abipus išgaubtos plėvele dengtos tabletės, kurių vienoje pusėje pažymėta 20, o kitoje – vagelė.</w:t>
      </w:r>
    </w:p>
    <w:p w14:paraId="723B8C2B" w14:textId="77777777" w:rsidR="00BC7B13" w:rsidRDefault="004E7EF9">
      <w:pPr>
        <w:ind w:left="567" w:hanging="567"/>
      </w:pPr>
      <w:r>
        <w:t>Tabletės matmenys: maždaug 9 mm x 6 mm.</w:t>
      </w:r>
    </w:p>
    <w:p w14:paraId="717D4222" w14:textId="77777777" w:rsidR="00BC7B13" w:rsidRDefault="004E7EF9">
      <w:pPr>
        <w:ind w:left="567" w:hanging="567"/>
      </w:pPr>
      <w:r>
        <w:t>Tabletę galima padalyti į lygias dozes.</w:t>
      </w:r>
    </w:p>
    <w:p w14:paraId="6D5EFD92" w14:textId="77777777" w:rsidR="00BC7B13" w:rsidRDefault="00BC7B13">
      <w:pPr>
        <w:numPr>
          <w:ilvl w:val="12"/>
          <w:numId w:val="0"/>
        </w:numPr>
        <w:ind w:right="-2"/>
        <w:rPr>
          <w:noProof/>
        </w:rPr>
      </w:pPr>
    </w:p>
    <w:p w14:paraId="7032C78B" w14:textId="77777777" w:rsidR="00BC7B13" w:rsidRDefault="00BC7B13">
      <w:pPr>
        <w:numPr>
          <w:ilvl w:val="12"/>
          <w:numId w:val="0"/>
        </w:numPr>
        <w:ind w:right="-2"/>
        <w:rPr>
          <w:noProof/>
        </w:rPr>
      </w:pPr>
    </w:p>
    <w:p w14:paraId="671E02ED" w14:textId="77777777" w:rsidR="00BC7B13" w:rsidRDefault="004E7EF9">
      <w:pPr>
        <w:numPr>
          <w:ilvl w:val="12"/>
          <w:numId w:val="0"/>
        </w:numPr>
        <w:ind w:right="-2"/>
        <w:rPr>
          <w:noProof/>
        </w:rPr>
      </w:pPr>
      <w:r>
        <w:rPr>
          <w:noProof/>
        </w:rPr>
        <w:t>Varesta tiekiamos dėžutėse, kuriose yra:</w:t>
      </w:r>
    </w:p>
    <w:p w14:paraId="05631970" w14:textId="77777777" w:rsidR="00BC7B13" w:rsidRDefault="004E7EF9">
      <w:pPr>
        <w:widowControl w:val="0"/>
        <w:numPr>
          <w:ilvl w:val="0"/>
          <w:numId w:val="10"/>
        </w:numPr>
        <w:ind w:left="567" w:hanging="567"/>
        <w:rPr>
          <w:bCs/>
          <w:noProof/>
          <w:color w:val="000000"/>
          <w:szCs w:val="22"/>
          <w:lang w:eastAsia="sl-SI"/>
        </w:rPr>
      </w:pPr>
      <w:r>
        <w:rPr>
          <w:noProof/>
        </w:rPr>
        <w:t>14, 28, 30, 56, 60, 90, ir 98 plėvele dengtos tabletės perforuotose arba neperforuotose lizdinėse plokštelėse.</w:t>
      </w:r>
    </w:p>
    <w:p w14:paraId="45D3A146" w14:textId="77777777" w:rsidR="00BC7B13" w:rsidRDefault="00BC7B13">
      <w:pPr>
        <w:widowControl w:val="0"/>
        <w:rPr>
          <w:bCs/>
          <w:noProof/>
          <w:color w:val="000000"/>
          <w:szCs w:val="22"/>
          <w:lang w:eastAsia="sl-SI"/>
        </w:rPr>
      </w:pPr>
    </w:p>
    <w:p w14:paraId="62DECE1F" w14:textId="77777777" w:rsidR="00BC7B13" w:rsidRDefault="004E7EF9">
      <w:pPr>
        <w:widowControl w:val="0"/>
        <w:rPr>
          <w:bCs/>
          <w:noProof/>
          <w:color w:val="000000"/>
          <w:szCs w:val="22"/>
          <w:lang w:eastAsia="sl-SI"/>
        </w:rPr>
      </w:pPr>
      <w:r>
        <w:rPr>
          <w:bCs/>
          <w:noProof/>
          <w:color w:val="000000"/>
          <w:szCs w:val="22"/>
          <w:lang w:eastAsia="sl-SI"/>
        </w:rPr>
        <w:t>Gali būti tiekiamos ne visų dydžių pakuotės.</w:t>
      </w:r>
    </w:p>
    <w:p w14:paraId="18967758" w14:textId="77777777" w:rsidR="00BC7B13" w:rsidRDefault="00BC7B13">
      <w:pPr>
        <w:widowControl w:val="0"/>
        <w:rPr>
          <w:bCs/>
          <w:noProof/>
          <w:color w:val="000000"/>
          <w:szCs w:val="22"/>
          <w:lang w:eastAsia="sl-SI"/>
        </w:rPr>
      </w:pPr>
    </w:p>
    <w:p w14:paraId="5F6D3D03" w14:textId="77777777" w:rsidR="00BC7B13" w:rsidRDefault="004E7EF9">
      <w:pPr>
        <w:numPr>
          <w:ilvl w:val="12"/>
          <w:numId w:val="0"/>
        </w:numPr>
        <w:ind w:right="-2"/>
        <w:rPr>
          <w:b/>
          <w:bCs/>
          <w:noProof/>
        </w:rPr>
      </w:pPr>
      <w:r>
        <w:rPr>
          <w:b/>
          <w:bCs/>
          <w:noProof/>
        </w:rPr>
        <w:t>Registruotojas ir gamintojas</w:t>
      </w:r>
    </w:p>
    <w:p w14:paraId="7CCA9851" w14:textId="77777777" w:rsidR="00BC7B13" w:rsidRDefault="00BC7B13">
      <w:pPr>
        <w:numPr>
          <w:ilvl w:val="12"/>
          <w:numId w:val="0"/>
        </w:numPr>
        <w:ind w:right="-2"/>
        <w:rPr>
          <w:noProof/>
        </w:rPr>
      </w:pPr>
    </w:p>
    <w:p w14:paraId="034261C7" w14:textId="77777777" w:rsidR="00BC7B13" w:rsidRDefault="004E7EF9">
      <w:pPr>
        <w:widowControl w:val="0"/>
        <w:tabs>
          <w:tab w:val="left" w:pos="567"/>
        </w:tabs>
        <w:rPr>
          <w:szCs w:val="20"/>
          <w:lang w:eastAsia="sl-SI"/>
        </w:rPr>
      </w:pPr>
      <w:r>
        <w:rPr>
          <w:szCs w:val="20"/>
          <w:lang w:eastAsia="sl-SI"/>
        </w:rPr>
        <w:t>KRKA</w:t>
      </w:r>
      <w:r>
        <w:rPr>
          <w:snapToGrid w:val="0"/>
          <w:szCs w:val="22"/>
        </w:rPr>
        <w:t xml:space="preserve">, </w:t>
      </w:r>
      <w:proofErr w:type="spellStart"/>
      <w:r>
        <w:rPr>
          <w:snapToGrid w:val="0"/>
          <w:szCs w:val="22"/>
        </w:rPr>
        <w:t>d.d</w:t>
      </w:r>
      <w:proofErr w:type="spellEnd"/>
      <w:r>
        <w:rPr>
          <w:snapToGrid w:val="0"/>
          <w:szCs w:val="22"/>
        </w:rPr>
        <w:t>., Novo mesto</w:t>
      </w:r>
    </w:p>
    <w:p w14:paraId="24ADB6A2" w14:textId="77777777" w:rsidR="00BC7B13" w:rsidRDefault="004E7EF9">
      <w:pPr>
        <w:widowControl w:val="0"/>
        <w:tabs>
          <w:tab w:val="left" w:pos="567"/>
        </w:tabs>
        <w:rPr>
          <w:szCs w:val="20"/>
          <w:lang w:eastAsia="sl-SI"/>
        </w:rPr>
      </w:pPr>
      <w:proofErr w:type="spellStart"/>
      <w:r>
        <w:rPr>
          <w:snapToGrid w:val="0"/>
          <w:szCs w:val="22"/>
        </w:rPr>
        <w:t>Šmarješka</w:t>
      </w:r>
      <w:proofErr w:type="spellEnd"/>
      <w:r>
        <w:rPr>
          <w:snapToGrid w:val="0"/>
          <w:szCs w:val="22"/>
        </w:rPr>
        <w:t xml:space="preserve"> </w:t>
      </w:r>
      <w:proofErr w:type="spellStart"/>
      <w:r>
        <w:rPr>
          <w:snapToGrid w:val="0"/>
          <w:szCs w:val="22"/>
        </w:rPr>
        <w:t>cesta</w:t>
      </w:r>
      <w:proofErr w:type="spellEnd"/>
      <w:r>
        <w:rPr>
          <w:snapToGrid w:val="0"/>
          <w:szCs w:val="22"/>
        </w:rPr>
        <w:t xml:space="preserve"> 6</w:t>
      </w:r>
    </w:p>
    <w:p w14:paraId="37442631" w14:textId="77777777" w:rsidR="00BC7B13" w:rsidRDefault="004E7EF9">
      <w:pPr>
        <w:widowControl w:val="0"/>
        <w:tabs>
          <w:tab w:val="left" w:pos="567"/>
        </w:tabs>
        <w:rPr>
          <w:szCs w:val="20"/>
          <w:lang w:eastAsia="sl-SI"/>
        </w:rPr>
      </w:pPr>
      <w:r>
        <w:rPr>
          <w:snapToGrid w:val="0"/>
          <w:szCs w:val="22"/>
        </w:rPr>
        <w:t>8501 Novo mesto</w:t>
      </w:r>
    </w:p>
    <w:p w14:paraId="4C79FF44" w14:textId="77777777" w:rsidR="00BC7B13" w:rsidRDefault="004E7EF9">
      <w:pPr>
        <w:widowControl w:val="0"/>
        <w:tabs>
          <w:tab w:val="left" w:pos="567"/>
        </w:tabs>
        <w:rPr>
          <w:snapToGrid w:val="0"/>
          <w:szCs w:val="22"/>
        </w:rPr>
      </w:pPr>
      <w:r>
        <w:rPr>
          <w:snapToGrid w:val="0"/>
          <w:szCs w:val="22"/>
        </w:rPr>
        <w:t>Slovėnija</w:t>
      </w:r>
    </w:p>
    <w:p w14:paraId="7F42A8E5" w14:textId="77777777" w:rsidR="00BC7B13" w:rsidRDefault="00BC7B13">
      <w:pPr>
        <w:widowControl w:val="0"/>
        <w:tabs>
          <w:tab w:val="left" w:pos="567"/>
        </w:tabs>
        <w:rPr>
          <w:snapToGrid w:val="0"/>
          <w:szCs w:val="22"/>
        </w:rPr>
      </w:pPr>
    </w:p>
    <w:p w14:paraId="3B564730" w14:textId="77777777" w:rsidR="00BC7B13" w:rsidRDefault="004E7EF9">
      <w:pPr>
        <w:numPr>
          <w:ilvl w:val="12"/>
          <w:numId w:val="0"/>
        </w:numPr>
        <w:ind w:right="-2"/>
        <w:rPr>
          <w:noProof/>
        </w:rPr>
      </w:pPr>
      <w:r>
        <w:rPr>
          <w:noProof/>
        </w:rPr>
        <w:t>Jeigu apie šį vaistą norite sužinoti daugiau, kreipkitės į vietinį registruotojo atstovą.</w:t>
      </w:r>
    </w:p>
    <w:p w14:paraId="77F5C8C9" w14:textId="77777777" w:rsidR="00BC7B13" w:rsidRDefault="00BC7B13">
      <w:pPr>
        <w:numPr>
          <w:ilvl w:val="12"/>
          <w:numId w:val="0"/>
        </w:numPr>
        <w:ind w:right="-2"/>
        <w:rPr>
          <w:noProof/>
        </w:rPr>
      </w:pPr>
    </w:p>
    <w:p w14:paraId="2B24CABF" w14:textId="77777777" w:rsidR="00BC7B13" w:rsidRDefault="004E7EF9">
      <w:pPr>
        <w:numPr>
          <w:ilvl w:val="12"/>
          <w:numId w:val="0"/>
        </w:numPr>
        <w:ind w:right="-2"/>
        <w:rPr>
          <w:noProof/>
        </w:rPr>
      </w:pPr>
      <w:r>
        <w:rPr>
          <w:noProof/>
        </w:rPr>
        <w:t>UAB KRKA Lietuva</w:t>
      </w:r>
    </w:p>
    <w:p w14:paraId="3D82C173" w14:textId="77777777" w:rsidR="00BC7B13" w:rsidRDefault="004E7EF9">
      <w:pPr>
        <w:numPr>
          <w:ilvl w:val="12"/>
          <w:numId w:val="0"/>
        </w:numPr>
        <w:ind w:right="-2"/>
        <w:rPr>
          <w:noProof/>
        </w:rPr>
      </w:pPr>
      <w:r>
        <w:rPr>
          <w:noProof/>
        </w:rPr>
        <w:t xml:space="preserve">Senasis Ukmergės kelias 4, </w:t>
      </w:r>
    </w:p>
    <w:p w14:paraId="5C443E3B" w14:textId="77777777" w:rsidR="00BC7B13" w:rsidRDefault="004E7EF9">
      <w:pPr>
        <w:numPr>
          <w:ilvl w:val="12"/>
          <w:numId w:val="0"/>
        </w:numPr>
        <w:ind w:right="-2"/>
        <w:rPr>
          <w:noProof/>
        </w:rPr>
      </w:pPr>
      <w:r>
        <w:rPr>
          <w:noProof/>
        </w:rPr>
        <w:t xml:space="preserve">Užubalių km., Vilniaus r. </w:t>
      </w:r>
    </w:p>
    <w:p w14:paraId="41143506" w14:textId="77777777" w:rsidR="00BC7B13" w:rsidRDefault="004E7EF9">
      <w:pPr>
        <w:numPr>
          <w:ilvl w:val="12"/>
          <w:numId w:val="0"/>
        </w:numPr>
        <w:ind w:right="-2"/>
        <w:rPr>
          <w:noProof/>
        </w:rPr>
      </w:pPr>
      <w:r>
        <w:rPr>
          <w:noProof/>
        </w:rPr>
        <w:t>LT - 14013</w:t>
      </w:r>
    </w:p>
    <w:p w14:paraId="3F430DFB" w14:textId="77777777" w:rsidR="00BC7B13" w:rsidRDefault="004E7EF9">
      <w:pPr>
        <w:numPr>
          <w:ilvl w:val="12"/>
          <w:numId w:val="0"/>
        </w:numPr>
        <w:ind w:right="-2"/>
        <w:rPr>
          <w:noProof/>
        </w:rPr>
      </w:pPr>
      <w:r>
        <w:rPr>
          <w:noProof/>
        </w:rPr>
        <w:t>Tel. + 370 5 236 27 40</w:t>
      </w:r>
    </w:p>
    <w:p w14:paraId="0A7C381E" w14:textId="77777777" w:rsidR="00BC7B13" w:rsidRDefault="00BC7B13">
      <w:pPr>
        <w:numPr>
          <w:ilvl w:val="12"/>
          <w:numId w:val="0"/>
        </w:numPr>
        <w:ind w:right="-2"/>
        <w:rPr>
          <w:noProof/>
        </w:rPr>
      </w:pPr>
    </w:p>
    <w:p w14:paraId="5A8199E2" w14:textId="77777777" w:rsidR="00BC7B13" w:rsidRDefault="00BC7B13">
      <w:pPr>
        <w:numPr>
          <w:ilvl w:val="12"/>
          <w:numId w:val="0"/>
        </w:numPr>
        <w:ind w:right="-2"/>
        <w:rPr>
          <w:noProof/>
        </w:rPr>
      </w:pPr>
    </w:p>
    <w:p w14:paraId="38F95BC7" w14:textId="77777777" w:rsidR="00BC7B13" w:rsidRDefault="004E7EF9">
      <w:pPr>
        <w:numPr>
          <w:ilvl w:val="12"/>
          <w:numId w:val="0"/>
        </w:numPr>
        <w:ind w:right="-2"/>
      </w:pPr>
      <w:r>
        <w:rPr>
          <w:b/>
        </w:rPr>
        <w:t>Šis vaistas Europos ekonominės erdvės valstybėse narėse registruotas tokiais pavadinimais:</w:t>
      </w:r>
    </w:p>
    <w:p w14:paraId="5142B19E" w14:textId="77777777" w:rsidR="00BC7B13" w:rsidRDefault="00BC7B13">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BC7B13" w14:paraId="40D7A983" w14:textId="77777777">
        <w:tc>
          <w:tcPr>
            <w:tcW w:w="4698" w:type="dxa"/>
          </w:tcPr>
          <w:p w14:paraId="06A4C974" w14:textId="77777777" w:rsidR="00BC7B13" w:rsidRDefault="004E7EF9">
            <w:pPr>
              <w:widowControl w:val="0"/>
              <w:tabs>
                <w:tab w:val="left" w:pos="567"/>
              </w:tabs>
              <w:rPr>
                <w:snapToGrid w:val="0"/>
                <w:szCs w:val="22"/>
              </w:rPr>
            </w:pPr>
            <w:r>
              <w:rPr>
                <w:snapToGrid w:val="0"/>
                <w:szCs w:val="22"/>
              </w:rPr>
              <w:lastRenderedPageBreak/>
              <w:t>Valstybės narės pavadinimas</w:t>
            </w:r>
          </w:p>
        </w:tc>
        <w:tc>
          <w:tcPr>
            <w:tcW w:w="4254" w:type="dxa"/>
          </w:tcPr>
          <w:p w14:paraId="7AD10C74" w14:textId="77777777" w:rsidR="00BC7B13" w:rsidRDefault="004E7EF9">
            <w:pPr>
              <w:widowControl w:val="0"/>
              <w:tabs>
                <w:tab w:val="left" w:pos="567"/>
              </w:tabs>
              <w:rPr>
                <w:snapToGrid w:val="0"/>
                <w:szCs w:val="22"/>
              </w:rPr>
            </w:pPr>
            <w:r>
              <w:rPr>
                <w:snapToGrid w:val="0"/>
                <w:szCs w:val="22"/>
              </w:rPr>
              <w:t>Vaisto pavadinimas</w:t>
            </w:r>
          </w:p>
        </w:tc>
      </w:tr>
      <w:tr w:rsidR="00BC7B13" w14:paraId="030804D8" w14:textId="77777777">
        <w:tc>
          <w:tcPr>
            <w:tcW w:w="4698" w:type="dxa"/>
          </w:tcPr>
          <w:p w14:paraId="2C8EEBAB" w14:textId="77777777" w:rsidR="00BC7B13" w:rsidRDefault="004E7EF9">
            <w:pPr>
              <w:widowControl w:val="0"/>
              <w:tabs>
                <w:tab w:val="left" w:pos="567"/>
              </w:tabs>
              <w:rPr>
                <w:snapToGrid w:val="0"/>
                <w:szCs w:val="22"/>
              </w:rPr>
            </w:pPr>
            <w:r>
              <w:rPr>
                <w:snapToGrid w:val="0"/>
                <w:szCs w:val="22"/>
              </w:rPr>
              <w:t>Slovėnija, Čekija, Kroatija, Vengrija, Lietuva</w:t>
            </w:r>
          </w:p>
        </w:tc>
        <w:tc>
          <w:tcPr>
            <w:tcW w:w="4254" w:type="dxa"/>
          </w:tcPr>
          <w:p w14:paraId="01F3DA3D" w14:textId="77777777" w:rsidR="00BC7B13" w:rsidRDefault="004E7EF9">
            <w:pPr>
              <w:widowControl w:val="0"/>
              <w:tabs>
                <w:tab w:val="left" w:pos="567"/>
              </w:tabs>
              <w:rPr>
                <w:snapToGrid w:val="0"/>
                <w:szCs w:val="22"/>
              </w:rPr>
            </w:pPr>
            <w:proofErr w:type="spellStart"/>
            <w:r>
              <w:rPr>
                <w:snapToGrid w:val="0"/>
                <w:szCs w:val="22"/>
              </w:rPr>
              <w:t>Varesta</w:t>
            </w:r>
            <w:proofErr w:type="spellEnd"/>
          </w:p>
        </w:tc>
      </w:tr>
    </w:tbl>
    <w:p w14:paraId="65AE8C2A" w14:textId="77777777" w:rsidR="00BC7B13" w:rsidRDefault="00BC7B13">
      <w:pPr>
        <w:numPr>
          <w:ilvl w:val="12"/>
          <w:numId w:val="0"/>
        </w:numPr>
        <w:ind w:right="-2"/>
        <w:rPr>
          <w:noProof/>
        </w:rPr>
      </w:pPr>
    </w:p>
    <w:p w14:paraId="744412D9" w14:textId="77777777" w:rsidR="00BC7B13" w:rsidRDefault="00BC7B13">
      <w:pPr>
        <w:numPr>
          <w:ilvl w:val="12"/>
          <w:numId w:val="0"/>
        </w:numPr>
        <w:ind w:right="-2"/>
        <w:rPr>
          <w:noProof/>
        </w:rPr>
      </w:pPr>
    </w:p>
    <w:p w14:paraId="72940118" w14:textId="0CEE2767" w:rsidR="00BC7B13" w:rsidRDefault="004E7EF9">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2025-08-20.</w:t>
      </w:r>
    </w:p>
    <w:p w14:paraId="32FAF612" w14:textId="77777777" w:rsidR="00BC7B13" w:rsidRDefault="00BC7B13">
      <w:pPr>
        <w:numPr>
          <w:ilvl w:val="12"/>
          <w:numId w:val="0"/>
        </w:numPr>
        <w:ind w:right="-2"/>
        <w:rPr>
          <w:noProof/>
        </w:rPr>
      </w:pPr>
    </w:p>
    <w:p w14:paraId="60BEF039" w14:textId="77777777" w:rsidR="00BC7B13" w:rsidRDefault="00BC7B13">
      <w:pPr>
        <w:widowControl w:val="0"/>
        <w:numPr>
          <w:ilvl w:val="12"/>
          <w:numId w:val="0"/>
        </w:numPr>
        <w:tabs>
          <w:tab w:val="left" w:pos="567"/>
        </w:tabs>
        <w:ind w:right="-2"/>
        <w:rPr>
          <w:i/>
          <w:szCs w:val="20"/>
          <w:lang w:eastAsia="sl-SI"/>
        </w:rPr>
      </w:pPr>
    </w:p>
    <w:p w14:paraId="181292D3" w14:textId="77777777" w:rsidR="00BC7B13" w:rsidRDefault="004E7EF9">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r>
        <w:rPr>
          <w:rFonts w:eastAsia="SimSun"/>
          <w:color w:val="0000FF"/>
          <w:szCs w:val="22"/>
          <w:u w:val="single"/>
        </w:rPr>
        <w:t>http://www.vvkt.lt</w:t>
      </w:r>
      <w:r>
        <w:rPr>
          <w:szCs w:val="20"/>
          <w:lang w:eastAsia="sl-SI"/>
        </w:rPr>
        <w:t>.</w:t>
      </w:r>
    </w:p>
    <w:p w14:paraId="1B977382" w14:textId="77777777" w:rsidR="00BC7B13" w:rsidRDefault="00BC7B13">
      <w:pPr>
        <w:ind w:left="567" w:hanging="567"/>
      </w:pPr>
    </w:p>
    <w:sectPr w:rsidR="00BC7B1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8E36" w14:textId="77777777" w:rsidR="00FF5BD5" w:rsidRDefault="00FF5BD5">
      <w:r>
        <w:separator/>
      </w:r>
    </w:p>
  </w:endnote>
  <w:endnote w:type="continuationSeparator" w:id="0">
    <w:p w14:paraId="5FEB8445" w14:textId="77777777" w:rsidR="00FF5BD5" w:rsidRDefault="00FF5BD5">
      <w:r>
        <w:continuationSeparator/>
      </w:r>
    </w:p>
  </w:endnote>
  <w:endnote w:type="continuationNotice" w:id="1">
    <w:p w14:paraId="11767A4F" w14:textId="77777777" w:rsidR="00FF5BD5" w:rsidRDefault="00FF5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TimesNewRoman,Italic">
    <w:altName w:val="Yu Gothic UI"/>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00"/>
    <w:family w:val="auto"/>
    <w:notTrueType/>
    <w:pitch w:val="default"/>
    <w:sig w:usb0="00000007"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A29" w14:textId="77777777" w:rsidR="00BC7B13" w:rsidRDefault="004E7EF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FEF336F" w14:textId="77777777" w:rsidR="00BC7B13" w:rsidRDefault="00BC7B1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808D" w14:textId="77777777" w:rsidR="00BC7B13" w:rsidRDefault="004E7EF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9052" w14:textId="77777777" w:rsidR="00BC7B13" w:rsidRDefault="00BC7B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E1E0" w14:textId="77777777" w:rsidR="00FF5BD5" w:rsidRDefault="00FF5BD5">
      <w:r>
        <w:separator/>
      </w:r>
    </w:p>
  </w:footnote>
  <w:footnote w:type="continuationSeparator" w:id="0">
    <w:p w14:paraId="574B6A04" w14:textId="77777777" w:rsidR="00FF5BD5" w:rsidRDefault="00FF5BD5">
      <w:r>
        <w:continuationSeparator/>
      </w:r>
    </w:p>
  </w:footnote>
  <w:footnote w:type="continuationNotice" w:id="1">
    <w:p w14:paraId="3CE97FE2" w14:textId="77777777" w:rsidR="00FF5BD5" w:rsidRDefault="00FF5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478" w14:textId="77777777" w:rsidR="00BC7B13" w:rsidRDefault="00BC7B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D142" w14:textId="77777777" w:rsidR="00BC7B13" w:rsidRDefault="00BC7B1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0577" w14:textId="77777777" w:rsidR="00BC7B13" w:rsidRDefault="00BC7B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E3640"/>
    <w:multiLevelType w:val="hybridMultilevel"/>
    <w:tmpl w:val="DDA8FE7E"/>
    <w:lvl w:ilvl="0" w:tplc="DDE8B558">
      <w:numFmt w:val="bullet"/>
      <w:lvlText w:val="-"/>
      <w:lvlJc w:val="left"/>
      <w:pPr>
        <w:ind w:left="720" w:hanging="360"/>
      </w:pPr>
      <w:rPr>
        <w:rFonts w:ascii="Times New Roman" w:eastAsia="Times New Roman" w:hAnsi="Times New Roman" w:cs="Times New Roman"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6"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89779F3"/>
    <w:multiLevelType w:val="hybridMultilevel"/>
    <w:tmpl w:val="4FEA4C12"/>
    <w:lvl w:ilvl="0" w:tplc="B7D4B27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16cid:durableId="197552887">
    <w:abstractNumId w:val="0"/>
    <w:lvlOverride w:ilvl="0">
      <w:lvl w:ilvl="0">
        <w:start w:val="1"/>
        <w:numFmt w:val="bullet"/>
        <w:lvlText w:val="-"/>
        <w:legacy w:legacy="1" w:legacySpace="0" w:legacyIndent="360"/>
        <w:lvlJc w:val="left"/>
        <w:pPr>
          <w:ind w:left="360" w:hanging="360"/>
        </w:pPr>
      </w:lvl>
    </w:lvlOverride>
  </w:num>
  <w:num w:numId="2" w16cid:durableId="1581404866">
    <w:abstractNumId w:val="2"/>
  </w:num>
  <w:num w:numId="3" w16cid:durableId="889539397">
    <w:abstractNumId w:val="0"/>
    <w:lvlOverride w:ilvl="0">
      <w:lvl w:ilvl="0">
        <w:start w:val="1"/>
        <w:numFmt w:val="bullet"/>
        <w:lvlText w:val="-"/>
        <w:lvlJc w:val="left"/>
        <w:pPr>
          <w:ind w:left="360" w:hanging="360"/>
        </w:pPr>
      </w:lvl>
    </w:lvlOverride>
  </w:num>
  <w:num w:numId="4" w16cid:durableId="1008950525">
    <w:abstractNumId w:val="10"/>
  </w:num>
  <w:num w:numId="5" w16cid:durableId="714230851">
    <w:abstractNumId w:val="5"/>
  </w:num>
  <w:num w:numId="6" w16cid:durableId="25522051">
    <w:abstractNumId w:val="6"/>
  </w:num>
  <w:num w:numId="7" w16cid:durableId="1767267776">
    <w:abstractNumId w:val="3"/>
  </w:num>
  <w:num w:numId="8" w16cid:durableId="1141078225">
    <w:abstractNumId w:val="9"/>
  </w:num>
  <w:num w:numId="9" w16cid:durableId="1756125993">
    <w:abstractNumId w:val="1"/>
  </w:num>
  <w:num w:numId="10" w16cid:durableId="877624778">
    <w:abstractNumId w:val="8"/>
  </w:num>
  <w:num w:numId="11" w16cid:durableId="1136219870">
    <w:abstractNumId w:val="4"/>
  </w:num>
  <w:num w:numId="12" w16cid:durableId="6881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C7B13"/>
    <w:rsid w:val="00246670"/>
    <w:rsid w:val="002950E8"/>
    <w:rsid w:val="00401CBB"/>
    <w:rsid w:val="004E7EF9"/>
    <w:rsid w:val="00686147"/>
    <w:rsid w:val="00B655ED"/>
    <w:rsid w:val="00BC7B13"/>
    <w:rsid w:val="00C5782C"/>
    <w:rsid w:val="00FF5BD5"/>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C07C2"/>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rastasiniatinklio">
    <w:name w:val="Normal (Web)"/>
    <w:basedOn w:val="prastasis"/>
    <w:uiPriority w:val="99"/>
    <w:unhideWhenUsed/>
    <w:pPr>
      <w:spacing w:after="143"/>
    </w:pPr>
    <w:rPr>
      <w:rFonts w:eastAsia="Calibri"/>
      <w:sz w:val="24"/>
      <w:lang w:val="sl-SI" w:eastAsia="sl-SI"/>
    </w:rPr>
  </w:style>
  <w:style w:type="paragraph" w:styleId="Pataisymai">
    <w:name w:val="Revision"/>
    <w:hidden/>
    <w:uiPriority w:val="99"/>
    <w:semiHidden/>
    <w:rPr>
      <w:sz w:val="22"/>
      <w:szCs w:val="24"/>
      <w:lang w:eastAsia="en-US"/>
    </w:rPr>
  </w:style>
  <w:style w:type="character" w:customStyle="1" w:styleId="UnresolvedMention1">
    <w:name w:val="Unresolved Mention1"/>
    <w:basedOn w:val="Numatytasispastraiposriftas"/>
    <w:uiPriority w:val="99"/>
    <w:semiHidden/>
    <w:unhideWhenUsed/>
    <w:rPr>
      <w:color w:val="605E5C"/>
      <w:shd w:val="clear" w:color="auto" w:fill="E1DFDD"/>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6901">
      <w:bodyDiv w:val="1"/>
      <w:marLeft w:val="0"/>
      <w:marRight w:val="0"/>
      <w:marTop w:val="0"/>
      <w:marBottom w:val="0"/>
      <w:divBdr>
        <w:top w:val="none" w:sz="0" w:space="0" w:color="auto"/>
        <w:left w:val="none" w:sz="0" w:space="0" w:color="auto"/>
        <w:bottom w:val="none" w:sz="0" w:space="0" w:color="auto"/>
        <w:right w:val="none" w:sz="0" w:space="0" w:color="auto"/>
      </w:divBdr>
    </w:div>
    <w:div w:id="212090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vkt.lt/index.php?40042864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apris.vvkt.lt/vvkt-web/public/nrv"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52150</Words>
  <Characters>29726</Characters>
  <Application>Microsoft Office Word</Application>
  <DocSecurity>4</DocSecurity>
  <Lines>247</Lines>
  <Paragraphs>163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81713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2026-01-16T06:33:00Z</dcterms:created>
  <dcterms:modified xsi:type="dcterms:W3CDTF">2026-01-16T06:33:00Z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