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8E74C6" w14:textId="77777777" w:rsidR="00F22FBD" w:rsidRDefault="00F22FBD">
      <w:pPr>
        <w:ind w:left="567" w:hanging="567"/>
      </w:pPr>
      <w:bookmarkStart w:id="0" w:name="_GoBack"/>
      <w:bookmarkEnd w:id="0"/>
    </w:p>
    <w:p w14:paraId="7D22911D" w14:textId="77777777" w:rsidR="00F22FBD" w:rsidRDefault="00F22FBD">
      <w:pPr>
        <w:ind w:left="567" w:hanging="567"/>
      </w:pPr>
    </w:p>
    <w:p w14:paraId="322606CA" w14:textId="77777777" w:rsidR="00F22FBD" w:rsidRDefault="00F22FBD">
      <w:pPr>
        <w:ind w:left="567" w:hanging="567"/>
      </w:pPr>
    </w:p>
    <w:p w14:paraId="77DF3398" w14:textId="77777777" w:rsidR="00F22FBD" w:rsidRDefault="00F22FBD">
      <w:pPr>
        <w:ind w:left="567" w:hanging="567"/>
      </w:pPr>
    </w:p>
    <w:p w14:paraId="48CB419C" w14:textId="77777777" w:rsidR="00F22FBD" w:rsidRDefault="00F22FBD">
      <w:pPr>
        <w:ind w:left="567" w:hanging="567"/>
      </w:pPr>
    </w:p>
    <w:p w14:paraId="38A0CD06" w14:textId="77777777" w:rsidR="00F22FBD" w:rsidRDefault="00F22FBD">
      <w:pPr>
        <w:ind w:left="567" w:hanging="567"/>
      </w:pPr>
    </w:p>
    <w:p w14:paraId="0BE6205F" w14:textId="77777777" w:rsidR="00F22FBD" w:rsidRDefault="00F22FBD">
      <w:pPr>
        <w:ind w:left="567" w:hanging="567"/>
      </w:pPr>
    </w:p>
    <w:p w14:paraId="1674910A" w14:textId="77777777" w:rsidR="00F22FBD" w:rsidRDefault="00F22FBD">
      <w:pPr>
        <w:ind w:left="567" w:hanging="567"/>
      </w:pPr>
    </w:p>
    <w:p w14:paraId="10ECECC6" w14:textId="77777777" w:rsidR="00F22FBD" w:rsidRDefault="00F22FBD">
      <w:pPr>
        <w:ind w:left="567" w:hanging="567"/>
      </w:pPr>
    </w:p>
    <w:p w14:paraId="6C442DFC" w14:textId="77777777" w:rsidR="00F22FBD" w:rsidRDefault="00F22FBD">
      <w:pPr>
        <w:ind w:left="567" w:hanging="567"/>
      </w:pPr>
    </w:p>
    <w:p w14:paraId="0EA51662" w14:textId="77777777" w:rsidR="00F22FBD" w:rsidRDefault="00F22FBD">
      <w:pPr>
        <w:ind w:left="567" w:hanging="567"/>
      </w:pPr>
    </w:p>
    <w:p w14:paraId="6E586E90" w14:textId="77777777" w:rsidR="00F22FBD" w:rsidRDefault="00F22FBD">
      <w:pPr>
        <w:ind w:left="567" w:hanging="567"/>
      </w:pPr>
    </w:p>
    <w:p w14:paraId="519676A8" w14:textId="77777777" w:rsidR="00F22FBD" w:rsidRDefault="00F22FBD">
      <w:pPr>
        <w:ind w:left="567" w:hanging="567"/>
      </w:pPr>
    </w:p>
    <w:p w14:paraId="1452FE0D" w14:textId="77777777" w:rsidR="00F22FBD" w:rsidRDefault="00F22FBD">
      <w:pPr>
        <w:ind w:left="567" w:hanging="567"/>
      </w:pPr>
    </w:p>
    <w:p w14:paraId="4EE8E53B" w14:textId="77777777" w:rsidR="00F22FBD" w:rsidRDefault="00F22FBD">
      <w:pPr>
        <w:ind w:left="567" w:hanging="567"/>
      </w:pPr>
    </w:p>
    <w:p w14:paraId="57AEDE3A" w14:textId="77777777" w:rsidR="00F22FBD" w:rsidRDefault="00F22FBD">
      <w:pPr>
        <w:ind w:left="567" w:hanging="567"/>
      </w:pPr>
    </w:p>
    <w:p w14:paraId="6A903015" w14:textId="77777777" w:rsidR="00F22FBD" w:rsidRDefault="00F22FBD">
      <w:pPr>
        <w:ind w:left="567" w:hanging="567"/>
      </w:pPr>
    </w:p>
    <w:p w14:paraId="38918DBD" w14:textId="77777777" w:rsidR="00F22FBD" w:rsidRDefault="00F22FBD">
      <w:pPr>
        <w:ind w:left="567" w:hanging="567"/>
      </w:pPr>
    </w:p>
    <w:p w14:paraId="42F76C05" w14:textId="77777777" w:rsidR="00F22FBD" w:rsidRDefault="00F22FBD">
      <w:pPr>
        <w:ind w:left="567" w:hanging="567"/>
      </w:pPr>
    </w:p>
    <w:p w14:paraId="28F7C5EC" w14:textId="77777777" w:rsidR="00F22FBD" w:rsidRDefault="00F22FBD">
      <w:pPr>
        <w:ind w:left="567" w:hanging="567"/>
      </w:pPr>
    </w:p>
    <w:p w14:paraId="4470BADD" w14:textId="77777777" w:rsidR="00F22FBD" w:rsidRDefault="00F22FBD">
      <w:pPr>
        <w:ind w:left="567" w:hanging="567"/>
      </w:pPr>
    </w:p>
    <w:p w14:paraId="33BD78BE" w14:textId="77777777" w:rsidR="00F22FBD" w:rsidRDefault="00D44E4A">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 PRIEDAS</w:t>
      </w:r>
    </w:p>
    <w:p w14:paraId="06CDDD4E" w14:textId="77777777" w:rsidR="00F22FBD" w:rsidRDefault="00F22FBD">
      <w:pPr>
        <w:ind w:left="567" w:hanging="567"/>
      </w:pPr>
    </w:p>
    <w:p w14:paraId="22AFA95E" w14:textId="77777777" w:rsidR="00F22FBD" w:rsidRDefault="00D44E4A">
      <w:pPr>
        <w:ind w:left="567" w:hanging="567"/>
        <w:jc w:val="center"/>
      </w:pPr>
      <w:r>
        <w:rPr>
          <w:b/>
          <w:bCs/>
        </w:rPr>
        <w:t>PREPARATO CHARAKTERISTIKŲ SANTRAUKA</w:t>
      </w:r>
    </w:p>
    <w:p w14:paraId="48013F2F" w14:textId="77777777" w:rsidR="00F22FBD" w:rsidRDefault="00D44E4A">
      <w:pPr>
        <w:rPr>
          <w:szCs w:val="22"/>
        </w:rPr>
      </w:pPr>
      <w:r>
        <w:br w:type="page"/>
      </w:r>
    </w:p>
    <w:p w14:paraId="72E1C537" w14:textId="77777777" w:rsidR="00F22FBD" w:rsidRDefault="00D44E4A">
      <w:pPr>
        <w:ind w:left="567" w:hanging="567"/>
        <w:rPr>
          <w:b/>
        </w:rPr>
      </w:pPr>
      <w:r>
        <w:rPr>
          <w:b/>
        </w:rPr>
        <w:lastRenderedPageBreak/>
        <w:t>1.</w:t>
      </w:r>
      <w:r>
        <w:rPr>
          <w:b/>
        </w:rPr>
        <w:tab/>
      </w:r>
      <w:r>
        <w:rPr>
          <w:b/>
          <w:caps/>
        </w:rPr>
        <w:t>VAISTINIO</w:t>
      </w:r>
      <w:r>
        <w:rPr>
          <w:b/>
        </w:rPr>
        <w:t xml:space="preserve"> PREPARATO PAVADINIMAS</w:t>
      </w:r>
    </w:p>
    <w:p w14:paraId="5A57B256" w14:textId="77777777" w:rsidR="00F22FBD" w:rsidRDefault="00F22FBD">
      <w:pPr>
        <w:ind w:left="567" w:hanging="567"/>
      </w:pPr>
    </w:p>
    <w:p w14:paraId="716161AF" w14:textId="77777777" w:rsidR="00F22FBD" w:rsidRDefault="00D44E4A">
      <w:pPr>
        <w:ind w:left="567" w:hanging="567"/>
      </w:pPr>
      <w:r>
        <w:t>Danengo 75 mg kietosios kapsulės</w:t>
      </w:r>
    </w:p>
    <w:p w14:paraId="3FED6B9D" w14:textId="77777777" w:rsidR="00F22FBD" w:rsidRDefault="00F22FBD">
      <w:pPr>
        <w:ind w:left="567" w:hanging="567"/>
      </w:pPr>
    </w:p>
    <w:p w14:paraId="12463563" w14:textId="77777777" w:rsidR="00F22FBD" w:rsidRDefault="00D44E4A">
      <w:pPr>
        <w:ind w:left="567" w:hanging="567"/>
        <w:rPr>
          <w:b/>
          <w:caps/>
        </w:rPr>
      </w:pPr>
      <w:r>
        <w:rPr>
          <w:b/>
          <w:caps/>
        </w:rPr>
        <w:t>2.</w:t>
      </w:r>
      <w:r>
        <w:rPr>
          <w:b/>
          <w:caps/>
        </w:rPr>
        <w:tab/>
        <w:t>kokybinė ir kiekybinė sudėtis</w:t>
      </w:r>
    </w:p>
    <w:p w14:paraId="2A7AD827" w14:textId="77777777" w:rsidR="00F22FBD" w:rsidRDefault="00F22FBD"/>
    <w:p w14:paraId="45C32B0E" w14:textId="77777777" w:rsidR="00F22FBD" w:rsidRDefault="00D44E4A">
      <w:r>
        <w:t>Kiekvienoje kietojoje kapsulėje yra 75 mg dabigatrano eteksilato (dabigatrano eteksilato mesilato pavidalu).</w:t>
      </w:r>
    </w:p>
    <w:p w14:paraId="6B579E96" w14:textId="77777777" w:rsidR="00F22FBD" w:rsidRDefault="00F22FBD"/>
    <w:p w14:paraId="1B6BCCEA" w14:textId="77777777" w:rsidR="00F22FBD" w:rsidRDefault="00D44E4A">
      <w:r>
        <w:t>Visos pagalbinės medžiagos išvardytos 6.1 skyriuje.</w:t>
      </w:r>
    </w:p>
    <w:p w14:paraId="11A1008E" w14:textId="77777777" w:rsidR="00F22FBD" w:rsidRDefault="00F22FBD">
      <w:pPr>
        <w:ind w:left="567" w:hanging="567"/>
      </w:pPr>
    </w:p>
    <w:p w14:paraId="689F0F5D" w14:textId="77777777" w:rsidR="00F22FBD" w:rsidRDefault="00D44E4A">
      <w:pPr>
        <w:ind w:left="567" w:hanging="567"/>
        <w:rPr>
          <w:b/>
          <w:caps/>
        </w:rPr>
      </w:pPr>
      <w:r>
        <w:rPr>
          <w:b/>
          <w:caps/>
        </w:rPr>
        <w:t>3.</w:t>
      </w:r>
      <w:r>
        <w:rPr>
          <w:b/>
          <w:caps/>
        </w:rPr>
        <w:tab/>
      </w:r>
      <w:r>
        <w:rPr>
          <w:b/>
          <w:caps/>
          <w:noProof/>
        </w:rPr>
        <w:t>FARMACINĖ</w:t>
      </w:r>
      <w:r>
        <w:rPr>
          <w:b/>
          <w:caps/>
        </w:rPr>
        <w:t xml:space="preserve"> forma</w:t>
      </w:r>
    </w:p>
    <w:p w14:paraId="391D6370" w14:textId="77777777" w:rsidR="00F22FBD" w:rsidRDefault="00F22FBD">
      <w:pPr>
        <w:rPr>
          <w:highlight w:val="yellow"/>
        </w:rPr>
      </w:pPr>
    </w:p>
    <w:p w14:paraId="377C94CF" w14:textId="77777777" w:rsidR="00F22FBD" w:rsidRDefault="00D44E4A">
      <w:r>
        <w:t>Kietoji kapsulė (kapsulė)</w:t>
      </w:r>
    </w:p>
    <w:p w14:paraId="416589DD" w14:textId="77777777" w:rsidR="00F22FBD" w:rsidRDefault="00F22FBD"/>
    <w:p w14:paraId="6F66B3C1" w14:textId="77777777" w:rsidR="00F22FBD" w:rsidRDefault="00D44E4A">
      <w:pPr>
        <w:rPr>
          <w:noProof/>
        </w:rPr>
      </w:pPr>
      <w:r>
        <w:rPr>
          <w:noProof/>
        </w:rPr>
        <w:t>Kapsulės dangtelis yra nuo baltos iki beveik baltos spalvos, kapsulės korpusas yra nuo baltos iki beveik baltos spalvos su išilgine juoda žyme 75. Kapsulės turinys yra gelsvai baltos arba šviesiai geltonos spalvos granulės. Kapsulės dydis: 2, maždaug 18 mm ilgio.</w:t>
      </w:r>
    </w:p>
    <w:p w14:paraId="520AF676" w14:textId="77777777" w:rsidR="00F22FBD" w:rsidRDefault="00F22FBD"/>
    <w:p w14:paraId="099DF6BF" w14:textId="77777777" w:rsidR="00F22FBD" w:rsidRDefault="00F22FBD">
      <w:pPr>
        <w:ind w:left="567" w:hanging="567"/>
      </w:pPr>
    </w:p>
    <w:p w14:paraId="0C0FA3C1" w14:textId="77777777" w:rsidR="00F22FBD" w:rsidRDefault="00D44E4A">
      <w:pPr>
        <w:ind w:left="567" w:hanging="567"/>
        <w:rPr>
          <w:b/>
          <w:caps/>
        </w:rPr>
      </w:pPr>
      <w:r>
        <w:rPr>
          <w:b/>
          <w:caps/>
        </w:rPr>
        <w:t>4.</w:t>
      </w:r>
      <w:r>
        <w:rPr>
          <w:b/>
          <w:caps/>
        </w:rPr>
        <w:tab/>
        <w:t>klinikinĖ informacija</w:t>
      </w:r>
    </w:p>
    <w:p w14:paraId="4F09D697" w14:textId="77777777" w:rsidR="00F22FBD" w:rsidRDefault="00F22FBD">
      <w:pPr>
        <w:ind w:left="567" w:hanging="567"/>
      </w:pPr>
    </w:p>
    <w:p w14:paraId="477A3087" w14:textId="77777777" w:rsidR="00F22FBD" w:rsidRDefault="00D44E4A">
      <w:pPr>
        <w:ind w:left="567" w:hanging="567"/>
        <w:rPr>
          <w:b/>
        </w:rPr>
      </w:pPr>
      <w:r>
        <w:rPr>
          <w:b/>
        </w:rPr>
        <w:t>4.1</w:t>
      </w:r>
      <w:r>
        <w:rPr>
          <w:b/>
        </w:rPr>
        <w:tab/>
        <w:t>Terapinės indikacijos</w:t>
      </w:r>
    </w:p>
    <w:p w14:paraId="35A4846F" w14:textId="77777777" w:rsidR="00F22FBD" w:rsidRDefault="00F22FBD">
      <w:pPr>
        <w:ind w:left="567" w:hanging="567"/>
      </w:pPr>
    </w:p>
    <w:p w14:paraId="0379648E" w14:textId="77777777" w:rsidR="00F22FBD" w:rsidRDefault="00D44E4A">
      <w:r>
        <w:t>Pirminė venų tromboembolinių (VTE) reiškinių profilaktika suaugusiems pacientams, kuriems atlikta planinė viso klubo sąnario arba viso kelio sąnario keitimo operacija.</w:t>
      </w:r>
    </w:p>
    <w:p w14:paraId="631340F9" w14:textId="77777777" w:rsidR="00F22FBD" w:rsidRDefault="00F22FBD"/>
    <w:p w14:paraId="74B082CB" w14:textId="77777777" w:rsidR="00F22FBD" w:rsidRDefault="00D44E4A">
      <w:r>
        <w:t>VTE reiškinių gydymas ir VTE pasikartojimo profilaktika pacientams vaikams nuo gimimo iki jaunesniems kaip 18 metų.</w:t>
      </w:r>
    </w:p>
    <w:p w14:paraId="3296ACFE" w14:textId="77777777" w:rsidR="00F22FBD" w:rsidRDefault="00F22FBD"/>
    <w:p w14:paraId="597760DE" w14:textId="77777777" w:rsidR="00F22FBD" w:rsidRDefault="00D44E4A">
      <w:pPr>
        <w:rPr>
          <w:noProof/>
          <w:szCs w:val="22"/>
        </w:rPr>
      </w:pPr>
      <w:r>
        <w:t>Kokios farmacinės formos dozės tinka atitinkamam amžiui, žr. 4.2 skyriuje.</w:t>
      </w:r>
    </w:p>
    <w:p w14:paraId="53CC0142" w14:textId="77777777" w:rsidR="00F22FBD" w:rsidRDefault="00F22FBD">
      <w:pPr>
        <w:ind w:left="567" w:hanging="567"/>
      </w:pPr>
    </w:p>
    <w:p w14:paraId="54592E4C" w14:textId="77777777" w:rsidR="00F22FBD" w:rsidRDefault="00D44E4A">
      <w:pPr>
        <w:ind w:left="567" w:hanging="567"/>
        <w:rPr>
          <w:b/>
        </w:rPr>
      </w:pPr>
      <w:r>
        <w:rPr>
          <w:b/>
        </w:rPr>
        <w:t>4.2</w:t>
      </w:r>
      <w:r>
        <w:rPr>
          <w:b/>
        </w:rPr>
        <w:tab/>
        <w:t>Dozavimas ir vartojimo metodas</w:t>
      </w:r>
    </w:p>
    <w:p w14:paraId="7C51F3F8" w14:textId="77777777" w:rsidR="00F22FBD" w:rsidRDefault="00F22FBD">
      <w:pPr>
        <w:ind w:left="567" w:hanging="567"/>
        <w:rPr>
          <w:b/>
        </w:rPr>
      </w:pPr>
    </w:p>
    <w:p w14:paraId="6F09738B" w14:textId="77777777" w:rsidR="00F22FBD" w:rsidRDefault="00D44E4A">
      <w:pPr>
        <w:rPr>
          <w:noProof/>
          <w:szCs w:val="22"/>
          <w:u w:val="single"/>
        </w:rPr>
      </w:pPr>
      <w:r>
        <w:rPr>
          <w:noProof/>
          <w:szCs w:val="22"/>
          <w:u w:val="single"/>
        </w:rPr>
        <w:t>Dozavimas</w:t>
      </w:r>
    </w:p>
    <w:p w14:paraId="58A27E7A" w14:textId="77777777" w:rsidR="00F22FBD" w:rsidRDefault="00F22FBD"/>
    <w:p w14:paraId="6CDAE635" w14:textId="77777777" w:rsidR="00F22FBD" w:rsidRDefault="00D44E4A">
      <w:r>
        <w:t>Danengo kapsules galima skirti suaugusiesiems ir pacientams vaikams, kurie yra 8 metų amžiaus arba vyresni ir kurie gali nuryti visą kapsulę. Yra ir kitų amžių atitinkančių dozių formų, skirtų jaunesniems nei 8 metų vaikams gydyti.</w:t>
      </w:r>
    </w:p>
    <w:p w14:paraId="24BE81EE" w14:textId="77777777" w:rsidR="00F22FBD" w:rsidRDefault="00F22FBD"/>
    <w:p w14:paraId="3B8B58E9" w14:textId="77777777" w:rsidR="00F22FBD" w:rsidRDefault="00D44E4A">
      <w:r>
        <w:t>Keičiant vienos formos vaistinį preparatą kita, gali reikėti pakeisti skiriamą dozę. Dozę, nurodytą atitinkamos formos dozavimo lentelėje, reikia skirti atsižvelgiant į vaiko kūno svorį ir amžių.</w:t>
      </w:r>
    </w:p>
    <w:p w14:paraId="6BDEA720" w14:textId="77777777" w:rsidR="00F22FBD" w:rsidRDefault="00F22FBD">
      <w:pPr>
        <w:rPr>
          <w:noProof/>
          <w:szCs w:val="22"/>
        </w:rPr>
      </w:pPr>
    </w:p>
    <w:p w14:paraId="57BE7793" w14:textId="77777777" w:rsidR="00F22FBD" w:rsidRDefault="00D44E4A">
      <w:pPr>
        <w:rPr>
          <w:b/>
          <w:bCs/>
          <w:i/>
          <w:iCs/>
          <w:u w:val="single"/>
        </w:rPr>
      </w:pPr>
      <w:r>
        <w:rPr>
          <w:b/>
          <w:bCs/>
          <w:i/>
          <w:iCs/>
          <w:u w:val="single"/>
        </w:rPr>
        <w:t>Pirminė VTE profilaktika ortopedinėje chirurgijoje</w:t>
      </w:r>
    </w:p>
    <w:p w14:paraId="40FE3378" w14:textId="77777777" w:rsidR="00F22FBD" w:rsidRDefault="00F22FBD"/>
    <w:p w14:paraId="7309601A" w14:textId="77777777" w:rsidR="00F22FBD" w:rsidRDefault="00D44E4A">
      <w:r>
        <w:t>Rekomenduojamos dabigatrano eteksilato dozės ir terapijos trukmė pirminei VTE profilaktikai ortopedinėje chirurgijoje nurodytos 1 lentelėje.</w:t>
      </w:r>
    </w:p>
    <w:p w14:paraId="49B8B9A9" w14:textId="77777777" w:rsidR="00F22FBD" w:rsidRDefault="00F22FBD">
      <w:pPr>
        <w:ind w:left="567" w:hanging="567"/>
      </w:pPr>
    </w:p>
    <w:p w14:paraId="4EB757BE" w14:textId="77777777" w:rsidR="00F22FBD" w:rsidRDefault="00D44E4A">
      <w:pPr>
        <w:ind w:left="567" w:hanging="567"/>
        <w:rPr>
          <w:b/>
          <w:bCs/>
        </w:rPr>
      </w:pPr>
      <w:r>
        <w:rPr>
          <w:b/>
          <w:bCs/>
        </w:rPr>
        <w:t>1 lentelė. Dozių ir terapijos trukmės rekomendacijos pirminei VTE profilaktikai ortopedinėje chirurgijoje</w:t>
      </w:r>
    </w:p>
    <w:p w14:paraId="6AADFB92" w14:textId="77777777" w:rsidR="00F22FBD" w:rsidRDefault="00F22FBD">
      <w:pPr>
        <w:ind w:left="567" w:hanging="567"/>
        <w:rPr>
          <w:b/>
          <w:bCs/>
        </w:rPr>
      </w:pP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2198"/>
        <w:gridCol w:w="1353"/>
        <w:gridCol w:w="2095"/>
      </w:tblGrid>
      <w:tr w:rsidR="00F22FBD" w14:paraId="655F4A7B" w14:textId="77777777">
        <w:trPr>
          <w:jc w:val="center"/>
        </w:trPr>
        <w:tc>
          <w:tcPr>
            <w:tcW w:w="3430" w:type="dxa"/>
            <w:shd w:val="clear" w:color="auto" w:fill="auto"/>
          </w:tcPr>
          <w:p w14:paraId="2F99114B" w14:textId="77777777" w:rsidR="00F22FBD" w:rsidRDefault="00F22FBD">
            <w:pPr>
              <w:widowControl w:val="0"/>
              <w:rPr>
                <w:color w:val="000000"/>
                <w:szCs w:val="22"/>
                <w:lang w:val="sl-SI" w:eastAsia="sl-SI"/>
              </w:rPr>
            </w:pPr>
          </w:p>
        </w:tc>
        <w:tc>
          <w:tcPr>
            <w:tcW w:w="2198" w:type="dxa"/>
            <w:shd w:val="clear" w:color="auto" w:fill="auto"/>
          </w:tcPr>
          <w:p w14:paraId="1E392A63" w14:textId="77777777" w:rsidR="00F22FBD" w:rsidRDefault="00D44E4A">
            <w:pPr>
              <w:widowControl w:val="0"/>
              <w:rPr>
                <w:b/>
                <w:bCs/>
                <w:color w:val="000000"/>
                <w:szCs w:val="22"/>
                <w:lang w:val="sl-SI" w:eastAsia="sl-SI"/>
              </w:rPr>
            </w:pPr>
            <w:r>
              <w:rPr>
                <w:b/>
                <w:bCs/>
              </w:rPr>
              <w:t>Gydymo pradžia operacijos dieną, praėjus 1-4 valandoms po operacijos pabaigos</w:t>
            </w:r>
          </w:p>
        </w:tc>
        <w:tc>
          <w:tcPr>
            <w:tcW w:w="1353" w:type="dxa"/>
            <w:shd w:val="clear" w:color="auto" w:fill="auto"/>
          </w:tcPr>
          <w:p w14:paraId="121BDE07" w14:textId="77777777" w:rsidR="00F22FBD" w:rsidRDefault="00D44E4A">
            <w:pPr>
              <w:widowControl w:val="0"/>
              <w:rPr>
                <w:b/>
                <w:bCs/>
                <w:color w:val="000000"/>
                <w:szCs w:val="22"/>
                <w:lang w:val="sl-SI" w:eastAsia="sl-SI"/>
              </w:rPr>
            </w:pPr>
            <w:r>
              <w:rPr>
                <w:b/>
                <w:bCs/>
              </w:rPr>
              <w:t>Palaikomoji dozė, pradedant pirmąja diena po operacijos</w:t>
            </w:r>
          </w:p>
        </w:tc>
        <w:tc>
          <w:tcPr>
            <w:tcW w:w="2095" w:type="dxa"/>
            <w:shd w:val="clear" w:color="auto" w:fill="auto"/>
          </w:tcPr>
          <w:p w14:paraId="52215FA6" w14:textId="77777777" w:rsidR="00F22FBD" w:rsidRDefault="00D44E4A">
            <w:pPr>
              <w:widowControl w:val="0"/>
              <w:rPr>
                <w:b/>
                <w:bCs/>
                <w:color w:val="000000"/>
                <w:szCs w:val="22"/>
                <w:lang w:val="sl-SI" w:eastAsia="sl-SI"/>
              </w:rPr>
            </w:pPr>
            <w:r>
              <w:rPr>
                <w:b/>
                <w:bCs/>
              </w:rPr>
              <w:t>Palaikomosios dozės vartojimo trukmė</w:t>
            </w:r>
          </w:p>
        </w:tc>
      </w:tr>
      <w:tr w:rsidR="00F22FBD" w14:paraId="72AF419A" w14:textId="77777777">
        <w:trPr>
          <w:trHeight w:val="698"/>
          <w:jc w:val="center"/>
        </w:trPr>
        <w:tc>
          <w:tcPr>
            <w:tcW w:w="3430" w:type="dxa"/>
            <w:shd w:val="clear" w:color="auto" w:fill="auto"/>
          </w:tcPr>
          <w:p w14:paraId="13B92F19" w14:textId="77777777" w:rsidR="00F22FBD" w:rsidRDefault="00D44E4A">
            <w:pPr>
              <w:widowControl w:val="0"/>
              <w:rPr>
                <w:color w:val="000000"/>
                <w:szCs w:val="22"/>
                <w:lang w:val="sl-SI" w:eastAsia="sl-SI"/>
              </w:rPr>
            </w:pPr>
            <w:r>
              <w:lastRenderedPageBreak/>
              <w:t>Pacientams po planinės kelio sąnario keitimo operacijos</w:t>
            </w:r>
          </w:p>
        </w:tc>
        <w:tc>
          <w:tcPr>
            <w:tcW w:w="2198" w:type="dxa"/>
            <w:vMerge w:val="restart"/>
            <w:shd w:val="clear" w:color="auto" w:fill="auto"/>
            <w:vAlign w:val="center"/>
          </w:tcPr>
          <w:p w14:paraId="42508076" w14:textId="77777777" w:rsidR="00F22FBD" w:rsidRDefault="00D44E4A">
            <w:pPr>
              <w:widowControl w:val="0"/>
              <w:rPr>
                <w:color w:val="000000"/>
                <w:szCs w:val="22"/>
                <w:lang w:val="sl-SI" w:eastAsia="sl-SI"/>
              </w:rPr>
            </w:pPr>
            <w:r>
              <w:t>viena 110 mg dabigatrano eteksilato kapsulė</w:t>
            </w:r>
          </w:p>
        </w:tc>
        <w:tc>
          <w:tcPr>
            <w:tcW w:w="1353" w:type="dxa"/>
            <w:vMerge w:val="restart"/>
            <w:shd w:val="clear" w:color="auto" w:fill="auto"/>
            <w:vAlign w:val="center"/>
          </w:tcPr>
          <w:p w14:paraId="255D196B" w14:textId="77777777" w:rsidR="00F22FBD" w:rsidRDefault="00D44E4A">
            <w:pPr>
              <w:widowControl w:val="0"/>
              <w:rPr>
                <w:color w:val="000000"/>
                <w:szCs w:val="22"/>
                <w:lang w:val="sl-SI" w:eastAsia="sl-SI"/>
              </w:rPr>
            </w:pPr>
            <w:r>
              <w:t>220 mg dabigatrano eteksilato vieną kartą per parą, suvartojama kaip 2 kapsulės po 110 mg</w:t>
            </w:r>
          </w:p>
        </w:tc>
        <w:tc>
          <w:tcPr>
            <w:tcW w:w="2095" w:type="dxa"/>
            <w:shd w:val="clear" w:color="auto" w:fill="auto"/>
            <w:vAlign w:val="center"/>
          </w:tcPr>
          <w:p w14:paraId="7FA4DC95" w14:textId="77777777" w:rsidR="00F22FBD" w:rsidRDefault="00D44E4A">
            <w:pPr>
              <w:widowControl w:val="0"/>
              <w:rPr>
                <w:color w:val="000000"/>
                <w:szCs w:val="22"/>
                <w:lang w:val="sl-SI" w:eastAsia="sl-SI"/>
              </w:rPr>
            </w:pPr>
            <w:r>
              <w:rPr>
                <w:color w:val="000000"/>
                <w:szCs w:val="22"/>
                <w:lang w:val="sl-SI" w:eastAsia="sl-SI"/>
              </w:rPr>
              <w:t>10 parų</w:t>
            </w:r>
          </w:p>
        </w:tc>
      </w:tr>
      <w:tr w:rsidR="00F22FBD" w14:paraId="5DB5B14F" w14:textId="77777777">
        <w:trPr>
          <w:jc w:val="center"/>
        </w:trPr>
        <w:tc>
          <w:tcPr>
            <w:tcW w:w="3430" w:type="dxa"/>
            <w:shd w:val="clear" w:color="auto" w:fill="auto"/>
          </w:tcPr>
          <w:p w14:paraId="4874AC5A" w14:textId="77777777" w:rsidR="00F22FBD" w:rsidRDefault="00D44E4A">
            <w:pPr>
              <w:widowControl w:val="0"/>
              <w:rPr>
                <w:color w:val="000000"/>
                <w:szCs w:val="22"/>
                <w:lang w:val="sl-SI" w:eastAsia="sl-SI"/>
              </w:rPr>
            </w:pPr>
            <w:r>
              <w:t>Pacientams po planinės klubo sąnario keitimo operacijos</w:t>
            </w:r>
          </w:p>
        </w:tc>
        <w:tc>
          <w:tcPr>
            <w:tcW w:w="2198" w:type="dxa"/>
            <w:vMerge/>
            <w:shd w:val="clear" w:color="auto" w:fill="auto"/>
            <w:vAlign w:val="center"/>
          </w:tcPr>
          <w:p w14:paraId="3F04D8D4" w14:textId="77777777" w:rsidR="00F22FBD" w:rsidRDefault="00F22FBD">
            <w:pPr>
              <w:widowControl w:val="0"/>
              <w:rPr>
                <w:color w:val="000000"/>
                <w:szCs w:val="22"/>
                <w:lang w:val="sl-SI" w:eastAsia="sl-SI"/>
              </w:rPr>
            </w:pPr>
          </w:p>
        </w:tc>
        <w:tc>
          <w:tcPr>
            <w:tcW w:w="1353" w:type="dxa"/>
            <w:vMerge/>
            <w:shd w:val="clear" w:color="auto" w:fill="auto"/>
            <w:vAlign w:val="center"/>
          </w:tcPr>
          <w:p w14:paraId="37FF1894" w14:textId="77777777" w:rsidR="00F22FBD" w:rsidRDefault="00F22FBD">
            <w:pPr>
              <w:widowControl w:val="0"/>
              <w:rPr>
                <w:color w:val="000000"/>
                <w:szCs w:val="22"/>
                <w:lang w:val="sl-SI" w:eastAsia="sl-SI"/>
              </w:rPr>
            </w:pPr>
          </w:p>
        </w:tc>
        <w:tc>
          <w:tcPr>
            <w:tcW w:w="2095" w:type="dxa"/>
            <w:shd w:val="clear" w:color="auto" w:fill="auto"/>
            <w:vAlign w:val="center"/>
          </w:tcPr>
          <w:p w14:paraId="505EBE41" w14:textId="77777777" w:rsidR="00F22FBD" w:rsidRDefault="00D44E4A">
            <w:pPr>
              <w:widowControl w:val="0"/>
              <w:rPr>
                <w:color w:val="000000"/>
                <w:szCs w:val="22"/>
                <w:lang w:val="sl-SI" w:eastAsia="sl-SI"/>
              </w:rPr>
            </w:pPr>
            <w:r>
              <w:rPr>
                <w:color w:val="000000"/>
                <w:szCs w:val="22"/>
                <w:lang w:val="sl-SI" w:eastAsia="sl-SI"/>
              </w:rPr>
              <w:t>28-35 paros</w:t>
            </w:r>
          </w:p>
        </w:tc>
      </w:tr>
      <w:tr w:rsidR="00F22FBD" w14:paraId="68D32B9A" w14:textId="77777777">
        <w:trPr>
          <w:trHeight w:val="450"/>
          <w:jc w:val="center"/>
        </w:trPr>
        <w:tc>
          <w:tcPr>
            <w:tcW w:w="3430" w:type="dxa"/>
            <w:shd w:val="clear" w:color="auto" w:fill="auto"/>
          </w:tcPr>
          <w:p w14:paraId="1E5FFA8B" w14:textId="77777777" w:rsidR="00F22FBD" w:rsidRDefault="00D44E4A">
            <w:pPr>
              <w:widowControl w:val="0"/>
              <w:rPr>
                <w:b/>
                <w:bCs/>
                <w:i/>
                <w:iCs/>
                <w:color w:val="000000"/>
                <w:szCs w:val="22"/>
                <w:u w:val="single"/>
                <w:lang w:val="sl-SI" w:eastAsia="sl-SI"/>
              </w:rPr>
            </w:pPr>
            <w:r>
              <w:rPr>
                <w:b/>
                <w:bCs/>
                <w:i/>
                <w:iCs/>
                <w:u w:val="single"/>
              </w:rPr>
              <w:t>Rekomenduojamas dozės mažinimas</w:t>
            </w:r>
          </w:p>
        </w:tc>
        <w:tc>
          <w:tcPr>
            <w:tcW w:w="2198" w:type="dxa"/>
            <w:shd w:val="clear" w:color="auto" w:fill="auto"/>
            <w:vAlign w:val="center"/>
          </w:tcPr>
          <w:p w14:paraId="631B6DFA" w14:textId="77777777" w:rsidR="00F22FBD" w:rsidRDefault="00F22FBD">
            <w:pPr>
              <w:widowControl w:val="0"/>
              <w:rPr>
                <w:color w:val="000000"/>
                <w:szCs w:val="22"/>
                <w:lang w:val="sl-SI" w:eastAsia="sl-SI"/>
              </w:rPr>
            </w:pPr>
          </w:p>
        </w:tc>
        <w:tc>
          <w:tcPr>
            <w:tcW w:w="1353" w:type="dxa"/>
            <w:shd w:val="clear" w:color="auto" w:fill="auto"/>
            <w:vAlign w:val="center"/>
          </w:tcPr>
          <w:p w14:paraId="2E56F49A" w14:textId="77777777" w:rsidR="00F22FBD" w:rsidRDefault="00F22FBD">
            <w:pPr>
              <w:widowControl w:val="0"/>
              <w:rPr>
                <w:color w:val="000000"/>
                <w:szCs w:val="22"/>
                <w:lang w:val="sl-SI" w:eastAsia="sl-SI"/>
              </w:rPr>
            </w:pPr>
          </w:p>
        </w:tc>
        <w:tc>
          <w:tcPr>
            <w:tcW w:w="2095" w:type="dxa"/>
            <w:shd w:val="clear" w:color="auto" w:fill="auto"/>
            <w:vAlign w:val="center"/>
          </w:tcPr>
          <w:p w14:paraId="58F2772F" w14:textId="77777777" w:rsidR="00F22FBD" w:rsidRDefault="00F22FBD">
            <w:pPr>
              <w:widowControl w:val="0"/>
              <w:rPr>
                <w:color w:val="000000"/>
                <w:szCs w:val="22"/>
                <w:lang w:val="sl-SI" w:eastAsia="sl-SI"/>
              </w:rPr>
            </w:pPr>
          </w:p>
        </w:tc>
      </w:tr>
      <w:tr w:rsidR="00F22FBD" w14:paraId="2D9D1E0B" w14:textId="77777777">
        <w:trPr>
          <w:trHeight w:val="839"/>
          <w:jc w:val="center"/>
        </w:trPr>
        <w:tc>
          <w:tcPr>
            <w:tcW w:w="3430" w:type="dxa"/>
            <w:shd w:val="clear" w:color="auto" w:fill="auto"/>
          </w:tcPr>
          <w:p w14:paraId="083C9182" w14:textId="77777777" w:rsidR="00F22FBD" w:rsidRDefault="00D44E4A">
            <w:pPr>
              <w:widowControl w:val="0"/>
              <w:autoSpaceDE w:val="0"/>
              <w:autoSpaceDN w:val="0"/>
              <w:adjustRightInd w:val="0"/>
              <w:rPr>
                <w:rFonts w:eastAsia="TimesNewRoman"/>
                <w:color w:val="000000"/>
                <w:szCs w:val="22"/>
                <w:lang w:val="sl-SI" w:eastAsia="sl-SI"/>
              </w:rPr>
            </w:pPr>
            <w:r>
              <w:t>Pacientai, kuriems yra vidutinio sunkumo inkstų funkcijos sutrikimas (kreatinino klirensas (KrKl) 30-50 ml/min.)</w:t>
            </w:r>
          </w:p>
        </w:tc>
        <w:tc>
          <w:tcPr>
            <w:tcW w:w="2198" w:type="dxa"/>
            <w:vMerge w:val="restart"/>
            <w:shd w:val="clear" w:color="auto" w:fill="auto"/>
            <w:vAlign w:val="center"/>
          </w:tcPr>
          <w:p w14:paraId="16A6E48C" w14:textId="77777777" w:rsidR="00F22FBD" w:rsidRDefault="00D44E4A">
            <w:pPr>
              <w:widowControl w:val="0"/>
              <w:rPr>
                <w:color w:val="000000"/>
                <w:szCs w:val="22"/>
                <w:lang w:val="sl-SI" w:eastAsia="sl-SI"/>
              </w:rPr>
            </w:pPr>
            <w:r>
              <w:t>viena 75 mg dabigatrano eteksilato kapsulė</w:t>
            </w:r>
          </w:p>
        </w:tc>
        <w:tc>
          <w:tcPr>
            <w:tcW w:w="1353" w:type="dxa"/>
            <w:vMerge w:val="restart"/>
            <w:shd w:val="clear" w:color="auto" w:fill="auto"/>
            <w:vAlign w:val="center"/>
          </w:tcPr>
          <w:p w14:paraId="1B9A8ACE" w14:textId="77777777" w:rsidR="00F22FBD" w:rsidRDefault="00D44E4A">
            <w:pPr>
              <w:widowControl w:val="0"/>
              <w:rPr>
                <w:color w:val="000000"/>
                <w:szCs w:val="22"/>
                <w:lang w:val="sl-SI" w:eastAsia="sl-SI"/>
              </w:rPr>
            </w:pPr>
            <w:r>
              <w:t>150 mg dabigatrano eteksilato vieną kartą per parą, suvartojama kaip 2 kapsulės po 75 mg</w:t>
            </w:r>
          </w:p>
        </w:tc>
        <w:tc>
          <w:tcPr>
            <w:tcW w:w="2095" w:type="dxa"/>
            <w:vMerge w:val="restart"/>
            <w:shd w:val="clear" w:color="auto" w:fill="auto"/>
            <w:vAlign w:val="center"/>
          </w:tcPr>
          <w:p w14:paraId="12CBC04E" w14:textId="77777777" w:rsidR="00F22FBD" w:rsidRDefault="00D44E4A">
            <w:pPr>
              <w:widowControl w:val="0"/>
              <w:rPr>
                <w:color w:val="000000"/>
                <w:szCs w:val="22"/>
                <w:lang w:val="sl-SI" w:eastAsia="sl-SI"/>
              </w:rPr>
            </w:pPr>
            <w:r>
              <w:t>10 parų (po kelio sąnario keitimo operacijos) arba 28-35 paros (po klubo sąnario keitimo operacijos)</w:t>
            </w:r>
          </w:p>
        </w:tc>
      </w:tr>
      <w:tr w:rsidR="00F22FBD" w14:paraId="5EC0BCC5" w14:textId="77777777">
        <w:trPr>
          <w:trHeight w:val="695"/>
          <w:jc w:val="center"/>
        </w:trPr>
        <w:tc>
          <w:tcPr>
            <w:tcW w:w="3430" w:type="dxa"/>
            <w:shd w:val="clear" w:color="auto" w:fill="auto"/>
          </w:tcPr>
          <w:p w14:paraId="7F965E30" w14:textId="77777777" w:rsidR="00F22FBD" w:rsidRDefault="00D44E4A">
            <w:pPr>
              <w:widowControl w:val="0"/>
              <w:autoSpaceDE w:val="0"/>
              <w:autoSpaceDN w:val="0"/>
              <w:adjustRightInd w:val="0"/>
              <w:rPr>
                <w:rFonts w:eastAsia="TimesNewRoman"/>
                <w:color w:val="000000"/>
                <w:szCs w:val="22"/>
                <w:lang w:val="sl-SI" w:eastAsia="sl-SI"/>
              </w:rPr>
            </w:pPr>
            <w:r>
              <w:t>Pacientai, kartu vartojantys verapamilio*, amjodarono, chinidino</w:t>
            </w:r>
          </w:p>
        </w:tc>
        <w:tc>
          <w:tcPr>
            <w:tcW w:w="2198" w:type="dxa"/>
            <w:vMerge/>
            <w:shd w:val="clear" w:color="auto" w:fill="auto"/>
          </w:tcPr>
          <w:p w14:paraId="46A8619B" w14:textId="77777777" w:rsidR="00F22FBD" w:rsidRDefault="00F22FBD">
            <w:pPr>
              <w:widowControl w:val="0"/>
              <w:rPr>
                <w:color w:val="000000"/>
                <w:szCs w:val="22"/>
                <w:lang w:val="sl-SI" w:eastAsia="sl-SI"/>
              </w:rPr>
            </w:pPr>
          </w:p>
        </w:tc>
        <w:tc>
          <w:tcPr>
            <w:tcW w:w="1353" w:type="dxa"/>
            <w:vMerge/>
            <w:shd w:val="clear" w:color="auto" w:fill="auto"/>
          </w:tcPr>
          <w:p w14:paraId="44B54F0D" w14:textId="77777777" w:rsidR="00F22FBD" w:rsidRDefault="00F22FBD">
            <w:pPr>
              <w:widowControl w:val="0"/>
              <w:rPr>
                <w:color w:val="000000"/>
                <w:szCs w:val="22"/>
                <w:lang w:val="sl-SI" w:eastAsia="sl-SI"/>
              </w:rPr>
            </w:pPr>
          </w:p>
        </w:tc>
        <w:tc>
          <w:tcPr>
            <w:tcW w:w="2095" w:type="dxa"/>
            <w:vMerge/>
            <w:shd w:val="clear" w:color="auto" w:fill="auto"/>
          </w:tcPr>
          <w:p w14:paraId="7AA67418" w14:textId="77777777" w:rsidR="00F22FBD" w:rsidRDefault="00F22FBD">
            <w:pPr>
              <w:widowControl w:val="0"/>
              <w:rPr>
                <w:color w:val="000000"/>
                <w:szCs w:val="22"/>
                <w:lang w:val="sl-SI" w:eastAsia="sl-SI"/>
              </w:rPr>
            </w:pPr>
          </w:p>
        </w:tc>
      </w:tr>
      <w:tr w:rsidR="00F22FBD" w14:paraId="6AC47D31" w14:textId="77777777">
        <w:trPr>
          <w:trHeight w:val="421"/>
          <w:jc w:val="center"/>
        </w:trPr>
        <w:tc>
          <w:tcPr>
            <w:tcW w:w="3430" w:type="dxa"/>
            <w:shd w:val="clear" w:color="auto" w:fill="auto"/>
          </w:tcPr>
          <w:p w14:paraId="2316BBBE" w14:textId="77777777" w:rsidR="00F22FBD" w:rsidRDefault="00D44E4A">
            <w:pPr>
              <w:widowControl w:val="0"/>
              <w:rPr>
                <w:color w:val="000000"/>
                <w:szCs w:val="22"/>
                <w:lang w:val="sl-SI" w:eastAsia="sl-SI"/>
              </w:rPr>
            </w:pPr>
            <w:r>
              <w:t>75 metų arba vyresni pacientai</w:t>
            </w:r>
          </w:p>
        </w:tc>
        <w:tc>
          <w:tcPr>
            <w:tcW w:w="2198" w:type="dxa"/>
            <w:vMerge/>
            <w:shd w:val="clear" w:color="auto" w:fill="auto"/>
          </w:tcPr>
          <w:p w14:paraId="3A2D2A43" w14:textId="77777777" w:rsidR="00F22FBD" w:rsidRDefault="00F22FBD">
            <w:pPr>
              <w:widowControl w:val="0"/>
              <w:rPr>
                <w:color w:val="000000"/>
                <w:szCs w:val="22"/>
                <w:lang w:val="sl-SI" w:eastAsia="sl-SI"/>
              </w:rPr>
            </w:pPr>
          </w:p>
        </w:tc>
        <w:tc>
          <w:tcPr>
            <w:tcW w:w="1353" w:type="dxa"/>
            <w:vMerge/>
            <w:shd w:val="clear" w:color="auto" w:fill="auto"/>
          </w:tcPr>
          <w:p w14:paraId="71BB15B1" w14:textId="77777777" w:rsidR="00F22FBD" w:rsidRDefault="00F22FBD">
            <w:pPr>
              <w:widowControl w:val="0"/>
              <w:rPr>
                <w:color w:val="000000"/>
                <w:szCs w:val="22"/>
                <w:lang w:val="sl-SI" w:eastAsia="sl-SI"/>
              </w:rPr>
            </w:pPr>
          </w:p>
        </w:tc>
        <w:tc>
          <w:tcPr>
            <w:tcW w:w="2095" w:type="dxa"/>
            <w:vMerge/>
            <w:shd w:val="clear" w:color="auto" w:fill="auto"/>
          </w:tcPr>
          <w:p w14:paraId="313C20D6" w14:textId="77777777" w:rsidR="00F22FBD" w:rsidRDefault="00F22FBD">
            <w:pPr>
              <w:widowControl w:val="0"/>
              <w:rPr>
                <w:color w:val="000000"/>
                <w:szCs w:val="22"/>
                <w:lang w:val="sl-SI" w:eastAsia="sl-SI"/>
              </w:rPr>
            </w:pPr>
          </w:p>
        </w:tc>
      </w:tr>
    </w:tbl>
    <w:p w14:paraId="0F03BDA2" w14:textId="77777777" w:rsidR="00F22FBD" w:rsidRDefault="00D44E4A">
      <w:r>
        <w:t>*Dėl kartu verapamiliu gydomų pacientų, kuriems yra vidutinio sunkumo inkstų funkcijos sutrikimas, žr. skyrių „Ypatingos pacientų populiacijos“</w:t>
      </w:r>
    </w:p>
    <w:p w14:paraId="1D8EBADB" w14:textId="77777777" w:rsidR="00F22FBD" w:rsidRDefault="00F22FBD"/>
    <w:p w14:paraId="07A33695" w14:textId="77777777" w:rsidR="00F22FBD" w:rsidRDefault="00D44E4A">
      <w:r>
        <w:t>Jeigu abiejų šių operacijų metu nėra užtikrinta hemostazė, gydyti reikia pradėti vėliau. Jei vaistinio preparato vartoti nepradedama operacijos dieną, tai gydymą reikia pradėti 2 kapsulėmis, vartojamomis kartą per parą.</w:t>
      </w:r>
    </w:p>
    <w:p w14:paraId="1B71AF7F" w14:textId="77777777" w:rsidR="00F22FBD" w:rsidRDefault="00F22FBD"/>
    <w:p w14:paraId="73666BE8" w14:textId="77777777" w:rsidR="00F22FBD" w:rsidRDefault="00D44E4A">
      <w:pPr>
        <w:rPr>
          <w:i/>
          <w:iCs/>
          <w:u w:val="single"/>
        </w:rPr>
      </w:pPr>
      <w:r>
        <w:rPr>
          <w:i/>
          <w:iCs/>
          <w:u w:val="single"/>
        </w:rPr>
        <w:t>Inkstų funkcijos vertinimas prieš gydymą dabigatrano eteksilatu ir jo metu</w:t>
      </w:r>
    </w:p>
    <w:p w14:paraId="3B469C24" w14:textId="77777777" w:rsidR="00F22FBD" w:rsidRDefault="00F22FBD"/>
    <w:p w14:paraId="1EE0EA78" w14:textId="77777777" w:rsidR="00F22FBD" w:rsidRDefault="00D44E4A">
      <w:r>
        <w:t>Visiems pacientams, o ypač senyviems (&gt; 75 metų), nes šioje amžiaus grupėje gali būti dažnai</w:t>
      </w:r>
    </w:p>
    <w:p w14:paraId="358FCBD2" w14:textId="77777777" w:rsidR="00F22FBD" w:rsidRDefault="00D44E4A">
      <w:r>
        <w:t>sutrikusi inkstų funkcija:</w:t>
      </w:r>
    </w:p>
    <w:p w14:paraId="688B030A" w14:textId="77777777" w:rsidR="00F22FBD" w:rsidRDefault="00D44E4A">
      <w:pPr>
        <w:widowControl w:val="0"/>
        <w:numPr>
          <w:ilvl w:val="0"/>
          <w:numId w:val="5"/>
        </w:numPr>
        <w:autoSpaceDE w:val="0"/>
        <w:autoSpaceDN w:val="0"/>
        <w:ind w:left="567" w:hanging="567"/>
        <w:rPr>
          <w:color w:val="000000"/>
          <w:szCs w:val="22"/>
          <w:lang w:val="en-US"/>
        </w:rPr>
      </w:pPr>
      <w:r>
        <w:t>inkstų funkcija turi būti įvertinta apskaičiuojant kreatinino klirensą (KrKl) prieš gydymo dabigatrano eteksilatu pradžią, siekiant, kad vaistinio preparato nepradėtų vartoti pacientai, kuriems yra sunkus inkstų funkcijos sutrikimas (t. y. KrKl &lt; 30 ml/min.) (žr. 4.3, 4.4 ir</w:t>
      </w:r>
      <w:r>
        <w:rPr>
          <w:color w:val="000000"/>
          <w:szCs w:val="22"/>
          <w:lang w:val="en-US"/>
        </w:rPr>
        <w:t xml:space="preserve"> </w:t>
      </w:r>
      <w:r>
        <w:t>5.2 skyrius);</w:t>
      </w:r>
    </w:p>
    <w:p w14:paraId="380088F9" w14:textId="77777777" w:rsidR="00F22FBD" w:rsidRDefault="00D44E4A">
      <w:pPr>
        <w:widowControl w:val="0"/>
        <w:numPr>
          <w:ilvl w:val="0"/>
          <w:numId w:val="5"/>
        </w:numPr>
        <w:autoSpaceDE w:val="0"/>
        <w:autoSpaceDN w:val="0"/>
        <w:ind w:left="567" w:hanging="567"/>
        <w:rPr>
          <w:color w:val="000000"/>
          <w:szCs w:val="22"/>
          <w:lang w:val="en-US"/>
        </w:rPr>
      </w:pPr>
      <w:r>
        <w:t>inkstų funkciją reikia tirti ir tuo atveju, jei manoma, kad gydymo metu ji silpnėja (pvz.,</w:t>
      </w:r>
      <w:r>
        <w:rPr>
          <w:color w:val="000000"/>
          <w:szCs w:val="22"/>
          <w:lang w:val="en-US"/>
        </w:rPr>
        <w:t xml:space="preserve"> </w:t>
      </w:r>
      <w:r>
        <w:t>pasireiškia hipovolemija, dehidratacija ar kartu vartojama tam tikrų vaistinių preparatų).</w:t>
      </w:r>
    </w:p>
    <w:p w14:paraId="07939958" w14:textId="77777777" w:rsidR="00F22FBD" w:rsidRDefault="00F22FBD">
      <w:pPr>
        <w:widowControl w:val="0"/>
        <w:autoSpaceDE w:val="0"/>
        <w:autoSpaceDN w:val="0"/>
        <w:rPr>
          <w:color w:val="000000"/>
          <w:szCs w:val="22"/>
          <w:lang w:val="en-US"/>
        </w:rPr>
      </w:pPr>
    </w:p>
    <w:p w14:paraId="446E7320" w14:textId="77777777" w:rsidR="00F22FBD" w:rsidRDefault="00D44E4A">
      <w:pPr>
        <w:widowControl w:val="0"/>
        <w:autoSpaceDE w:val="0"/>
        <w:autoSpaceDN w:val="0"/>
        <w:rPr>
          <w:color w:val="000000"/>
          <w:szCs w:val="22"/>
          <w:lang w:val="en-US"/>
        </w:rPr>
      </w:pPr>
      <w:r>
        <w:t xml:space="preserve">Inkstų funkciją (KrKl ml/min.) reikia įvertinti </w:t>
      </w:r>
      <w:r>
        <w:rPr>
          <w:i/>
        </w:rPr>
        <w:t>Cockcroft-Gault</w:t>
      </w:r>
      <w:r>
        <w:t xml:space="preserve"> metodu.</w:t>
      </w:r>
    </w:p>
    <w:p w14:paraId="5C436844" w14:textId="77777777" w:rsidR="00F22FBD" w:rsidRDefault="00F22FBD">
      <w:pPr>
        <w:widowControl w:val="0"/>
        <w:autoSpaceDE w:val="0"/>
        <w:autoSpaceDN w:val="0"/>
        <w:rPr>
          <w:color w:val="000000"/>
          <w:szCs w:val="22"/>
          <w:lang w:val="en-US"/>
        </w:rPr>
      </w:pPr>
    </w:p>
    <w:p w14:paraId="2103EA26" w14:textId="77777777" w:rsidR="00F22FBD" w:rsidRDefault="00D44E4A">
      <w:pPr>
        <w:rPr>
          <w:i/>
          <w:iCs/>
          <w:u w:val="single"/>
        </w:rPr>
      </w:pPr>
      <w:r>
        <w:rPr>
          <w:i/>
          <w:iCs/>
          <w:u w:val="single"/>
        </w:rPr>
        <w:t>Praleista dozė</w:t>
      </w:r>
    </w:p>
    <w:p w14:paraId="2E3A676F" w14:textId="77777777" w:rsidR="00F22FBD" w:rsidRDefault="00F22FBD"/>
    <w:p w14:paraId="119EC693" w14:textId="77777777" w:rsidR="00F22FBD" w:rsidRDefault="00D44E4A">
      <w:r>
        <w:t>Gydymą rekomenduojama tęsti kitą dabigatrano eteksilato paros dozę geriant kitą dieną įprastu laiku.</w:t>
      </w:r>
    </w:p>
    <w:p w14:paraId="1334A031" w14:textId="77777777" w:rsidR="00F22FBD" w:rsidRDefault="00F22FBD"/>
    <w:p w14:paraId="64F22069" w14:textId="77777777" w:rsidR="00F22FBD" w:rsidRDefault="00D44E4A">
      <w:r>
        <w:t>Negalima vartoti dvigubos dozės norint kompensuoti praleistą dozę.</w:t>
      </w:r>
    </w:p>
    <w:p w14:paraId="37D24738" w14:textId="77777777" w:rsidR="00F22FBD" w:rsidRDefault="00F22FBD"/>
    <w:p w14:paraId="1902F87A" w14:textId="77777777" w:rsidR="00F22FBD" w:rsidRDefault="00D44E4A">
      <w:pPr>
        <w:rPr>
          <w:i/>
          <w:iCs/>
          <w:u w:val="single"/>
        </w:rPr>
      </w:pPr>
      <w:r>
        <w:rPr>
          <w:i/>
          <w:iCs/>
          <w:u w:val="single"/>
        </w:rPr>
        <w:t>Dabigatrano eteksilato vartojimo nutraukimas</w:t>
      </w:r>
    </w:p>
    <w:p w14:paraId="22031E96" w14:textId="77777777" w:rsidR="00F22FBD" w:rsidRDefault="00F22FBD"/>
    <w:p w14:paraId="6CB93828" w14:textId="77777777" w:rsidR="00F22FBD" w:rsidRDefault="00D44E4A">
      <w:r>
        <w:t>Negalima nutraukti gydymo dabigatrano eteksilatu nepasitarus su gydytoju. Pacientams reikia nurodyti kreiptis į gydantį gydytoją, jeigu jiems pasireiškia su skrandžiu ir (arba) žarnynu susijusių simptomų, pvz., dispepsija (žr. 4.8 skyrių).</w:t>
      </w:r>
    </w:p>
    <w:p w14:paraId="18AC444E" w14:textId="77777777" w:rsidR="00F22FBD" w:rsidRDefault="00F22FBD"/>
    <w:p w14:paraId="23C51BDC" w14:textId="77777777" w:rsidR="00F22FBD" w:rsidRDefault="00D44E4A">
      <w:pPr>
        <w:rPr>
          <w:i/>
          <w:iCs/>
          <w:u w:val="single"/>
        </w:rPr>
      </w:pPr>
      <w:r>
        <w:rPr>
          <w:i/>
          <w:iCs/>
          <w:u w:val="single"/>
        </w:rPr>
        <w:t>Gydymo keitimas</w:t>
      </w:r>
    </w:p>
    <w:p w14:paraId="5BCA9140" w14:textId="77777777" w:rsidR="00F22FBD" w:rsidRDefault="00F22FBD"/>
    <w:p w14:paraId="05332549" w14:textId="77777777" w:rsidR="00F22FBD" w:rsidRDefault="00D44E4A">
      <w:r>
        <w:t>Gydymo dabigatrano eteksilatu keitimas parenteriniu būdu vartojamais antikoaguliantais: parenteriniu būdu vartojamais antikoaguliantais rekomenduojama pradėti gydyti praėjus 24 val. po paskutinės dabigatrano eteksilato dozės pavartojimo (žr. 4.5 skyrių).</w:t>
      </w:r>
    </w:p>
    <w:p w14:paraId="162A1D9D" w14:textId="77777777" w:rsidR="00F22FBD" w:rsidRDefault="00F22FBD"/>
    <w:p w14:paraId="68BEDD6F" w14:textId="77777777" w:rsidR="00F22FBD" w:rsidRDefault="00D44E4A">
      <w:r>
        <w:t>Gydymo parenteriniu būdu vartojamais antikoaguliantais keitimas dabigatrano eteksilatu: 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7D41DD83" w14:textId="77777777" w:rsidR="00F22FBD" w:rsidRDefault="00F22FBD"/>
    <w:p w14:paraId="62DBE3E6" w14:textId="77777777" w:rsidR="00F22FBD" w:rsidRDefault="00D44E4A">
      <w:pPr>
        <w:rPr>
          <w:i/>
          <w:iCs/>
          <w:u w:val="single"/>
        </w:rPr>
      </w:pPr>
      <w:r>
        <w:rPr>
          <w:i/>
          <w:iCs/>
          <w:u w:val="single"/>
        </w:rPr>
        <w:t>Ypatingos populiacijos</w:t>
      </w:r>
    </w:p>
    <w:p w14:paraId="28C2CB65" w14:textId="77777777" w:rsidR="00F22FBD" w:rsidRDefault="00F22FBD"/>
    <w:p w14:paraId="54019730" w14:textId="77777777" w:rsidR="00F22FBD" w:rsidRDefault="00D44E4A">
      <w:pPr>
        <w:rPr>
          <w:i/>
          <w:iCs/>
        </w:rPr>
      </w:pPr>
      <w:r>
        <w:rPr>
          <w:i/>
          <w:iCs/>
        </w:rPr>
        <w:t>Inkstų funkcijos sutrikimas</w:t>
      </w:r>
    </w:p>
    <w:p w14:paraId="5C1200CD" w14:textId="77777777" w:rsidR="00F22FBD" w:rsidRDefault="00F22FBD"/>
    <w:p w14:paraId="39B595AF" w14:textId="77777777" w:rsidR="00F22FBD" w:rsidRDefault="00D44E4A">
      <w:r>
        <w:t>Pacientus, kuriems yra sunkus inkstų funkcijos sutrikimas (KrKl &lt; 30 ml/min.), dabigatrano eteksilatu gydyti draudžiama (žr. 4.3 skyrių).</w:t>
      </w:r>
    </w:p>
    <w:p w14:paraId="063C32EB" w14:textId="77777777" w:rsidR="00F22FBD" w:rsidRDefault="00F22FBD"/>
    <w:p w14:paraId="4E7A1AC4" w14:textId="77777777" w:rsidR="00F22FBD" w:rsidRDefault="00D44E4A">
      <w:r>
        <w:t>Pacientams, kuriems yra vidutinio sunkumo inkstų funkcijos sutrikimas (KrKl 30-50 ml/min.), rekomenduojama sumažinti dozę (žr. 1 lentelę pirmiau ir 4.4 bei 5.1 skyrius).</w:t>
      </w:r>
    </w:p>
    <w:p w14:paraId="3D61B04A" w14:textId="77777777" w:rsidR="00F22FBD" w:rsidRDefault="00F22FBD"/>
    <w:p w14:paraId="67B4CD9D" w14:textId="77777777" w:rsidR="00F22FBD" w:rsidRDefault="00D44E4A">
      <w:pPr>
        <w:rPr>
          <w:i/>
          <w:iCs/>
        </w:rPr>
      </w:pPr>
      <w:r>
        <w:rPr>
          <w:i/>
          <w:iCs/>
        </w:rPr>
        <w:t>Dabigatrano eteksilato derinimas su P-glikoproteino (P-gp) inhibitoriais, kurių poveikis silpnas arba vidutinio stiprumo, t. y. amjodaronu, chinidinu ar verapamiliu</w:t>
      </w:r>
    </w:p>
    <w:p w14:paraId="1E40EBDC" w14:textId="77777777" w:rsidR="00F22FBD" w:rsidRDefault="00F22FBD"/>
    <w:p w14:paraId="3BA51902" w14:textId="77777777" w:rsidR="00F22FBD" w:rsidRDefault="00D44E4A">
      <w:r>
        <w:t>Dozę reikia mažinti, kaip nurodyta 1 lentelėje (taip pat žr. 4.4. ir 4.5 skyrius). Tokiu atveju dabigatrano eteksilato ir minėtų vaistinių preparatų reikia vartoti tuo pat metu.</w:t>
      </w:r>
    </w:p>
    <w:p w14:paraId="47BD4382" w14:textId="77777777" w:rsidR="00F22FBD" w:rsidRDefault="00F22FBD"/>
    <w:p w14:paraId="42D3ADA4" w14:textId="77777777" w:rsidR="00F22FBD" w:rsidRDefault="00D44E4A">
      <w:r>
        <w:t>Kartu verapamiliu gydomiems pacientams, kuriems yra vidutinio sunkumo inkstų funkcijos sutrikimas, dabigatrano eteksilato paros dozę reikia mažinti iki 75 mg (žr. 4.4 ir 4.5 skyrius).</w:t>
      </w:r>
    </w:p>
    <w:p w14:paraId="4DB93722" w14:textId="77777777" w:rsidR="00F22FBD" w:rsidRDefault="00F22FBD"/>
    <w:p w14:paraId="5584E2ED" w14:textId="77777777" w:rsidR="00F22FBD" w:rsidRDefault="00D44E4A">
      <w:pPr>
        <w:rPr>
          <w:i/>
          <w:iCs/>
        </w:rPr>
      </w:pPr>
      <w:r>
        <w:rPr>
          <w:i/>
          <w:iCs/>
        </w:rPr>
        <w:t>Senyviems pacientams</w:t>
      </w:r>
    </w:p>
    <w:p w14:paraId="66027430" w14:textId="77777777" w:rsidR="00F22FBD" w:rsidRDefault="00F22FBD"/>
    <w:p w14:paraId="07304A54" w14:textId="77777777" w:rsidR="00F22FBD" w:rsidRDefault="00D44E4A">
      <w:r>
        <w:t>Senyviems &gt; 75 metų pacientams rekomenduojama sumažinti dozę (žr. 1 lentelę pirmiau ir 4.4 bei 5.1 skyrius).</w:t>
      </w:r>
    </w:p>
    <w:p w14:paraId="62A039C7" w14:textId="77777777" w:rsidR="00F22FBD" w:rsidRDefault="00F22FBD"/>
    <w:p w14:paraId="37D56926" w14:textId="77777777" w:rsidR="00F22FBD" w:rsidRDefault="00D44E4A">
      <w:pPr>
        <w:rPr>
          <w:i/>
          <w:iCs/>
        </w:rPr>
      </w:pPr>
      <w:r>
        <w:rPr>
          <w:i/>
          <w:iCs/>
        </w:rPr>
        <w:t>Kūno svoris</w:t>
      </w:r>
    </w:p>
    <w:p w14:paraId="112FB930" w14:textId="77777777" w:rsidR="00F22FBD" w:rsidRDefault="00F22FBD"/>
    <w:p w14:paraId="6EE02CDE" w14:textId="77777777" w:rsidR="00F22FBD" w:rsidRDefault="00D44E4A">
      <w:r>
        <w:t>Pacientų, sveriančių &lt; 50 kg arba &gt; 110 kg, gydymo rekomenduojama doze patirtis yra labai ribota. Turimais klinikiniais ir kinetikos duomenimis, tokiems pacientams dozę keisti nėra būtina (žr. 5.2 skyrių), tačiau juos rekomenduojama atidžiai kliniškai prižiūrėti (žr. 4.4 skyrių).</w:t>
      </w:r>
    </w:p>
    <w:p w14:paraId="292636F6" w14:textId="77777777" w:rsidR="00F22FBD" w:rsidRDefault="00F22FBD"/>
    <w:p w14:paraId="3A174E04" w14:textId="77777777" w:rsidR="00F22FBD" w:rsidRDefault="00D44E4A">
      <w:pPr>
        <w:rPr>
          <w:i/>
          <w:iCs/>
        </w:rPr>
      </w:pPr>
      <w:r>
        <w:rPr>
          <w:i/>
          <w:iCs/>
        </w:rPr>
        <w:t>Lytis</w:t>
      </w:r>
    </w:p>
    <w:p w14:paraId="2B18B058" w14:textId="77777777" w:rsidR="00F22FBD" w:rsidRDefault="00F22FBD"/>
    <w:p w14:paraId="6D31DEFB" w14:textId="77777777" w:rsidR="00F22FBD" w:rsidRDefault="00D44E4A">
      <w:r>
        <w:t>Dozę keisti nėra būtina (žr. 5.2 skyrių).</w:t>
      </w:r>
    </w:p>
    <w:p w14:paraId="2D443A2C" w14:textId="77777777" w:rsidR="00F22FBD" w:rsidRDefault="00F22FBD"/>
    <w:p w14:paraId="2D786E8C" w14:textId="77777777" w:rsidR="00F22FBD" w:rsidRDefault="00D44E4A">
      <w:pPr>
        <w:rPr>
          <w:i/>
          <w:iCs/>
        </w:rPr>
      </w:pPr>
      <w:r>
        <w:rPr>
          <w:i/>
          <w:iCs/>
        </w:rPr>
        <w:t>Vaikų populiacija</w:t>
      </w:r>
    </w:p>
    <w:p w14:paraId="0035AC0F" w14:textId="77777777" w:rsidR="00F22FBD" w:rsidRDefault="00F22FBD"/>
    <w:p w14:paraId="26165B98" w14:textId="77777777" w:rsidR="00F22FBD" w:rsidRDefault="00D44E4A">
      <w:r>
        <w:t>Dabigatrano eteksilatas nėra skirtas vaikų populiacijai esant indikacijai „Pirminė VTE reiškinių profilaktika pacientams, kuriems atlikta planinė viso klubo sąnario arba viso kelio sąnario keitimo operacija“.</w:t>
      </w:r>
    </w:p>
    <w:p w14:paraId="42C4AD23" w14:textId="77777777" w:rsidR="00F22FBD" w:rsidRDefault="00F22FBD"/>
    <w:p w14:paraId="0E32F48E" w14:textId="77777777" w:rsidR="00F22FBD" w:rsidRDefault="00D44E4A">
      <w:pPr>
        <w:rPr>
          <w:b/>
          <w:bCs/>
          <w:i/>
          <w:iCs/>
          <w:u w:val="single"/>
        </w:rPr>
      </w:pPr>
      <w:r>
        <w:rPr>
          <w:b/>
          <w:bCs/>
          <w:i/>
          <w:iCs/>
          <w:u w:val="single"/>
        </w:rPr>
        <w:t>VTE gydymas ir VTE pasikartojimo profilaktika pacientams vaikams</w:t>
      </w:r>
    </w:p>
    <w:p w14:paraId="53DCA115" w14:textId="77777777" w:rsidR="00F22FBD" w:rsidRDefault="00F22FBD"/>
    <w:p w14:paraId="521C96FE" w14:textId="77777777" w:rsidR="00F22FBD" w:rsidRDefault="00D44E4A">
      <w:r>
        <w:t>Gydant VTE pacientams vaikams, gydymą reikia pradėti po ne trumpesnio kaip 5 dienų gydymo parenteriniu antikoaguliantu. VTE pasikartojimo profilaktikai gydymą reikia pradėti po ankstesnio gydymo.</w:t>
      </w:r>
    </w:p>
    <w:p w14:paraId="2DD96B7C" w14:textId="77777777" w:rsidR="00F22FBD" w:rsidRDefault="00F22FBD"/>
    <w:p w14:paraId="08FD4C64" w14:textId="77777777" w:rsidR="00F22FBD" w:rsidRDefault="00D44E4A">
      <w:r>
        <w:rPr>
          <w:b/>
          <w:bCs/>
        </w:rPr>
        <w:t>Dabigatrano eteksilato kapsules reikia vartoti du kartus per parą:</w:t>
      </w:r>
      <w:r>
        <w:t xml:space="preserve"> vieną dozę ryte ir vieną dozę vakare, kasdien maždaug tuo pačiu paros laiku. Reikia siekti išlaikyti maždaug 12 valandų dozavimo intervalą.</w:t>
      </w:r>
    </w:p>
    <w:p w14:paraId="786851B8" w14:textId="77777777" w:rsidR="00F22FBD" w:rsidRDefault="00F22FBD"/>
    <w:p w14:paraId="5514054A" w14:textId="77777777" w:rsidR="00F22FBD" w:rsidRDefault="00D44E4A">
      <w:r>
        <w:lastRenderedPageBreak/>
        <w:t>Rekomenduojama dabigatrano eteksilato kapsulių dozė priklauso nuo paciento kūno svorio ir amžiaus, kaip parodyta 2 lentelėje. Tęsiant gydymą dozę reikia koreguoti pagal kūno svorį ir amžių.</w:t>
      </w:r>
    </w:p>
    <w:p w14:paraId="7C1BD50D" w14:textId="77777777" w:rsidR="00F22FBD" w:rsidRDefault="00F22FBD"/>
    <w:p w14:paraId="52C94683" w14:textId="77777777" w:rsidR="00F22FBD" w:rsidRDefault="00D44E4A">
      <w:r>
        <w:t>Jeigu kūno svorio ir amžiaus derinys dozavimo lentelėje nenurodytas, dozavimo rekomendacijų pateikti negalima.</w:t>
      </w:r>
    </w:p>
    <w:p w14:paraId="0EA2F3EC" w14:textId="77777777" w:rsidR="00F22FBD" w:rsidRDefault="00F22FBD"/>
    <w:p w14:paraId="1C746088" w14:textId="77777777" w:rsidR="00F22FBD" w:rsidRDefault="00D44E4A">
      <w:pPr>
        <w:widowControl w:val="0"/>
        <w:kinsoku w:val="0"/>
        <w:overflowPunct w:val="0"/>
        <w:autoSpaceDE w:val="0"/>
        <w:autoSpaceDN w:val="0"/>
        <w:adjustRightInd w:val="0"/>
        <w:spacing w:before="75"/>
        <w:ind w:left="851" w:hanging="851"/>
        <w:outlineLvl w:val="0"/>
        <w:rPr>
          <w:b/>
          <w:bCs/>
        </w:rPr>
      </w:pPr>
      <w:r>
        <w:rPr>
          <w:b/>
          <w:color w:val="000000"/>
          <w:szCs w:val="22"/>
          <w:lang w:val="en-US" w:eastAsia="sl-SI"/>
        </w:rPr>
        <w:t>2 lentelė:</w:t>
      </w:r>
      <w:r>
        <w:rPr>
          <w:b/>
          <w:color w:val="000000"/>
          <w:szCs w:val="22"/>
          <w:lang w:val="en-US" w:eastAsia="sl-SI"/>
        </w:rPr>
        <w:tab/>
      </w:r>
      <w:r>
        <w:rPr>
          <w:b/>
          <w:bCs/>
        </w:rPr>
        <w:t>Dabigatrano eteksilato vienkartinė ir suminė paros dozės miligramais (mg) pagal paciento kūno svorį kilogramais (kg) ir amžių metais</w:t>
      </w:r>
    </w:p>
    <w:p w14:paraId="37A7F2EF" w14:textId="77777777" w:rsidR="00F22FBD" w:rsidRDefault="00F22FBD">
      <w:pPr>
        <w:widowControl w:val="0"/>
        <w:kinsoku w:val="0"/>
        <w:overflowPunct w:val="0"/>
        <w:autoSpaceDE w:val="0"/>
        <w:autoSpaceDN w:val="0"/>
        <w:adjustRightInd w:val="0"/>
        <w:spacing w:before="75"/>
        <w:ind w:left="851" w:hanging="851"/>
        <w:outlineLvl w:val="0"/>
        <w:rPr>
          <w:b/>
          <w:color w:val="000000"/>
          <w:szCs w:val="22"/>
          <w:lang w:val="en-US" w:eastAsia="sl-SI"/>
        </w:rPr>
      </w:pPr>
    </w:p>
    <w:tbl>
      <w:tblPr>
        <w:tblW w:w="90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266"/>
        <w:gridCol w:w="2266"/>
        <w:gridCol w:w="2266"/>
      </w:tblGrid>
      <w:tr w:rsidR="00F22FBD" w14:paraId="34E449C3" w14:textId="77777777">
        <w:trPr>
          <w:trHeight w:val="253"/>
        </w:trPr>
        <w:tc>
          <w:tcPr>
            <w:tcW w:w="4532" w:type="dxa"/>
            <w:gridSpan w:val="2"/>
            <w:shd w:val="clear" w:color="auto" w:fill="auto"/>
          </w:tcPr>
          <w:p w14:paraId="411F9723" w14:textId="77777777" w:rsidR="00F22FBD" w:rsidRDefault="00D44E4A">
            <w:pPr>
              <w:widowControl w:val="0"/>
              <w:autoSpaceDE w:val="0"/>
              <w:autoSpaceDN w:val="0"/>
              <w:spacing w:line="234" w:lineRule="exact"/>
              <w:ind w:left="1046"/>
              <w:rPr>
                <w:rFonts w:eastAsia="Calibri"/>
                <w:b/>
                <w:bCs/>
                <w:szCs w:val="22"/>
                <w:lang w:val="en-US"/>
              </w:rPr>
            </w:pPr>
            <w:r>
              <w:rPr>
                <w:b/>
                <w:bCs/>
              </w:rPr>
              <w:t>Kūno svorio ir amžiaus deriniai</w:t>
            </w:r>
          </w:p>
        </w:tc>
        <w:tc>
          <w:tcPr>
            <w:tcW w:w="2266" w:type="dxa"/>
            <w:vMerge w:val="restart"/>
            <w:shd w:val="clear" w:color="auto" w:fill="auto"/>
          </w:tcPr>
          <w:p w14:paraId="73F5EB29" w14:textId="77777777" w:rsidR="00F22FBD" w:rsidRDefault="00D44E4A">
            <w:pPr>
              <w:widowControl w:val="0"/>
              <w:autoSpaceDE w:val="0"/>
              <w:autoSpaceDN w:val="0"/>
              <w:spacing w:line="254" w:lineRule="exact"/>
              <w:ind w:left="862" w:right="585" w:hanging="257"/>
              <w:rPr>
                <w:rFonts w:eastAsia="Calibri"/>
                <w:b/>
                <w:bCs/>
                <w:szCs w:val="22"/>
                <w:lang w:val="en-US"/>
              </w:rPr>
            </w:pPr>
            <w:r>
              <w:rPr>
                <w:b/>
                <w:bCs/>
              </w:rPr>
              <w:t>Vienkartinė dozė mg</w:t>
            </w:r>
          </w:p>
        </w:tc>
        <w:tc>
          <w:tcPr>
            <w:tcW w:w="2266" w:type="dxa"/>
            <w:vMerge w:val="restart"/>
            <w:shd w:val="clear" w:color="auto" w:fill="auto"/>
          </w:tcPr>
          <w:p w14:paraId="3C4B6EBE" w14:textId="77777777" w:rsidR="00F22FBD" w:rsidRDefault="00D44E4A">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F22FBD" w14:paraId="0236D87C" w14:textId="77777777">
        <w:trPr>
          <w:trHeight w:val="251"/>
        </w:trPr>
        <w:tc>
          <w:tcPr>
            <w:tcW w:w="2266" w:type="dxa"/>
            <w:shd w:val="clear" w:color="auto" w:fill="auto"/>
          </w:tcPr>
          <w:p w14:paraId="34EE9668" w14:textId="77777777" w:rsidR="00F22FBD" w:rsidRDefault="00D44E4A">
            <w:pPr>
              <w:widowControl w:val="0"/>
              <w:autoSpaceDE w:val="0"/>
              <w:autoSpaceDN w:val="0"/>
              <w:spacing w:line="232" w:lineRule="exact"/>
              <w:ind w:left="107"/>
              <w:rPr>
                <w:rFonts w:eastAsia="Calibri"/>
                <w:b/>
                <w:bCs/>
                <w:szCs w:val="22"/>
                <w:lang w:val="en-US"/>
              </w:rPr>
            </w:pPr>
            <w:r>
              <w:rPr>
                <w:b/>
                <w:bCs/>
              </w:rPr>
              <w:t>Kūno svoris kilogramais</w:t>
            </w:r>
          </w:p>
        </w:tc>
        <w:tc>
          <w:tcPr>
            <w:tcW w:w="2266" w:type="dxa"/>
            <w:shd w:val="clear" w:color="auto" w:fill="auto"/>
          </w:tcPr>
          <w:p w14:paraId="400CE215" w14:textId="77777777" w:rsidR="00F22FBD" w:rsidRDefault="00D44E4A">
            <w:pPr>
              <w:widowControl w:val="0"/>
              <w:autoSpaceDE w:val="0"/>
              <w:autoSpaceDN w:val="0"/>
              <w:spacing w:line="232" w:lineRule="exact"/>
              <w:ind w:left="107"/>
              <w:rPr>
                <w:rFonts w:eastAsia="Calibri"/>
                <w:b/>
                <w:bCs/>
                <w:szCs w:val="22"/>
                <w:lang w:val="en-US"/>
              </w:rPr>
            </w:pPr>
            <w:r>
              <w:rPr>
                <w:b/>
                <w:bCs/>
              </w:rPr>
              <w:t>Amžius metais</w:t>
            </w:r>
          </w:p>
        </w:tc>
        <w:tc>
          <w:tcPr>
            <w:tcW w:w="2266" w:type="dxa"/>
            <w:vMerge/>
            <w:tcBorders>
              <w:top w:val="nil"/>
            </w:tcBorders>
            <w:shd w:val="clear" w:color="auto" w:fill="auto"/>
          </w:tcPr>
          <w:p w14:paraId="494A1259" w14:textId="77777777" w:rsidR="00F22FBD" w:rsidRDefault="00F22FBD">
            <w:pPr>
              <w:widowControl w:val="0"/>
              <w:autoSpaceDE w:val="0"/>
              <w:autoSpaceDN w:val="0"/>
              <w:rPr>
                <w:rFonts w:eastAsia="Calibri"/>
                <w:sz w:val="2"/>
                <w:szCs w:val="2"/>
                <w:lang w:val="en-US"/>
              </w:rPr>
            </w:pPr>
          </w:p>
        </w:tc>
        <w:tc>
          <w:tcPr>
            <w:tcW w:w="2266" w:type="dxa"/>
            <w:vMerge/>
            <w:tcBorders>
              <w:top w:val="nil"/>
            </w:tcBorders>
            <w:shd w:val="clear" w:color="auto" w:fill="auto"/>
          </w:tcPr>
          <w:p w14:paraId="39AECE8D" w14:textId="77777777" w:rsidR="00F22FBD" w:rsidRDefault="00F22FBD">
            <w:pPr>
              <w:widowControl w:val="0"/>
              <w:autoSpaceDE w:val="0"/>
              <w:autoSpaceDN w:val="0"/>
              <w:rPr>
                <w:rFonts w:eastAsia="Calibri"/>
                <w:sz w:val="2"/>
                <w:szCs w:val="2"/>
                <w:lang w:val="en-US"/>
              </w:rPr>
            </w:pPr>
          </w:p>
        </w:tc>
      </w:tr>
      <w:tr w:rsidR="00F22FBD" w14:paraId="04BBFB8C" w14:textId="77777777">
        <w:trPr>
          <w:trHeight w:val="254"/>
        </w:trPr>
        <w:tc>
          <w:tcPr>
            <w:tcW w:w="2266" w:type="dxa"/>
            <w:shd w:val="clear" w:color="auto" w:fill="auto"/>
          </w:tcPr>
          <w:p w14:paraId="0D1BB7AF"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11 iki &lt;13</w:t>
            </w:r>
          </w:p>
        </w:tc>
        <w:tc>
          <w:tcPr>
            <w:tcW w:w="2266" w:type="dxa"/>
            <w:shd w:val="clear" w:color="auto" w:fill="auto"/>
          </w:tcPr>
          <w:p w14:paraId="7B62759C"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8 iki &lt;9</w:t>
            </w:r>
          </w:p>
        </w:tc>
        <w:tc>
          <w:tcPr>
            <w:tcW w:w="2266" w:type="dxa"/>
            <w:shd w:val="clear" w:color="auto" w:fill="auto"/>
          </w:tcPr>
          <w:p w14:paraId="0B46EBFC"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2266" w:type="dxa"/>
            <w:shd w:val="clear" w:color="auto" w:fill="auto"/>
          </w:tcPr>
          <w:p w14:paraId="3AD7D2BA"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F22FBD" w14:paraId="1A58C80A" w14:textId="77777777">
        <w:trPr>
          <w:trHeight w:val="253"/>
        </w:trPr>
        <w:tc>
          <w:tcPr>
            <w:tcW w:w="2266" w:type="dxa"/>
            <w:shd w:val="clear" w:color="auto" w:fill="auto"/>
          </w:tcPr>
          <w:p w14:paraId="3AADD265"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13 iki &lt;16</w:t>
            </w:r>
          </w:p>
        </w:tc>
        <w:tc>
          <w:tcPr>
            <w:tcW w:w="2266" w:type="dxa"/>
            <w:shd w:val="clear" w:color="auto" w:fill="auto"/>
          </w:tcPr>
          <w:p w14:paraId="396D50CC"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8 iki &lt;11</w:t>
            </w:r>
          </w:p>
        </w:tc>
        <w:tc>
          <w:tcPr>
            <w:tcW w:w="2266" w:type="dxa"/>
            <w:shd w:val="clear" w:color="auto" w:fill="auto"/>
          </w:tcPr>
          <w:p w14:paraId="31C16F5D"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2266" w:type="dxa"/>
            <w:shd w:val="clear" w:color="auto" w:fill="auto"/>
          </w:tcPr>
          <w:p w14:paraId="64DA00AD"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F22FBD" w14:paraId="464B9A13" w14:textId="77777777">
        <w:trPr>
          <w:trHeight w:val="251"/>
        </w:trPr>
        <w:tc>
          <w:tcPr>
            <w:tcW w:w="2266" w:type="dxa"/>
            <w:shd w:val="clear" w:color="auto" w:fill="auto"/>
          </w:tcPr>
          <w:p w14:paraId="5AFEDD48" w14:textId="77777777" w:rsidR="00F22FBD" w:rsidRDefault="00D44E4A">
            <w:pPr>
              <w:widowControl w:val="0"/>
              <w:autoSpaceDE w:val="0"/>
              <w:autoSpaceDN w:val="0"/>
              <w:spacing w:line="232" w:lineRule="exact"/>
              <w:ind w:left="107"/>
              <w:rPr>
                <w:rFonts w:eastAsia="Calibri"/>
                <w:szCs w:val="22"/>
                <w:lang w:val="en-US"/>
              </w:rPr>
            </w:pPr>
            <w:r>
              <w:rPr>
                <w:rFonts w:eastAsia="Calibri"/>
                <w:szCs w:val="22"/>
                <w:lang w:val="en-US"/>
              </w:rPr>
              <w:t>nuo 16 iki &lt;21</w:t>
            </w:r>
          </w:p>
        </w:tc>
        <w:tc>
          <w:tcPr>
            <w:tcW w:w="2266" w:type="dxa"/>
            <w:shd w:val="clear" w:color="auto" w:fill="auto"/>
          </w:tcPr>
          <w:p w14:paraId="7E7BEF17" w14:textId="77777777" w:rsidR="00F22FBD" w:rsidRDefault="00D44E4A">
            <w:pPr>
              <w:widowControl w:val="0"/>
              <w:autoSpaceDE w:val="0"/>
              <w:autoSpaceDN w:val="0"/>
              <w:spacing w:line="232" w:lineRule="exact"/>
              <w:ind w:left="107"/>
              <w:rPr>
                <w:rFonts w:eastAsia="Calibri"/>
                <w:szCs w:val="22"/>
                <w:lang w:val="en-US"/>
              </w:rPr>
            </w:pPr>
            <w:r>
              <w:rPr>
                <w:rFonts w:eastAsia="Calibri"/>
                <w:szCs w:val="22"/>
                <w:lang w:val="en-US"/>
              </w:rPr>
              <w:t>nuo 8 iki &lt;14</w:t>
            </w:r>
          </w:p>
        </w:tc>
        <w:tc>
          <w:tcPr>
            <w:tcW w:w="2266" w:type="dxa"/>
            <w:shd w:val="clear" w:color="auto" w:fill="auto"/>
          </w:tcPr>
          <w:p w14:paraId="739040AF"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2266" w:type="dxa"/>
            <w:shd w:val="clear" w:color="auto" w:fill="auto"/>
          </w:tcPr>
          <w:p w14:paraId="000E792E"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F22FBD" w14:paraId="1092E342" w14:textId="77777777">
        <w:trPr>
          <w:trHeight w:val="253"/>
        </w:trPr>
        <w:tc>
          <w:tcPr>
            <w:tcW w:w="2266" w:type="dxa"/>
            <w:shd w:val="clear" w:color="auto" w:fill="auto"/>
          </w:tcPr>
          <w:p w14:paraId="5D62A5DD"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21 iki &lt;26</w:t>
            </w:r>
          </w:p>
        </w:tc>
        <w:tc>
          <w:tcPr>
            <w:tcW w:w="2266" w:type="dxa"/>
            <w:shd w:val="clear" w:color="auto" w:fill="auto"/>
          </w:tcPr>
          <w:p w14:paraId="2C820A65"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8 iki &lt;16</w:t>
            </w:r>
          </w:p>
        </w:tc>
        <w:tc>
          <w:tcPr>
            <w:tcW w:w="2266" w:type="dxa"/>
            <w:shd w:val="clear" w:color="auto" w:fill="auto"/>
          </w:tcPr>
          <w:p w14:paraId="13D588E1"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2266" w:type="dxa"/>
            <w:shd w:val="clear" w:color="auto" w:fill="auto"/>
          </w:tcPr>
          <w:p w14:paraId="01F0DE75"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F22FBD" w14:paraId="187A87EE" w14:textId="77777777">
        <w:trPr>
          <w:trHeight w:val="251"/>
        </w:trPr>
        <w:tc>
          <w:tcPr>
            <w:tcW w:w="2266" w:type="dxa"/>
            <w:shd w:val="clear" w:color="auto" w:fill="auto"/>
          </w:tcPr>
          <w:p w14:paraId="6E2509A8" w14:textId="77777777" w:rsidR="00F22FBD" w:rsidRDefault="00D44E4A">
            <w:pPr>
              <w:widowControl w:val="0"/>
              <w:autoSpaceDE w:val="0"/>
              <w:autoSpaceDN w:val="0"/>
              <w:spacing w:line="232" w:lineRule="exact"/>
              <w:ind w:left="107"/>
              <w:rPr>
                <w:rFonts w:eastAsia="Calibri"/>
                <w:szCs w:val="22"/>
                <w:lang w:val="en-US"/>
              </w:rPr>
            </w:pPr>
            <w:r>
              <w:rPr>
                <w:rFonts w:eastAsia="Calibri"/>
                <w:szCs w:val="22"/>
                <w:lang w:val="en-US"/>
              </w:rPr>
              <w:t>nuo 26 iki &lt;31</w:t>
            </w:r>
          </w:p>
        </w:tc>
        <w:tc>
          <w:tcPr>
            <w:tcW w:w="2266" w:type="dxa"/>
            <w:shd w:val="clear" w:color="auto" w:fill="auto"/>
          </w:tcPr>
          <w:p w14:paraId="1DF06918" w14:textId="77777777" w:rsidR="00F22FBD" w:rsidRDefault="00D44E4A">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2AFC8953"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2266" w:type="dxa"/>
            <w:shd w:val="clear" w:color="auto" w:fill="auto"/>
          </w:tcPr>
          <w:p w14:paraId="352CF332"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F22FBD" w14:paraId="4C4B65BF" w14:textId="77777777">
        <w:trPr>
          <w:trHeight w:val="253"/>
        </w:trPr>
        <w:tc>
          <w:tcPr>
            <w:tcW w:w="2266" w:type="dxa"/>
            <w:shd w:val="clear" w:color="auto" w:fill="auto"/>
          </w:tcPr>
          <w:p w14:paraId="2FBD62DE"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31 iki &lt;41</w:t>
            </w:r>
          </w:p>
        </w:tc>
        <w:tc>
          <w:tcPr>
            <w:tcW w:w="2266" w:type="dxa"/>
            <w:shd w:val="clear" w:color="auto" w:fill="auto"/>
          </w:tcPr>
          <w:p w14:paraId="0F86BB57"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3ECDA02B"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2266" w:type="dxa"/>
            <w:shd w:val="clear" w:color="auto" w:fill="auto"/>
          </w:tcPr>
          <w:p w14:paraId="718667DC"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F22FBD" w14:paraId="4EEF0E18" w14:textId="77777777">
        <w:trPr>
          <w:trHeight w:val="251"/>
        </w:trPr>
        <w:tc>
          <w:tcPr>
            <w:tcW w:w="2266" w:type="dxa"/>
            <w:shd w:val="clear" w:color="auto" w:fill="auto"/>
          </w:tcPr>
          <w:p w14:paraId="038B2FED" w14:textId="77777777" w:rsidR="00F22FBD" w:rsidRDefault="00D44E4A">
            <w:pPr>
              <w:widowControl w:val="0"/>
              <w:autoSpaceDE w:val="0"/>
              <w:autoSpaceDN w:val="0"/>
              <w:spacing w:line="232" w:lineRule="exact"/>
              <w:ind w:left="107"/>
              <w:rPr>
                <w:rFonts w:eastAsia="Calibri"/>
                <w:szCs w:val="22"/>
                <w:lang w:val="en-US"/>
              </w:rPr>
            </w:pPr>
            <w:r>
              <w:rPr>
                <w:rFonts w:eastAsia="Calibri"/>
                <w:szCs w:val="22"/>
                <w:lang w:val="en-US"/>
              </w:rPr>
              <w:t>nuo 41 iki &lt;51</w:t>
            </w:r>
          </w:p>
        </w:tc>
        <w:tc>
          <w:tcPr>
            <w:tcW w:w="2266" w:type="dxa"/>
            <w:shd w:val="clear" w:color="auto" w:fill="auto"/>
          </w:tcPr>
          <w:p w14:paraId="0DBA3AEB" w14:textId="77777777" w:rsidR="00F22FBD" w:rsidRDefault="00D44E4A">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3C72F61B"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2266" w:type="dxa"/>
            <w:shd w:val="clear" w:color="auto" w:fill="auto"/>
          </w:tcPr>
          <w:p w14:paraId="21582E25"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F22FBD" w14:paraId="15631721" w14:textId="77777777">
        <w:trPr>
          <w:trHeight w:val="254"/>
        </w:trPr>
        <w:tc>
          <w:tcPr>
            <w:tcW w:w="2266" w:type="dxa"/>
            <w:shd w:val="clear" w:color="auto" w:fill="auto"/>
          </w:tcPr>
          <w:p w14:paraId="43FC8197"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51 iki &lt;61</w:t>
            </w:r>
          </w:p>
        </w:tc>
        <w:tc>
          <w:tcPr>
            <w:tcW w:w="2266" w:type="dxa"/>
            <w:shd w:val="clear" w:color="auto" w:fill="auto"/>
          </w:tcPr>
          <w:p w14:paraId="490453A6"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4609E052"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2266" w:type="dxa"/>
            <w:shd w:val="clear" w:color="auto" w:fill="auto"/>
          </w:tcPr>
          <w:p w14:paraId="03EF7B8A"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F22FBD" w14:paraId="6B0DA249" w14:textId="77777777">
        <w:trPr>
          <w:trHeight w:val="253"/>
        </w:trPr>
        <w:tc>
          <w:tcPr>
            <w:tcW w:w="2266" w:type="dxa"/>
            <w:shd w:val="clear" w:color="auto" w:fill="auto"/>
          </w:tcPr>
          <w:p w14:paraId="157B1718"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61 iki &lt;71</w:t>
            </w:r>
          </w:p>
        </w:tc>
        <w:tc>
          <w:tcPr>
            <w:tcW w:w="2266" w:type="dxa"/>
            <w:shd w:val="clear" w:color="auto" w:fill="auto"/>
          </w:tcPr>
          <w:p w14:paraId="2E31BFD9"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4599B04A"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340CD329"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F22FBD" w14:paraId="5E222E18" w14:textId="77777777">
        <w:trPr>
          <w:trHeight w:val="251"/>
        </w:trPr>
        <w:tc>
          <w:tcPr>
            <w:tcW w:w="2266" w:type="dxa"/>
            <w:shd w:val="clear" w:color="auto" w:fill="auto"/>
          </w:tcPr>
          <w:p w14:paraId="0517B4EC" w14:textId="77777777" w:rsidR="00F22FBD" w:rsidRDefault="00D44E4A">
            <w:pPr>
              <w:widowControl w:val="0"/>
              <w:autoSpaceDE w:val="0"/>
              <w:autoSpaceDN w:val="0"/>
              <w:spacing w:line="232" w:lineRule="exact"/>
              <w:ind w:left="107"/>
              <w:rPr>
                <w:rFonts w:eastAsia="Calibri"/>
                <w:szCs w:val="22"/>
                <w:lang w:val="en-US"/>
              </w:rPr>
            </w:pPr>
            <w:r>
              <w:rPr>
                <w:rFonts w:eastAsia="Calibri"/>
                <w:szCs w:val="22"/>
                <w:lang w:val="en-US"/>
              </w:rPr>
              <w:t>nuo 71 iki &lt;81</w:t>
            </w:r>
          </w:p>
        </w:tc>
        <w:tc>
          <w:tcPr>
            <w:tcW w:w="2266" w:type="dxa"/>
            <w:shd w:val="clear" w:color="auto" w:fill="auto"/>
          </w:tcPr>
          <w:p w14:paraId="79847282" w14:textId="77777777" w:rsidR="00F22FBD" w:rsidRDefault="00D44E4A">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6929EEF1"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08C08E5D"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F22FBD" w14:paraId="701D3AF8" w14:textId="77777777">
        <w:trPr>
          <w:trHeight w:val="253"/>
        </w:trPr>
        <w:tc>
          <w:tcPr>
            <w:tcW w:w="2266" w:type="dxa"/>
            <w:shd w:val="clear" w:color="auto" w:fill="auto"/>
          </w:tcPr>
          <w:p w14:paraId="604F4448"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&gt;81</w:t>
            </w:r>
          </w:p>
        </w:tc>
        <w:tc>
          <w:tcPr>
            <w:tcW w:w="2266" w:type="dxa"/>
            <w:shd w:val="clear" w:color="auto" w:fill="auto"/>
          </w:tcPr>
          <w:p w14:paraId="5BFB57C5"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10 iki &lt;18</w:t>
            </w:r>
          </w:p>
        </w:tc>
        <w:tc>
          <w:tcPr>
            <w:tcW w:w="2266" w:type="dxa"/>
            <w:shd w:val="clear" w:color="auto" w:fill="auto"/>
          </w:tcPr>
          <w:p w14:paraId="546303B2"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7591A96A"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14:paraId="2C6C38DA" w14:textId="77777777" w:rsidR="00F22FBD" w:rsidRDefault="00D44E4A">
      <w:pPr>
        <w:widowControl w:val="0"/>
        <w:tabs>
          <w:tab w:val="left" w:pos="1351"/>
        </w:tabs>
        <w:autoSpaceDE w:val="0"/>
        <w:autoSpaceDN w:val="0"/>
        <w:ind w:left="218" w:right="4044"/>
      </w:pPr>
      <w:r>
        <w:t>Vienkartinės dozės, kurioms reikia vartoti daugiau kaip vieną kapsulę</w:t>
      </w:r>
    </w:p>
    <w:p w14:paraId="4ECDC74E" w14:textId="77777777" w:rsidR="00F22FBD" w:rsidRDefault="00D44E4A">
      <w:pPr>
        <w:widowControl w:val="0"/>
        <w:tabs>
          <w:tab w:val="left" w:pos="1351"/>
        </w:tabs>
        <w:autoSpaceDE w:val="0"/>
        <w:autoSpaceDN w:val="0"/>
        <w:ind w:left="218" w:right="4044"/>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14:paraId="4763D972" w14:textId="77777777" w:rsidR="00F22FBD" w:rsidRDefault="00D44E4A">
      <w:pPr>
        <w:widowControl w:val="0"/>
        <w:autoSpaceDE w:val="0"/>
        <w:autoSpaceDN w:val="0"/>
        <w:spacing w:line="252" w:lineRule="exact"/>
        <w:ind w:left="1351"/>
        <w:rPr>
          <w:szCs w:val="22"/>
          <w:lang w:val="en-US"/>
        </w:rPr>
      </w:pPr>
      <w:r>
        <w:rPr>
          <w:szCs w:val="22"/>
          <w:lang w:val="en-US"/>
        </w:rPr>
        <w:t>keturios 75 mg kapsulės</w:t>
      </w:r>
    </w:p>
    <w:p w14:paraId="5C99C9A6" w14:textId="77777777" w:rsidR="00F22FBD" w:rsidRDefault="00D44E4A">
      <w:pPr>
        <w:widowControl w:val="0"/>
        <w:tabs>
          <w:tab w:val="left" w:pos="1351"/>
        </w:tabs>
        <w:autoSpaceDE w:val="0"/>
        <w:autoSpaceDN w:val="0"/>
        <w:ind w:left="1351" w:right="4941" w:hanging="1133"/>
        <w:rPr>
          <w:szCs w:val="22"/>
          <w:lang w:val="en-US"/>
        </w:rPr>
      </w:pPr>
      <w:r>
        <w:rPr>
          <w:szCs w:val="22"/>
          <w:lang w:val="en-US"/>
        </w:rPr>
        <w:t>260</w:t>
      </w:r>
      <w:r>
        <w:rPr>
          <w:spacing w:val="-3"/>
          <w:szCs w:val="22"/>
          <w:lang w:val="en-US"/>
        </w:rPr>
        <w:t> </w:t>
      </w:r>
      <w:r>
        <w:rPr>
          <w:szCs w:val="22"/>
          <w:lang w:val="en-US"/>
        </w:rPr>
        <w:t>mg:</w:t>
      </w:r>
      <w:r>
        <w:rPr>
          <w:szCs w:val="22"/>
          <w:lang w:val="en-US"/>
        </w:rPr>
        <w:tab/>
        <w:t>viena 110 mg plius viena 150 mg kapsulė arba viena 110 mg plius dvi 75 mg</w:t>
      </w:r>
      <w:r>
        <w:rPr>
          <w:spacing w:val="-9"/>
          <w:szCs w:val="22"/>
          <w:lang w:val="en-US"/>
        </w:rPr>
        <w:t xml:space="preserve"> </w:t>
      </w:r>
      <w:r>
        <w:rPr>
          <w:szCs w:val="22"/>
          <w:lang w:val="en-US"/>
        </w:rPr>
        <w:t>kapsulės</w:t>
      </w:r>
    </w:p>
    <w:p w14:paraId="12D9B9FA" w14:textId="77777777" w:rsidR="00F22FBD" w:rsidRDefault="00D44E4A">
      <w:pPr>
        <w:widowControl w:val="0"/>
        <w:tabs>
          <w:tab w:val="left" w:pos="1351"/>
        </w:tabs>
        <w:autoSpaceDE w:val="0"/>
        <w:autoSpaceDN w:val="0"/>
        <w:spacing w:line="252" w:lineRule="exact"/>
        <w:ind w:left="218"/>
        <w:rPr>
          <w:szCs w:val="22"/>
          <w:lang w:val="en-US"/>
        </w:rPr>
      </w:pPr>
      <w:r>
        <w:rPr>
          <w:szCs w:val="22"/>
          <w:lang w:val="en-US"/>
        </w:rPr>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14:paraId="45C06909" w14:textId="77777777" w:rsidR="00F22FBD" w:rsidRDefault="00D44E4A">
      <w:pPr>
        <w:widowControl w:val="0"/>
        <w:tabs>
          <w:tab w:val="left" w:pos="1351"/>
        </w:tabs>
        <w:autoSpaceDE w:val="0"/>
        <w:autoSpaceDN w:val="0"/>
        <w:ind w:left="218" w:right="4026"/>
        <w:rPr>
          <w:szCs w:val="22"/>
          <w:lang w:val="en-US"/>
        </w:rPr>
      </w:pPr>
      <w:r>
        <w:rPr>
          <w:szCs w:val="22"/>
          <w:lang w:val="en-US"/>
        </w:rPr>
        <w:t>185</w:t>
      </w:r>
      <w:r>
        <w:rPr>
          <w:spacing w:val="-3"/>
          <w:szCs w:val="22"/>
          <w:lang w:val="en-US"/>
        </w:rPr>
        <w:t> </w:t>
      </w:r>
      <w:r>
        <w:rPr>
          <w:szCs w:val="22"/>
          <w:lang w:val="en-US"/>
        </w:rPr>
        <w:t>mg:</w:t>
      </w:r>
      <w:r>
        <w:rPr>
          <w:szCs w:val="22"/>
          <w:lang w:val="en-US"/>
        </w:rPr>
        <w:tab/>
        <w:t>viena 75 mg plius viena 110 mg kapsulė 150</w:t>
      </w:r>
      <w:r>
        <w:rPr>
          <w:spacing w:val="-3"/>
          <w:szCs w:val="22"/>
          <w:lang w:val="en-US"/>
        </w:rPr>
        <w:t> </w:t>
      </w:r>
      <w:r>
        <w:rPr>
          <w:szCs w:val="22"/>
          <w:lang w:val="en-US"/>
        </w:rPr>
        <w:t>mg:</w:t>
      </w:r>
      <w:r>
        <w:rPr>
          <w:szCs w:val="22"/>
          <w:lang w:val="en-US"/>
        </w:rPr>
        <w:tab/>
        <w:t xml:space="preserve">viena150 mg kapsulė arba dvi 75 mg </w:t>
      </w:r>
      <w:r>
        <w:rPr>
          <w:szCs w:val="22"/>
          <w:lang w:val="en-US"/>
        </w:rPr>
        <w:tab/>
        <w:t>kapsulės</w:t>
      </w:r>
    </w:p>
    <w:p w14:paraId="018A6779" w14:textId="77777777" w:rsidR="00F22FBD" w:rsidRDefault="00F22FBD"/>
    <w:p w14:paraId="35B04155" w14:textId="77777777" w:rsidR="00F22FBD" w:rsidRDefault="00D44E4A">
      <w:pPr>
        <w:rPr>
          <w:i/>
          <w:iCs/>
          <w:u w:val="single"/>
        </w:rPr>
      </w:pPr>
      <w:r>
        <w:rPr>
          <w:i/>
          <w:iCs/>
          <w:u w:val="single"/>
        </w:rPr>
        <w:t>Inkstų funkcijos vertinimas prieš gydymą ir jo metu</w:t>
      </w:r>
    </w:p>
    <w:p w14:paraId="45C73272" w14:textId="77777777" w:rsidR="00F22FBD" w:rsidRDefault="00F22FBD"/>
    <w:p w14:paraId="05E7192F" w14:textId="77777777" w:rsidR="00F22FBD" w:rsidRDefault="00D44E4A">
      <w:r>
        <w:t>Prieš pradedant gydymą reikia nustatyti apskaičiuotąjį glomerulų filtracijos greitį (aGFG) pagal Schwartz formulę (kreatinino įvertinimo metodą reikia suderinti su vietos laboratorija).</w:t>
      </w:r>
    </w:p>
    <w:p w14:paraId="0DBDC46B" w14:textId="77777777" w:rsidR="00F22FBD" w:rsidRDefault="00D44E4A">
      <w:r>
        <w:t>Pacientus vaikus, kurių aGFG &lt; 50 ml/min./ 1,73 m</w:t>
      </w:r>
      <w:r>
        <w:rPr>
          <w:vertAlign w:val="superscript"/>
        </w:rPr>
        <w:t>2</w:t>
      </w:r>
      <w:r>
        <w:t xml:space="preserve"> , dabigatrano eteksilatu gydyti draudžiama (žr. 4.3 skyrių).</w:t>
      </w:r>
    </w:p>
    <w:p w14:paraId="4424F405" w14:textId="77777777" w:rsidR="00F22FBD" w:rsidRDefault="00D44E4A">
      <w:r>
        <w:t>Pacientus, kurių aGFG ≥ 50 ml/min./1,73 m</w:t>
      </w:r>
      <w:r>
        <w:rPr>
          <w:vertAlign w:val="superscript"/>
        </w:rPr>
        <w:t>2</w:t>
      </w:r>
      <w:r>
        <w:t xml:space="preserve"> , reikia gydyti doze, parinkta pagal 2 lentelę. Gydymo metu inkstų funkciją reikia įvertinti esant tam tikroms klinikinėms būklėms, kai įtariama, kad inkstų funkcija galėjo susilpnėti arba pablogėti (pvz., pasireiškus hipovolemijai, dehidratacijai ar kartu vartojant tam tikrų vaistinių preparatų ir pan.).</w:t>
      </w:r>
    </w:p>
    <w:p w14:paraId="58B231AA" w14:textId="77777777" w:rsidR="00F22FBD" w:rsidRDefault="00F22FBD"/>
    <w:p w14:paraId="47283C65" w14:textId="77777777" w:rsidR="00F22FBD" w:rsidRDefault="00D44E4A">
      <w:pPr>
        <w:rPr>
          <w:i/>
          <w:iCs/>
          <w:u w:val="single"/>
        </w:rPr>
      </w:pPr>
      <w:r>
        <w:rPr>
          <w:i/>
          <w:iCs/>
          <w:u w:val="single"/>
        </w:rPr>
        <w:t>Vartojimo trukmė</w:t>
      </w:r>
    </w:p>
    <w:p w14:paraId="6DA1CF46" w14:textId="77777777" w:rsidR="00F22FBD" w:rsidRDefault="00D44E4A">
      <w:r>
        <w:t>Gydymo trukmę kiekvienam pacientui reikia nustatyti atskirai, atsižvelgiant į naudos ir rizikos vertinimą.</w:t>
      </w:r>
    </w:p>
    <w:p w14:paraId="73998F70" w14:textId="77777777" w:rsidR="00F22FBD" w:rsidRDefault="00F22FBD"/>
    <w:p w14:paraId="6520A1D0" w14:textId="77777777" w:rsidR="00F22FBD" w:rsidRDefault="00D44E4A">
      <w:pPr>
        <w:rPr>
          <w:i/>
          <w:iCs/>
          <w:u w:val="single"/>
        </w:rPr>
      </w:pPr>
      <w:r>
        <w:rPr>
          <w:i/>
          <w:iCs/>
          <w:u w:val="single"/>
        </w:rPr>
        <w:t>Praleista dozė</w:t>
      </w:r>
    </w:p>
    <w:p w14:paraId="2FEC9895" w14:textId="77777777" w:rsidR="00F22FBD" w:rsidRDefault="00D44E4A">
      <w:r>
        <w:t>Praleistą dabigatrano eteksilato dozę galima gerti, jeigu iki kitos dozės vartojimo laiko yra likusios ne mažiau kaip 6 val. Likus 6 valandoms arba mažiau, pamirštą dozę reikia praleisti. Jokiu būdu negalima vartoti dvigubos dozės norint kompensuoti atskiras praleistas dozes.</w:t>
      </w:r>
    </w:p>
    <w:p w14:paraId="22A654D0" w14:textId="77777777" w:rsidR="00F22FBD" w:rsidRDefault="00F22FBD"/>
    <w:p w14:paraId="62106A61" w14:textId="77777777" w:rsidR="00F22FBD" w:rsidRDefault="00D44E4A">
      <w:pPr>
        <w:rPr>
          <w:i/>
          <w:iCs/>
          <w:u w:val="single"/>
        </w:rPr>
      </w:pPr>
      <w:r>
        <w:rPr>
          <w:i/>
          <w:iCs/>
          <w:u w:val="single"/>
        </w:rPr>
        <w:lastRenderedPageBreak/>
        <w:t>Dabigatrano eteksilato vartojimo nutraukimas</w:t>
      </w:r>
    </w:p>
    <w:p w14:paraId="2ACDFBA2" w14:textId="77777777" w:rsidR="00F22FBD" w:rsidRDefault="00F22FBD">
      <w:pPr>
        <w:rPr>
          <w:i/>
          <w:iCs/>
          <w:u w:val="single"/>
        </w:rPr>
      </w:pPr>
    </w:p>
    <w:p w14:paraId="3B3B3B03" w14:textId="77777777" w:rsidR="00F22FBD" w:rsidRDefault="00D44E4A">
      <w:r>
        <w:t>Negalima nutraukti gydymo dabigatrano eteksilatu nepasitarus su gydytoju. Pacientams arba juos prižiūrintiems asmenims reikia nurodyti kreiptis į gydantį gydytoją, jeigu pacientui pasireiškia su skrandžiu ir (arba) žarnynu susijusių simptomų, pvz., dispepsija (žr. 4.8 skyrių).</w:t>
      </w:r>
    </w:p>
    <w:p w14:paraId="6A53AEAA" w14:textId="77777777" w:rsidR="00F22FBD" w:rsidRDefault="00F22FBD"/>
    <w:p w14:paraId="2760A206" w14:textId="77777777" w:rsidR="00F22FBD" w:rsidRDefault="00D44E4A">
      <w:pPr>
        <w:rPr>
          <w:i/>
          <w:iCs/>
          <w:u w:val="single"/>
        </w:rPr>
      </w:pPr>
      <w:r>
        <w:rPr>
          <w:i/>
          <w:iCs/>
          <w:u w:val="single"/>
        </w:rPr>
        <w:t>Gydymo keitimas</w:t>
      </w:r>
    </w:p>
    <w:p w14:paraId="41349A18" w14:textId="77777777" w:rsidR="00F22FBD" w:rsidRDefault="00F22FBD"/>
    <w:p w14:paraId="1A08635D" w14:textId="77777777" w:rsidR="00F22FBD" w:rsidRDefault="00D44E4A">
      <w:r>
        <w:t>Gydymo dabigatrano eteksilatu keitimas parenteriniu būdu vartojamais antikoaguliantais: Parenteriniu būdu vartojamais antikoaguliantais rekomenduojama pradėti gydyti praėjus 12 val. po paskutinės dabigatrano eteksilato dozės pavartojimo (žr. 4.5 skyrių).</w:t>
      </w:r>
    </w:p>
    <w:p w14:paraId="4ED895B1" w14:textId="77777777" w:rsidR="00F22FBD" w:rsidRDefault="00F22FBD"/>
    <w:p w14:paraId="65F375E6" w14:textId="77777777" w:rsidR="00F22FBD" w:rsidRDefault="00D44E4A">
      <w:r>
        <w:t>Gydymo parenteriniu būdu vartojamais antikoaguliantais keitimas dabigatrano eteksilatu:</w:t>
      </w:r>
    </w:p>
    <w:p w14:paraId="47FEE726" w14:textId="77777777" w:rsidR="00F22FBD" w:rsidRDefault="00D44E4A">
      <w:r>
        <w:t>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18F67A8B" w14:textId="77777777" w:rsidR="00F22FBD" w:rsidRDefault="00F22FBD"/>
    <w:p w14:paraId="42C7E2E3" w14:textId="77777777" w:rsidR="00F22FBD" w:rsidRDefault="00D44E4A">
      <w:r>
        <w:rPr>
          <w:u w:val="single"/>
        </w:rPr>
        <w:t>Gydymo dabigatrano eteksilatu keitimas vitamino K antagonistais (VKA):</w:t>
      </w:r>
    </w:p>
    <w:p w14:paraId="095807BE" w14:textId="77777777" w:rsidR="00F22FBD" w:rsidRDefault="00D44E4A">
      <w:r>
        <w:t>Pacientai turi pradėti vartoti VKA likus 3 paroms iki dabigatrano eteksilato vartojimo nutraukimo.</w:t>
      </w:r>
    </w:p>
    <w:p w14:paraId="112DBF5F" w14:textId="77777777" w:rsidR="00F22FBD" w:rsidRDefault="00D44E4A">
      <w:r>
        <w:t>Kadangi dabigatrano eteksilatas gali turėti įtakos tarptautiniam normalizuotam santykiui (TNS), todėl TNS geriau VKA poveikį atspindės tik praėjus mažiausiai 2 paroms po dabigatrano eteksilato vartojimo sustabdymo. Iki tol TNS reikšmes reikia interpretuoti atsargiai.</w:t>
      </w:r>
    </w:p>
    <w:p w14:paraId="23134D98" w14:textId="77777777" w:rsidR="00F22FBD" w:rsidRDefault="00F22FBD"/>
    <w:p w14:paraId="36948EE5" w14:textId="77777777" w:rsidR="00F22FBD" w:rsidRDefault="00D44E4A">
      <w:r>
        <w:rPr>
          <w:u w:val="single"/>
        </w:rPr>
        <w:t>Gydymo VKA keitimas dabigatrano eteksilatu:</w:t>
      </w:r>
    </w:p>
    <w:p w14:paraId="7C3AB663" w14:textId="77777777" w:rsidR="00F22FBD" w:rsidRDefault="00D44E4A">
      <w:r>
        <w:t>VKA vartojimą reikia nutraukti. Dabigatrano eteksilatu galima pradėti gydyti tuoj pat, kai tik TNS tampa &lt; 2.</w:t>
      </w:r>
    </w:p>
    <w:p w14:paraId="7373F3F1" w14:textId="77777777" w:rsidR="00F22FBD" w:rsidRDefault="00F22FBD"/>
    <w:p w14:paraId="426247AE" w14:textId="77777777" w:rsidR="00F22FBD" w:rsidRDefault="00D44E4A">
      <w:pPr>
        <w:rPr>
          <w:u w:val="single"/>
        </w:rPr>
      </w:pPr>
      <w:r>
        <w:rPr>
          <w:u w:val="single"/>
        </w:rPr>
        <w:t>Vartojimo metodas</w:t>
      </w:r>
    </w:p>
    <w:p w14:paraId="4F64C40A" w14:textId="77777777" w:rsidR="00F22FBD" w:rsidRDefault="00D44E4A">
      <w:r>
        <w:t>Šis vaistinis preparatas skirtas vartoti per burną.</w:t>
      </w:r>
    </w:p>
    <w:p w14:paraId="67C187B3" w14:textId="77777777" w:rsidR="00F22FBD" w:rsidRDefault="00D44E4A">
      <w:r>
        <w:t>Kapsules galima vartoti valgio metu arba nevalgius. Reikia nuryti visą kapsulę, užgeriant stikline vandens, kad lengviau patektų į skrandį. Pacientus reikia įspėti, kad kapsulių neatvertų, kadangi tai gali didinti kraujavimo riziką (žr. 5.2skyrių).</w:t>
      </w:r>
    </w:p>
    <w:p w14:paraId="067FD697" w14:textId="77777777" w:rsidR="00F22FBD" w:rsidRDefault="00F22FBD"/>
    <w:p w14:paraId="71581C4B" w14:textId="77777777" w:rsidR="00F22FBD" w:rsidRDefault="00D44E4A">
      <w:pPr>
        <w:ind w:left="567" w:hanging="567"/>
        <w:rPr>
          <w:b/>
        </w:rPr>
      </w:pPr>
      <w:r>
        <w:rPr>
          <w:b/>
        </w:rPr>
        <w:t>4.3</w:t>
      </w:r>
      <w:r>
        <w:rPr>
          <w:b/>
        </w:rPr>
        <w:tab/>
        <w:t>Kontraindikacijos</w:t>
      </w:r>
    </w:p>
    <w:p w14:paraId="5C426759" w14:textId="77777777" w:rsidR="00F22FBD" w:rsidRDefault="00F22FBD">
      <w:pPr>
        <w:ind w:left="567" w:hanging="567"/>
      </w:pPr>
    </w:p>
    <w:p w14:paraId="7A83B624" w14:textId="77777777" w:rsidR="00F22FBD" w:rsidRDefault="00D44E4A">
      <w:pPr>
        <w:widowControl w:val="0"/>
        <w:numPr>
          <w:ilvl w:val="0"/>
          <w:numId w:val="5"/>
        </w:numPr>
        <w:autoSpaceDE w:val="0"/>
        <w:autoSpaceDN w:val="0"/>
        <w:ind w:left="567" w:hanging="567"/>
        <w:rPr>
          <w:color w:val="000000"/>
          <w:szCs w:val="22"/>
          <w:lang w:val="en-US"/>
        </w:rPr>
      </w:pPr>
      <w:r>
        <w:t>Padidėjęs jautrumas veikliajai arba bet kuriai 6.1 skyriuje nurodytai pagalbinei medžiagai.</w:t>
      </w:r>
    </w:p>
    <w:p w14:paraId="29EF8A1A" w14:textId="77777777" w:rsidR="00F22FBD" w:rsidRDefault="00D44E4A">
      <w:pPr>
        <w:widowControl w:val="0"/>
        <w:numPr>
          <w:ilvl w:val="0"/>
          <w:numId w:val="5"/>
        </w:numPr>
        <w:autoSpaceDE w:val="0"/>
        <w:autoSpaceDN w:val="0"/>
        <w:ind w:left="567" w:hanging="567"/>
        <w:rPr>
          <w:color w:val="000000"/>
          <w:szCs w:val="22"/>
          <w:lang w:val="en-US"/>
        </w:rPr>
      </w:pPr>
      <w:r>
        <w:t>Sunkus inkstų funkcijos sutrikimas (KrKl &lt; 30 ml/min.) suaugusiems pacientams.</w:t>
      </w:r>
    </w:p>
    <w:p w14:paraId="6591C735" w14:textId="77777777" w:rsidR="00F22FBD" w:rsidRDefault="00D44E4A">
      <w:pPr>
        <w:widowControl w:val="0"/>
        <w:numPr>
          <w:ilvl w:val="0"/>
          <w:numId w:val="5"/>
        </w:numPr>
        <w:autoSpaceDE w:val="0"/>
        <w:autoSpaceDN w:val="0"/>
        <w:ind w:left="567" w:hanging="567"/>
        <w:rPr>
          <w:color w:val="000000"/>
          <w:szCs w:val="22"/>
          <w:lang w:val="en-US"/>
        </w:rPr>
      </w:pPr>
      <w:r>
        <w:t>aGFG &lt; 50 ml/min./ 1,73 m</w:t>
      </w:r>
      <w:r>
        <w:rPr>
          <w:vertAlign w:val="superscript"/>
        </w:rPr>
        <w:t>2</w:t>
      </w:r>
      <w:r>
        <w:t xml:space="preserve"> pacientams vaikams.</w:t>
      </w:r>
    </w:p>
    <w:p w14:paraId="24942C33" w14:textId="77777777" w:rsidR="00F22FBD" w:rsidRDefault="00D44E4A">
      <w:pPr>
        <w:widowControl w:val="0"/>
        <w:numPr>
          <w:ilvl w:val="0"/>
          <w:numId w:val="5"/>
        </w:numPr>
        <w:autoSpaceDE w:val="0"/>
        <w:autoSpaceDN w:val="0"/>
        <w:ind w:left="567" w:hanging="567"/>
        <w:rPr>
          <w:color w:val="000000"/>
          <w:szCs w:val="22"/>
          <w:lang w:val="en-US"/>
        </w:rPr>
      </w:pPr>
      <w:r>
        <w:t>Aktyvus kliniškai reikšmingas kraujavimas.</w:t>
      </w:r>
    </w:p>
    <w:p w14:paraId="6370623D" w14:textId="77777777" w:rsidR="00F22FBD" w:rsidRDefault="00D44E4A">
      <w:pPr>
        <w:widowControl w:val="0"/>
        <w:numPr>
          <w:ilvl w:val="0"/>
          <w:numId w:val="5"/>
        </w:numPr>
        <w:autoSpaceDE w:val="0"/>
        <w:autoSpaceDN w:val="0"/>
        <w:ind w:left="567" w:hanging="567"/>
        <w:rPr>
          <w:color w:val="000000"/>
          <w:szCs w:val="22"/>
          <w:lang w:val="en-US"/>
        </w:rPr>
      </w:pPr>
      <w:r>
        <w:t>Pažaida ar būklė, laikoma reikšmingu didžiojo kraujavimo rizikos veiksniu. Tai gali būti esamas arba neseniai buvęs virškinimo trakto išopėjimas, esamas piktybinis navikas, keliantis didelę kraujavimo riziką, neseniai patirta galvos smegenų arba stuburo trauma, neseniai atlikta galvos smegenų, stuburo arba akių operacija, neseniai patirta intrakranijinė hemoragija, žinoma arba įtariama stemplės varikozė, arterijų ir venų sklaidos trūkumai, kraujagyslių aneurizma arba didesni nugaros arba galvos smegenų vidinių kraujagyslių sklaidos trūkumai.</w:t>
      </w:r>
    </w:p>
    <w:p w14:paraId="6975A376" w14:textId="77777777" w:rsidR="00F22FBD" w:rsidRDefault="00D44E4A">
      <w:pPr>
        <w:widowControl w:val="0"/>
        <w:numPr>
          <w:ilvl w:val="0"/>
          <w:numId w:val="5"/>
        </w:numPr>
        <w:autoSpaceDE w:val="0"/>
        <w:autoSpaceDN w:val="0"/>
        <w:ind w:left="567" w:hanging="567"/>
        <w:rPr>
          <w:color w:val="000000"/>
          <w:szCs w:val="22"/>
          <w:lang w:val="en-US"/>
        </w:rPr>
      </w:pPr>
      <w:r>
        <w:t>Vartojimas kartu su bet kokiu kitokiu antikoaguliantu, pvz., nefrakcionuotu heparinu (NFH), mažo molekulinio svorio heparinais (enoksaparinu, dalteparinu ir kt.), heparino dariniais (fondaparinuksu ir kt.), geriamaisiais antikoaguliantais (varfarinu, rivaroksabanu, apiksabanu ir kt.), išskyrus specifines aplinkybes. Tai atvejai, kai keičiamas gydymas antikoaguliantais (žr. 4.2 skyrių), kai gydoma tokiomis NFH dozėmis, kokios būtinos centrinės venos ar arterijos kateterį palaikyti atvirą, arba kai NFH vartojamas atliekant prieširdžių virpėjimo kateterinę abliaciją (žr. 4.5 skyrių).</w:t>
      </w:r>
    </w:p>
    <w:p w14:paraId="610CD5E2" w14:textId="77777777" w:rsidR="00F22FBD" w:rsidRDefault="00D44E4A">
      <w:pPr>
        <w:widowControl w:val="0"/>
        <w:numPr>
          <w:ilvl w:val="0"/>
          <w:numId w:val="5"/>
        </w:numPr>
        <w:autoSpaceDE w:val="0"/>
        <w:autoSpaceDN w:val="0"/>
        <w:ind w:left="567" w:hanging="567"/>
        <w:rPr>
          <w:color w:val="000000"/>
          <w:szCs w:val="22"/>
          <w:lang w:val="en-US"/>
        </w:rPr>
      </w:pPr>
      <w:r>
        <w:t>Kepenų funkcijos sutrikimas arba kepenų liga, galintys turėti kokios nors įtakos išgyvenamumui.</w:t>
      </w:r>
    </w:p>
    <w:p w14:paraId="44762E25" w14:textId="77777777" w:rsidR="00F22FBD" w:rsidRDefault="00D44E4A">
      <w:pPr>
        <w:widowControl w:val="0"/>
        <w:numPr>
          <w:ilvl w:val="0"/>
          <w:numId w:val="5"/>
        </w:numPr>
        <w:autoSpaceDE w:val="0"/>
        <w:autoSpaceDN w:val="0"/>
        <w:ind w:left="567" w:hanging="567"/>
        <w:rPr>
          <w:color w:val="000000"/>
          <w:szCs w:val="22"/>
          <w:lang w:val="en-US"/>
        </w:rPr>
      </w:pPr>
      <w:r>
        <w:t xml:space="preserve">Vartojimas kartu su šiais stipriais P-glikoproteino inhibitoriais: sisteminio poveikio ketokonazolu, ciklosporinu, itrakonazolu, dronedaronu ir fiksuotų dozių glekapreviro / </w:t>
      </w:r>
      <w:r>
        <w:lastRenderedPageBreak/>
        <w:t>pibrentasviro deriniu (žr. 4.5 skyrių).</w:t>
      </w:r>
    </w:p>
    <w:p w14:paraId="04D522A1" w14:textId="77777777" w:rsidR="00F22FBD" w:rsidRDefault="00D44E4A">
      <w:pPr>
        <w:widowControl w:val="0"/>
        <w:numPr>
          <w:ilvl w:val="0"/>
          <w:numId w:val="5"/>
        </w:numPr>
        <w:autoSpaceDE w:val="0"/>
        <w:autoSpaceDN w:val="0"/>
        <w:ind w:left="567" w:hanging="567"/>
        <w:rPr>
          <w:color w:val="000000"/>
          <w:szCs w:val="22"/>
          <w:lang w:val="en-US"/>
        </w:rPr>
      </w:pPr>
      <w:r>
        <w:t>Širdies vožtuvų protezai, reikalaujantys gydymo antikoaguliantais (žr. 5.1 skyrių).</w:t>
      </w:r>
    </w:p>
    <w:p w14:paraId="7F9E1E27" w14:textId="77777777" w:rsidR="00F22FBD" w:rsidRDefault="00F22FBD">
      <w:pPr>
        <w:ind w:left="567" w:hanging="567"/>
      </w:pPr>
    </w:p>
    <w:p w14:paraId="6FF7A9B0" w14:textId="77777777" w:rsidR="00F22FBD" w:rsidRDefault="00D44E4A">
      <w:pPr>
        <w:ind w:left="567" w:hanging="567"/>
        <w:rPr>
          <w:b/>
        </w:rPr>
      </w:pPr>
      <w:r>
        <w:rPr>
          <w:b/>
        </w:rPr>
        <w:t>4.4</w:t>
      </w:r>
      <w:r>
        <w:rPr>
          <w:b/>
        </w:rPr>
        <w:tab/>
        <w:t>Specialūs įspėjimai ir atsargumo priemonės</w:t>
      </w:r>
    </w:p>
    <w:p w14:paraId="0B35B7F5" w14:textId="77777777" w:rsidR="00F22FBD" w:rsidRDefault="00F22FBD">
      <w:pPr>
        <w:ind w:left="567" w:hanging="567"/>
        <w:rPr>
          <w:b/>
        </w:rPr>
      </w:pPr>
    </w:p>
    <w:p w14:paraId="26DEDE97" w14:textId="77777777" w:rsidR="00F22FBD" w:rsidRDefault="00D44E4A">
      <w:pPr>
        <w:ind w:left="567" w:hanging="567"/>
        <w:rPr>
          <w:u w:val="single"/>
        </w:rPr>
      </w:pPr>
      <w:r>
        <w:rPr>
          <w:u w:val="single"/>
        </w:rPr>
        <w:t>Kraujavimo rizika</w:t>
      </w:r>
    </w:p>
    <w:p w14:paraId="4F0DFD41" w14:textId="77777777" w:rsidR="00F22FBD" w:rsidRDefault="00F22FBD">
      <w:pPr>
        <w:ind w:left="567" w:hanging="567"/>
      </w:pPr>
    </w:p>
    <w:p w14:paraId="66B97B81" w14:textId="77777777" w:rsidR="00F22FBD" w:rsidRDefault="00D44E4A">
      <w:r>
        <w:t>Jeigu yra būklė, susijusi su kraujavimo rizikos padidėjimu arba jeigu kartu vartojama vaistinių preparatų, kurie hemostazei poveikį daro slopindami trombocitų agregaciją, dabigatrano eteksilatu reikia gydyti atsargiai. Gydymo metu kraujavimas gali prasidėti bet kokioje organizmo vietoje. Jeigu dėl neaiškių priežasčių sumažėja hemoglobino kiekis ir (arba) hematokrito rodmenys arba kraujospūdis, reikia ieškoti kraujavimo vietos.</w:t>
      </w:r>
    </w:p>
    <w:p w14:paraId="74C3FC58" w14:textId="77777777" w:rsidR="00F22FBD" w:rsidRDefault="00F22FBD"/>
    <w:p w14:paraId="1DB4BF2C" w14:textId="77777777" w:rsidR="00F22FBD" w:rsidRDefault="00D44E4A">
      <w:r>
        <w:t>Gyvybei pavojingo arba nekontroliuojamo kraujavimo atveju, kai būtina greitai panaikinti antikoaguliacinį dabigatrano poveikį, suaugusiems pacientams tinka specifinis neutralizuojantis vaistinis preparatas idarucizumabas. Idarucizumabo veiksmingumas ir saugumas pacientams vaikams neištirti. Dabigatraną galima pašalinti hemodializės būdu. Kiti galimi būdai suaugusiems pacientams – šviežio viso kraujo arba šviežios šaldytos plazmos, krešėjimo faktorių koncentratų (aktyvintų arba neaktyvintų), rekombinantinio VIIa faktoriaus arba trombocitų koncentratų skyrimas (dar žr. 4.9 skyrių).</w:t>
      </w:r>
    </w:p>
    <w:p w14:paraId="3A16B08F" w14:textId="77777777" w:rsidR="00F22FBD" w:rsidRDefault="00F22FBD"/>
    <w:p w14:paraId="138032EC" w14:textId="77777777" w:rsidR="00F22FBD" w:rsidRDefault="00D44E4A">
      <w:r>
        <w:t>Trombocitų agregacijos inhibitorių, pvz., klopidogrelio ir acetilsalicilo rūgšties (ASR) ar nesteroidinių vaistinių preparatų nuo uždegimo (NVPNU) vartojimas, ezofagitas, gastritas ar gastroezofaginis refliuksas didina kraujavimo iš skrandžio ir žarnų riziką.</w:t>
      </w:r>
    </w:p>
    <w:p w14:paraId="382E3A76" w14:textId="77777777" w:rsidR="00F22FBD" w:rsidRDefault="00F22FBD"/>
    <w:p w14:paraId="60859995" w14:textId="77777777" w:rsidR="00F22FBD" w:rsidRDefault="00D44E4A">
      <w:pPr>
        <w:rPr>
          <w:i/>
          <w:iCs/>
          <w:u w:val="single"/>
        </w:rPr>
      </w:pPr>
      <w:r>
        <w:rPr>
          <w:i/>
          <w:iCs/>
          <w:u w:val="single"/>
        </w:rPr>
        <w:t>Rizikos veiksniai</w:t>
      </w:r>
    </w:p>
    <w:p w14:paraId="0061C55F" w14:textId="77777777" w:rsidR="00F22FBD" w:rsidRDefault="00F22FBD"/>
    <w:p w14:paraId="41DD71A1" w14:textId="77777777" w:rsidR="00F22FBD" w:rsidRDefault="00D44E4A">
      <w:r>
        <w:t>3-ioje lentelėje yra pateikti veiksniai, galintys didinti kraujavimo riziką.</w:t>
      </w:r>
    </w:p>
    <w:p w14:paraId="675CF618" w14:textId="77777777" w:rsidR="00F22FBD" w:rsidRDefault="00F22FBD"/>
    <w:p w14:paraId="7459DF51" w14:textId="77777777" w:rsidR="00F22FBD" w:rsidRDefault="00D44E4A">
      <w:pPr>
        <w:rPr>
          <w:b/>
          <w:bCs/>
        </w:rPr>
      </w:pPr>
      <w:r>
        <w:rPr>
          <w:b/>
          <w:bCs/>
        </w:rPr>
        <w:t>3 lentelė. Veiksniai, galintys didinti kraujavimo riziką</w:t>
      </w:r>
    </w:p>
    <w:p w14:paraId="36D91625" w14:textId="77777777" w:rsidR="00F22FBD" w:rsidRDefault="00F22FBD"/>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30"/>
        <w:gridCol w:w="4641"/>
      </w:tblGrid>
      <w:tr w:rsidR="00F22FBD" w14:paraId="09FD4208" w14:textId="77777777">
        <w:trPr>
          <w:trHeight w:val="254"/>
        </w:trPr>
        <w:tc>
          <w:tcPr>
            <w:tcW w:w="4430" w:type="dxa"/>
            <w:shd w:val="clear" w:color="auto" w:fill="auto"/>
          </w:tcPr>
          <w:p w14:paraId="41335CB0" w14:textId="77777777" w:rsidR="00F22FBD" w:rsidRDefault="00F22FBD">
            <w:pPr>
              <w:widowControl w:val="0"/>
              <w:kinsoku w:val="0"/>
              <w:overflowPunct w:val="0"/>
              <w:autoSpaceDE w:val="0"/>
              <w:autoSpaceDN w:val="0"/>
              <w:adjustRightInd w:val="0"/>
              <w:spacing w:line="234" w:lineRule="exact"/>
              <w:ind w:left="105"/>
              <w:rPr>
                <w:color w:val="000000"/>
                <w:szCs w:val="22"/>
                <w:lang w:val="sl-SI" w:eastAsia="sl-SI"/>
              </w:rPr>
            </w:pPr>
          </w:p>
        </w:tc>
        <w:tc>
          <w:tcPr>
            <w:tcW w:w="4641" w:type="dxa"/>
            <w:shd w:val="clear" w:color="auto" w:fill="auto"/>
          </w:tcPr>
          <w:p w14:paraId="6A779E35" w14:textId="77777777" w:rsidR="00F22FBD" w:rsidRDefault="00D44E4A">
            <w:pPr>
              <w:widowControl w:val="0"/>
              <w:kinsoku w:val="0"/>
              <w:overflowPunct w:val="0"/>
              <w:autoSpaceDE w:val="0"/>
              <w:autoSpaceDN w:val="0"/>
              <w:adjustRightInd w:val="0"/>
              <w:spacing w:line="234" w:lineRule="exact"/>
              <w:ind w:left="108"/>
              <w:rPr>
                <w:color w:val="000000"/>
                <w:szCs w:val="22"/>
                <w:lang w:val="sl-SI" w:eastAsia="sl-SI"/>
              </w:rPr>
            </w:pPr>
            <w:r>
              <w:rPr>
                <w:color w:val="000000"/>
                <w:szCs w:val="22"/>
                <w:lang w:val="sl-SI" w:eastAsia="sl-SI"/>
              </w:rPr>
              <w:t>Rizikos veiksniai</w:t>
            </w:r>
          </w:p>
        </w:tc>
      </w:tr>
      <w:tr w:rsidR="00F22FBD" w14:paraId="56A0BEE5" w14:textId="77777777">
        <w:trPr>
          <w:trHeight w:val="254"/>
        </w:trPr>
        <w:tc>
          <w:tcPr>
            <w:tcW w:w="4430" w:type="dxa"/>
            <w:shd w:val="clear" w:color="auto" w:fill="auto"/>
          </w:tcPr>
          <w:p w14:paraId="53DADA29"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t>Farmakodinamikos ir farmakokinetikos veiksniai</w:t>
            </w:r>
          </w:p>
        </w:tc>
        <w:tc>
          <w:tcPr>
            <w:tcW w:w="4641" w:type="dxa"/>
            <w:shd w:val="clear" w:color="auto" w:fill="auto"/>
          </w:tcPr>
          <w:p w14:paraId="0DF04C03" w14:textId="77777777" w:rsidR="00F22FBD" w:rsidRDefault="00D44E4A">
            <w:pPr>
              <w:widowControl w:val="0"/>
              <w:kinsoku w:val="0"/>
              <w:overflowPunct w:val="0"/>
              <w:autoSpaceDE w:val="0"/>
              <w:autoSpaceDN w:val="0"/>
              <w:adjustRightInd w:val="0"/>
              <w:spacing w:line="234" w:lineRule="exact"/>
              <w:ind w:left="108"/>
              <w:rPr>
                <w:color w:val="000000"/>
                <w:szCs w:val="22"/>
                <w:lang w:val="sl-SI" w:eastAsia="sl-SI"/>
              </w:rPr>
            </w:pPr>
            <w:r>
              <w:rPr>
                <w:color w:val="000000"/>
                <w:szCs w:val="22"/>
                <w:lang w:val="sl-SI" w:eastAsia="sl-SI"/>
              </w:rPr>
              <w:t>≥ 75 metų amžius</w:t>
            </w:r>
          </w:p>
        </w:tc>
      </w:tr>
      <w:tr w:rsidR="00F22FBD" w14:paraId="720B2D7E" w14:textId="77777777">
        <w:trPr>
          <w:trHeight w:val="2845"/>
        </w:trPr>
        <w:tc>
          <w:tcPr>
            <w:tcW w:w="4430" w:type="dxa"/>
            <w:shd w:val="clear" w:color="auto" w:fill="auto"/>
          </w:tcPr>
          <w:p w14:paraId="6FC82CAF" w14:textId="77777777" w:rsidR="00F22FBD" w:rsidRDefault="00D44E4A">
            <w:pPr>
              <w:widowControl w:val="0"/>
              <w:kinsoku w:val="0"/>
              <w:overflowPunct w:val="0"/>
              <w:autoSpaceDE w:val="0"/>
              <w:autoSpaceDN w:val="0"/>
              <w:adjustRightInd w:val="0"/>
              <w:spacing w:line="247" w:lineRule="exact"/>
              <w:ind w:left="105"/>
              <w:rPr>
                <w:color w:val="000000"/>
                <w:szCs w:val="22"/>
                <w:lang w:val="sl-SI" w:eastAsia="sl-SI"/>
              </w:rPr>
            </w:pPr>
            <w:r>
              <w:t>Veiksniai, didinantys dabigatrano kiekį kraujo plazmoje</w:t>
            </w:r>
          </w:p>
        </w:tc>
        <w:tc>
          <w:tcPr>
            <w:tcW w:w="4641" w:type="dxa"/>
            <w:shd w:val="clear" w:color="auto" w:fill="auto"/>
          </w:tcPr>
          <w:p w14:paraId="6D671914" w14:textId="77777777" w:rsidR="00F22FBD" w:rsidRDefault="00D44E4A">
            <w:pPr>
              <w:widowControl w:val="0"/>
              <w:kinsoku w:val="0"/>
              <w:overflowPunct w:val="0"/>
              <w:autoSpaceDE w:val="0"/>
              <w:autoSpaceDN w:val="0"/>
              <w:adjustRightInd w:val="0"/>
              <w:spacing w:line="245" w:lineRule="exact"/>
              <w:ind w:left="108"/>
              <w:rPr>
                <w:color w:val="000000"/>
                <w:szCs w:val="22"/>
                <w:lang w:val="sl-SI" w:eastAsia="sl-SI"/>
              </w:rPr>
            </w:pPr>
            <w:r>
              <w:rPr>
                <w:color w:val="000000"/>
                <w:szCs w:val="22"/>
                <w:u w:val="single"/>
                <w:lang w:val="sl-SI" w:eastAsia="sl-SI"/>
              </w:rPr>
              <w:t>Svarbūs:</w:t>
            </w:r>
          </w:p>
          <w:p w14:paraId="2739F680" w14:textId="77777777" w:rsidR="00F22FBD" w:rsidRDefault="00D44E4A">
            <w:pPr>
              <w:widowControl w:val="0"/>
              <w:numPr>
                <w:ilvl w:val="0"/>
                <w:numId w:val="5"/>
              </w:numPr>
              <w:autoSpaceDE w:val="0"/>
              <w:autoSpaceDN w:val="0"/>
              <w:ind w:left="567" w:hanging="567"/>
              <w:jc w:val="both"/>
              <w:rPr>
                <w:color w:val="000000"/>
                <w:szCs w:val="22"/>
                <w:lang w:val="en-US"/>
              </w:rPr>
            </w:pPr>
            <w:r>
              <w:t>Vidutinio sunkumo inkstų funkcijos sutrikimas (KrKl 30 – 50 ml/min.) suaugusiems pacientams</w:t>
            </w:r>
          </w:p>
          <w:p w14:paraId="75B24511" w14:textId="77777777" w:rsidR="00F22FBD" w:rsidRDefault="00D44E4A">
            <w:pPr>
              <w:widowControl w:val="0"/>
              <w:numPr>
                <w:ilvl w:val="0"/>
                <w:numId w:val="5"/>
              </w:numPr>
              <w:autoSpaceDE w:val="0"/>
              <w:autoSpaceDN w:val="0"/>
              <w:ind w:left="567" w:hanging="567"/>
              <w:jc w:val="both"/>
              <w:rPr>
                <w:color w:val="000000"/>
                <w:szCs w:val="22"/>
                <w:lang w:val="en-US"/>
              </w:rPr>
            </w:pPr>
            <w:r>
              <w:t xml:space="preserve">Stiprūs P-glikoproteino inhibitoriai (žr. 4.3 ir 4.5 skyrius) </w:t>
            </w:r>
          </w:p>
          <w:p w14:paraId="5310A2B2" w14:textId="77777777" w:rsidR="00F22FBD" w:rsidRDefault="00D44E4A">
            <w:pPr>
              <w:widowControl w:val="0"/>
              <w:numPr>
                <w:ilvl w:val="0"/>
                <w:numId w:val="5"/>
              </w:numPr>
              <w:autoSpaceDE w:val="0"/>
              <w:autoSpaceDN w:val="0"/>
              <w:ind w:left="567" w:hanging="567"/>
              <w:jc w:val="both"/>
              <w:rPr>
                <w:color w:val="000000"/>
                <w:szCs w:val="22"/>
                <w:lang w:val="en-US"/>
              </w:rPr>
            </w:pPr>
            <w:r>
              <w:t>Kartu vartojami silpni arba vidutinio stiprumo P-glikoproteino inhibitoriai (pvz., amjodaronas, verapamilis, chinidinas ir tikagreloras; žr. 4.5 skyrių)</w:t>
            </w:r>
          </w:p>
          <w:p w14:paraId="403E7AE1" w14:textId="77777777" w:rsidR="00F22FBD" w:rsidRDefault="00F22FBD">
            <w:pPr>
              <w:widowControl w:val="0"/>
              <w:kinsoku w:val="0"/>
              <w:overflowPunct w:val="0"/>
              <w:autoSpaceDE w:val="0"/>
              <w:autoSpaceDN w:val="0"/>
              <w:adjustRightInd w:val="0"/>
              <w:spacing w:before="11"/>
              <w:rPr>
                <w:b/>
                <w:bCs/>
                <w:color w:val="000000"/>
                <w:szCs w:val="22"/>
                <w:lang w:val="sl-SI" w:eastAsia="sl-SI"/>
              </w:rPr>
            </w:pPr>
          </w:p>
          <w:p w14:paraId="37FCD903" w14:textId="77777777" w:rsidR="00F22FBD" w:rsidRDefault="00D44E4A">
            <w:pPr>
              <w:widowControl w:val="0"/>
              <w:kinsoku w:val="0"/>
              <w:overflowPunct w:val="0"/>
              <w:autoSpaceDE w:val="0"/>
              <w:autoSpaceDN w:val="0"/>
              <w:adjustRightInd w:val="0"/>
              <w:ind w:left="108"/>
              <w:rPr>
                <w:color w:val="000000"/>
                <w:szCs w:val="22"/>
                <w:lang w:val="sl-SI" w:eastAsia="sl-SI"/>
              </w:rPr>
            </w:pPr>
            <w:r>
              <w:rPr>
                <w:color w:val="000000"/>
                <w:szCs w:val="22"/>
                <w:u w:val="single"/>
                <w:lang w:val="sl-SI" w:eastAsia="sl-SI"/>
              </w:rPr>
              <w:t>Mažiau svarbūs:</w:t>
            </w:r>
          </w:p>
          <w:p w14:paraId="7A1E28AB" w14:textId="77777777" w:rsidR="00F22FBD" w:rsidRDefault="00D44E4A">
            <w:pPr>
              <w:widowControl w:val="0"/>
              <w:numPr>
                <w:ilvl w:val="0"/>
                <w:numId w:val="5"/>
              </w:numPr>
              <w:autoSpaceDE w:val="0"/>
              <w:autoSpaceDN w:val="0"/>
              <w:ind w:left="567" w:hanging="567"/>
              <w:jc w:val="both"/>
              <w:rPr>
                <w:color w:val="000000"/>
                <w:spacing w:val="-3"/>
                <w:szCs w:val="22"/>
                <w:lang w:val="sl-SI" w:eastAsia="sl-SI"/>
              </w:rPr>
            </w:pPr>
            <w:r>
              <w:t>Mažas (&lt; 50 kg) kūno svoris suaugusiems pacientams</w:t>
            </w:r>
          </w:p>
        </w:tc>
      </w:tr>
      <w:tr w:rsidR="00F22FBD" w14:paraId="2A050A61" w14:textId="77777777">
        <w:trPr>
          <w:trHeight w:val="1581"/>
        </w:trPr>
        <w:tc>
          <w:tcPr>
            <w:tcW w:w="4430" w:type="dxa"/>
            <w:shd w:val="clear" w:color="auto" w:fill="auto"/>
          </w:tcPr>
          <w:p w14:paraId="31DD20E7" w14:textId="77777777" w:rsidR="00F22FBD" w:rsidRDefault="00D44E4A">
            <w:pPr>
              <w:widowControl w:val="0"/>
              <w:kinsoku w:val="0"/>
              <w:overflowPunct w:val="0"/>
              <w:autoSpaceDE w:val="0"/>
              <w:autoSpaceDN w:val="0"/>
              <w:adjustRightInd w:val="0"/>
              <w:spacing w:line="247" w:lineRule="exact"/>
              <w:ind w:left="105"/>
              <w:rPr>
                <w:color w:val="000000"/>
                <w:szCs w:val="22"/>
                <w:lang w:val="sl-SI" w:eastAsia="sl-SI"/>
              </w:rPr>
            </w:pPr>
            <w:r>
              <w:t>Farmakodinaminė sąveika (žr. 4.5 skyrių)</w:t>
            </w:r>
          </w:p>
        </w:tc>
        <w:tc>
          <w:tcPr>
            <w:tcW w:w="4641" w:type="dxa"/>
            <w:shd w:val="clear" w:color="auto" w:fill="auto"/>
          </w:tcPr>
          <w:p w14:paraId="0B440793" w14:textId="77777777" w:rsidR="00F22FBD" w:rsidRDefault="00D44E4A">
            <w:pPr>
              <w:widowControl w:val="0"/>
              <w:numPr>
                <w:ilvl w:val="0"/>
                <w:numId w:val="5"/>
              </w:numPr>
              <w:autoSpaceDE w:val="0"/>
              <w:autoSpaceDN w:val="0"/>
              <w:ind w:left="567" w:hanging="567"/>
              <w:jc w:val="both"/>
              <w:rPr>
                <w:color w:val="000000"/>
                <w:szCs w:val="22"/>
                <w:lang w:val="en-US"/>
              </w:rPr>
            </w:pPr>
            <w:r>
              <w:t>ASR ir kiti trombocitų agregacijos inhibitoriai, pvz., klopidogrelis</w:t>
            </w:r>
          </w:p>
          <w:p w14:paraId="4BE35B15" w14:textId="77777777" w:rsidR="00F22FBD" w:rsidRDefault="00D44E4A">
            <w:pPr>
              <w:widowControl w:val="0"/>
              <w:numPr>
                <w:ilvl w:val="0"/>
                <w:numId w:val="5"/>
              </w:numPr>
              <w:autoSpaceDE w:val="0"/>
              <w:autoSpaceDN w:val="0"/>
              <w:ind w:left="567" w:hanging="567"/>
              <w:jc w:val="both"/>
              <w:rPr>
                <w:color w:val="000000"/>
                <w:szCs w:val="22"/>
                <w:lang w:val="en-US"/>
              </w:rPr>
            </w:pPr>
            <w:r>
              <w:t>NVPNU</w:t>
            </w:r>
          </w:p>
          <w:p w14:paraId="6C2A15CF" w14:textId="77777777" w:rsidR="00F22FBD" w:rsidRDefault="00D44E4A">
            <w:pPr>
              <w:widowControl w:val="0"/>
              <w:numPr>
                <w:ilvl w:val="0"/>
                <w:numId w:val="5"/>
              </w:numPr>
              <w:autoSpaceDE w:val="0"/>
              <w:autoSpaceDN w:val="0"/>
              <w:ind w:left="567" w:hanging="567"/>
              <w:jc w:val="both"/>
              <w:rPr>
                <w:color w:val="000000"/>
                <w:szCs w:val="22"/>
                <w:lang w:val="en-US"/>
              </w:rPr>
            </w:pPr>
            <w:r>
              <w:t>Selektyvūs serotonino reabsorbcijos inhibitoriai (SSRI) arba selektyvūs serotonino ir norepinefrino reabsorbcijos inhibitoriai (SNRI)</w:t>
            </w:r>
          </w:p>
          <w:p w14:paraId="25939698" w14:textId="77777777" w:rsidR="00F22FBD" w:rsidRDefault="00D44E4A">
            <w:pPr>
              <w:widowControl w:val="0"/>
              <w:numPr>
                <w:ilvl w:val="0"/>
                <w:numId w:val="5"/>
              </w:numPr>
              <w:autoSpaceDE w:val="0"/>
              <w:autoSpaceDN w:val="0"/>
              <w:ind w:left="567" w:hanging="567"/>
              <w:jc w:val="both"/>
              <w:rPr>
                <w:color w:val="000000"/>
                <w:szCs w:val="22"/>
                <w:lang w:val="en-US"/>
              </w:rPr>
            </w:pPr>
            <w:r>
              <w:t>Kitokie vaistiniai preparatai, galintys sutrikdyti hemostazę</w:t>
            </w:r>
          </w:p>
        </w:tc>
      </w:tr>
      <w:tr w:rsidR="00F22FBD" w14:paraId="628AEBDC" w14:textId="77777777">
        <w:trPr>
          <w:trHeight w:val="2101"/>
        </w:trPr>
        <w:tc>
          <w:tcPr>
            <w:tcW w:w="4430" w:type="dxa"/>
            <w:shd w:val="clear" w:color="auto" w:fill="auto"/>
          </w:tcPr>
          <w:p w14:paraId="1E6BF7D1" w14:textId="77777777" w:rsidR="00F22FBD" w:rsidRDefault="00D44E4A">
            <w:pPr>
              <w:widowControl w:val="0"/>
              <w:kinsoku w:val="0"/>
              <w:overflowPunct w:val="0"/>
              <w:autoSpaceDE w:val="0"/>
              <w:autoSpaceDN w:val="0"/>
              <w:adjustRightInd w:val="0"/>
              <w:ind w:left="105"/>
              <w:rPr>
                <w:color w:val="000000"/>
                <w:szCs w:val="22"/>
                <w:lang w:val="sl-SI" w:eastAsia="sl-SI"/>
              </w:rPr>
            </w:pPr>
            <w:r>
              <w:lastRenderedPageBreak/>
              <w:t>Ligos ar procedūros, susijusios su specifine kraujavimo rizika</w:t>
            </w:r>
          </w:p>
        </w:tc>
        <w:tc>
          <w:tcPr>
            <w:tcW w:w="4641" w:type="dxa"/>
            <w:shd w:val="clear" w:color="auto" w:fill="auto"/>
          </w:tcPr>
          <w:p w14:paraId="2F0ED8D4" w14:textId="77777777" w:rsidR="00F22FBD" w:rsidRDefault="00D44E4A">
            <w:pPr>
              <w:widowControl w:val="0"/>
              <w:numPr>
                <w:ilvl w:val="0"/>
                <w:numId w:val="5"/>
              </w:numPr>
              <w:autoSpaceDE w:val="0"/>
              <w:autoSpaceDN w:val="0"/>
              <w:ind w:left="567" w:hanging="567"/>
              <w:jc w:val="both"/>
              <w:rPr>
                <w:color w:val="000000"/>
                <w:szCs w:val="22"/>
                <w:lang w:val="en-US"/>
              </w:rPr>
            </w:pPr>
            <w:r>
              <w:t>Įgimti arba įgyti kraujo krešėjimo sutrikimai</w:t>
            </w:r>
          </w:p>
          <w:p w14:paraId="67A116ED" w14:textId="77777777" w:rsidR="00F22FBD" w:rsidRDefault="00D44E4A">
            <w:pPr>
              <w:widowControl w:val="0"/>
              <w:numPr>
                <w:ilvl w:val="0"/>
                <w:numId w:val="5"/>
              </w:numPr>
              <w:autoSpaceDE w:val="0"/>
              <w:autoSpaceDN w:val="0"/>
              <w:ind w:left="567" w:hanging="567"/>
              <w:jc w:val="both"/>
              <w:rPr>
                <w:color w:val="000000"/>
                <w:szCs w:val="22"/>
                <w:lang w:val="en-US"/>
              </w:rPr>
            </w:pPr>
            <w:r>
              <w:t>Trombocitopenija arba funkcinis trombocitų trūkumas</w:t>
            </w:r>
          </w:p>
          <w:p w14:paraId="29F9811A" w14:textId="77777777" w:rsidR="00F22FBD" w:rsidRDefault="00D44E4A">
            <w:pPr>
              <w:widowControl w:val="0"/>
              <w:numPr>
                <w:ilvl w:val="0"/>
                <w:numId w:val="5"/>
              </w:numPr>
              <w:autoSpaceDE w:val="0"/>
              <w:autoSpaceDN w:val="0"/>
              <w:ind w:left="567" w:hanging="567"/>
              <w:jc w:val="both"/>
              <w:rPr>
                <w:color w:val="000000"/>
                <w:szCs w:val="22"/>
                <w:lang w:val="en-US"/>
              </w:rPr>
            </w:pPr>
            <w:r>
              <w:t>Neseniai atlikta biopsija ar patirta didesnė trauma</w:t>
            </w:r>
          </w:p>
          <w:p w14:paraId="63DA97B6" w14:textId="77777777" w:rsidR="00F22FBD" w:rsidRDefault="00D44E4A">
            <w:pPr>
              <w:widowControl w:val="0"/>
              <w:numPr>
                <w:ilvl w:val="0"/>
                <w:numId w:val="5"/>
              </w:numPr>
              <w:autoSpaceDE w:val="0"/>
              <w:autoSpaceDN w:val="0"/>
              <w:ind w:left="567" w:hanging="567"/>
              <w:jc w:val="both"/>
              <w:rPr>
                <w:color w:val="000000"/>
                <w:szCs w:val="22"/>
                <w:lang w:val="en-US"/>
              </w:rPr>
            </w:pPr>
            <w:r>
              <w:t>Bakterinis endokarditas</w:t>
            </w:r>
          </w:p>
          <w:p w14:paraId="53FB1614" w14:textId="77777777" w:rsidR="00F22FBD" w:rsidRDefault="00D44E4A">
            <w:pPr>
              <w:widowControl w:val="0"/>
              <w:numPr>
                <w:ilvl w:val="0"/>
                <w:numId w:val="5"/>
              </w:numPr>
              <w:autoSpaceDE w:val="0"/>
              <w:autoSpaceDN w:val="0"/>
              <w:ind w:left="567" w:hanging="567"/>
              <w:jc w:val="both"/>
              <w:rPr>
                <w:color w:val="000000"/>
                <w:szCs w:val="22"/>
                <w:lang w:val="en-US"/>
              </w:rPr>
            </w:pPr>
            <w:r>
              <w:t>Ezofagitas, gastritas ar gastroezofaginis refliuksas</w:t>
            </w:r>
          </w:p>
        </w:tc>
      </w:tr>
    </w:tbl>
    <w:p w14:paraId="068734A9" w14:textId="77777777" w:rsidR="00F22FBD" w:rsidRDefault="00F22FBD"/>
    <w:p w14:paraId="0BFBF3CA" w14:textId="77777777" w:rsidR="00F22FBD" w:rsidRDefault="00D44E4A">
      <w:r>
        <w:t>Apie suaugusių pacientų, sveriančių &lt; 50 kg, gydymą duomenys yra riboti (žr. 5.2 skyrių).</w:t>
      </w:r>
    </w:p>
    <w:p w14:paraId="5BC44F4B" w14:textId="77777777" w:rsidR="00F22FBD" w:rsidRDefault="00F22FBD"/>
    <w:p w14:paraId="1522D1F5" w14:textId="77777777" w:rsidR="00F22FBD" w:rsidRDefault="00D44E4A">
      <w:r>
        <w:t>Dabigatrano eteksilato vartojimas kartu su P-gp inhibitoriais pacientų vaikų populiacijoje netirtas, tačiau tokiu atveju gali padidėti kraujavimo rizika (žr. 4.5 skyrių).</w:t>
      </w:r>
    </w:p>
    <w:p w14:paraId="73DD5215" w14:textId="77777777" w:rsidR="00F22FBD" w:rsidRDefault="00F22FBD"/>
    <w:p w14:paraId="0CA2E4AC" w14:textId="77777777" w:rsidR="00F22FBD" w:rsidRDefault="00D44E4A">
      <w:pPr>
        <w:rPr>
          <w:i/>
          <w:iCs/>
          <w:u w:val="single"/>
        </w:rPr>
      </w:pPr>
      <w:r>
        <w:rPr>
          <w:i/>
          <w:iCs/>
          <w:u w:val="single"/>
        </w:rPr>
        <w:t>Atsargumo priemonės dėl hemoragijos rizikos ir jos valdymas</w:t>
      </w:r>
    </w:p>
    <w:p w14:paraId="602B4378" w14:textId="77777777" w:rsidR="00F22FBD" w:rsidRDefault="00F22FBD"/>
    <w:p w14:paraId="76C83A24" w14:textId="77777777" w:rsidR="00F22FBD" w:rsidRDefault="00D44E4A">
      <w:r>
        <w:t>Kaip valdyti kraujavimo komplikacijas, žr. 4.9 skyrių.</w:t>
      </w:r>
    </w:p>
    <w:p w14:paraId="7A6B7854" w14:textId="77777777" w:rsidR="00F22FBD" w:rsidRDefault="00F22FBD"/>
    <w:p w14:paraId="07F41519" w14:textId="77777777" w:rsidR="00F22FBD" w:rsidRDefault="00D44E4A">
      <w:pPr>
        <w:rPr>
          <w:i/>
          <w:iCs/>
        </w:rPr>
      </w:pPr>
      <w:r>
        <w:rPr>
          <w:i/>
          <w:iCs/>
        </w:rPr>
        <w:t>Naudos ir rizikos įvertinimas</w:t>
      </w:r>
    </w:p>
    <w:p w14:paraId="39DA06D2" w14:textId="77777777" w:rsidR="00F22FBD" w:rsidRDefault="00F22FBD"/>
    <w:p w14:paraId="7C447C9A" w14:textId="77777777" w:rsidR="00F22FBD" w:rsidRDefault="00D44E4A">
      <w:r>
        <w:t>Reikšmingai didžiojo kraujavimo riziką didinančių sužeidimų, būklių, procedūrų ir (arba) gydymo vaistiniais preparatais (pvz., NVPNU, antitrombocitiniais preparatais, selektyviais serotonino reabsorbcijos inhibitoriais ar selektyviais serotonino ir norepinefrino reabsorbcijos inhibitoriais, žr. 4.5 skyrių) atvejais būtina atidžiai įvertinti naudos ir rizikos santykį. Dabigatrano eteksilatu galima gydyti tik nustačius, kad nauda persveria kraujavimo riziką.</w:t>
      </w:r>
    </w:p>
    <w:p w14:paraId="6A6D29BC" w14:textId="77777777" w:rsidR="00F22FBD" w:rsidRDefault="00F22FBD"/>
    <w:p w14:paraId="78E712FF" w14:textId="77777777" w:rsidR="00F22FBD" w:rsidRDefault="00D44E4A">
      <w:r>
        <w:t>Klinikinių duomenų apie pacientus vaikus, turinčius rizikos veiksnių, įskaitant sergančius aktyviu meningitu, encefalitu bei turinčius intrakranijinį abscesą, yra nedaug (žr. 5.1 skyrių). Tokius pacientus dabigatrano eteksilatu galima gydyti tik nustačius, kad tikėtina nauda persveria kraujavimo riziką</w:t>
      </w:r>
    </w:p>
    <w:p w14:paraId="53D0AA96" w14:textId="77777777" w:rsidR="00F22FBD" w:rsidRDefault="00F22FBD"/>
    <w:p w14:paraId="072D1057" w14:textId="77777777" w:rsidR="00F22FBD" w:rsidRDefault="00D44E4A">
      <w:pPr>
        <w:rPr>
          <w:i/>
          <w:iCs/>
        </w:rPr>
      </w:pPr>
      <w:r>
        <w:rPr>
          <w:i/>
          <w:iCs/>
        </w:rPr>
        <w:t>Atidi klinikinė priežiūra</w:t>
      </w:r>
    </w:p>
    <w:p w14:paraId="66D896E5" w14:textId="77777777" w:rsidR="00F22FBD" w:rsidRDefault="00F22FBD"/>
    <w:p w14:paraId="1E21BF5D" w14:textId="77777777" w:rsidR="00F22FBD" w:rsidRDefault="00D44E4A">
      <w:r>
        <w:t>Visą gydymo laikotarpį rekomenduojama atidžiai stebėti, ar neatsiranda kraujavimo ar anemijos požymių, ypač tuo atveju, jeigu yra ir rizikos veiksnių (žr. 3 lentelę pirmiau). Gydant dabigatrano eteksilatu kartu su verapamiliu, amjodaronu, chinidinu arba klaritromicinu (P-gp inhibitoriais), pacientus, ypač tuos, kurių inkstų funkcija susilpnėjusi, rekomenduojama atidžiai kliniškai prižiūrėti, ypač pasireiškus kraujavimui (žr. 4.5 skyrių).</w:t>
      </w:r>
    </w:p>
    <w:p w14:paraId="0FB7030B" w14:textId="77777777" w:rsidR="00F22FBD" w:rsidRDefault="00D44E4A">
      <w:r>
        <w:t>Dėl hemoragijos rizikos rekomenduojama atidžiai stebėti pacientus, kartu vartojančius NVPNU (žr. 4.5 skyrių).</w:t>
      </w:r>
    </w:p>
    <w:p w14:paraId="7AFC6F92" w14:textId="77777777" w:rsidR="00F22FBD" w:rsidRDefault="00F22FBD"/>
    <w:p w14:paraId="4151252E" w14:textId="77777777" w:rsidR="00F22FBD" w:rsidRDefault="00D44E4A">
      <w:pPr>
        <w:rPr>
          <w:i/>
          <w:iCs/>
        </w:rPr>
      </w:pPr>
      <w:r>
        <w:rPr>
          <w:i/>
          <w:iCs/>
        </w:rPr>
        <w:t>Dabigatrano eteksilato vartojimo nutraukimas</w:t>
      </w:r>
    </w:p>
    <w:p w14:paraId="610C3A57" w14:textId="77777777" w:rsidR="00F22FBD" w:rsidRDefault="00F22FBD"/>
    <w:p w14:paraId="2D26F346" w14:textId="77777777" w:rsidR="00F22FBD" w:rsidRDefault="00D44E4A">
      <w:r>
        <w:t>Pacientams, kuriems pasireiškė ūminis inkstų nepakankamumas, dabigatrano eteksilato vartojimą būtina nutraukti (taip pat žr. 4.3 skyrių).</w:t>
      </w:r>
    </w:p>
    <w:p w14:paraId="4A4F8BD6" w14:textId="77777777" w:rsidR="00F22FBD" w:rsidRDefault="00F22FBD"/>
    <w:p w14:paraId="68B46E8D" w14:textId="77777777" w:rsidR="00F22FBD" w:rsidRDefault="00D44E4A">
      <w:r>
        <w:t>Jeigu prasideda stiprus kraujavimas, gydymą būtina nutraukti, nustatyti kraujavimo vietą ir suaugusiems pacientams galima apsvarstyti gydymo specifiniu poveikį neutralizuojančiu vaistiniu preparatu (idarucizumabu) galimybę. Idarucizumabo veiksmingumas ir saugumas pacientams vaikams neištirti. Dabigatraną galima pašalinti hemodializės būdu.</w:t>
      </w:r>
    </w:p>
    <w:p w14:paraId="6D0200F2" w14:textId="77777777" w:rsidR="00F22FBD" w:rsidRDefault="00F22FBD"/>
    <w:p w14:paraId="00EB2912" w14:textId="77777777" w:rsidR="00F22FBD" w:rsidRDefault="00D44E4A">
      <w:pPr>
        <w:rPr>
          <w:i/>
          <w:iCs/>
        </w:rPr>
      </w:pPr>
      <w:r>
        <w:rPr>
          <w:i/>
          <w:iCs/>
        </w:rPr>
        <w:t>Protonų siurblio inhibitorių vartojimas</w:t>
      </w:r>
    </w:p>
    <w:p w14:paraId="58935368" w14:textId="77777777" w:rsidR="00F22FBD" w:rsidRDefault="00F22FBD"/>
    <w:p w14:paraId="26F39BA5" w14:textId="77777777" w:rsidR="00F22FBD" w:rsidRDefault="00D44E4A">
      <w:r>
        <w:t>Siekiant išvengti kraujavimo iš skrandžio ir žarnų, galima apsvarstyti protonų siurblio inhibitorių (PSI) skyrimą. Pacientų vaikų atveju reikia vadovautis vietinėmis protonų siurblio inhibitorių informacinių dokumentų rekomendacijomis.</w:t>
      </w:r>
    </w:p>
    <w:p w14:paraId="6AA6C63B" w14:textId="77777777" w:rsidR="00F22FBD" w:rsidRDefault="00F22FBD"/>
    <w:p w14:paraId="1B0FB59B" w14:textId="77777777" w:rsidR="00F22FBD" w:rsidRDefault="00D44E4A">
      <w:pPr>
        <w:rPr>
          <w:i/>
          <w:iCs/>
        </w:rPr>
      </w:pPr>
      <w:r>
        <w:rPr>
          <w:i/>
          <w:iCs/>
        </w:rPr>
        <w:t>Laboratorinių kraujo krešėjimo tyrimų rodmenys</w:t>
      </w:r>
    </w:p>
    <w:p w14:paraId="44B6AB90" w14:textId="77777777" w:rsidR="00F22FBD" w:rsidRDefault="00F22FBD"/>
    <w:p w14:paraId="2EE08C41" w14:textId="77777777" w:rsidR="00F22FBD" w:rsidRDefault="00D44E4A">
      <w:r>
        <w:t>Nors gydant šiuo vaistiniu preparatu nusistovėjusia praktika sekti antikoaguliacinį poveikį paprastai nereikalaujama, tais atvejais, kai yra papildomų rizikos veiksnių, nuo dabigatrano priklausomo antikoaguliacinio poveikio matavimas gali padėti nustatyti pernelyg didelę dabigatrano ekspoziciją. Naudingos informacijos gali duoti praskiesto trombino laikas (PTL), ekarino krešėjimo laikas (EKL) ir dalinio aktyvinto tromboplastino laikas (DATL), tačiau gautus rezultatus dėl kintamumo atliekant tą patį tyrimą reikia vertinti atsargiai (žr. 5.1 skyrių).</w:t>
      </w:r>
    </w:p>
    <w:p w14:paraId="77716463" w14:textId="77777777" w:rsidR="00F22FBD" w:rsidRDefault="00D44E4A">
      <w:r>
        <w:t>Dabigatrano eteksilato vartojantiems pacientams tarptautinio normalizuoto santykio (TNS) tyrimas yra nepatikimas ir buvo TNS tariamai teigiamo padidėjimo atvejų. Taigi TNS tyrimų atlikinėti nereikia.</w:t>
      </w:r>
    </w:p>
    <w:p w14:paraId="542534CE" w14:textId="77777777" w:rsidR="00F22FBD" w:rsidRDefault="00F22FBD"/>
    <w:p w14:paraId="3267B301" w14:textId="77777777" w:rsidR="00F22FBD" w:rsidRDefault="00D44E4A">
      <w:r>
        <w:t>4-oje lentelėje yra pateikti suaugusių pacientų krešėjimo rodiklių, nustatytų tuo metu, kai koncentracija mažiausia, slenksčiai, kurie gali būti susiję su kraujavimo rizikos padidėjimu. Atitinkamų slenksčių, taikytinų pacientams vaikams, nežinoma (žr. 5.1 skyrių).</w:t>
      </w:r>
    </w:p>
    <w:p w14:paraId="4F4B03FB" w14:textId="77777777" w:rsidR="00F22FBD" w:rsidRDefault="00F22FBD"/>
    <w:p w14:paraId="0BE48D21" w14:textId="77777777" w:rsidR="00F22FBD" w:rsidRDefault="00D44E4A">
      <w:pPr>
        <w:widowControl w:val="0"/>
        <w:kinsoku w:val="0"/>
        <w:overflowPunct w:val="0"/>
        <w:spacing w:before="1" w:after="60"/>
        <w:ind w:left="851" w:hanging="851"/>
        <w:outlineLvl w:val="0"/>
        <w:rPr>
          <w:b/>
          <w:bCs/>
          <w:color w:val="000000"/>
          <w:kern w:val="32"/>
          <w:szCs w:val="22"/>
          <w:lang w:val="sl-SI" w:eastAsia="sl-SI"/>
        </w:rPr>
      </w:pPr>
      <w:r>
        <w:rPr>
          <w:b/>
          <w:bCs/>
          <w:color w:val="000000"/>
          <w:kern w:val="32"/>
          <w:szCs w:val="22"/>
          <w:lang w:val="sl-SI" w:eastAsia="sl-SI"/>
        </w:rPr>
        <w:t>4 lentelė:</w:t>
      </w:r>
      <w:r>
        <w:rPr>
          <w:b/>
          <w:bCs/>
          <w:color w:val="000000"/>
          <w:kern w:val="32"/>
          <w:szCs w:val="22"/>
          <w:lang w:val="sl-SI" w:eastAsia="sl-SI"/>
        </w:rPr>
        <w:tab/>
      </w:r>
      <w:r>
        <w:rPr>
          <w:b/>
          <w:bCs/>
        </w:rPr>
        <w:t>Suaugusių pacientų krešėjimo rodiklių, nustatytų tuo metu, kai koncetracija mažiausia, slenksčiai, kurie gali būti susiję su kraujavimo rizikos padidėjimu</w:t>
      </w:r>
    </w:p>
    <w:tbl>
      <w:tblPr>
        <w:tblW w:w="9072" w:type="dxa"/>
        <w:tblInd w:w="-7" w:type="dxa"/>
        <w:tblLayout w:type="fixed"/>
        <w:tblCellMar>
          <w:left w:w="0" w:type="dxa"/>
          <w:right w:w="0" w:type="dxa"/>
        </w:tblCellMar>
        <w:tblLook w:val="0000" w:firstRow="0" w:lastRow="0" w:firstColumn="0" w:lastColumn="0" w:noHBand="0" w:noVBand="0"/>
      </w:tblPr>
      <w:tblGrid>
        <w:gridCol w:w="3545"/>
        <w:gridCol w:w="5527"/>
      </w:tblGrid>
      <w:tr w:rsidR="00F22FBD" w14:paraId="4FF6EF49" w14:textId="77777777">
        <w:trPr>
          <w:trHeight w:val="253"/>
        </w:trPr>
        <w:tc>
          <w:tcPr>
            <w:tcW w:w="3545" w:type="dxa"/>
            <w:tcBorders>
              <w:top w:val="single" w:sz="4" w:space="0" w:color="000000"/>
              <w:left w:val="single" w:sz="4" w:space="0" w:color="000000"/>
              <w:bottom w:val="single" w:sz="4" w:space="0" w:color="000000"/>
              <w:right w:val="single" w:sz="4" w:space="0" w:color="000000"/>
            </w:tcBorders>
          </w:tcPr>
          <w:p w14:paraId="5A06CF67"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t>Rodiklis (nustatytas tuo metu, kai koncentracija mažiausia)</w:t>
            </w:r>
          </w:p>
        </w:tc>
        <w:tc>
          <w:tcPr>
            <w:tcW w:w="5527" w:type="dxa"/>
            <w:tcBorders>
              <w:top w:val="single" w:sz="4" w:space="0" w:color="000000"/>
              <w:left w:val="single" w:sz="4" w:space="0" w:color="000000"/>
              <w:bottom w:val="single" w:sz="4" w:space="0" w:color="000000"/>
              <w:right w:val="single" w:sz="4" w:space="0" w:color="000000"/>
            </w:tcBorders>
          </w:tcPr>
          <w:p w14:paraId="524F86E5" w14:textId="77777777" w:rsidR="00F22FBD" w:rsidRDefault="00D44E4A">
            <w:pPr>
              <w:widowControl w:val="0"/>
              <w:kinsoku w:val="0"/>
              <w:overflowPunct w:val="0"/>
              <w:autoSpaceDE w:val="0"/>
              <w:autoSpaceDN w:val="0"/>
              <w:adjustRightInd w:val="0"/>
              <w:rPr>
                <w:color w:val="000000"/>
                <w:szCs w:val="22"/>
                <w:lang w:val="sl-SI" w:eastAsia="sl-SI"/>
              </w:rPr>
            </w:pPr>
            <w:r>
              <w:t>Slenkstis</w:t>
            </w:r>
          </w:p>
        </w:tc>
      </w:tr>
      <w:tr w:rsidR="00F22FBD" w14:paraId="54AEC4FA" w14:textId="77777777">
        <w:trPr>
          <w:trHeight w:val="251"/>
        </w:trPr>
        <w:tc>
          <w:tcPr>
            <w:tcW w:w="3545" w:type="dxa"/>
            <w:tcBorders>
              <w:top w:val="single" w:sz="4" w:space="0" w:color="000000"/>
              <w:left w:val="single" w:sz="4" w:space="0" w:color="000000"/>
              <w:bottom w:val="single" w:sz="4" w:space="0" w:color="000000"/>
              <w:right w:val="single" w:sz="4" w:space="0" w:color="000000"/>
            </w:tcBorders>
          </w:tcPr>
          <w:p w14:paraId="4F46932B" w14:textId="77777777" w:rsidR="00F22FBD" w:rsidRDefault="00D44E4A">
            <w:pPr>
              <w:widowControl w:val="0"/>
              <w:kinsoku w:val="0"/>
              <w:overflowPunct w:val="0"/>
              <w:autoSpaceDE w:val="0"/>
              <w:autoSpaceDN w:val="0"/>
              <w:adjustRightInd w:val="0"/>
              <w:spacing w:line="232" w:lineRule="exact"/>
              <w:ind w:left="105"/>
              <w:rPr>
                <w:color w:val="000000"/>
                <w:szCs w:val="22"/>
                <w:lang w:val="sl-SI" w:eastAsia="sl-SI"/>
              </w:rPr>
            </w:pPr>
            <w:r>
              <w:t>PTL (ng/ml)</w:t>
            </w:r>
          </w:p>
        </w:tc>
        <w:tc>
          <w:tcPr>
            <w:tcW w:w="5527" w:type="dxa"/>
            <w:tcBorders>
              <w:top w:val="single" w:sz="4" w:space="0" w:color="000000"/>
              <w:left w:val="single" w:sz="4" w:space="0" w:color="000000"/>
              <w:bottom w:val="single" w:sz="4" w:space="0" w:color="000000"/>
              <w:right w:val="single" w:sz="4" w:space="0" w:color="000000"/>
            </w:tcBorders>
          </w:tcPr>
          <w:p w14:paraId="6188B5AE" w14:textId="77777777" w:rsidR="00F22FBD" w:rsidRDefault="00D44E4A">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&gt; 67</w:t>
            </w:r>
          </w:p>
        </w:tc>
      </w:tr>
      <w:tr w:rsidR="00F22FBD" w14:paraId="777FA7E6" w14:textId="77777777">
        <w:trPr>
          <w:trHeight w:val="254"/>
        </w:trPr>
        <w:tc>
          <w:tcPr>
            <w:tcW w:w="3545" w:type="dxa"/>
            <w:tcBorders>
              <w:top w:val="single" w:sz="4" w:space="0" w:color="000000"/>
              <w:left w:val="single" w:sz="4" w:space="0" w:color="000000"/>
              <w:bottom w:val="single" w:sz="4" w:space="0" w:color="000000"/>
              <w:right w:val="single" w:sz="4" w:space="0" w:color="000000"/>
            </w:tcBorders>
          </w:tcPr>
          <w:p w14:paraId="4FC792D2"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t>EKL (x kartų didesnis už viršutinę normos reikšmę)</w:t>
            </w:r>
          </w:p>
        </w:tc>
        <w:tc>
          <w:tcPr>
            <w:tcW w:w="5527" w:type="dxa"/>
            <w:tcBorders>
              <w:top w:val="single" w:sz="4" w:space="0" w:color="000000"/>
              <w:left w:val="single" w:sz="4" w:space="0" w:color="000000"/>
              <w:bottom w:val="single" w:sz="4" w:space="0" w:color="000000"/>
              <w:right w:val="single" w:sz="4" w:space="0" w:color="000000"/>
            </w:tcBorders>
          </w:tcPr>
          <w:p w14:paraId="365860A0"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t>Duomenų nėra</w:t>
            </w:r>
          </w:p>
        </w:tc>
      </w:tr>
      <w:tr w:rsidR="00F22FBD" w14:paraId="45DE26B9" w14:textId="77777777">
        <w:trPr>
          <w:trHeight w:val="253"/>
        </w:trPr>
        <w:tc>
          <w:tcPr>
            <w:tcW w:w="3545" w:type="dxa"/>
            <w:tcBorders>
              <w:top w:val="single" w:sz="4" w:space="0" w:color="000000"/>
              <w:left w:val="single" w:sz="4" w:space="0" w:color="000000"/>
              <w:bottom w:val="single" w:sz="4" w:space="0" w:color="000000"/>
              <w:right w:val="single" w:sz="4" w:space="0" w:color="000000"/>
            </w:tcBorders>
          </w:tcPr>
          <w:p w14:paraId="77591139"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t>DATL (x kartų didesnis už viršutinę normos reikšmę)</w:t>
            </w:r>
          </w:p>
        </w:tc>
        <w:tc>
          <w:tcPr>
            <w:tcW w:w="5527" w:type="dxa"/>
            <w:tcBorders>
              <w:top w:val="single" w:sz="4" w:space="0" w:color="000000"/>
              <w:left w:val="single" w:sz="4" w:space="0" w:color="000000"/>
              <w:bottom w:val="single" w:sz="4" w:space="0" w:color="000000"/>
              <w:right w:val="single" w:sz="4" w:space="0" w:color="000000"/>
            </w:tcBorders>
          </w:tcPr>
          <w:p w14:paraId="2EF69C7D"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t>&gt; 1,3</w:t>
            </w:r>
          </w:p>
        </w:tc>
      </w:tr>
      <w:tr w:rsidR="00F22FBD" w14:paraId="0EB79A26" w14:textId="77777777">
        <w:trPr>
          <w:trHeight w:val="251"/>
        </w:trPr>
        <w:tc>
          <w:tcPr>
            <w:tcW w:w="3545" w:type="dxa"/>
            <w:tcBorders>
              <w:top w:val="single" w:sz="4" w:space="0" w:color="000000"/>
              <w:left w:val="single" w:sz="4" w:space="0" w:color="000000"/>
              <w:bottom w:val="single" w:sz="4" w:space="0" w:color="000000"/>
              <w:right w:val="single" w:sz="4" w:space="0" w:color="000000"/>
            </w:tcBorders>
          </w:tcPr>
          <w:p w14:paraId="768073B3" w14:textId="77777777" w:rsidR="00F22FBD" w:rsidRDefault="00D44E4A">
            <w:pPr>
              <w:widowControl w:val="0"/>
              <w:kinsoku w:val="0"/>
              <w:overflowPunct w:val="0"/>
              <w:autoSpaceDE w:val="0"/>
              <w:autoSpaceDN w:val="0"/>
              <w:adjustRightInd w:val="0"/>
              <w:spacing w:line="232" w:lineRule="exact"/>
              <w:ind w:left="105"/>
              <w:rPr>
                <w:color w:val="000000"/>
                <w:szCs w:val="22"/>
                <w:lang w:val="sl-SI" w:eastAsia="sl-SI"/>
              </w:rPr>
            </w:pPr>
            <w:r>
              <w:t>TNS</w:t>
            </w:r>
          </w:p>
        </w:tc>
        <w:tc>
          <w:tcPr>
            <w:tcW w:w="5527" w:type="dxa"/>
            <w:tcBorders>
              <w:top w:val="single" w:sz="4" w:space="0" w:color="000000"/>
              <w:left w:val="single" w:sz="4" w:space="0" w:color="000000"/>
              <w:bottom w:val="single" w:sz="4" w:space="0" w:color="000000"/>
              <w:right w:val="single" w:sz="4" w:space="0" w:color="000000"/>
            </w:tcBorders>
          </w:tcPr>
          <w:p w14:paraId="38E39AD4" w14:textId="77777777" w:rsidR="00F22FBD" w:rsidRDefault="00D44E4A">
            <w:pPr>
              <w:widowControl w:val="0"/>
              <w:kinsoku w:val="0"/>
              <w:overflowPunct w:val="0"/>
              <w:autoSpaceDE w:val="0"/>
              <w:autoSpaceDN w:val="0"/>
              <w:adjustRightInd w:val="0"/>
              <w:spacing w:line="232" w:lineRule="exact"/>
              <w:ind w:left="105"/>
              <w:rPr>
                <w:color w:val="000000"/>
                <w:szCs w:val="22"/>
                <w:lang w:val="sl-SI" w:eastAsia="sl-SI"/>
              </w:rPr>
            </w:pPr>
            <w:r>
              <w:t>Tirti nereikia</w:t>
            </w:r>
          </w:p>
        </w:tc>
      </w:tr>
    </w:tbl>
    <w:p w14:paraId="34A16332" w14:textId="77777777" w:rsidR="00F22FBD" w:rsidRDefault="00F22FBD"/>
    <w:p w14:paraId="2E674244" w14:textId="77777777" w:rsidR="00F22FBD" w:rsidRDefault="00D44E4A">
      <w:pPr>
        <w:rPr>
          <w:u w:val="single"/>
        </w:rPr>
      </w:pPr>
      <w:r>
        <w:rPr>
          <w:u w:val="single"/>
        </w:rPr>
        <w:t>Fibrinolizinių vaistinių preparatų vartojimas ūminiam išeminiam insultui gydyti</w:t>
      </w:r>
    </w:p>
    <w:p w14:paraId="4A660105" w14:textId="77777777" w:rsidR="00F22FBD" w:rsidRDefault="00F22FBD"/>
    <w:p w14:paraId="4642003F" w14:textId="77777777" w:rsidR="00F22FBD" w:rsidRDefault="00D44E4A">
      <w:r>
        <w:t>Fibrinolizinių vaistinių preparatų vartojimas ūminiam išeminiam insultui gydyti gali būti svarstomas pacientams, kurių PTL, ekarino krešėjimo laikas (EKL) arba DATL neviršija viršutinės normos reikšmės (VNR) pagal vietinius nurodymus.</w:t>
      </w:r>
    </w:p>
    <w:p w14:paraId="6D104C26" w14:textId="77777777" w:rsidR="00F22FBD" w:rsidRDefault="00F22FBD"/>
    <w:p w14:paraId="254630C9" w14:textId="77777777" w:rsidR="00F22FBD" w:rsidRDefault="00D44E4A">
      <w:pPr>
        <w:rPr>
          <w:u w:val="single"/>
        </w:rPr>
      </w:pPr>
      <w:r>
        <w:rPr>
          <w:u w:val="single"/>
        </w:rPr>
        <w:t>Operacijos ir intervencijos</w:t>
      </w:r>
    </w:p>
    <w:p w14:paraId="10CA66EA" w14:textId="77777777" w:rsidR="00F22FBD" w:rsidRDefault="00F22FBD"/>
    <w:p w14:paraId="3FDAD4F5" w14:textId="77777777" w:rsidR="00F22FBD" w:rsidRDefault="00D44E4A">
      <w:r>
        <w:t>Dabigatrano eteksilato vartojantiems pacientams operacijų ir invazinių procedūrų metu yra didesnė kraujavimo rizika, todėl chirurginių procedūrų metu dabigatrano eteksilato vartojimą gali reikėti laikinai nutraukti.</w:t>
      </w:r>
    </w:p>
    <w:p w14:paraId="49288C73" w14:textId="77777777" w:rsidR="00F22FBD" w:rsidRDefault="00F22FBD"/>
    <w:p w14:paraId="33A102A0" w14:textId="77777777" w:rsidR="00F22FBD" w:rsidRDefault="00D44E4A">
      <w:r>
        <w:t>Gydymą dėl procedūros laikinai nutraukus, būtinas atsargumas ir antikoaguliacinio poveikio sekimas. Pacientų, sergančių inkstų nepakankamumu, organizme dabigatrano klirensas gali būti ilgesnis (žr. 5.2 skyrių). Tai reikia turėti omenyje prieš atliekant bet kokią procedūrą. Tokiais atvejais kraujo krešėjimo tyrimas (žr. 4.4 ir 5.1 skyrius) gali padėti nustatyti, ar hemostazė vis dar yra sutrikusi.</w:t>
      </w:r>
    </w:p>
    <w:p w14:paraId="42EE8EB7" w14:textId="77777777" w:rsidR="00F22FBD" w:rsidRDefault="00F22FBD"/>
    <w:p w14:paraId="54E5CD1C" w14:textId="77777777" w:rsidR="00F22FBD" w:rsidRDefault="00D44E4A">
      <w:pPr>
        <w:rPr>
          <w:i/>
          <w:iCs/>
          <w:u w:val="single"/>
        </w:rPr>
      </w:pPr>
      <w:r>
        <w:rPr>
          <w:i/>
          <w:iCs/>
          <w:u w:val="single"/>
        </w:rPr>
        <w:t>Neatidėliotinos operacijos arba skubios procedūros</w:t>
      </w:r>
    </w:p>
    <w:p w14:paraId="0EFA81B8" w14:textId="77777777" w:rsidR="00F22FBD" w:rsidRDefault="00D44E4A">
      <w:r>
        <w:t>Dabigatrano eteksilato vartojimą reikia laikinai nutraukti. Jeigu būtina greitai panaikinti antikoaguliacinį poveikį, suaugusiems pacientams tinka specifinis dabigatrano poveikį neutralizuojantis vaistinis preparatas (idarucizumabas). Idarucizumabo veiksmingumas ir saugumas pacientams vaikams neištirti. Dabigatraną galima pašalinti hemodializės būdu.</w:t>
      </w:r>
    </w:p>
    <w:p w14:paraId="3B4F1B74" w14:textId="77777777" w:rsidR="00F22FBD" w:rsidRDefault="00F22FBD"/>
    <w:p w14:paraId="64DD000A" w14:textId="77777777" w:rsidR="00F22FBD" w:rsidRDefault="00D44E4A">
      <w:r>
        <w:t>Panaikinus gydymo dabigatranu poveikį, pacientas lieka neapsaugotas nuo trombozės rizikos, kurią kelia pagrindinė liga. Praėjus 24 valandoms po idarucizumabo suleidimo, gydymą dabigatrano eteksilatu galima atnaujinti, jei paciento būklė klinikiniu požiūriu yra stabili ir jeigu buvo sukelta pakankama hemostazė.</w:t>
      </w:r>
    </w:p>
    <w:p w14:paraId="0D5763BE" w14:textId="77777777" w:rsidR="00F22FBD" w:rsidRDefault="00F22FBD"/>
    <w:p w14:paraId="6C9A16E9" w14:textId="77777777" w:rsidR="00F22FBD" w:rsidRDefault="00D44E4A">
      <w:pPr>
        <w:rPr>
          <w:i/>
          <w:iCs/>
          <w:u w:val="single"/>
        </w:rPr>
      </w:pPr>
      <w:r>
        <w:rPr>
          <w:i/>
          <w:iCs/>
          <w:u w:val="single"/>
        </w:rPr>
        <w:t>Apyskubės operacijos ir (arba) intervencijos</w:t>
      </w:r>
    </w:p>
    <w:p w14:paraId="6E6DCCE5" w14:textId="77777777" w:rsidR="00F22FBD" w:rsidRDefault="00F22FBD"/>
    <w:p w14:paraId="055A6EE5" w14:textId="77777777" w:rsidR="00F22FBD" w:rsidRDefault="00D44E4A">
      <w:r>
        <w:lastRenderedPageBreak/>
        <w:t>Dabigatrano eteksilato vartojimą reikia laikinai nutraukti. Operaciją arba intervenciją reikia, jeigu galima, atidėti, kol praeis bent 12 valandų po paskutinės dozės suleidimo. Jeigu operacijos atidėti negalima, gali padidėti kraujavimo rizika. Šią riziką reikia palyginti su intervencijos skubumu.</w:t>
      </w:r>
    </w:p>
    <w:p w14:paraId="795D0AD9" w14:textId="77777777" w:rsidR="00F22FBD" w:rsidRDefault="00F22FBD"/>
    <w:p w14:paraId="017627DD" w14:textId="77777777" w:rsidR="00F22FBD" w:rsidRDefault="00D44E4A">
      <w:pPr>
        <w:rPr>
          <w:i/>
          <w:iCs/>
          <w:u w:val="single"/>
        </w:rPr>
      </w:pPr>
      <w:r>
        <w:rPr>
          <w:i/>
          <w:iCs/>
          <w:u w:val="single"/>
        </w:rPr>
        <w:t>Planinės operacijos</w:t>
      </w:r>
    </w:p>
    <w:p w14:paraId="2CE3F4AC" w14:textId="77777777" w:rsidR="00F22FBD" w:rsidRDefault="00F22FBD"/>
    <w:p w14:paraId="402E247B" w14:textId="77777777" w:rsidR="00F22FBD" w:rsidRDefault="00D44E4A">
      <w:r>
        <w:t>Jeigu įmanoma, dabigatrano eteksilato vartojimą reikia nutraukti likus bent 24 valandoms iki invazinės arba chirurginės procedūros. Pacientams, kuriems yra didelė kraujavimo rizika arba kuriems bus atliekama didesnė operacija, kurios metu gali reikėti visiškos hemostazės, dabigatrano eteksilato vartojimą reikia nutraukti likus 2-4 paroms iki operacijos.</w:t>
      </w:r>
    </w:p>
    <w:p w14:paraId="453A584A" w14:textId="77777777" w:rsidR="00F22FBD" w:rsidRDefault="00F22FBD"/>
    <w:p w14:paraId="6A59E9B2" w14:textId="77777777" w:rsidR="00F22FBD" w:rsidRDefault="00D44E4A">
      <w:r>
        <w:t>5 lentelėje pateikiamos vartojimo nutraukimo prieš invazines procedūras arba chirurgines operacijas taisyklės suaugusiems pacientams.</w:t>
      </w:r>
    </w:p>
    <w:p w14:paraId="16673133" w14:textId="77777777" w:rsidR="00F22FBD" w:rsidRDefault="00F22FBD"/>
    <w:p w14:paraId="0FD73BB6" w14:textId="77777777" w:rsidR="00F22FBD" w:rsidRDefault="00D44E4A">
      <w:pPr>
        <w:rPr>
          <w:b/>
          <w:bCs/>
        </w:rPr>
      </w:pPr>
      <w:r>
        <w:rPr>
          <w:b/>
          <w:bCs/>
        </w:rPr>
        <w:t>5 lentelė. Vartojimo nutraukimo prieš invazines procedūras arba chirurgines operacijas taisyklės suaugusiems pacientams</w:t>
      </w:r>
    </w:p>
    <w:p w14:paraId="4F1A61D9" w14:textId="77777777" w:rsidR="00F22FBD" w:rsidRDefault="00F22FBD">
      <w:pPr>
        <w:rPr>
          <w:b/>
          <w:bCs/>
        </w:rPr>
      </w:pPr>
    </w:p>
    <w:tbl>
      <w:tblPr>
        <w:tblW w:w="9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961"/>
        <w:gridCol w:w="2835"/>
        <w:gridCol w:w="2782"/>
      </w:tblGrid>
      <w:tr w:rsidR="00F22FBD" w14:paraId="1F6D2396" w14:textId="77777777">
        <w:trPr>
          <w:trHeight w:val="441"/>
        </w:trPr>
        <w:tc>
          <w:tcPr>
            <w:tcW w:w="1701" w:type="dxa"/>
            <w:vMerge w:val="restart"/>
            <w:shd w:val="clear" w:color="auto" w:fill="auto"/>
          </w:tcPr>
          <w:p w14:paraId="4228AC88" w14:textId="77777777" w:rsidR="00F22FBD" w:rsidRDefault="00D44E4A">
            <w:pPr>
              <w:widowControl w:val="0"/>
              <w:kinsoku w:val="0"/>
              <w:overflowPunct w:val="0"/>
              <w:autoSpaceDE w:val="0"/>
              <w:autoSpaceDN w:val="0"/>
              <w:adjustRightInd w:val="0"/>
              <w:ind w:left="105"/>
              <w:rPr>
                <w:color w:val="000000"/>
                <w:szCs w:val="22"/>
                <w:lang w:val="sl-SI" w:eastAsia="sl-SI"/>
              </w:rPr>
            </w:pPr>
            <w:r>
              <w:t>Inkstų funkcija (KrKl ml/min.)</w:t>
            </w:r>
          </w:p>
        </w:tc>
        <w:tc>
          <w:tcPr>
            <w:tcW w:w="1961" w:type="dxa"/>
            <w:vMerge w:val="restart"/>
            <w:shd w:val="clear" w:color="auto" w:fill="auto"/>
          </w:tcPr>
          <w:p w14:paraId="2D6FAA0F" w14:textId="77777777" w:rsidR="00F22FBD" w:rsidRDefault="00D44E4A">
            <w:pPr>
              <w:widowControl w:val="0"/>
              <w:kinsoku w:val="0"/>
              <w:overflowPunct w:val="0"/>
              <w:autoSpaceDE w:val="0"/>
              <w:autoSpaceDN w:val="0"/>
              <w:adjustRightInd w:val="0"/>
              <w:ind w:left="105"/>
              <w:rPr>
                <w:color w:val="000000"/>
                <w:szCs w:val="22"/>
                <w:lang w:val="sl-SI" w:eastAsia="sl-SI"/>
              </w:rPr>
            </w:pPr>
            <w:r>
              <w:t>Apskaičiuotas pusinės eliminacijos laikas (val.)</w:t>
            </w:r>
          </w:p>
        </w:tc>
        <w:tc>
          <w:tcPr>
            <w:tcW w:w="5617" w:type="dxa"/>
            <w:gridSpan w:val="2"/>
            <w:shd w:val="clear" w:color="auto" w:fill="auto"/>
          </w:tcPr>
          <w:p w14:paraId="2FDBD452" w14:textId="77777777" w:rsidR="00F22FBD" w:rsidRDefault="00D44E4A">
            <w:pPr>
              <w:widowControl w:val="0"/>
              <w:kinsoku w:val="0"/>
              <w:overflowPunct w:val="0"/>
              <w:autoSpaceDE w:val="0"/>
              <w:autoSpaceDN w:val="0"/>
              <w:adjustRightInd w:val="0"/>
              <w:spacing w:line="247" w:lineRule="exact"/>
              <w:rPr>
                <w:color w:val="000000"/>
                <w:szCs w:val="22"/>
                <w:lang w:val="sl-SI" w:eastAsia="sl-SI"/>
              </w:rPr>
            </w:pPr>
            <w:r>
              <w:t>Prieš planinę operaciją gydymą dabigatrano eteksilatu reikia nutraukti</w:t>
            </w:r>
          </w:p>
        </w:tc>
      </w:tr>
      <w:tr w:rsidR="00F22FBD" w14:paraId="295FC41C" w14:textId="77777777">
        <w:trPr>
          <w:trHeight w:val="1211"/>
        </w:trPr>
        <w:tc>
          <w:tcPr>
            <w:tcW w:w="1701" w:type="dxa"/>
            <w:vMerge/>
            <w:shd w:val="clear" w:color="auto" w:fill="auto"/>
          </w:tcPr>
          <w:p w14:paraId="38FAE425" w14:textId="77777777" w:rsidR="00F22FBD" w:rsidRDefault="00F22FBD">
            <w:pPr>
              <w:widowControl w:val="0"/>
              <w:numPr>
                <w:ilvl w:val="12"/>
                <w:numId w:val="0"/>
              </w:numPr>
              <w:tabs>
                <w:tab w:val="left" w:pos="8505"/>
              </w:tabs>
              <w:kinsoku w:val="0"/>
              <w:overflowPunct w:val="0"/>
              <w:spacing w:before="2"/>
              <w:rPr>
                <w:b/>
                <w:bCs/>
                <w:color w:val="000000"/>
                <w:szCs w:val="22"/>
                <w:lang w:val="sl-SI" w:eastAsia="sl-SI"/>
              </w:rPr>
            </w:pPr>
          </w:p>
        </w:tc>
        <w:tc>
          <w:tcPr>
            <w:tcW w:w="1961" w:type="dxa"/>
            <w:vMerge/>
            <w:shd w:val="clear" w:color="auto" w:fill="auto"/>
          </w:tcPr>
          <w:p w14:paraId="0C0F3131" w14:textId="77777777" w:rsidR="00F22FBD" w:rsidRDefault="00F22FBD">
            <w:pPr>
              <w:widowControl w:val="0"/>
              <w:numPr>
                <w:ilvl w:val="12"/>
                <w:numId w:val="0"/>
              </w:numPr>
              <w:tabs>
                <w:tab w:val="left" w:pos="8505"/>
              </w:tabs>
              <w:kinsoku w:val="0"/>
              <w:overflowPunct w:val="0"/>
              <w:spacing w:before="2"/>
              <w:rPr>
                <w:b/>
                <w:bCs/>
                <w:color w:val="000000"/>
                <w:szCs w:val="22"/>
                <w:lang w:val="sl-SI" w:eastAsia="sl-SI"/>
              </w:rPr>
            </w:pPr>
          </w:p>
        </w:tc>
        <w:tc>
          <w:tcPr>
            <w:tcW w:w="2835" w:type="dxa"/>
            <w:shd w:val="clear" w:color="auto" w:fill="auto"/>
          </w:tcPr>
          <w:p w14:paraId="3DDEDECC" w14:textId="77777777" w:rsidR="00F22FBD" w:rsidRDefault="00D44E4A">
            <w:pPr>
              <w:widowControl w:val="0"/>
              <w:kinsoku w:val="0"/>
              <w:overflowPunct w:val="0"/>
              <w:autoSpaceDE w:val="0"/>
              <w:autoSpaceDN w:val="0"/>
              <w:adjustRightInd w:val="0"/>
              <w:spacing w:line="240" w:lineRule="exact"/>
              <w:ind w:left="107"/>
              <w:rPr>
                <w:color w:val="000000"/>
                <w:szCs w:val="22"/>
                <w:lang w:val="sl-SI" w:eastAsia="sl-SI"/>
              </w:rPr>
            </w:pPr>
            <w:r>
              <w:t>Didelė kraujavimo arba didesnės operacijos rizika</w:t>
            </w:r>
          </w:p>
        </w:tc>
        <w:tc>
          <w:tcPr>
            <w:tcW w:w="2782" w:type="dxa"/>
            <w:shd w:val="clear" w:color="auto" w:fill="auto"/>
          </w:tcPr>
          <w:p w14:paraId="2A160237" w14:textId="77777777" w:rsidR="00F22FBD" w:rsidRDefault="00D44E4A">
            <w:pPr>
              <w:widowControl w:val="0"/>
              <w:kinsoku w:val="0"/>
              <w:overflowPunct w:val="0"/>
              <w:autoSpaceDE w:val="0"/>
              <w:autoSpaceDN w:val="0"/>
              <w:adjustRightInd w:val="0"/>
              <w:spacing w:line="247" w:lineRule="exact"/>
              <w:ind w:left="107"/>
              <w:rPr>
                <w:color w:val="000000"/>
                <w:szCs w:val="22"/>
                <w:lang w:val="sl-SI" w:eastAsia="sl-SI"/>
              </w:rPr>
            </w:pPr>
            <w:r>
              <w:t>Įprastinė rizika</w:t>
            </w:r>
          </w:p>
        </w:tc>
      </w:tr>
      <w:tr w:rsidR="00F22FBD" w14:paraId="36C9988A" w14:textId="77777777">
        <w:trPr>
          <w:trHeight w:val="251"/>
        </w:trPr>
        <w:tc>
          <w:tcPr>
            <w:tcW w:w="1701" w:type="dxa"/>
            <w:shd w:val="clear" w:color="auto" w:fill="auto"/>
          </w:tcPr>
          <w:p w14:paraId="59F32EA0" w14:textId="77777777" w:rsidR="00F22FBD" w:rsidRDefault="00D44E4A">
            <w:pPr>
              <w:widowControl w:val="0"/>
              <w:kinsoku w:val="0"/>
              <w:overflowPunct w:val="0"/>
              <w:autoSpaceDE w:val="0"/>
              <w:autoSpaceDN w:val="0"/>
              <w:adjustRightInd w:val="0"/>
              <w:spacing w:line="232" w:lineRule="exact"/>
              <w:ind w:left="337"/>
              <w:jc w:val="center"/>
              <w:rPr>
                <w:color w:val="000000"/>
                <w:szCs w:val="22"/>
                <w:lang w:val="sl-SI" w:eastAsia="sl-SI"/>
              </w:rPr>
            </w:pPr>
            <w:r>
              <w:rPr>
                <w:color w:val="000000"/>
                <w:szCs w:val="22"/>
                <w:lang w:val="sl-SI" w:eastAsia="sl-SI"/>
              </w:rPr>
              <w:t>≥ 80</w:t>
            </w:r>
          </w:p>
        </w:tc>
        <w:tc>
          <w:tcPr>
            <w:tcW w:w="1961" w:type="dxa"/>
            <w:shd w:val="clear" w:color="auto" w:fill="auto"/>
          </w:tcPr>
          <w:p w14:paraId="6150A2C3" w14:textId="77777777" w:rsidR="00F22FBD" w:rsidRDefault="00D44E4A">
            <w:pPr>
              <w:widowControl w:val="0"/>
              <w:kinsoku w:val="0"/>
              <w:overflowPunct w:val="0"/>
              <w:autoSpaceDE w:val="0"/>
              <w:autoSpaceDN w:val="0"/>
              <w:adjustRightInd w:val="0"/>
              <w:spacing w:line="232" w:lineRule="exact"/>
              <w:ind w:left="714"/>
              <w:jc w:val="center"/>
              <w:rPr>
                <w:color w:val="000000"/>
                <w:szCs w:val="22"/>
                <w:lang w:val="sl-SI" w:eastAsia="sl-SI"/>
              </w:rPr>
            </w:pPr>
            <w:r>
              <w:rPr>
                <w:color w:val="000000"/>
                <w:szCs w:val="22"/>
                <w:lang w:val="sl-SI" w:eastAsia="sl-SI"/>
              </w:rPr>
              <w:t>~ 13</w:t>
            </w:r>
          </w:p>
        </w:tc>
        <w:tc>
          <w:tcPr>
            <w:tcW w:w="2835" w:type="dxa"/>
            <w:shd w:val="clear" w:color="auto" w:fill="auto"/>
          </w:tcPr>
          <w:p w14:paraId="6D810F98" w14:textId="77777777" w:rsidR="00F22FBD" w:rsidRDefault="00D44E4A">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 paras</w:t>
            </w:r>
          </w:p>
        </w:tc>
        <w:tc>
          <w:tcPr>
            <w:tcW w:w="2782" w:type="dxa"/>
            <w:shd w:val="clear" w:color="auto" w:fill="auto"/>
          </w:tcPr>
          <w:p w14:paraId="0B40249F" w14:textId="77777777" w:rsidR="00F22FBD" w:rsidRDefault="00D44E4A">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24 val.</w:t>
            </w:r>
          </w:p>
        </w:tc>
      </w:tr>
      <w:tr w:rsidR="00F22FBD" w14:paraId="645C79BC" w14:textId="77777777">
        <w:trPr>
          <w:trHeight w:val="253"/>
        </w:trPr>
        <w:tc>
          <w:tcPr>
            <w:tcW w:w="1701" w:type="dxa"/>
            <w:shd w:val="clear" w:color="auto" w:fill="auto"/>
          </w:tcPr>
          <w:p w14:paraId="6EEDC97C" w14:textId="77777777" w:rsidR="00F22FBD" w:rsidRDefault="00D44E4A">
            <w:pPr>
              <w:widowControl w:val="0"/>
              <w:kinsoku w:val="0"/>
              <w:overflowPunct w:val="0"/>
              <w:autoSpaceDE w:val="0"/>
              <w:autoSpaceDN w:val="0"/>
              <w:adjustRightInd w:val="0"/>
              <w:spacing w:line="234" w:lineRule="exact"/>
              <w:ind w:left="337"/>
              <w:jc w:val="center"/>
              <w:rPr>
                <w:color w:val="000000"/>
                <w:szCs w:val="22"/>
                <w:lang w:val="sl-SI" w:eastAsia="sl-SI"/>
              </w:rPr>
            </w:pPr>
            <w:r>
              <w:rPr>
                <w:color w:val="000000"/>
                <w:szCs w:val="22"/>
                <w:lang w:val="sl-SI" w:eastAsia="sl-SI"/>
              </w:rPr>
              <w:t>≥ 50-&lt; 80</w:t>
            </w:r>
          </w:p>
        </w:tc>
        <w:tc>
          <w:tcPr>
            <w:tcW w:w="1961" w:type="dxa"/>
            <w:shd w:val="clear" w:color="auto" w:fill="auto"/>
          </w:tcPr>
          <w:p w14:paraId="335794B5" w14:textId="77777777" w:rsidR="00F22FBD" w:rsidRDefault="00D44E4A">
            <w:pPr>
              <w:widowControl w:val="0"/>
              <w:kinsoku w:val="0"/>
              <w:overflowPunct w:val="0"/>
              <w:autoSpaceDE w:val="0"/>
              <w:autoSpaceDN w:val="0"/>
              <w:adjustRightInd w:val="0"/>
              <w:spacing w:line="234" w:lineRule="exact"/>
              <w:ind w:left="714"/>
              <w:jc w:val="center"/>
              <w:rPr>
                <w:color w:val="000000"/>
                <w:szCs w:val="22"/>
                <w:lang w:val="sl-SI" w:eastAsia="sl-SI"/>
              </w:rPr>
            </w:pPr>
            <w:r>
              <w:rPr>
                <w:color w:val="000000"/>
                <w:szCs w:val="22"/>
                <w:lang w:val="sl-SI" w:eastAsia="sl-SI"/>
              </w:rPr>
              <w:t>~ 15</w:t>
            </w:r>
          </w:p>
        </w:tc>
        <w:tc>
          <w:tcPr>
            <w:tcW w:w="2835" w:type="dxa"/>
            <w:shd w:val="clear" w:color="auto" w:fill="auto"/>
          </w:tcPr>
          <w:p w14:paraId="41F0A491" w14:textId="77777777" w:rsidR="00F22FBD" w:rsidRDefault="00D44E4A">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prieš 2-3 paras</w:t>
            </w:r>
          </w:p>
        </w:tc>
        <w:tc>
          <w:tcPr>
            <w:tcW w:w="2782" w:type="dxa"/>
            <w:shd w:val="clear" w:color="auto" w:fill="auto"/>
          </w:tcPr>
          <w:p w14:paraId="47E62D16" w14:textId="77777777" w:rsidR="00F22FBD" w:rsidRDefault="00D44E4A">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prieš 1-2 paras</w:t>
            </w:r>
          </w:p>
        </w:tc>
      </w:tr>
      <w:tr w:rsidR="00F22FBD" w14:paraId="42BE068F" w14:textId="77777777">
        <w:trPr>
          <w:trHeight w:val="251"/>
        </w:trPr>
        <w:tc>
          <w:tcPr>
            <w:tcW w:w="1701" w:type="dxa"/>
            <w:shd w:val="clear" w:color="auto" w:fill="auto"/>
          </w:tcPr>
          <w:p w14:paraId="4AB70BD8" w14:textId="77777777" w:rsidR="00F22FBD" w:rsidRDefault="00D44E4A">
            <w:pPr>
              <w:widowControl w:val="0"/>
              <w:kinsoku w:val="0"/>
              <w:overflowPunct w:val="0"/>
              <w:autoSpaceDE w:val="0"/>
              <w:autoSpaceDN w:val="0"/>
              <w:adjustRightInd w:val="0"/>
              <w:spacing w:line="232" w:lineRule="exact"/>
              <w:ind w:left="337"/>
              <w:jc w:val="center"/>
              <w:rPr>
                <w:color w:val="000000"/>
                <w:szCs w:val="22"/>
                <w:lang w:val="sl-SI" w:eastAsia="sl-SI"/>
              </w:rPr>
            </w:pPr>
            <w:r>
              <w:rPr>
                <w:color w:val="000000"/>
                <w:szCs w:val="22"/>
                <w:lang w:val="sl-SI" w:eastAsia="sl-SI"/>
              </w:rPr>
              <w:t>≥ 30-&lt; 50</w:t>
            </w:r>
          </w:p>
        </w:tc>
        <w:tc>
          <w:tcPr>
            <w:tcW w:w="1961" w:type="dxa"/>
            <w:shd w:val="clear" w:color="auto" w:fill="auto"/>
          </w:tcPr>
          <w:p w14:paraId="6B4E428B" w14:textId="77777777" w:rsidR="00F22FBD" w:rsidRDefault="00D44E4A">
            <w:pPr>
              <w:widowControl w:val="0"/>
              <w:kinsoku w:val="0"/>
              <w:overflowPunct w:val="0"/>
              <w:autoSpaceDE w:val="0"/>
              <w:autoSpaceDN w:val="0"/>
              <w:adjustRightInd w:val="0"/>
              <w:spacing w:line="232" w:lineRule="exact"/>
              <w:ind w:left="714"/>
              <w:jc w:val="center"/>
              <w:rPr>
                <w:color w:val="000000"/>
                <w:szCs w:val="22"/>
                <w:lang w:val="sl-SI" w:eastAsia="sl-SI"/>
              </w:rPr>
            </w:pPr>
            <w:r>
              <w:rPr>
                <w:color w:val="000000"/>
                <w:szCs w:val="22"/>
                <w:lang w:val="sl-SI" w:eastAsia="sl-SI"/>
              </w:rPr>
              <w:t>~ 18</w:t>
            </w:r>
          </w:p>
        </w:tc>
        <w:tc>
          <w:tcPr>
            <w:tcW w:w="2835" w:type="dxa"/>
            <w:shd w:val="clear" w:color="auto" w:fill="auto"/>
          </w:tcPr>
          <w:p w14:paraId="345BCFF9" w14:textId="77777777" w:rsidR="00F22FBD" w:rsidRDefault="00D44E4A">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4 paras</w:t>
            </w:r>
          </w:p>
        </w:tc>
        <w:tc>
          <w:tcPr>
            <w:tcW w:w="2782" w:type="dxa"/>
            <w:shd w:val="clear" w:color="auto" w:fill="auto"/>
          </w:tcPr>
          <w:p w14:paraId="41465880" w14:textId="77777777" w:rsidR="00F22FBD" w:rsidRDefault="00D44E4A">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2-3 (&gt; 48 val.)</w:t>
            </w:r>
          </w:p>
        </w:tc>
      </w:tr>
    </w:tbl>
    <w:p w14:paraId="0F0E708C" w14:textId="77777777" w:rsidR="00F22FBD" w:rsidRDefault="00F22FBD"/>
    <w:p w14:paraId="3800611C" w14:textId="77777777" w:rsidR="00F22FBD" w:rsidRDefault="00D44E4A">
      <w:r>
        <w:t>Vartojimo nutraukimo prieš invazines procedūras arba chirurgines operacijas taisyklių santrauka pacientams vaikams pateikta 6 lentelėje.</w:t>
      </w:r>
    </w:p>
    <w:p w14:paraId="019A3622" w14:textId="77777777" w:rsidR="00F22FBD" w:rsidRDefault="00F22FBD"/>
    <w:p w14:paraId="141B6A5B" w14:textId="77777777" w:rsidR="00F22FBD" w:rsidRDefault="00D44E4A">
      <w:pPr>
        <w:rPr>
          <w:b/>
          <w:bCs/>
        </w:rPr>
      </w:pPr>
      <w:r>
        <w:rPr>
          <w:b/>
          <w:bCs/>
        </w:rPr>
        <w:t>6 lentelė. Vartojimo nutraukimo prieš invazines procedūras arba chirurgines operacijas taisyklės pacientams vaikams</w:t>
      </w:r>
    </w:p>
    <w:p w14:paraId="7ACBDAC8" w14:textId="77777777" w:rsidR="00F22FBD" w:rsidRDefault="00F22F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6015"/>
      </w:tblGrid>
      <w:tr w:rsidR="00F22FBD" w14:paraId="6469D296" w14:textId="77777777">
        <w:tc>
          <w:tcPr>
            <w:tcW w:w="3045" w:type="dxa"/>
            <w:shd w:val="clear" w:color="auto" w:fill="auto"/>
          </w:tcPr>
          <w:p w14:paraId="7995190F" w14:textId="77777777" w:rsidR="00F22FBD" w:rsidRDefault="00D44E4A">
            <w:pPr>
              <w:widowControl w:val="0"/>
              <w:numPr>
                <w:ilvl w:val="12"/>
                <w:numId w:val="0"/>
              </w:numPr>
              <w:tabs>
                <w:tab w:val="left" w:pos="8505"/>
              </w:tabs>
              <w:kinsoku w:val="0"/>
              <w:overflowPunct w:val="0"/>
              <w:spacing w:before="6"/>
              <w:ind w:right="-2"/>
              <w:rPr>
                <w:bCs/>
                <w:color w:val="000000"/>
                <w:szCs w:val="22"/>
                <w:lang w:val="sl-SI" w:eastAsia="sl-SI"/>
              </w:rPr>
            </w:pPr>
            <w:r>
              <w:t>Inkstų funkcija (aGFG ml/min./ 1,73 m</w:t>
            </w:r>
            <w:r>
              <w:rPr>
                <w:vertAlign w:val="superscript"/>
              </w:rPr>
              <w:t>2</w:t>
            </w:r>
            <w:r>
              <w:t>)</w:t>
            </w:r>
          </w:p>
        </w:tc>
        <w:tc>
          <w:tcPr>
            <w:tcW w:w="6015" w:type="dxa"/>
            <w:shd w:val="clear" w:color="auto" w:fill="auto"/>
          </w:tcPr>
          <w:p w14:paraId="67EF5A58" w14:textId="77777777" w:rsidR="00F22FBD" w:rsidRDefault="00D44E4A">
            <w:pPr>
              <w:widowControl w:val="0"/>
              <w:numPr>
                <w:ilvl w:val="12"/>
                <w:numId w:val="0"/>
              </w:numPr>
              <w:tabs>
                <w:tab w:val="left" w:pos="8505"/>
              </w:tabs>
              <w:kinsoku w:val="0"/>
              <w:overflowPunct w:val="0"/>
              <w:spacing w:before="6"/>
              <w:ind w:right="-2"/>
              <w:rPr>
                <w:bCs/>
                <w:color w:val="000000"/>
                <w:szCs w:val="22"/>
                <w:lang w:val="sl-SI" w:eastAsia="sl-SI"/>
              </w:rPr>
            </w:pPr>
            <w:r>
              <w:t>Prieš planinę operaciją gydymą dabigatranu reikia nutraukti</w:t>
            </w:r>
          </w:p>
        </w:tc>
      </w:tr>
      <w:tr w:rsidR="00F22FBD" w14:paraId="5133DC49" w14:textId="77777777">
        <w:tc>
          <w:tcPr>
            <w:tcW w:w="3045" w:type="dxa"/>
            <w:shd w:val="clear" w:color="auto" w:fill="auto"/>
          </w:tcPr>
          <w:p w14:paraId="4AC09E8E" w14:textId="77777777" w:rsidR="00F22FBD" w:rsidRDefault="00D44E4A">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&gt;80</w:t>
            </w:r>
          </w:p>
        </w:tc>
        <w:tc>
          <w:tcPr>
            <w:tcW w:w="6015" w:type="dxa"/>
            <w:shd w:val="clear" w:color="auto" w:fill="auto"/>
          </w:tcPr>
          <w:p w14:paraId="5A8F9429" w14:textId="77777777" w:rsidR="00F22FBD" w:rsidRDefault="00D44E4A">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prieš 24 val.</w:t>
            </w:r>
          </w:p>
        </w:tc>
      </w:tr>
      <w:tr w:rsidR="00F22FBD" w14:paraId="11EDBE6B" w14:textId="77777777">
        <w:tc>
          <w:tcPr>
            <w:tcW w:w="3045" w:type="dxa"/>
            <w:shd w:val="clear" w:color="auto" w:fill="auto"/>
          </w:tcPr>
          <w:p w14:paraId="4D96ABDE" w14:textId="77777777" w:rsidR="00F22FBD" w:rsidRDefault="00D44E4A">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50 – 80</w:t>
            </w:r>
          </w:p>
        </w:tc>
        <w:tc>
          <w:tcPr>
            <w:tcW w:w="6015" w:type="dxa"/>
            <w:shd w:val="clear" w:color="auto" w:fill="auto"/>
          </w:tcPr>
          <w:p w14:paraId="284C4B33" w14:textId="77777777" w:rsidR="00F22FBD" w:rsidRDefault="00D44E4A">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prieš 2 paras</w:t>
            </w:r>
          </w:p>
        </w:tc>
      </w:tr>
      <w:tr w:rsidR="00F22FBD" w14:paraId="1669C147" w14:textId="77777777">
        <w:tc>
          <w:tcPr>
            <w:tcW w:w="3045" w:type="dxa"/>
            <w:shd w:val="clear" w:color="auto" w:fill="auto"/>
          </w:tcPr>
          <w:p w14:paraId="68AECF02" w14:textId="77777777" w:rsidR="00F22FBD" w:rsidRDefault="00D44E4A">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&lt;50</w:t>
            </w:r>
          </w:p>
        </w:tc>
        <w:tc>
          <w:tcPr>
            <w:tcW w:w="6015" w:type="dxa"/>
            <w:shd w:val="clear" w:color="auto" w:fill="auto"/>
          </w:tcPr>
          <w:p w14:paraId="15486C27" w14:textId="77777777" w:rsidR="00F22FBD" w:rsidRDefault="00D44E4A">
            <w:pPr>
              <w:widowControl w:val="0"/>
              <w:numPr>
                <w:ilvl w:val="12"/>
                <w:numId w:val="0"/>
              </w:numPr>
              <w:tabs>
                <w:tab w:val="left" w:pos="8505"/>
              </w:tabs>
              <w:kinsoku w:val="0"/>
              <w:overflowPunct w:val="0"/>
              <w:spacing w:before="6"/>
              <w:ind w:right="-2"/>
              <w:rPr>
                <w:bCs/>
                <w:color w:val="000000"/>
                <w:szCs w:val="22"/>
                <w:lang w:val="sl-SI" w:eastAsia="sl-SI"/>
              </w:rPr>
            </w:pPr>
            <w:r>
              <w:t>Tyrimų su šiais pacientais neatlikta (žr. 4.3 skyrių).</w:t>
            </w:r>
          </w:p>
        </w:tc>
      </w:tr>
    </w:tbl>
    <w:p w14:paraId="7228819A" w14:textId="77777777" w:rsidR="00F22FBD" w:rsidRDefault="00F22FBD"/>
    <w:p w14:paraId="1700F5B9" w14:textId="77777777" w:rsidR="00F22FBD" w:rsidRDefault="00D44E4A">
      <w:pPr>
        <w:rPr>
          <w:i/>
          <w:iCs/>
          <w:u w:val="single"/>
        </w:rPr>
      </w:pPr>
      <w:r>
        <w:rPr>
          <w:i/>
          <w:iCs/>
          <w:u w:val="single"/>
        </w:rPr>
        <w:t>Spinalinė anestezija, epidurinė anestezija, lumbalinė punkcija</w:t>
      </w:r>
    </w:p>
    <w:p w14:paraId="1ADF6897" w14:textId="77777777" w:rsidR="00F22FBD" w:rsidRDefault="00F22FBD"/>
    <w:p w14:paraId="07BC2D0B" w14:textId="77777777" w:rsidR="00F22FBD" w:rsidRDefault="00D44E4A">
      <w:r>
        <w:t>Procedūrų, tokių kaip spinalinė anestezija, metu gali reikėti, kad hemostazės funkcija būtų visiška.</w:t>
      </w:r>
    </w:p>
    <w:p w14:paraId="5918BDB6" w14:textId="77777777" w:rsidR="00F22FBD" w:rsidRDefault="00F22FBD"/>
    <w:p w14:paraId="2532CA3B" w14:textId="77777777" w:rsidR="00F22FBD" w:rsidRDefault="00D44E4A">
      <w:r>
        <w:t>Trauminės ar kartotinės punkcijos bei ilgalaikio epidurinio kateterio laikymo metu gali padidėti spinalinės ar epidurinės hematomos rizika. Kateterį ištraukus, pirmą dabigatrano eteksilato dozę galima gerti praėjus ne mažiau kaip 2 valandoms. Būtina dažnai stebėti, ar tokiems pacientams neatsiranda spinalinės ar epidurinės hematomos neurologinių požymių ir simptomų.</w:t>
      </w:r>
    </w:p>
    <w:p w14:paraId="28850E7B" w14:textId="77777777" w:rsidR="00F22FBD" w:rsidRDefault="00F22FBD"/>
    <w:p w14:paraId="13893E62" w14:textId="77777777" w:rsidR="00F22FBD" w:rsidRDefault="00D44E4A">
      <w:pPr>
        <w:rPr>
          <w:i/>
          <w:iCs/>
          <w:u w:val="single"/>
        </w:rPr>
      </w:pPr>
      <w:r>
        <w:rPr>
          <w:i/>
          <w:iCs/>
          <w:u w:val="single"/>
        </w:rPr>
        <w:t>Pooperacinė fazė</w:t>
      </w:r>
    </w:p>
    <w:p w14:paraId="132AE3D6" w14:textId="77777777" w:rsidR="00F22FBD" w:rsidRDefault="00F22FBD"/>
    <w:p w14:paraId="6F733EFD" w14:textId="77777777" w:rsidR="00F22FBD" w:rsidRDefault="00D44E4A">
      <w:r>
        <w:t>Po invazinės procedūros arba operacijos gydymą dabigatrano eteksilatu reikia atnaujinti kuo greičiau, tik jei leidžia klinikinės aplinkybės ir yra nusistovėjusi pakankama hemostazė.</w:t>
      </w:r>
    </w:p>
    <w:p w14:paraId="33445D3B" w14:textId="77777777" w:rsidR="00F22FBD" w:rsidRDefault="00F22FBD"/>
    <w:p w14:paraId="60B97ADF" w14:textId="77777777" w:rsidR="00F22FBD" w:rsidRDefault="00D44E4A">
      <w:r>
        <w:t>Pacientus, kuriems yra kraujavimo arba per didelės ekspozicijos rizika, ypač tuos, kurių inkstų funkcija susilpnėjusi (dar žr. 3 lentelę), reikia gydyti atsargiai (žr. 4.4 ir 5.1 skyrius).</w:t>
      </w:r>
    </w:p>
    <w:p w14:paraId="46ABA011" w14:textId="77777777" w:rsidR="00F22FBD" w:rsidRDefault="00F22FBD"/>
    <w:p w14:paraId="41288AF6" w14:textId="77777777" w:rsidR="00F22FBD" w:rsidRDefault="00D44E4A">
      <w:r>
        <w:rPr>
          <w:u w:val="single"/>
        </w:rPr>
        <w:lastRenderedPageBreak/>
        <w:t>Pacientai, kuriems yra didelė mirštamumo dėl operacijos rizika ir kurie turi vidinių tromboembolinių reiškinių rizikos veiksnių</w:t>
      </w:r>
    </w:p>
    <w:p w14:paraId="4B67D097" w14:textId="77777777" w:rsidR="00F22FBD" w:rsidRDefault="00F22FBD"/>
    <w:p w14:paraId="68BA06CC" w14:textId="77777777" w:rsidR="00F22FBD" w:rsidRDefault="00D44E4A">
      <w:r>
        <w:t>Tokiems pacientams dabigatrano eteksilato saugumo ir veiksmingumo duomenys yra riboti, todėl juos reikia gydyti atsargiai.</w:t>
      </w:r>
    </w:p>
    <w:p w14:paraId="43A3A710" w14:textId="77777777" w:rsidR="00F22FBD" w:rsidRDefault="00F22FBD"/>
    <w:p w14:paraId="784CDA50" w14:textId="77777777" w:rsidR="00F22FBD" w:rsidRDefault="00D44E4A">
      <w:pPr>
        <w:rPr>
          <w:u w:val="single"/>
        </w:rPr>
      </w:pPr>
      <w:r>
        <w:rPr>
          <w:u w:val="single"/>
        </w:rPr>
        <w:t>Klubo lūžio operacija</w:t>
      </w:r>
    </w:p>
    <w:p w14:paraId="37603689" w14:textId="77777777" w:rsidR="00F22FBD" w:rsidRDefault="00F22FBD"/>
    <w:p w14:paraId="0118E8D6" w14:textId="77777777" w:rsidR="00F22FBD" w:rsidRDefault="00D44E4A">
      <w:r>
        <w:t>Apie pacientų, kuriems atliekama klubo lūžio operacija, gydymą dabigatrano eteksilatu duomenų nėra, todėl jų šiuo vaistiniu preparatu gydyti nerekomenduojama.</w:t>
      </w:r>
    </w:p>
    <w:p w14:paraId="33A8FCA9" w14:textId="77777777" w:rsidR="00F22FBD" w:rsidRDefault="00F22FBD"/>
    <w:p w14:paraId="74F1AB98" w14:textId="77777777" w:rsidR="00F22FBD" w:rsidRDefault="00D44E4A">
      <w:pPr>
        <w:rPr>
          <w:u w:val="single"/>
        </w:rPr>
      </w:pPr>
      <w:r>
        <w:rPr>
          <w:u w:val="single"/>
        </w:rPr>
        <w:t>Kepenų funkcijos sutrikimas</w:t>
      </w:r>
    </w:p>
    <w:p w14:paraId="7650E781" w14:textId="77777777" w:rsidR="00F22FBD" w:rsidRDefault="00F22FBD"/>
    <w:p w14:paraId="18CE3D12" w14:textId="77777777" w:rsidR="00F22FBD" w:rsidRDefault="00D44E4A">
      <w:r>
        <w:t>Pacientai, kuriems kepenų fermentų aktyvumas daugiau kaip 2 kartus viršija VNR, į svarbiausius tyrimus nebuvo įtraukti. Tokių pacientų gydymo patirties nėra, todėl jų dabigatrano eteksilatu gydyti nerekomenduojama. Jeigu yra kepenų funkcijos sutrikimas arba kepenų liga, galintys turėti kokios nors įtakos išgyvenamumui, vaistinio preparato vartoti draudžiama (žr. 4.3 skyrių).</w:t>
      </w:r>
    </w:p>
    <w:p w14:paraId="3B09A319" w14:textId="77777777" w:rsidR="00F22FBD" w:rsidRDefault="00F22FBD"/>
    <w:p w14:paraId="7BC2BB76" w14:textId="77777777" w:rsidR="00F22FBD" w:rsidRDefault="00D44E4A">
      <w:pPr>
        <w:rPr>
          <w:u w:val="single"/>
        </w:rPr>
      </w:pPr>
      <w:r>
        <w:rPr>
          <w:u w:val="single"/>
        </w:rPr>
        <w:t>Sąveika su P-glikoproteino induktoriais</w:t>
      </w:r>
    </w:p>
    <w:p w14:paraId="789EA5B6" w14:textId="77777777" w:rsidR="00F22FBD" w:rsidRDefault="00F22FBD"/>
    <w:p w14:paraId="79481D17" w14:textId="77777777" w:rsidR="00F22FBD" w:rsidRDefault="00D44E4A">
      <w:r>
        <w:t>Tikėtina, kad derinimas su P-glikoproteino induktoriais lemia dabigatrano koncentracijos sumažėjimą kraujo plazmoje, todėl turi būti vengtinas (žr. 4.5 ir 5.2 skyrius).</w:t>
      </w:r>
    </w:p>
    <w:p w14:paraId="5E9103CC" w14:textId="77777777" w:rsidR="00F22FBD" w:rsidRDefault="00F22FBD"/>
    <w:p w14:paraId="7C4BA077" w14:textId="77777777" w:rsidR="00F22FBD" w:rsidRDefault="00D44E4A">
      <w:pPr>
        <w:rPr>
          <w:u w:val="single"/>
        </w:rPr>
      </w:pPr>
      <w:r>
        <w:rPr>
          <w:u w:val="single"/>
        </w:rPr>
        <w:t>Antifosfolipidiniu sindromu sergantys pacientai</w:t>
      </w:r>
    </w:p>
    <w:p w14:paraId="7C5802FE" w14:textId="77777777" w:rsidR="00F22FBD" w:rsidRDefault="00F22FBD"/>
    <w:p w14:paraId="5777BD96" w14:textId="77777777" w:rsidR="00F22FBD" w:rsidRDefault="00D44E4A">
      <w:r>
        <w:t>Tiesioginio poveikio geriamieji antikoaguliantai (TPGA), įskaitant dabigatrano eteksilatą,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27B11250" w14:textId="77777777" w:rsidR="00F22FBD" w:rsidRDefault="00F22FBD"/>
    <w:p w14:paraId="4F185357" w14:textId="77777777" w:rsidR="00F22FBD" w:rsidRDefault="00D44E4A">
      <w:pPr>
        <w:rPr>
          <w:u w:val="single"/>
        </w:rPr>
      </w:pPr>
      <w:r>
        <w:rPr>
          <w:u w:val="single"/>
        </w:rPr>
        <w:t>Aktyviu vėžiu sergantys pacientai (vaikų VTE)</w:t>
      </w:r>
    </w:p>
    <w:p w14:paraId="734206FF" w14:textId="77777777" w:rsidR="00F22FBD" w:rsidRDefault="00F22FBD"/>
    <w:p w14:paraId="47134F09" w14:textId="77777777" w:rsidR="00F22FBD" w:rsidRDefault="00D44E4A">
      <w:r>
        <w:t>Apie veiksmingumą ir saugumą vaikams, sergantiems aktyviu vėžiu, duomenų nepakanka.</w:t>
      </w:r>
    </w:p>
    <w:p w14:paraId="4ACBE369" w14:textId="77777777" w:rsidR="00F22FBD" w:rsidRDefault="00F22FBD"/>
    <w:p w14:paraId="0AE01681" w14:textId="77777777" w:rsidR="00F22FBD" w:rsidRDefault="00D44E4A">
      <w:pPr>
        <w:rPr>
          <w:u w:val="single"/>
        </w:rPr>
      </w:pPr>
      <w:r>
        <w:rPr>
          <w:u w:val="single"/>
        </w:rPr>
        <w:t>Vaikų populiacija</w:t>
      </w:r>
    </w:p>
    <w:p w14:paraId="51CC00CB" w14:textId="77777777" w:rsidR="00F22FBD" w:rsidRDefault="00F22FBD"/>
    <w:p w14:paraId="1A4752DA" w14:textId="77777777" w:rsidR="00F22FBD" w:rsidRDefault="00D44E4A">
      <w:r>
        <w:t>Kai kuriems labai specifinių susirgimų turintiems pacientams vaikams, pvz., sergantiems plonosios žarnos liga, galinčia paveikti absorbciją, reikia apsvarstyti parenteriniu būdu vartojamo antikoagulianto skyrimo galimybę.</w:t>
      </w:r>
    </w:p>
    <w:p w14:paraId="3D422646" w14:textId="77777777" w:rsidR="00F22FBD" w:rsidRDefault="00F22FBD"/>
    <w:p w14:paraId="2DC3244C" w14:textId="77777777" w:rsidR="00F22FBD" w:rsidRDefault="00D44E4A">
      <w:pPr>
        <w:ind w:left="567" w:hanging="567"/>
        <w:rPr>
          <w:b/>
        </w:rPr>
      </w:pPr>
      <w:r>
        <w:rPr>
          <w:b/>
        </w:rPr>
        <w:t>4.5</w:t>
      </w:r>
      <w:r>
        <w:rPr>
          <w:b/>
        </w:rPr>
        <w:tab/>
        <w:t>Sąveika su kitais vaistiniais preparatais ir kitokia sąveika</w:t>
      </w:r>
    </w:p>
    <w:p w14:paraId="32543B6C" w14:textId="77777777" w:rsidR="00F22FBD" w:rsidRDefault="00F22FBD">
      <w:pPr>
        <w:ind w:left="567" w:hanging="567"/>
        <w:rPr>
          <w:b/>
        </w:rPr>
      </w:pPr>
    </w:p>
    <w:p w14:paraId="64786078" w14:textId="77777777" w:rsidR="00F22FBD" w:rsidRDefault="00D44E4A">
      <w:pPr>
        <w:rPr>
          <w:u w:val="single"/>
        </w:rPr>
      </w:pPr>
      <w:r>
        <w:rPr>
          <w:u w:val="single"/>
        </w:rPr>
        <w:t>Nešiklio sąveika</w:t>
      </w:r>
    </w:p>
    <w:p w14:paraId="7919CB4F" w14:textId="77777777" w:rsidR="00F22FBD" w:rsidRDefault="00F22FBD"/>
    <w:p w14:paraId="6D998F3B" w14:textId="77777777" w:rsidR="00F22FBD" w:rsidRDefault="00D44E4A">
      <w:r>
        <w:t>Dabigatrano eteksilatas yra vaistinių preparatų šalinimo nešiklio P-glikoproteino substratas. Tikėtina, kad dabigatrano eteksilato derinimas su P-glikoproteino inhibitoriais (žr. 7 lentelę) lemia dabigatrano koncentracijos padidėjimą kraujo plazmoje.</w:t>
      </w:r>
    </w:p>
    <w:p w14:paraId="3718BC40" w14:textId="77777777" w:rsidR="00F22FBD" w:rsidRDefault="00F22FBD"/>
    <w:p w14:paraId="4AFAB9CB" w14:textId="77777777" w:rsidR="00F22FBD" w:rsidRDefault="00D44E4A">
      <w:r>
        <w:t>Jeigu kitaip specialiai nenurodyta, dabigatranu ir kartu stipraus poveikio P-glikoproteino inhibitoriais gydomus pacientus būtina atidžiai kliniškai prižiūrėti (stebėti, ar neatsiranda kraujavimo ar anemijos požymių). Vartojant derinyje su tam tikrais P-glikoproteino inhibitoriais gali reikėti sumažinti dozę (žr. 4.2, 4.3, 4.4 ir 5.1 skyrius).</w:t>
      </w:r>
    </w:p>
    <w:p w14:paraId="0FB672B9" w14:textId="77777777" w:rsidR="00F22FBD" w:rsidRDefault="00F22FBD"/>
    <w:p w14:paraId="655BCBBE" w14:textId="77777777" w:rsidR="00F22FBD" w:rsidRDefault="00D44E4A">
      <w:pPr>
        <w:rPr>
          <w:b/>
          <w:bCs/>
        </w:rPr>
      </w:pPr>
      <w:r>
        <w:rPr>
          <w:b/>
          <w:bCs/>
        </w:rPr>
        <w:t>7 lentelė. Nešiklio sąveika</w:t>
      </w:r>
    </w:p>
    <w:p w14:paraId="0DA41C22" w14:textId="77777777" w:rsidR="00F22FBD" w:rsidRDefault="00F22FBD">
      <w:pPr>
        <w:rPr>
          <w:b/>
          <w:bCs/>
        </w:rPr>
      </w:pPr>
    </w:p>
    <w:tbl>
      <w:tblPr>
        <w:tblW w:w="9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45"/>
        <w:gridCol w:w="7541"/>
      </w:tblGrid>
      <w:tr w:rsidR="00F22FBD" w14:paraId="215428D9" w14:textId="77777777">
        <w:trPr>
          <w:trHeight w:val="731"/>
        </w:trPr>
        <w:tc>
          <w:tcPr>
            <w:tcW w:w="9286" w:type="dxa"/>
            <w:gridSpan w:val="2"/>
            <w:shd w:val="clear" w:color="auto" w:fill="auto"/>
          </w:tcPr>
          <w:p w14:paraId="6BD7EB3D" w14:textId="77777777" w:rsidR="00F22FBD" w:rsidRDefault="00F22FBD">
            <w:pPr>
              <w:widowControl w:val="0"/>
              <w:kinsoku w:val="0"/>
              <w:overflowPunct w:val="0"/>
              <w:autoSpaceDE w:val="0"/>
              <w:autoSpaceDN w:val="0"/>
              <w:adjustRightInd w:val="0"/>
              <w:spacing w:before="3"/>
              <w:rPr>
                <w:b/>
                <w:bCs/>
                <w:color w:val="000000"/>
                <w:szCs w:val="22"/>
                <w:lang w:val="sl-SI" w:eastAsia="sl-SI"/>
              </w:rPr>
            </w:pPr>
          </w:p>
          <w:p w14:paraId="5568676A" w14:textId="77777777" w:rsidR="00F22FBD" w:rsidRDefault="00D44E4A">
            <w:pPr>
              <w:widowControl w:val="0"/>
              <w:kinsoku w:val="0"/>
              <w:overflowPunct w:val="0"/>
              <w:autoSpaceDE w:val="0"/>
              <w:autoSpaceDN w:val="0"/>
              <w:adjustRightInd w:val="0"/>
              <w:ind w:left="107"/>
              <w:rPr>
                <w:i/>
                <w:iCs/>
                <w:color w:val="000000"/>
                <w:szCs w:val="22"/>
                <w:u w:val="single"/>
                <w:lang w:val="sl-SI" w:eastAsia="sl-SI"/>
              </w:rPr>
            </w:pPr>
            <w:r>
              <w:rPr>
                <w:i/>
                <w:iCs/>
                <w:u w:val="single"/>
              </w:rPr>
              <w:t>P glikoproteino inhibitoriai</w:t>
            </w:r>
          </w:p>
        </w:tc>
      </w:tr>
      <w:tr w:rsidR="00F22FBD" w14:paraId="17E0CC66" w14:textId="77777777">
        <w:trPr>
          <w:trHeight w:val="733"/>
        </w:trPr>
        <w:tc>
          <w:tcPr>
            <w:tcW w:w="9286" w:type="dxa"/>
            <w:gridSpan w:val="2"/>
            <w:shd w:val="clear" w:color="auto" w:fill="auto"/>
          </w:tcPr>
          <w:p w14:paraId="34AFD06B" w14:textId="77777777" w:rsidR="00F22FBD" w:rsidRDefault="00F22FBD">
            <w:pPr>
              <w:widowControl w:val="0"/>
              <w:kinsoku w:val="0"/>
              <w:overflowPunct w:val="0"/>
              <w:autoSpaceDE w:val="0"/>
              <w:autoSpaceDN w:val="0"/>
              <w:adjustRightInd w:val="0"/>
              <w:spacing w:before="6"/>
              <w:rPr>
                <w:b/>
                <w:bCs/>
                <w:color w:val="000000"/>
                <w:szCs w:val="22"/>
                <w:lang w:val="sl-SI" w:eastAsia="sl-SI"/>
              </w:rPr>
            </w:pPr>
          </w:p>
          <w:p w14:paraId="57DB6C91" w14:textId="77777777" w:rsidR="00F22FBD" w:rsidRDefault="00D44E4A">
            <w:pPr>
              <w:widowControl w:val="0"/>
              <w:kinsoku w:val="0"/>
              <w:overflowPunct w:val="0"/>
              <w:autoSpaceDE w:val="0"/>
              <w:autoSpaceDN w:val="0"/>
              <w:adjustRightInd w:val="0"/>
              <w:ind w:left="107"/>
              <w:rPr>
                <w:i/>
                <w:iCs/>
                <w:color w:val="000000"/>
                <w:szCs w:val="22"/>
                <w:lang w:val="sl-SI" w:eastAsia="sl-SI"/>
              </w:rPr>
            </w:pPr>
            <w:r>
              <w:rPr>
                <w:i/>
                <w:iCs/>
              </w:rPr>
              <w:t>Draudžiama vartoti kartu (žr. 4.3 skyrių)</w:t>
            </w:r>
          </w:p>
        </w:tc>
      </w:tr>
      <w:tr w:rsidR="00F22FBD" w14:paraId="47DF3307" w14:textId="77777777">
        <w:trPr>
          <w:trHeight w:val="1012"/>
        </w:trPr>
        <w:tc>
          <w:tcPr>
            <w:tcW w:w="1745" w:type="dxa"/>
            <w:shd w:val="clear" w:color="auto" w:fill="auto"/>
          </w:tcPr>
          <w:p w14:paraId="260E10BD" w14:textId="77777777" w:rsidR="00F22FBD" w:rsidRDefault="00D44E4A">
            <w:pPr>
              <w:widowControl w:val="0"/>
              <w:kinsoku w:val="0"/>
              <w:overflowPunct w:val="0"/>
              <w:autoSpaceDE w:val="0"/>
              <w:autoSpaceDN w:val="0"/>
              <w:adjustRightInd w:val="0"/>
              <w:spacing w:line="247" w:lineRule="exact"/>
              <w:ind w:left="107"/>
              <w:rPr>
                <w:color w:val="000000"/>
                <w:szCs w:val="22"/>
                <w:lang w:val="sl-SI" w:eastAsia="sl-SI"/>
              </w:rPr>
            </w:pPr>
            <w:r>
              <w:t>Ketokonazolas</w:t>
            </w:r>
          </w:p>
        </w:tc>
        <w:tc>
          <w:tcPr>
            <w:tcW w:w="7541" w:type="dxa"/>
            <w:shd w:val="clear" w:color="auto" w:fill="auto"/>
          </w:tcPr>
          <w:p w14:paraId="04A4F888" w14:textId="77777777" w:rsidR="00F22FBD" w:rsidRDefault="00D44E4A">
            <w:pPr>
              <w:widowControl w:val="0"/>
              <w:kinsoku w:val="0"/>
              <w:overflowPunct w:val="0"/>
              <w:autoSpaceDE w:val="0"/>
              <w:autoSpaceDN w:val="0"/>
              <w:adjustRightInd w:val="0"/>
              <w:ind w:left="108"/>
              <w:rPr>
                <w:color w:val="000000"/>
                <w:szCs w:val="22"/>
                <w:lang w:val="sl-SI" w:eastAsia="sl-SI"/>
              </w:rPr>
            </w:pPr>
            <w:r>
              <w:t>Viena per burną pavartota 400 mg ketokonazolo dozė bendrą dabigatrano AUC</w:t>
            </w:r>
            <w:r>
              <w:rPr>
                <w:vertAlign w:val="subscript"/>
              </w:rPr>
              <w:t>0-∞</w:t>
            </w:r>
            <w:r>
              <w:t xml:space="preserve"> ir C</w:t>
            </w:r>
            <w:r>
              <w:rPr>
                <w:vertAlign w:val="subscript"/>
              </w:rPr>
              <w:t>max</w:t>
            </w:r>
            <w:r>
              <w:t xml:space="preserve"> padidino atitinkamai 2,38 karto ir 2,35 karto, kartą per parą per burną vartojamos daugkartinės 400 mg ketokonazolo dozės – atitinkamai 2,53 karto ir 2,49 karto</w:t>
            </w:r>
          </w:p>
        </w:tc>
      </w:tr>
      <w:tr w:rsidR="00F22FBD" w14:paraId="3D515CA4" w14:textId="77777777">
        <w:trPr>
          <w:trHeight w:val="1012"/>
        </w:trPr>
        <w:tc>
          <w:tcPr>
            <w:tcW w:w="1745" w:type="dxa"/>
            <w:shd w:val="clear" w:color="auto" w:fill="auto"/>
          </w:tcPr>
          <w:p w14:paraId="58B5612B" w14:textId="77777777" w:rsidR="00F22FBD" w:rsidRDefault="00D44E4A">
            <w:pPr>
              <w:widowControl w:val="0"/>
              <w:kinsoku w:val="0"/>
              <w:overflowPunct w:val="0"/>
              <w:autoSpaceDE w:val="0"/>
              <w:autoSpaceDN w:val="0"/>
              <w:adjustRightInd w:val="0"/>
              <w:spacing w:line="247" w:lineRule="exact"/>
              <w:ind w:left="107"/>
              <w:rPr>
                <w:color w:val="000000"/>
                <w:szCs w:val="22"/>
                <w:lang w:val="sl-SI" w:eastAsia="sl-SI"/>
              </w:rPr>
            </w:pPr>
            <w:r>
              <w:t>Dronedaronas</w:t>
            </w:r>
          </w:p>
        </w:tc>
        <w:tc>
          <w:tcPr>
            <w:tcW w:w="7541" w:type="dxa"/>
            <w:shd w:val="clear" w:color="auto" w:fill="auto"/>
          </w:tcPr>
          <w:p w14:paraId="415D8F5B" w14:textId="77777777" w:rsidR="00F22FBD" w:rsidRDefault="00D44E4A">
            <w:pPr>
              <w:widowControl w:val="0"/>
              <w:kinsoku w:val="0"/>
              <w:overflowPunct w:val="0"/>
              <w:autoSpaceDE w:val="0"/>
              <w:autoSpaceDN w:val="0"/>
              <w:adjustRightInd w:val="0"/>
              <w:ind w:left="108"/>
              <w:rPr>
                <w:color w:val="000000"/>
                <w:szCs w:val="22"/>
                <w:lang w:val="sl-SI" w:eastAsia="sl-SI"/>
              </w:rPr>
            </w:pPr>
            <w:r>
              <w:t>Dabigatrano eteksilato, vartojamo tuo pačiu metu su 2 kartus per parą geriamomis kartotinėmis 400 mg dronedarono dozėmis, bendras AUC</w:t>
            </w:r>
            <w:r>
              <w:rPr>
                <w:vertAlign w:val="subscript"/>
              </w:rPr>
              <w:t>0-∞</w:t>
            </w:r>
            <w:r>
              <w:t xml:space="preserve"> ir C</w:t>
            </w:r>
            <w:r>
              <w:rPr>
                <w:vertAlign w:val="subscript"/>
              </w:rPr>
              <w:t>max</w:t>
            </w:r>
            <w:r>
              <w:t xml:space="preserve"> padidėjo atitinkamai maždaug 2,4 karto ir 2,3 karto, o pavartojus kartu su vienkartine 400 mg dronedarono doze – atitinkamai maždaug 2,1 karto ir 1,9 karto.</w:t>
            </w:r>
          </w:p>
        </w:tc>
      </w:tr>
      <w:tr w:rsidR="00F22FBD" w14:paraId="5B2596FB" w14:textId="77777777">
        <w:trPr>
          <w:trHeight w:val="505"/>
        </w:trPr>
        <w:tc>
          <w:tcPr>
            <w:tcW w:w="1745" w:type="dxa"/>
            <w:shd w:val="clear" w:color="auto" w:fill="auto"/>
          </w:tcPr>
          <w:p w14:paraId="755BDD76" w14:textId="77777777" w:rsidR="00F22FBD" w:rsidRDefault="00D44E4A">
            <w:pPr>
              <w:widowControl w:val="0"/>
              <w:kinsoku w:val="0"/>
              <w:overflowPunct w:val="0"/>
              <w:autoSpaceDE w:val="0"/>
              <w:autoSpaceDN w:val="0"/>
              <w:adjustRightInd w:val="0"/>
              <w:spacing w:line="240" w:lineRule="exact"/>
              <w:ind w:left="107"/>
              <w:rPr>
                <w:color w:val="000000"/>
                <w:szCs w:val="22"/>
                <w:lang w:val="sl-SI" w:eastAsia="sl-SI"/>
              </w:rPr>
            </w:pPr>
            <w:r>
              <w:t>Itrakonazolas, ciklosporinas</w:t>
            </w:r>
          </w:p>
        </w:tc>
        <w:tc>
          <w:tcPr>
            <w:tcW w:w="7541" w:type="dxa"/>
            <w:shd w:val="clear" w:color="auto" w:fill="auto"/>
          </w:tcPr>
          <w:p w14:paraId="604BE88F" w14:textId="77777777" w:rsidR="00F22FBD" w:rsidRDefault="00D44E4A">
            <w:pPr>
              <w:widowControl w:val="0"/>
              <w:kinsoku w:val="0"/>
              <w:overflowPunct w:val="0"/>
              <w:autoSpaceDE w:val="0"/>
              <w:autoSpaceDN w:val="0"/>
              <w:adjustRightInd w:val="0"/>
              <w:spacing w:line="247" w:lineRule="exact"/>
              <w:ind w:left="108"/>
              <w:rPr>
                <w:color w:val="000000"/>
                <w:szCs w:val="22"/>
                <w:lang w:val="sl-SI" w:eastAsia="sl-SI"/>
              </w:rPr>
            </w:pPr>
            <w:r>
              <w:t xml:space="preserve">Remiantis </w:t>
            </w:r>
            <w:r>
              <w:rPr>
                <w:i/>
                <w:iCs/>
              </w:rPr>
              <w:t>in vitro</w:t>
            </w:r>
            <w:r>
              <w:t xml:space="preserve"> rezultatais, tikimasi panašaus poveikio kaip ketokonazolo.</w:t>
            </w:r>
          </w:p>
        </w:tc>
      </w:tr>
      <w:tr w:rsidR="00F22FBD" w14:paraId="2E5AEE03" w14:textId="77777777">
        <w:trPr>
          <w:trHeight w:val="505"/>
        </w:trPr>
        <w:tc>
          <w:tcPr>
            <w:tcW w:w="1745" w:type="dxa"/>
            <w:shd w:val="clear" w:color="auto" w:fill="auto"/>
          </w:tcPr>
          <w:p w14:paraId="4C1DFDA4" w14:textId="77777777" w:rsidR="00F22FBD" w:rsidRDefault="00D44E4A">
            <w:pPr>
              <w:widowControl w:val="0"/>
              <w:kinsoku w:val="0"/>
              <w:overflowPunct w:val="0"/>
              <w:autoSpaceDE w:val="0"/>
              <w:autoSpaceDN w:val="0"/>
              <w:adjustRightInd w:val="0"/>
              <w:spacing w:line="246" w:lineRule="exact"/>
              <w:ind w:left="107"/>
              <w:rPr>
                <w:color w:val="000000"/>
                <w:szCs w:val="22"/>
                <w:lang w:val="sl-SI" w:eastAsia="sl-SI"/>
              </w:rPr>
            </w:pPr>
            <w:r>
              <w:t>Glekapreviras / pibrentasviras</w:t>
            </w:r>
          </w:p>
        </w:tc>
        <w:tc>
          <w:tcPr>
            <w:tcW w:w="7541" w:type="dxa"/>
            <w:shd w:val="clear" w:color="auto" w:fill="auto"/>
          </w:tcPr>
          <w:p w14:paraId="359849FB" w14:textId="77777777" w:rsidR="00F22FBD" w:rsidRDefault="00D44E4A">
            <w:pPr>
              <w:widowControl w:val="0"/>
              <w:kinsoku w:val="0"/>
              <w:overflowPunct w:val="0"/>
              <w:autoSpaceDE w:val="0"/>
              <w:autoSpaceDN w:val="0"/>
              <w:adjustRightInd w:val="0"/>
              <w:ind w:left="108" w:right="245"/>
              <w:rPr>
                <w:color w:val="000000"/>
                <w:szCs w:val="22"/>
                <w:lang w:val="sl-SI" w:eastAsia="sl-SI"/>
              </w:rPr>
            </w:pPr>
            <w:r>
              <w:t>Nustatyta, kad vartojant dabigatrano eteksilatą kartu su fiksuotų dozių P-gp inhibitorių glekapreviro / pibrentasviro deriniu, padidėja dabigatrano ekspozicija ir gali padidėti kraujavimo rizika</w:t>
            </w:r>
          </w:p>
        </w:tc>
      </w:tr>
      <w:tr w:rsidR="00F22FBD" w14:paraId="6B0C41F3" w14:textId="77777777">
        <w:trPr>
          <w:trHeight w:val="746"/>
        </w:trPr>
        <w:tc>
          <w:tcPr>
            <w:tcW w:w="9286" w:type="dxa"/>
            <w:gridSpan w:val="2"/>
            <w:shd w:val="clear" w:color="auto" w:fill="auto"/>
          </w:tcPr>
          <w:p w14:paraId="7169BC08" w14:textId="77777777" w:rsidR="00F22FBD" w:rsidRDefault="00F22FBD">
            <w:pPr>
              <w:widowControl w:val="0"/>
              <w:kinsoku w:val="0"/>
              <w:overflowPunct w:val="0"/>
              <w:autoSpaceDE w:val="0"/>
              <w:autoSpaceDN w:val="0"/>
              <w:adjustRightInd w:val="0"/>
              <w:spacing w:before="3"/>
              <w:rPr>
                <w:b/>
                <w:bCs/>
                <w:color w:val="000000"/>
                <w:szCs w:val="22"/>
                <w:lang w:val="sl-SI" w:eastAsia="sl-SI"/>
              </w:rPr>
            </w:pPr>
          </w:p>
          <w:p w14:paraId="005F8209" w14:textId="77777777" w:rsidR="00F22FBD" w:rsidRDefault="00D44E4A">
            <w:pPr>
              <w:widowControl w:val="0"/>
              <w:kinsoku w:val="0"/>
              <w:overflowPunct w:val="0"/>
              <w:autoSpaceDE w:val="0"/>
              <w:autoSpaceDN w:val="0"/>
              <w:adjustRightInd w:val="0"/>
              <w:ind w:left="107"/>
              <w:rPr>
                <w:i/>
                <w:iCs/>
                <w:color w:val="000000"/>
                <w:szCs w:val="22"/>
                <w:lang w:val="sl-SI" w:eastAsia="sl-SI"/>
              </w:rPr>
            </w:pPr>
            <w:r>
              <w:rPr>
                <w:i/>
                <w:iCs/>
              </w:rPr>
              <w:t>Nerekomenduojama vartoti kartu</w:t>
            </w:r>
          </w:p>
        </w:tc>
      </w:tr>
      <w:tr w:rsidR="00F22FBD" w14:paraId="7730AF85" w14:textId="77777777">
        <w:trPr>
          <w:trHeight w:val="1275"/>
        </w:trPr>
        <w:tc>
          <w:tcPr>
            <w:tcW w:w="1745" w:type="dxa"/>
            <w:shd w:val="clear" w:color="auto" w:fill="auto"/>
          </w:tcPr>
          <w:p w14:paraId="504AE756" w14:textId="77777777" w:rsidR="00F22FBD" w:rsidRDefault="00D44E4A">
            <w:pPr>
              <w:widowControl w:val="0"/>
              <w:kinsoku w:val="0"/>
              <w:overflowPunct w:val="0"/>
              <w:autoSpaceDE w:val="0"/>
              <w:autoSpaceDN w:val="0"/>
              <w:adjustRightInd w:val="0"/>
              <w:spacing w:line="247" w:lineRule="exact"/>
              <w:ind w:left="107"/>
              <w:rPr>
                <w:color w:val="000000"/>
                <w:szCs w:val="22"/>
                <w:lang w:val="sl-SI" w:eastAsia="sl-SI"/>
              </w:rPr>
            </w:pPr>
            <w:r>
              <w:t>Takrolimuzas</w:t>
            </w:r>
          </w:p>
        </w:tc>
        <w:tc>
          <w:tcPr>
            <w:tcW w:w="7541" w:type="dxa"/>
            <w:shd w:val="clear" w:color="auto" w:fill="auto"/>
          </w:tcPr>
          <w:p w14:paraId="6499B138" w14:textId="77777777" w:rsidR="00F22FBD" w:rsidRDefault="00D44E4A">
            <w:pPr>
              <w:widowControl w:val="0"/>
              <w:kinsoku w:val="0"/>
              <w:overflowPunct w:val="0"/>
              <w:autoSpaceDE w:val="0"/>
              <w:autoSpaceDN w:val="0"/>
              <w:adjustRightInd w:val="0"/>
              <w:spacing w:line="234" w:lineRule="exact"/>
              <w:rPr>
                <w:color w:val="000000"/>
                <w:szCs w:val="22"/>
                <w:lang w:val="sl-SI" w:eastAsia="sl-SI"/>
              </w:rPr>
            </w:pPr>
            <w:r>
              <w:t xml:space="preserve">Buvo nustatyta, kad </w:t>
            </w:r>
            <w:r>
              <w:rPr>
                <w:i/>
                <w:iCs/>
              </w:rPr>
              <w:t>in vitro</w:t>
            </w:r>
            <w:r>
              <w:t xml:space="preserve"> takrolimuzas P-gp slopina tiek pat, kiek itrakonazolas ir ciklosporinas. Dabigatrano eteksilato vartojimas kartu su takrolimuzu klinikiniais tyrimais netirtas. Vis dėlto riboti kito P-gp substrato (everolimuzo) klinikiniai duomenys rodo, kad takrolimuzas P-gp slopina silpniau negu stipriai veikiantys P-gp inhibitoriai.</w:t>
            </w:r>
          </w:p>
        </w:tc>
      </w:tr>
      <w:tr w:rsidR="00F22FBD" w14:paraId="42307DBB" w14:textId="77777777">
        <w:trPr>
          <w:trHeight w:val="746"/>
        </w:trPr>
        <w:tc>
          <w:tcPr>
            <w:tcW w:w="9286" w:type="dxa"/>
            <w:gridSpan w:val="2"/>
            <w:shd w:val="clear" w:color="auto" w:fill="auto"/>
          </w:tcPr>
          <w:p w14:paraId="21CA7D06" w14:textId="77777777" w:rsidR="00F22FBD" w:rsidRDefault="00F22FBD">
            <w:pPr>
              <w:widowControl w:val="0"/>
              <w:kinsoku w:val="0"/>
              <w:overflowPunct w:val="0"/>
              <w:autoSpaceDE w:val="0"/>
              <w:autoSpaceDN w:val="0"/>
              <w:adjustRightInd w:val="0"/>
              <w:rPr>
                <w:b/>
                <w:bCs/>
                <w:color w:val="000000"/>
                <w:szCs w:val="22"/>
                <w:lang w:val="sl-SI" w:eastAsia="sl-SI"/>
              </w:rPr>
            </w:pPr>
          </w:p>
          <w:p w14:paraId="702B24D2" w14:textId="77777777" w:rsidR="00F22FBD" w:rsidRDefault="00D44E4A">
            <w:pPr>
              <w:widowControl w:val="0"/>
              <w:kinsoku w:val="0"/>
              <w:overflowPunct w:val="0"/>
              <w:autoSpaceDE w:val="0"/>
              <w:autoSpaceDN w:val="0"/>
              <w:adjustRightInd w:val="0"/>
              <w:ind w:left="107"/>
              <w:rPr>
                <w:i/>
                <w:iCs/>
                <w:color w:val="000000"/>
                <w:szCs w:val="22"/>
                <w:lang w:val="sl-SI" w:eastAsia="sl-SI"/>
              </w:rPr>
            </w:pPr>
            <w:r>
              <w:rPr>
                <w:i/>
                <w:iCs/>
              </w:rPr>
              <w:t>Vartoti kartu reikia atsargiai (žr. 4.2 ir 4.4 skyrius)</w:t>
            </w:r>
          </w:p>
        </w:tc>
      </w:tr>
      <w:tr w:rsidR="00F22FBD" w14:paraId="63600433" w14:textId="77777777">
        <w:trPr>
          <w:trHeight w:val="4048"/>
        </w:trPr>
        <w:tc>
          <w:tcPr>
            <w:tcW w:w="1745" w:type="dxa"/>
            <w:shd w:val="clear" w:color="auto" w:fill="auto"/>
          </w:tcPr>
          <w:p w14:paraId="59544912" w14:textId="77777777" w:rsidR="00F22FBD" w:rsidRDefault="00D44E4A">
            <w:pPr>
              <w:widowControl w:val="0"/>
              <w:kinsoku w:val="0"/>
              <w:overflowPunct w:val="0"/>
              <w:autoSpaceDE w:val="0"/>
              <w:autoSpaceDN w:val="0"/>
              <w:adjustRightInd w:val="0"/>
              <w:spacing w:line="243" w:lineRule="exact"/>
              <w:ind w:left="107"/>
              <w:rPr>
                <w:color w:val="000000"/>
                <w:szCs w:val="22"/>
                <w:lang w:val="sl-SI" w:eastAsia="sl-SI"/>
              </w:rPr>
            </w:pPr>
            <w:r>
              <w:t>Verapamilis</w:t>
            </w:r>
          </w:p>
        </w:tc>
        <w:tc>
          <w:tcPr>
            <w:tcW w:w="7541" w:type="dxa"/>
            <w:shd w:val="clear" w:color="auto" w:fill="auto"/>
          </w:tcPr>
          <w:p w14:paraId="11842516" w14:textId="77777777" w:rsidR="00F22FBD" w:rsidRDefault="00D44E4A">
            <w:pPr>
              <w:widowControl w:val="0"/>
              <w:kinsoku w:val="0"/>
              <w:overflowPunct w:val="0"/>
              <w:autoSpaceDE w:val="0"/>
              <w:autoSpaceDN w:val="0"/>
              <w:adjustRightInd w:val="0"/>
              <w:spacing w:line="252" w:lineRule="exact"/>
              <w:ind w:left="145"/>
            </w:pPr>
            <w:r>
              <w:t>Kartu su dabigatrano eteksilatu (150 mg doze) vartojant geriamojo verapamilio, padidėjo dabigatrano C</w:t>
            </w:r>
            <w:r>
              <w:rPr>
                <w:vertAlign w:val="subscript"/>
              </w:rPr>
              <w:t>max</w:t>
            </w:r>
            <w:r>
              <w:t xml:space="preserve"> ir AUC, tačiau šio pokyčio dydis skyrėsi priklausomai nuo verapamilio vartojimo laiko ir farmacinės formos (žr. 4.2 ir 4.4 skyrius).</w:t>
            </w:r>
          </w:p>
          <w:p w14:paraId="158F85E6" w14:textId="77777777" w:rsidR="00F22FBD" w:rsidRDefault="00F22FBD">
            <w:pPr>
              <w:widowControl w:val="0"/>
              <w:kinsoku w:val="0"/>
              <w:overflowPunct w:val="0"/>
              <w:autoSpaceDE w:val="0"/>
              <w:autoSpaceDN w:val="0"/>
              <w:adjustRightInd w:val="0"/>
              <w:spacing w:line="252" w:lineRule="exact"/>
              <w:ind w:left="145"/>
            </w:pPr>
          </w:p>
          <w:p w14:paraId="3E109847" w14:textId="77777777" w:rsidR="00F22FBD" w:rsidRDefault="00D44E4A">
            <w:pPr>
              <w:widowControl w:val="0"/>
              <w:kinsoku w:val="0"/>
              <w:overflowPunct w:val="0"/>
              <w:autoSpaceDE w:val="0"/>
              <w:autoSpaceDN w:val="0"/>
              <w:adjustRightInd w:val="0"/>
              <w:spacing w:line="252" w:lineRule="exact"/>
              <w:ind w:left="145"/>
            </w:pPr>
            <w:r>
              <w:t>Didžiausias dabigatrano ekspozicijos padidėjimas stebėtas po pirmos greito atpalaidavimo verapamilio preparato dozės, išgertos likus valandai iki dabigatrano eteksilato vartojimo (C</w:t>
            </w:r>
            <w:r>
              <w:rPr>
                <w:vertAlign w:val="subscript"/>
              </w:rPr>
              <w:t>max</w:t>
            </w:r>
            <w:r>
              <w:t xml:space="preserve"> padidėjo maždaug 2,8 karto, AUC – apie 2,5 karto). Poveikis palaipsniui silpnėjo, vartojant pailginto atpalaidavimo verapamilio preparatų (C</w:t>
            </w:r>
            <w:r>
              <w:rPr>
                <w:vertAlign w:val="subscript"/>
              </w:rPr>
              <w:t>max</w:t>
            </w:r>
            <w:r>
              <w:t xml:space="preserve"> padidėjo maždaug 1,9 karto, AUC – apie 1,7 karto) arba daugkartines verapamilio dozes (C</w:t>
            </w:r>
            <w:r>
              <w:rPr>
                <w:vertAlign w:val="subscript"/>
              </w:rPr>
              <w:t>max</w:t>
            </w:r>
            <w:r>
              <w:t xml:space="preserve"> padidėjo maždaug 1,6 karto, o AUC – apie 1,5 karto).</w:t>
            </w:r>
          </w:p>
          <w:p w14:paraId="1DAEBFD3" w14:textId="77777777" w:rsidR="00F22FBD" w:rsidRDefault="00F22FBD">
            <w:pPr>
              <w:widowControl w:val="0"/>
              <w:kinsoku w:val="0"/>
              <w:overflowPunct w:val="0"/>
              <w:autoSpaceDE w:val="0"/>
              <w:autoSpaceDN w:val="0"/>
              <w:adjustRightInd w:val="0"/>
              <w:spacing w:line="252" w:lineRule="exact"/>
              <w:ind w:left="145"/>
            </w:pPr>
          </w:p>
          <w:p w14:paraId="5401C7EF" w14:textId="77777777" w:rsidR="00F22FBD" w:rsidRDefault="00D44E4A">
            <w:pPr>
              <w:widowControl w:val="0"/>
              <w:kinsoku w:val="0"/>
              <w:overflowPunct w:val="0"/>
              <w:autoSpaceDE w:val="0"/>
              <w:autoSpaceDN w:val="0"/>
              <w:adjustRightInd w:val="0"/>
              <w:spacing w:line="252" w:lineRule="exact"/>
              <w:ind w:left="145"/>
              <w:rPr>
                <w:color w:val="000000"/>
                <w:szCs w:val="22"/>
                <w:lang w:val="sl-SI" w:eastAsia="sl-SI"/>
              </w:rPr>
            </w:pPr>
            <w:r>
              <w:t>Verapamilio geriant praėjus 2 val. po dabigatrano eteksilato pavartojimo, reikšmingos sąveikos nepastebėta (C</w:t>
            </w:r>
            <w:r>
              <w:rPr>
                <w:vertAlign w:val="subscript"/>
              </w:rPr>
              <w:t>max</w:t>
            </w:r>
            <w:r>
              <w:t xml:space="preserve"> padidėjimas maždaug 1,1 karto, AUC – apie 1,2 karto). Manoma, kad taip atsitinka todėl, kad po 2 val. dabigatranas būna visiškai absorbuotas</w:t>
            </w:r>
          </w:p>
        </w:tc>
      </w:tr>
      <w:tr w:rsidR="00F22FBD" w14:paraId="31EC9F55" w14:textId="77777777">
        <w:trPr>
          <w:trHeight w:val="1516"/>
        </w:trPr>
        <w:tc>
          <w:tcPr>
            <w:tcW w:w="1745" w:type="dxa"/>
            <w:shd w:val="clear" w:color="auto" w:fill="auto"/>
          </w:tcPr>
          <w:p w14:paraId="758DF356" w14:textId="77777777" w:rsidR="00F22FBD" w:rsidRDefault="00D44E4A">
            <w:pPr>
              <w:widowControl w:val="0"/>
              <w:kinsoku w:val="0"/>
              <w:overflowPunct w:val="0"/>
              <w:autoSpaceDE w:val="0"/>
              <w:autoSpaceDN w:val="0"/>
              <w:adjustRightInd w:val="0"/>
              <w:spacing w:line="243" w:lineRule="exact"/>
              <w:ind w:left="107"/>
              <w:rPr>
                <w:color w:val="000000"/>
                <w:szCs w:val="22"/>
                <w:lang w:val="sl-SI" w:eastAsia="sl-SI"/>
              </w:rPr>
            </w:pPr>
            <w:r>
              <w:rPr>
                <w:color w:val="000000"/>
                <w:szCs w:val="22"/>
                <w:lang w:val="sl-SI" w:eastAsia="sl-SI"/>
              </w:rPr>
              <w:t>Amjodaronas</w:t>
            </w:r>
          </w:p>
        </w:tc>
        <w:tc>
          <w:tcPr>
            <w:tcW w:w="7541" w:type="dxa"/>
            <w:shd w:val="clear" w:color="auto" w:fill="auto"/>
          </w:tcPr>
          <w:p w14:paraId="61BD3023" w14:textId="77777777" w:rsidR="00F22FBD" w:rsidRDefault="00D44E4A">
            <w:pPr>
              <w:widowControl w:val="0"/>
              <w:kinsoku w:val="0"/>
              <w:overflowPunct w:val="0"/>
              <w:autoSpaceDE w:val="0"/>
              <w:autoSpaceDN w:val="0"/>
              <w:adjustRightInd w:val="0"/>
              <w:ind w:left="145"/>
              <w:rPr>
                <w:color w:val="000000"/>
                <w:szCs w:val="22"/>
                <w:lang w:val="sl-SI" w:eastAsia="sl-SI"/>
              </w:rPr>
            </w:pPr>
            <w:r>
              <w:t>Kartu su dabigatrano eteksilatu išgėrus vieną 600 mg amjodarono dozę, amjodarono absorbcijos dydis ir greitis bei aktyvaus jo metabolito DEA kiekis iš esmės nekito. Dabigatrano AUC ir C</w:t>
            </w:r>
            <w:r>
              <w:rPr>
                <w:vertAlign w:val="subscript"/>
              </w:rPr>
              <w:t>max</w:t>
            </w:r>
            <w:r>
              <w:t xml:space="preserve"> padidėjo atitinkamai 1,6 karto ir 1,5 karto. Kadangi amjodarono pusinės eliminacijos laikas yra ilgas, sąveikos su kitais vaistiniais preparatais galimybė gali išlikti kelias savaites po amjodarono vartojimo nutraukimo (žr. 4.2 ir 4.4 skyrius).</w:t>
            </w:r>
          </w:p>
        </w:tc>
      </w:tr>
      <w:tr w:rsidR="00F22FBD" w14:paraId="3A241404" w14:textId="77777777">
        <w:trPr>
          <w:trHeight w:val="1266"/>
        </w:trPr>
        <w:tc>
          <w:tcPr>
            <w:tcW w:w="1745" w:type="dxa"/>
            <w:shd w:val="clear" w:color="auto" w:fill="auto"/>
          </w:tcPr>
          <w:p w14:paraId="5DA959F1" w14:textId="77777777" w:rsidR="00F22FBD" w:rsidRDefault="00D44E4A">
            <w:pPr>
              <w:widowControl w:val="0"/>
              <w:kinsoku w:val="0"/>
              <w:overflowPunct w:val="0"/>
              <w:autoSpaceDE w:val="0"/>
              <w:autoSpaceDN w:val="0"/>
              <w:adjustRightInd w:val="0"/>
              <w:spacing w:line="246" w:lineRule="exact"/>
              <w:ind w:left="107"/>
              <w:rPr>
                <w:color w:val="000000"/>
                <w:szCs w:val="22"/>
                <w:lang w:val="sl-SI" w:eastAsia="sl-SI"/>
              </w:rPr>
            </w:pPr>
            <w:r>
              <w:lastRenderedPageBreak/>
              <w:t>Chinidinas</w:t>
            </w:r>
          </w:p>
        </w:tc>
        <w:tc>
          <w:tcPr>
            <w:tcW w:w="7541" w:type="dxa"/>
            <w:shd w:val="clear" w:color="auto" w:fill="auto"/>
          </w:tcPr>
          <w:p w14:paraId="44EC5921" w14:textId="77777777" w:rsidR="00F22FBD" w:rsidRDefault="00D44E4A">
            <w:pPr>
              <w:widowControl w:val="0"/>
              <w:kinsoku w:val="0"/>
              <w:overflowPunct w:val="0"/>
              <w:autoSpaceDE w:val="0"/>
              <w:autoSpaceDN w:val="0"/>
              <w:adjustRightInd w:val="0"/>
              <w:ind w:left="145"/>
              <w:rPr>
                <w:color w:val="000000"/>
                <w:szCs w:val="22"/>
                <w:lang w:val="sl-SI" w:eastAsia="sl-SI"/>
              </w:rPr>
            </w:pPr>
            <w:r>
              <w:rPr>
                <w:szCs w:val="22"/>
              </w:rPr>
              <w:t>Chinidinas vartotas po 200 mg kas 2 valandas iki 1 000 mg bendros dozės. Dabigatrano eteksilatas vartotas du kartus per parą tris paras iš eilės, trečią parą – kartu su chinidinu arba be jo. Vartojant kartu su chinidinu, dabigatrano AUC</w:t>
            </w:r>
            <w:r>
              <w:rPr>
                <w:szCs w:val="22"/>
                <w:vertAlign w:val="subscript"/>
              </w:rPr>
              <w:t xml:space="preserve">τ,ss </w:t>
            </w:r>
            <w:r>
              <w:rPr>
                <w:szCs w:val="22"/>
              </w:rPr>
              <w:t>ir C</w:t>
            </w:r>
            <w:r>
              <w:rPr>
                <w:szCs w:val="22"/>
                <w:vertAlign w:val="subscript"/>
              </w:rPr>
              <w:t xml:space="preserve">max,ss </w:t>
            </w:r>
            <w:r>
              <w:rPr>
                <w:szCs w:val="22"/>
              </w:rPr>
              <w:t>padidėjo atitinkamai maždaug 1,53 karto ir 1,56 karto (žr. 4.2 ir 4.4 skyrius).</w:t>
            </w:r>
          </w:p>
        </w:tc>
      </w:tr>
      <w:tr w:rsidR="00F22FBD" w14:paraId="7D49ED10" w14:textId="77777777">
        <w:trPr>
          <w:trHeight w:val="757"/>
        </w:trPr>
        <w:tc>
          <w:tcPr>
            <w:tcW w:w="1745" w:type="dxa"/>
            <w:shd w:val="clear" w:color="auto" w:fill="auto"/>
          </w:tcPr>
          <w:p w14:paraId="1520ACCE" w14:textId="77777777" w:rsidR="00F22FBD" w:rsidRDefault="00D44E4A">
            <w:pPr>
              <w:widowControl w:val="0"/>
              <w:kinsoku w:val="0"/>
              <w:overflowPunct w:val="0"/>
              <w:autoSpaceDE w:val="0"/>
              <w:autoSpaceDN w:val="0"/>
              <w:adjustRightInd w:val="0"/>
              <w:spacing w:line="243" w:lineRule="exact"/>
              <w:ind w:left="107"/>
              <w:rPr>
                <w:color w:val="000000"/>
                <w:szCs w:val="22"/>
                <w:lang w:val="sl-SI" w:eastAsia="sl-SI"/>
              </w:rPr>
            </w:pPr>
            <w:r>
              <w:t>Klaritromicinas</w:t>
            </w:r>
          </w:p>
        </w:tc>
        <w:tc>
          <w:tcPr>
            <w:tcW w:w="7541" w:type="dxa"/>
            <w:shd w:val="clear" w:color="auto" w:fill="auto"/>
          </w:tcPr>
          <w:p w14:paraId="21921C07" w14:textId="77777777" w:rsidR="00F22FBD" w:rsidRDefault="00D44E4A">
            <w:pPr>
              <w:widowControl w:val="0"/>
              <w:kinsoku w:val="0"/>
              <w:overflowPunct w:val="0"/>
              <w:autoSpaceDE w:val="0"/>
              <w:autoSpaceDN w:val="0"/>
              <w:adjustRightInd w:val="0"/>
              <w:ind w:left="145"/>
              <w:rPr>
                <w:color w:val="000000"/>
                <w:szCs w:val="22"/>
                <w:lang w:val="sl-SI" w:eastAsia="sl-SI"/>
              </w:rPr>
            </w:pPr>
            <w:r>
              <w:t>Sveikų savanorių, kartu su dabigatrano eteksilatu vartojusių klaritromicino po 500 mg 2 kartus per parą, organizme dabigatrano AUC padidėjo maždaug 1,19 karto, C</w:t>
            </w:r>
            <w:r>
              <w:rPr>
                <w:vertAlign w:val="subscript"/>
              </w:rPr>
              <w:t>max</w:t>
            </w:r>
            <w:r>
              <w:t xml:space="preserve"> – apie 1,15 karto</w:t>
            </w:r>
          </w:p>
        </w:tc>
      </w:tr>
      <w:tr w:rsidR="00F22FBD" w14:paraId="1FD686AA" w14:textId="77777777">
        <w:trPr>
          <w:trHeight w:val="4806"/>
        </w:trPr>
        <w:tc>
          <w:tcPr>
            <w:tcW w:w="1745" w:type="dxa"/>
            <w:shd w:val="clear" w:color="auto" w:fill="auto"/>
          </w:tcPr>
          <w:p w14:paraId="18188BAE" w14:textId="77777777" w:rsidR="00F22FBD" w:rsidRDefault="00D44E4A">
            <w:pPr>
              <w:widowControl w:val="0"/>
              <w:kinsoku w:val="0"/>
              <w:overflowPunct w:val="0"/>
              <w:autoSpaceDE w:val="0"/>
              <w:autoSpaceDN w:val="0"/>
              <w:adjustRightInd w:val="0"/>
              <w:spacing w:line="243" w:lineRule="exact"/>
              <w:ind w:left="107"/>
              <w:rPr>
                <w:color w:val="000000"/>
                <w:szCs w:val="22"/>
                <w:lang w:val="sl-SI" w:eastAsia="sl-SI"/>
              </w:rPr>
            </w:pPr>
            <w:r>
              <w:t>Tikagreloras</w:t>
            </w:r>
          </w:p>
        </w:tc>
        <w:tc>
          <w:tcPr>
            <w:tcW w:w="7541" w:type="dxa"/>
            <w:shd w:val="clear" w:color="auto" w:fill="auto"/>
          </w:tcPr>
          <w:p w14:paraId="00B35846" w14:textId="77777777" w:rsidR="00F22FBD" w:rsidRDefault="00D44E4A">
            <w:pPr>
              <w:widowControl w:val="0"/>
              <w:kinsoku w:val="0"/>
              <w:overflowPunct w:val="0"/>
              <w:autoSpaceDE w:val="0"/>
              <w:autoSpaceDN w:val="0"/>
              <w:adjustRightInd w:val="0"/>
              <w:spacing w:before="4" w:line="252" w:lineRule="exact"/>
              <w:ind w:left="145"/>
            </w:pPr>
            <w:r>
              <w:t>Vieną 75 mg dabigatrano eteksilato dozę pavartojus kartu su 180 mg įsotinamąja tikagreloro doze, dabigatrano AUC ir C</w:t>
            </w:r>
            <w:r>
              <w:rPr>
                <w:vertAlign w:val="subscript"/>
              </w:rPr>
              <w:t>max</w:t>
            </w:r>
            <w:r>
              <w:t xml:space="preserve"> padidėjo atitinkamai 1,73 karto ir 1,95 karto. Po kartotinių du kartus per parą vartojamų 90 mg tikagreloro dozių dabigatrano C</w:t>
            </w:r>
            <w:r>
              <w:rPr>
                <w:vertAlign w:val="subscript"/>
              </w:rPr>
              <w:t>max</w:t>
            </w:r>
            <w:r>
              <w:t xml:space="preserve"> ir AUC ekspozicija padidėjo atitinkamai 1,56 karto ir 1,46 karto.</w:t>
            </w:r>
          </w:p>
          <w:p w14:paraId="7B4E2289" w14:textId="77777777" w:rsidR="00F22FBD" w:rsidRDefault="00F22FBD">
            <w:pPr>
              <w:widowControl w:val="0"/>
              <w:kinsoku w:val="0"/>
              <w:overflowPunct w:val="0"/>
              <w:autoSpaceDE w:val="0"/>
              <w:autoSpaceDN w:val="0"/>
              <w:adjustRightInd w:val="0"/>
              <w:spacing w:before="4" w:line="252" w:lineRule="exact"/>
              <w:ind w:left="145"/>
            </w:pPr>
          </w:p>
          <w:p w14:paraId="7F8FC8F2" w14:textId="77777777" w:rsidR="00F22FBD" w:rsidRDefault="00D44E4A">
            <w:pPr>
              <w:widowControl w:val="0"/>
              <w:kinsoku w:val="0"/>
              <w:overflowPunct w:val="0"/>
              <w:autoSpaceDE w:val="0"/>
              <w:autoSpaceDN w:val="0"/>
              <w:adjustRightInd w:val="0"/>
              <w:spacing w:before="4" w:line="252" w:lineRule="exact"/>
              <w:ind w:left="145"/>
            </w:pPr>
            <w:r>
              <w:t>Įsotinamąją 180 mg tikagreloro dozę pavartojus kartu su 110 mg dabigatrano eteksilato doze (tuo metu, kai nusistovėjo pusiausvyrinė koncentracija), dabigatrano AUC</w:t>
            </w:r>
            <w:r>
              <w:rPr>
                <w:vertAlign w:val="subscript"/>
              </w:rPr>
              <w:t xml:space="preserve">τ,ss </w:t>
            </w:r>
            <w:r>
              <w:t>ir C</w:t>
            </w:r>
            <w:r>
              <w:rPr>
                <w:vertAlign w:val="subscript"/>
              </w:rPr>
              <w:t xml:space="preserve">max,ss </w:t>
            </w:r>
            <w:r>
              <w:t>padidėjo atitinkamai 1,49 karto ir 1,65 karto, palyginti su nustatytais pavartojus vien dabigatrano eteksilato. Įsotinamąją 180 mg tikagreloro dozę pavartojus praėjus 2 valandoms po 110 mg dabigatrano eteksilato dozės pavartojimo (tuo metu, kai nusistovėjo pusiausvyrinė koncentracija), dabigatrano AUC</w:t>
            </w:r>
            <w:r>
              <w:rPr>
                <w:vertAlign w:val="subscript"/>
              </w:rPr>
              <w:t>τ,ss</w:t>
            </w:r>
            <w:r>
              <w:t xml:space="preserve"> ir C</w:t>
            </w:r>
            <w:r>
              <w:rPr>
                <w:vertAlign w:val="subscript"/>
              </w:rPr>
              <w:t xml:space="preserve">max,ss </w:t>
            </w:r>
            <w:r>
              <w:t>padidėjimas sumažėjo atitinkamai iki 1,27 karto ir 1,23 karto, palyginti su nustatytais pavartojus vien dabigatrano eteksilato. Taip išskirstytai vartoti šių vaistinių preparatų rekomenduojama, pradedant gydyti įsotinamąja tikagreloro doze.</w:t>
            </w:r>
          </w:p>
          <w:p w14:paraId="4A1CD5F0" w14:textId="77777777" w:rsidR="00F22FBD" w:rsidRDefault="00F22FBD">
            <w:pPr>
              <w:widowControl w:val="0"/>
              <w:kinsoku w:val="0"/>
              <w:overflowPunct w:val="0"/>
              <w:autoSpaceDE w:val="0"/>
              <w:autoSpaceDN w:val="0"/>
              <w:adjustRightInd w:val="0"/>
              <w:spacing w:before="4" w:line="252" w:lineRule="exact"/>
              <w:ind w:left="145"/>
            </w:pPr>
          </w:p>
          <w:p w14:paraId="4F4832ED" w14:textId="77777777" w:rsidR="00F22FBD" w:rsidRDefault="00D44E4A">
            <w:pPr>
              <w:widowControl w:val="0"/>
              <w:kinsoku w:val="0"/>
              <w:overflowPunct w:val="0"/>
              <w:autoSpaceDE w:val="0"/>
              <w:autoSpaceDN w:val="0"/>
              <w:adjustRightInd w:val="0"/>
              <w:spacing w:before="4" w:line="252" w:lineRule="exact"/>
              <w:ind w:left="145"/>
              <w:rPr>
                <w:color w:val="000000"/>
                <w:szCs w:val="22"/>
                <w:lang w:val="sl-SI" w:eastAsia="sl-SI"/>
              </w:rPr>
            </w:pPr>
            <w:r>
              <w:t>Dabigatrano eteksilato 110 mg dozę pavartojus kartu su du kartus per parą vartojama 90 mg tikagreloro palaikomąja doze, dabigatrano koreguoti AUC</w:t>
            </w:r>
            <w:r>
              <w:rPr>
                <w:vertAlign w:val="subscript"/>
              </w:rPr>
              <w:t xml:space="preserve">τ,ss </w:t>
            </w:r>
            <w:r>
              <w:t>ir C</w:t>
            </w:r>
            <w:r>
              <w:rPr>
                <w:vertAlign w:val="subscript"/>
              </w:rPr>
              <w:t xml:space="preserve">max,ss </w:t>
            </w:r>
            <w:r>
              <w:t>padidėjo atitinkamai 1,26 karto ir 1,29 karto, palyginti su nustatytais pavartojus vien dabigatrano eteksilato</w:t>
            </w:r>
          </w:p>
        </w:tc>
      </w:tr>
      <w:tr w:rsidR="00F22FBD" w14:paraId="22500FD8" w14:textId="77777777">
        <w:trPr>
          <w:trHeight w:val="505"/>
        </w:trPr>
        <w:tc>
          <w:tcPr>
            <w:tcW w:w="1745" w:type="dxa"/>
            <w:shd w:val="clear" w:color="auto" w:fill="auto"/>
          </w:tcPr>
          <w:p w14:paraId="03F8F610" w14:textId="77777777" w:rsidR="00F22FBD" w:rsidRDefault="00D44E4A">
            <w:pPr>
              <w:widowControl w:val="0"/>
              <w:kinsoku w:val="0"/>
              <w:overflowPunct w:val="0"/>
              <w:autoSpaceDE w:val="0"/>
              <w:autoSpaceDN w:val="0"/>
              <w:adjustRightInd w:val="0"/>
              <w:spacing w:line="243" w:lineRule="exact"/>
              <w:ind w:left="107"/>
              <w:rPr>
                <w:color w:val="000000"/>
                <w:szCs w:val="22"/>
                <w:lang w:val="sl-SI" w:eastAsia="sl-SI"/>
              </w:rPr>
            </w:pPr>
            <w:r>
              <w:t>Pozakonazolas</w:t>
            </w:r>
          </w:p>
        </w:tc>
        <w:tc>
          <w:tcPr>
            <w:tcW w:w="7541" w:type="dxa"/>
            <w:shd w:val="clear" w:color="auto" w:fill="auto"/>
          </w:tcPr>
          <w:p w14:paraId="0104702D" w14:textId="77777777" w:rsidR="00F22FBD" w:rsidRDefault="00D44E4A">
            <w:pPr>
              <w:widowControl w:val="0"/>
              <w:kinsoku w:val="0"/>
              <w:overflowPunct w:val="0"/>
              <w:autoSpaceDE w:val="0"/>
              <w:autoSpaceDN w:val="0"/>
              <w:adjustRightInd w:val="0"/>
              <w:spacing w:line="243" w:lineRule="exact"/>
              <w:ind w:left="145"/>
              <w:rPr>
                <w:color w:val="000000"/>
                <w:szCs w:val="22"/>
                <w:lang w:val="sl-SI" w:eastAsia="sl-SI"/>
              </w:rPr>
            </w:pPr>
            <w:r>
              <w:t>Pozakonazolas taip pat šiek tiek slopina P-gp, tačiau poveikis klinikiniais tyrimais netirtas. Dabigatrano eteksilatą derinant su pozakonazolu, būtina laikytis atsargumo priemonių.</w:t>
            </w:r>
          </w:p>
        </w:tc>
      </w:tr>
      <w:tr w:rsidR="00F22FBD" w14:paraId="4B41C851" w14:textId="77777777">
        <w:trPr>
          <w:trHeight w:val="733"/>
        </w:trPr>
        <w:tc>
          <w:tcPr>
            <w:tcW w:w="9286" w:type="dxa"/>
            <w:gridSpan w:val="2"/>
            <w:shd w:val="clear" w:color="auto" w:fill="auto"/>
          </w:tcPr>
          <w:p w14:paraId="747C8C5C" w14:textId="77777777" w:rsidR="00F22FBD" w:rsidRDefault="00F22FBD">
            <w:pPr>
              <w:widowControl w:val="0"/>
              <w:kinsoku w:val="0"/>
              <w:overflowPunct w:val="0"/>
              <w:autoSpaceDE w:val="0"/>
              <w:autoSpaceDN w:val="0"/>
              <w:adjustRightInd w:val="0"/>
              <w:spacing w:before="2"/>
              <w:rPr>
                <w:b/>
                <w:bCs/>
                <w:color w:val="000000"/>
                <w:szCs w:val="22"/>
                <w:lang w:val="sl-SI" w:eastAsia="sl-SI"/>
              </w:rPr>
            </w:pPr>
          </w:p>
          <w:p w14:paraId="6921A848" w14:textId="77777777" w:rsidR="00F22FBD" w:rsidRDefault="00D44E4A">
            <w:pPr>
              <w:widowControl w:val="0"/>
              <w:kinsoku w:val="0"/>
              <w:overflowPunct w:val="0"/>
              <w:autoSpaceDE w:val="0"/>
              <w:autoSpaceDN w:val="0"/>
              <w:adjustRightInd w:val="0"/>
              <w:spacing w:before="1"/>
              <w:ind w:left="107"/>
              <w:rPr>
                <w:i/>
                <w:iCs/>
                <w:color w:val="000000"/>
                <w:szCs w:val="22"/>
                <w:u w:val="single"/>
                <w:lang w:val="sl-SI" w:eastAsia="sl-SI"/>
              </w:rPr>
            </w:pPr>
            <w:r>
              <w:rPr>
                <w:i/>
                <w:iCs/>
                <w:u w:val="single"/>
              </w:rPr>
              <w:t>P-glikoproteino induktoriai</w:t>
            </w:r>
          </w:p>
        </w:tc>
      </w:tr>
      <w:tr w:rsidR="00F22FBD" w14:paraId="32B03C3A" w14:textId="77777777">
        <w:trPr>
          <w:trHeight w:val="734"/>
        </w:trPr>
        <w:tc>
          <w:tcPr>
            <w:tcW w:w="9286" w:type="dxa"/>
            <w:gridSpan w:val="2"/>
            <w:shd w:val="clear" w:color="auto" w:fill="auto"/>
          </w:tcPr>
          <w:p w14:paraId="35AEB66D" w14:textId="77777777" w:rsidR="00F22FBD" w:rsidRDefault="00F22FBD">
            <w:pPr>
              <w:widowControl w:val="0"/>
              <w:kinsoku w:val="0"/>
              <w:overflowPunct w:val="0"/>
              <w:autoSpaceDE w:val="0"/>
              <w:autoSpaceDN w:val="0"/>
              <w:adjustRightInd w:val="0"/>
              <w:rPr>
                <w:b/>
                <w:bCs/>
                <w:i/>
                <w:iCs/>
                <w:color w:val="000000"/>
                <w:szCs w:val="22"/>
                <w:lang w:val="sl-SI" w:eastAsia="sl-SI"/>
              </w:rPr>
            </w:pPr>
          </w:p>
          <w:p w14:paraId="0A9935C3" w14:textId="77777777" w:rsidR="00F22FBD" w:rsidRDefault="00D44E4A">
            <w:pPr>
              <w:widowControl w:val="0"/>
              <w:kinsoku w:val="0"/>
              <w:overflowPunct w:val="0"/>
              <w:autoSpaceDE w:val="0"/>
              <w:autoSpaceDN w:val="0"/>
              <w:adjustRightInd w:val="0"/>
              <w:ind w:left="107"/>
              <w:rPr>
                <w:i/>
                <w:iCs/>
                <w:color w:val="000000"/>
                <w:szCs w:val="22"/>
                <w:lang w:val="sl-SI" w:eastAsia="sl-SI"/>
              </w:rPr>
            </w:pPr>
            <w:r>
              <w:rPr>
                <w:i/>
                <w:iCs/>
              </w:rPr>
              <w:t>Reikia vengti vartoti kartu</w:t>
            </w:r>
          </w:p>
        </w:tc>
      </w:tr>
      <w:tr w:rsidR="00F22FBD" w14:paraId="51496760" w14:textId="77777777">
        <w:trPr>
          <w:trHeight w:val="2022"/>
        </w:trPr>
        <w:tc>
          <w:tcPr>
            <w:tcW w:w="1745" w:type="dxa"/>
            <w:shd w:val="clear" w:color="auto" w:fill="auto"/>
          </w:tcPr>
          <w:p w14:paraId="2E03545D" w14:textId="77777777" w:rsidR="00F22FBD" w:rsidRDefault="00D44E4A">
            <w:pPr>
              <w:widowControl w:val="0"/>
              <w:kinsoku w:val="0"/>
              <w:overflowPunct w:val="0"/>
              <w:autoSpaceDE w:val="0"/>
              <w:autoSpaceDN w:val="0"/>
              <w:adjustRightInd w:val="0"/>
              <w:ind w:left="107"/>
              <w:rPr>
                <w:color w:val="000000"/>
                <w:szCs w:val="22"/>
                <w:lang w:val="sl-SI" w:eastAsia="sl-SI"/>
              </w:rPr>
            </w:pPr>
            <w:r>
              <w:t>pvz., rifampicinas, paprastosios jonažolės (</w:t>
            </w:r>
            <w:r>
              <w:rPr>
                <w:i/>
                <w:iCs/>
              </w:rPr>
              <w:t>Hypericum perforatum</w:t>
            </w:r>
            <w:r>
              <w:t>) preparatai, karbamazepinas arba fenitoinas</w:t>
            </w:r>
          </w:p>
        </w:tc>
        <w:tc>
          <w:tcPr>
            <w:tcW w:w="7541" w:type="dxa"/>
            <w:shd w:val="clear" w:color="auto" w:fill="auto"/>
          </w:tcPr>
          <w:p w14:paraId="50C83EB6" w14:textId="77777777" w:rsidR="00F22FBD" w:rsidRDefault="00D44E4A">
            <w:pPr>
              <w:widowControl w:val="0"/>
              <w:kinsoku w:val="0"/>
              <w:overflowPunct w:val="0"/>
              <w:autoSpaceDE w:val="0"/>
              <w:autoSpaceDN w:val="0"/>
              <w:adjustRightInd w:val="0"/>
              <w:ind w:left="107"/>
            </w:pPr>
            <w:r>
              <w:t>Tikėtina, kad skyrimas kartu lemia dabigatrano koncentracijos sumažėjimą.</w:t>
            </w:r>
          </w:p>
          <w:p w14:paraId="2D1ABE89" w14:textId="77777777" w:rsidR="00F22FBD" w:rsidRDefault="00F22FBD">
            <w:pPr>
              <w:widowControl w:val="0"/>
              <w:kinsoku w:val="0"/>
              <w:overflowPunct w:val="0"/>
              <w:autoSpaceDE w:val="0"/>
              <w:autoSpaceDN w:val="0"/>
              <w:adjustRightInd w:val="0"/>
              <w:ind w:left="107"/>
            </w:pPr>
          </w:p>
          <w:p w14:paraId="760C4F41" w14:textId="77777777" w:rsidR="00F22FBD" w:rsidRDefault="00D44E4A">
            <w:pPr>
              <w:widowControl w:val="0"/>
              <w:kinsoku w:val="0"/>
              <w:overflowPunct w:val="0"/>
              <w:autoSpaceDE w:val="0"/>
              <w:autoSpaceDN w:val="0"/>
              <w:adjustRightInd w:val="0"/>
              <w:ind w:left="107"/>
              <w:rPr>
                <w:color w:val="000000"/>
                <w:szCs w:val="22"/>
                <w:lang w:val="sl-SI" w:eastAsia="sl-SI"/>
              </w:rPr>
            </w:pPr>
            <w:r>
              <w:t>Ištirto induktoriaus rifampicino 600 mg dozės, vartojamos kartą per parą 7 paras iš eilės, vartojimas prieš pradedant gydyti dabigatrano eteksilatu, bendro dabigatrano didžiausią koncentraciją kraujo plazmoje ir bendrą ekspoziciją sumažino atitinkamai 65,5 % ir 67 %. Septintą parą po gydymo rifampicinu nutraukimo indukuojamasis poveikis susilpnėjo ir dėl to dabigatrano ekspozicija tapo artima įprastai. Po kitų 7 parų biologinio prieinamumo didėjimo nepastebėta</w:t>
            </w:r>
          </w:p>
        </w:tc>
      </w:tr>
      <w:tr w:rsidR="00F22FBD" w14:paraId="63B9A806" w14:textId="77777777">
        <w:trPr>
          <w:trHeight w:val="734"/>
        </w:trPr>
        <w:tc>
          <w:tcPr>
            <w:tcW w:w="9286" w:type="dxa"/>
            <w:gridSpan w:val="2"/>
            <w:shd w:val="clear" w:color="auto" w:fill="auto"/>
          </w:tcPr>
          <w:p w14:paraId="080FA3F9" w14:textId="77777777" w:rsidR="00F22FBD" w:rsidRDefault="00F22FBD">
            <w:pPr>
              <w:widowControl w:val="0"/>
              <w:kinsoku w:val="0"/>
              <w:overflowPunct w:val="0"/>
              <w:autoSpaceDE w:val="0"/>
              <w:autoSpaceDN w:val="0"/>
              <w:adjustRightInd w:val="0"/>
              <w:rPr>
                <w:b/>
                <w:bCs/>
                <w:color w:val="000000"/>
                <w:szCs w:val="22"/>
                <w:lang w:val="sl-SI" w:eastAsia="sl-SI"/>
              </w:rPr>
            </w:pPr>
          </w:p>
          <w:p w14:paraId="5B122F9E" w14:textId="77777777" w:rsidR="00F22FBD" w:rsidRDefault="00D44E4A">
            <w:pPr>
              <w:widowControl w:val="0"/>
              <w:kinsoku w:val="0"/>
              <w:overflowPunct w:val="0"/>
              <w:autoSpaceDE w:val="0"/>
              <w:autoSpaceDN w:val="0"/>
              <w:adjustRightInd w:val="0"/>
              <w:ind w:left="107"/>
              <w:rPr>
                <w:i/>
                <w:iCs/>
                <w:color w:val="000000"/>
                <w:szCs w:val="22"/>
                <w:u w:val="single"/>
                <w:lang w:val="sl-SI" w:eastAsia="sl-SI"/>
              </w:rPr>
            </w:pPr>
            <w:r>
              <w:rPr>
                <w:i/>
                <w:iCs/>
                <w:u w:val="single"/>
              </w:rPr>
              <w:t>Proteazės inhibitoriai, pvz., ritonaviras</w:t>
            </w:r>
          </w:p>
        </w:tc>
      </w:tr>
      <w:tr w:rsidR="00F22FBD" w14:paraId="246D8C1A" w14:textId="77777777">
        <w:trPr>
          <w:trHeight w:val="731"/>
        </w:trPr>
        <w:tc>
          <w:tcPr>
            <w:tcW w:w="9286" w:type="dxa"/>
            <w:gridSpan w:val="2"/>
            <w:shd w:val="clear" w:color="auto" w:fill="auto"/>
          </w:tcPr>
          <w:p w14:paraId="646FD009" w14:textId="77777777" w:rsidR="00F22FBD" w:rsidRDefault="00F22FBD">
            <w:pPr>
              <w:widowControl w:val="0"/>
              <w:kinsoku w:val="0"/>
              <w:overflowPunct w:val="0"/>
              <w:autoSpaceDE w:val="0"/>
              <w:autoSpaceDN w:val="0"/>
              <w:adjustRightInd w:val="0"/>
              <w:rPr>
                <w:b/>
                <w:bCs/>
                <w:color w:val="000000"/>
                <w:szCs w:val="22"/>
                <w:lang w:val="sl-SI" w:eastAsia="sl-SI"/>
              </w:rPr>
            </w:pPr>
          </w:p>
          <w:p w14:paraId="308CCBA7" w14:textId="77777777" w:rsidR="00F22FBD" w:rsidRDefault="00D44E4A">
            <w:pPr>
              <w:widowControl w:val="0"/>
              <w:kinsoku w:val="0"/>
              <w:overflowPunct w:val="0"/>
              <w:autoSpaceDE w:val="0"/>
              <w:autoSpaceDN w:val="0"/>
              <w:adjustRightInd w:val="0"/>
              <w:ind w:left="107"/>
              <w:rPr>
                <w:i/>
                <w:iCs/>
                <w:color w:val="000000"/>
                <w:szCs w:val="22"/>
                <w:lang w:val="sl-SI" w:eastAsia="sl-SI"/>
              </w:rPr>
            </w:pPr>
            <w:r>
              <w:rPr>
                <w:i/>
                <w:iCs/>
              </w:rPr>
              <w:t>Nerekomenduojama vartoti kartu</w:t>
            </w:r>
          </w:p>
        </w:tc>
      </w:tr>
      <w:tr w:rsidR="00F22FBD" w14:paraId="6ADFC49F" w14:textId="77777777">
        <w:trPr>
          <w:trHeight w:val="1518"/>
        </w:trPr>
        <w:tc>
          <w:tcPr>
            <w:tcW w:w="1745" w:type="dxa"/>
            <w:shd w:val="clear" w:color="auto" w:fill="auto"/>
          </w:tcPr>
          <w:p w14:paraId="19A49165" w14:textId="77777777" w:rsidR="00F22FBD" w:rsidRDefault="00D44E4A">
            <w:pPr>
              <w:widowControl w:val="0"/>
              <w:kinsoku w:val="0"/>
              <w:overflowPunct w:val="0"/>
              <w:autoSpaceDE w:val="0"/>
              <w:autoSpaceDN w:val="0"/>
              <w:adjustRightInd w:val="0"/>
              <w:spacing w:line="252" w:lineRule="exact"/>
              <w:ind w:left="107"/>
              <w:rPr>
                <w:color w:val="000000"/>
                <w:szCs w:val="22"/>
                <w:lang w:val="sl-SI" w:eastAsia="sl-SI"/>
              </w:rPr>
            </w:pPr>
            <w:r>
              <w:lastRenderedPageBreak/>
              <w:t>pvz., ritonaviras ir jo deriniai su kitais proteazės inhibitoriais</w:t>
            </w:r>
          </w:p>
        </w:tc>
        <w:tc>
          <w:tcPr>
            <w:tcW w:w="7541" w:type="dxa"/>
            <w:shd w:val="clear" w:color="auto" w:fill="auto"/>
          </w:tcPr>
          <w:p w14:paraId="596AA243" w14:textId="77777777" w:rsidR="00F22FBD" w:rsidRDefault="00D44E4A">
            <w:pPr>
              <w:widowControl w:val="0"/>
              <w:kinsoku w:val="0"/>
              <w:overflowPunct w:val="0"/>
              <w:autoSpaceDE w:val="0"/>
              <w:autoSpaceDN w:val="0"/>
              <w:adjustRightInd w:val="0"/>
              <w:spacing w:line="242" w:lineRule="auto"/>
              <w:ind w:left="107"/>
              <w:rPr>
                <w:color w:val="000000"/>
                <w:szCs w:val="22"/>
                <w:lang w:val="sl-SI" w:eastAsia="sl-SI"/>
              </w:rPr>
            </w:pPr>
            <w:r>
              <w:t>Jie veikia P-glikoproteiną (kaip inhibitoriai arba induktoriai). Jų sąveika nėra tirta, todėl gydyti jais ir kartu dabigatrano eteksilatu nerekomenduojama.</w:t>
            </w:r>
          </w:p>
        </w:tc>
      </w:tr>
      <w:tr w:rsidR="00F22FBD" w14:paraId="3CACD3F0" w14:textId="77777777">
        <w:trPr>
          <w:trHeight w:val="731"/>
        </w:trPr>
        <w:tc>
          <w:tcPr>
            <w:tcW w:w="9286" w:type="dxa"/>
            <w:gridSpan w:val="2"/>
            <w:shd w:val="clear" w:color="auto" w:fill="auto"/>
          </w:tcPr>
          <w:p w14:paraId="2586F143" w14:textId="77777777" w:rsidR="00F22FBD" w:rsidRDefault="00F22FBD">
            <w:pPr>
              <w:widowControl w:val="0"/>
              <w:kinsoku w:val="0"/>
              <w:overflowPunct w:val="0"/>
              <w:autoSpaceDE w:val="0"/>
              <w:autoSpaceDN w:val="0"/>
              <w:adjustRightInd w:val="0"/>
              <w:rPr>
                <w:b/>
                <w:bCs/>
                <w:color w:val="000000"/>
                <w:szCs w:val="22"/>
                <w:lang w:val="sl-SI" w:eastAsia="sl-SI"/>
              </w:rPr>
            </w:pPr>
          </w:p>
          <w:p w14:paraId="44E26797" w14:textId="77777777" w:rsidR="00F22FBD" w:rsidRDefault="00D44E4A">
            <w:pPr>
              <w:widowControl w:val="0"/>
              <w:kinsoku w:val="0"/>
              <w:overflowPunct w:val="0"/>
              <w:autoSpaceDE w:val="0"/>
              <w:autoSpaceDN w:val="0"/>
              <w:adjustRightInd w:val="0"/>
              <w:ind w:left="107"/>
              <w:rPr>
                <w:i/>
                <w:iCs/>
                <w:color w:val="000000"/>
                <w:szCs w:val="22"/>
                <w:u w:val="single"/>
                <w:lang w:val="sl-SI" w:eastAsia="sl-SI"/>
              </w:rPr>
            </w:pPr>
            <w:r>
              <w:rPr>
                <w:i/>
                <w:iCs/>
                <w:u w:val="single"/>
              </w:rPr>
              <w:t>P-glikoproteino substratas</w:t>
            </w:r>
          </w:p>
        </w:tc>
      </w:tr>
      <w:tr w:rsidR="00F22FBD" w14:paraId="35108806" w14:textId="77777777">
        <w:trPr>
          <w:trHeight w:val="760"/>
        </w:trPr>
        <w:tc>
          <w:tcPr>
            <w:tcW w:w="1745" w:type="dxa"/>
            <w:shd w:val="clear" w:color="auto" w:fill="auto"/>
          </w:tcPr>
          <w:p w14:paraId="4D4B6DFC" w14:textId="77777777" w:rsidR="00F22FBD" w:rsidRDefault="00D44E4A">
            <w:pPr>
              <w:widowControl w:val="0"/>
              <w:kinsoku w:val="0"/>
              <w:overflowPunct w:val="0"/>
              <w:autoSpaceDE w:val="0"/>
              <w:autoSpaceDN w:val="0"/>
              <w:adjustRightInd w:val="0"/>
              <w:spacing w:line="246" w:lineRule="exact"/>
              <w:ind w:left="107"/>
              <w:rPr>
                <w:color w:val="000000"/>
                <w:szCs w:val="22"/>
                <w:lang w:val="sl-SI" w:eastAsia="sl-SI"/>
              </w:rPr>
            </w:pPr>
            <w:r>
              <w:t>Digoksinas</w:t>
            </w:r>
          </w:p>
        </w:tc>
        <w:tc>
          <w:tcPr>
            <w:tcW w:w="7541" w:type="dxa"/>
            <w:shd w:val="clear" w:color="auto" w:fill="auto"/>
          </w:tcPr>
          <w:p w14:paraId="61C7478B" w14:textId="77777777" w:rsidR="00F22FBD" w:rsidRDefault="00D44E4A">
            <w:pPr>
              <w:widowControl w:val="0"/>
              <w:kinsoku w:val="0"/>
              <w:overflowPunct w:val="0"/>
              <w:autoSpaceDE w:val="0"/>
              <w:autoSpaceDN w:val="0"/>
              <w:adjustRightInd w:val="0"/>
              <w:ind w:left="107"/>
              <w:rPr>
                <w:color w:val="000000"/>
                <w:szCs w:val="22"/>
                <w:lang w:val="sl-SI" w:eastAsia="sl-SI"/>
              </w:rPr>
            </w:pPr>
            <w:r>
              <w:t>Tyrimo metu 24 sveikų savanorių, dabigatrano eteksilato vartojusių kartu su digoksinu, organizme digoksino ekspozicijos pokyčio ir kliniškai reikšmingo dabigatrano ekspozicijos pokyčio nepastebėta.</w:t>
            </w:r>
          </w:p>
        </w:tc>
      </w:tr>
    </w:tbl>
    <w:p w14:paraId="563F1091" w14:textId="77777777" w:rsidR="00F22FBD" w:rsidRDefault="00F22FBD"/>
    <w:p w14:paraId="4C6B61F8" w14:textId="77777777" w:rsidR="00F22FBD" w:rsidRDefault="00D44E4A">
      <w:pPr>
        <w:rPr>
          <w:u w:val="single"/>
        </w:rPr>
      </w:pPr>
      <w:r>
        <w:rPr>
          <w:u w:val="single"/>
        </w:rPr>
        <w:t>Antikoaguliantai ir trombocitų agregaciją mažinantys vaistiniai preparatai</w:t>
      </w:r>
    </w:p>
    <w:p w14:paraId="4E9A3205" w14:textId="77777777" w:rsidR="00F22FBD" w:rsidRDefault="00F22FBD"/>
    <w:p w14:paraId="0C7DDC3C" w14:textId="77777777" w:rsidR="00F22FBD" w:rsidRDefault="00D44E4A">
      <w:r>
        <w:t>Gydymo kartu su vaistiniais preparatais, kurie derinant su dabigatrano eteksilatu gali didinti kraujavimo riziką, t. y. antikoaguliantais, tokiais kaip nefrakcionuotas heparinas (NFH), mažos molekulinės masės heparinai (MMMH) ir heparino dariniai (fondaparinuksas, dezirudinas), tromboliziniais vaistiniais preparatais, vitamino K antagonistais, rivaroksabanu ar kitokiais geriamaisiais antikoaguliantais (žr. 4.3 skyrių), trombocitų agregaciją mažinančiais vaistiniais preparatais, tokiais kaip GPIIb/IIIa receptorių blokatoriai, tiklopidinas, prazugrelis, tikagreloras, dekstranas ir sulfinpirazonas (žr. 4.4 skyrių), patirties nėra arba ji yra ribota.</w:t>
      </w:r>
    </w:p>
    <w:p w14:paraId="5376AB49" w14:textId="77777777" w:rsidR="00F22FBD" w:rsidRDefault="00F22FBD"/>
    <w:p w14:paraId="0A95DFEC" w14:textId="77777777" w:rsidR="00F22FBD" w:rsidRDefault="00D44E4A">
      <w:r>
        <w:t>NFH dozę, būtiną centrinės venos arba arterijos atviram kateteriui prižiūrėti arba atliekant prieširdžių virpėjimo kateterinę abliaciją, vartoti galima (žr. 4.3 skyrių).</w:t>
      </w:r>
    </w:p>
    <w:p w14:paraId="32BC1064" w14:textId="77777777" w:rsidR="00F22FBD" w:rsidRDefault="00F22FBD"/>
    <w:p w14:paraId="73CD93E2" w14:textId="77777777" w:rsidR="00F22FBD" w:rsidRDefault="00D44E4A">
      <w:pPr>
        <w:rPr>
          <w:b/>
          <w:bCs/>
        </w:rPr>
      </w:pPr>
      <w:r>
        <w:rPr>
          <w:b/>
          <w:bCs/>
        </w:rPr>
        <w:t>8 lentelė. Sąveika su antikoaguliantais ir trombocitų agregaciją mažinančiais vaistiniais preparatais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7"/>
        <w:gridCol w:w="8339"/>
      </w:tblGrid>
      <w:tr w:rsidR="00F22FBD" w14:paraId="17BD60B6" w14:textId="77777777">
        <w:trPr>
          <w:trHeight w:val="1012"/>
        </w:trPr>
        <w:tc>
          <w:tcPr>
            <w:tcW w:w="1267" w:type="dxa"/>
            <w:shd w:val="clear" w:color="auto" w:fill="auto"/>
          </w:tcPr>
          <w:p w14:paraId="30AF30DA" w14:textId="77777777" w:rsidR="00F22FBD" w:rsidRDefault="00D44E4A">
            <w:pPr>
              <w:widowControl w:val="0"/>
              <w:kinsoku w:val="0"/>
              <w:overflowPunct w:val="0"/>
              <w:autoSpaceDE w:val="0"/>
              <w:autoSpaceDN w:val="0"/>
              <w:adjustRightInd w:val="0"/>
              <w:spacing w:line="247" w:lineRule="exact"/>
              <w:ind w:left="107"/>
              <w:rPr>
                <w:color w:val="000000"/>
                <w:szCs w:val="22"/>
                <w:lang w:val="sl-SI" w:eastAsia="sl-SI"/>
              </w:rPr>
            </w:pPr>
            <w:r>
              <w:t>NVPNU</w:t>
            </w:r>
          </w:p>
        </w:tc>
        <w:tc>
          <w:tcPr>
            <w:tcW w:w="8339" w:type="dxa"/>
            <w:shd w:val="clear" w:color="auto" w:fill="auto"/>
          </w:tcPr>
          <w:p w14:paraId="4BF1D677" w14:textId="77777777" w:rsidR="00F22FBD" w:rsidRDefault="00D44E4A">
            <w:pPr>
              <w:widowControl w:val="0"/>
              <w:kinsoku w:val="0"/>
              <w:overflowPunct w:val="0"/>
              <w:autoSpaceDE w:val="0"/>
              <w:autoSpaceDN w:val="0"/>
              <w:adjustRightInd w:val="0"/>
              <w:ind w:left="108"/>
              <w:rPr>
                <w:color w:val="000000"/>
                <w:szCs w:val="22"/>
                <w:lang w:val="sl-SI" w:eastAsia="sl-SI"/>
              </w:rPr>
            </w:pPr>
            <w:r>
              <w:t>Įrodyta, kad su dabigatrano eteksilatu derinamas trumpalaikis NVPNU vartojimas analgezijai su kraujavimo rizikos padidėjimu nėra susijęs. III fazės klinikiniame tyrime (RE-LY), kuriuo dabigatrano poveikis insulto profilaktikai lygintas su varfarinu tiriant pacientus, kuriems pasireiškia prieširdžių virpėjimas, nuolat vartojant NVPNU kraujavimo rizika padidėjo maždaug 50 % tiek gydant dabigatrano eteksilatu, tiek varfarinu.</w:t>
            </w:r>
          </w:p>
        </w:tc>
      </w:tr>
      <w:tr w:rsidR="00F22FBD" w14:paraId="67BCBB7E" w14:textId="77777777">
        <w:trPr>
          <w:trHeight w:val="1738"/>
        </w:trPr>
        <w:tc>
          <w:tcPr>
            <w:tcW w:w="1267" w:type="dxa"/>
            <w:shd w:val="clear" w:color="auto" w:fill="auto"/>
          </w:tcPr>
          <w:p w14:paraId="5733D28C" w14:textId="77777777" w:rsidR="00F22FBD" w:rsidRDefault="00D44E4A">
            <w:pPr>
              <w:widowControl w:val="0"/>
              <w:kinsoku w:val="0"/>
              <w:overflowPunct w:val="0"/>
              <w:autoSpaceDE w:val="0"/>
              <w:autoSpaceDN w:val="0"/>
              <w:adjustRightInd w:val="0"/>
              <w:spacing w:line="247" w:lineRule="exact"/>
              <w:ind w:left="107"/>
              <w:rPr>
                <w:color w:val="000000"/>
                <w:szCs w:val="22"/>
                <w:lang w:val="sl-SI" w:eastAsia="sl-SI"/>
              </w:rPr>
            </w:pPr>
            <w:r>
              <w:t>Klopidogrelis</w:t>
            </w:r>
          </w:p>
        </w:tc>
        <w:tc>
          <w:tcPr>
            <w:tcW w:w="8339" w:type="dxa"/>
            <w:shd w:val="clear" w:color="auto" w:fill="auto"/>
          </w:tcPr>
          <w:p w14:paraId="7A213A0B" w14:textId="77777777" w:rsidR="00F22FBD" w:rsidRDefault="00D44E4A">
            <w:pPr>
              <w:widowControl w:val="0"/>
              <w:kinsoku w:val="0"/>
              <w:overflowPunct w:val="0"/>
              <w:autoSpaceDE w:val="0"/>
              <w:autoSpaceDN w:val="0"/>
              <w:adjustRightInd w:val="0"/>
              <w:ind w:left="108"/>
              <w:rPr>
                <w:color w:val="000000"/>
                <w:szCs w:val="22"/>
                <w:lang w:val="sl-SI" w:eastAsia="sl-SI"/>
              </w:rPr>
            </w:pPr>
            <w:r>
              <w:t>Tyrimuose su jaunais sveikais savanoriais vyrais, dabigatrano eteksilato vartojusiais kartu su klopidogreliu, kraujavimo iš kapiliarų laiko pailgėjimas nebuvo didesnis už pailgėjimą klopidogrelio monoterapijos metu. Be to, dabigatrano AUC</w:t>
            </w:r>
            <w:r>
              <w:rPr>
                <w:vertAlign w:val="subscript"/>
              </w:rPr>
              <w:t xml:space="preserve">τ,ss </w:t>
            </w:r>
            <w:r>
              <w:t>ir C</w:t>
            </w:r>
            <w:r>
              <w:rPr>
                <w:vertAlign w:val="subscript"/>
              </w:rPr>
              <w:t>max,ss</w:t>
            </w:r>
            <w:r>
              <w:t xml:space="preserve"> bei kraujo krešėjimo slopinimo, kaip dabigatrano poveikio, rodikliai arba trombocitų agregacijos slopinimo, kaip klopidogrelio poveikio, rodiklis kompleksinio gydymo, palyginti su atitinkama monoterapija, metu iš esmės liko nepakitęs. Pavartojus 300 mg arba 600 mg įsotinamąją klopidogrelio dozę, dabigatrano AUC</w:t>
            </w:r>
            <w:r>
              <w:rPr>
                <w:vertAlign w:val="subscript"/>
              </w:rPr>
              <w:t xml:space="preserve">τ,ss </w:t>
            </w:r>
            <w:r>
              <w:t>ir C</w:t>
            </w:r>
            <w:r>
              <w:rPr>
                <w:vertAlign w:val="subscript"/>
              </w:rPr>
              <w:t xml:space="preserve">max,ss </w:t>
            </w:r>
            <w:r>
              <w:t>padidėjo maždaug 30 - 40 % (žr. 4.4 skyrių).</w:t>
            </w:r>
          </w:p>
        </w:tc>
      </w:tr>
      <w:tr w:rsidR="00F22FBD" w14:paraId="0231DF6A" w14:textId="77777777">
        <w:trPr>
          <w:trHeight w:val="758"/>
        </w:trPr>
        <w:tc>
          <w:tcPr>
            <w:tcW w:w="1267" w:type="dxa"/>
            <w:shd w:val="clear" w:color="auto" w:fill="auto"/>
          </w:tcPr>
          <w:p w14:paraId="4E71C895" w14:textId="77777777" w:rsidR="00F22FBD" w:rsidRDefault="00D44E4A">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ASR</w:t>
            </w:r>
          </w:p>
        </w:tc>
        <w:tc>
          <w:tcPr>
            <w:tcW w:w="8339" w:type="dxa"/>
            <w:shd w:val="clear" w:color="auto" w:fill="auto"/>
          </w:tcPr>
          <w:p w14:paraId="7E28E6F9" w14:textId="77777777" w:rsidR="00F22FBD" w:rsidRDefault="00D44E4A">
            <w:pPr>
              <w:widowControl w:val="0"/>
              <w:kinsoku w:val="0"/>
              <w:overflowPunct w:val="0"/>
              <w:autoSpaceDE w:val="0"/>
              <w:autoSpaceDN w:val="0"/>
              <w:adjustRightInd w:val="0"/>
              <w:ind w:left="108"/>
              <w:rPr>
                <w:color w:val="000000"/>
                <w:szCs w:val="22"/>
                <w:lang w:val="sl-SI" w:eastAsia="sl-SI"/>
              </w:rPr>
            </w:pPr>
            <w:r>
              <w:t>Du kartus per parą vartojamą 150 mg dabigatrano eteksilato dozę derinant su 81 mg ASR doze, bet kokio kraujavimo rizika gali padidėti 12-18 %, derinant su 325 mg ASR doze – 24 % (žr. 4.4 skyrių).</w:t>
            </w:r>
          </w:p>
        </w:tc>
      </w:tr>
      <w:tr w:rsidR="00F22FBD" w14:paraId="57A73FD2" w14:textId="77777777">
        <w:trPr>
          <w:trHeight w:val="2529"/>
        </w:trPr>
        <w:tc>
          <w:tcPr>
            <w:tcW w:w="1267" w:type="dxa"/>
            <w:shd w:val="clear" w:color="auto" w:fill="auto"/>
          </w:tcPr>
          <w:p w14:paraId="4E5489D9" w14:textId="77777777" w:rsidR="00F22FBD" w:rsidRDefault="00D44E4A">
            <w:pPr>
              <w:widowControl w:val="0"/>
              <w:kinsoku w:val="0"/>
              <w:overflowPunct w:val="0"/>
              <w:autoSpaceDE w:val="0"/>
              <w:autoSpaceDN w:val="0"/>
              <w:adjustRightInd w:val="0"/>
              <w:spacing w:line="247" w:lineRule="exact"/>
              <w:ind w:left="107"/>
              <w:rPr>
                <w:color w:val="000000"/>
                <w:szCs w:val="22"/>
                <w:lang w:val="sl-SI" w:eastAsia="sl-SI"/>
              </w:rPr>
            </w:pPr>
            <w:r>
              <w:t>MMMH</w:t>
            </w:r>
          </w:p>
        </w:tc>
        <w:tc>
          <w:tcPr>
            <w:tcW w:w="8339" w:type="dxa"/>
            <w:shd w:val="clear" w:color="auto" w:fill="auto"/>
          </w:tcPr>
          <w:p w14:paraId="1C392759" w14:textId="77777777" w:rsidR="00F22FBD" w:rsidRDefault="00D44E4A">
            <w:pPr>
              <w:widowControl w:val="0"/>
              <w:kinsoku w:val="0"/>
              <w:overflowPunct w:val="0"/>
              <w:autoSpaceDE w:val="0"/>
              <w:autoSpaceDN w:val="0"/>
              <w:adjustRightInd w:val="0"/>
              <w:spacing w:line="242" w:lineRule="auto"/>
              <w:ind w:left="108"/>
              <w:rPr>
                <w:color w:val="000000"/>
                <w:szCs w:val="22"/>
                <w:lang w:val="sl-SI" w:eastAsia="sl-SI"/>
              </w:rPr>
            </w:pPr>
            <w:r>
              <w:t>Gydymas MMMH, pvz., enoksaparinu, ir kartu dabigatrano eteksilatu, specifiškai netirtas. Trijų parų gydymą kartą per parą po oda leidžiama 40 mg enoksaparino doze pakeitus dabigatranu, jo ekspozicija, praėjus 24 valandoms po paskutinės enoksaparino dozės suleidimo, buvo šiek tiek mažesnė negu vien po dabigatrano eteksilato (vienos 220 mg dozės) pavartojimo. Dabigatrano eteksilato vartojant po gydymo enoksaparinu, anti-FXa/FIIa aktyvumas buvo didesnis, negu po gydymo vien dabigatrano eteksilatu. Manoma, kad minėto aktyvumo padidėjimas priklauso nuo išlikusio enoksaparino sukelto poveikio ir jis laikomas kliniškai nereikšmingu. Kiti nuo dabigatrano priklausomi antikoaguliacinio poveikio parametrai dėl premedikacijos enoksaparinu reikšmingai nekito.</w:t>
            </w:r>
          </w:p>
        </w:tc>
      </w:tr>
    </w:tbl>
    <w:p w14:paraId="464847DC" w14:textId="77777777" w:rsidR="00F22FBD" w:rsidRDefault="00F22FBD"/>
    <w:p w14:paraId="5DF9A454" w14:textId="77777777" w:rsidR="00F22FBD" w:rsidRDefault="00D44E4A">
      <w:pPr>
        <w:rPr>
          <w:u w:val="single"/>
        </w:rPr>
      </w:pPr>
      <w:r>
        <w:rPr>
          <w:u w:val="single"/>
        </w:rPr>
        <w:t>Kita sąveika</w:t>
      </w:r>
    </w:p>
    <w:p w14:paraId="4D220973" w14:textId="77777777" w:rsidR="00F22FBD" w:rsidRDefault="00F22FBD"/>
    <w:p w14:paraId="2DD15FF0" w14:textId="77777777" w:rsidR="00F22FBD" w:rsidRDefault="00D44E4A">
      <w:pPr>
        <w:rPr>
          <w:b/>
          <w:bCs/>
        </w:rPr>
      </w:pPr>
      <w:r>
        <w:rPr>
          <w:b/>
          <w:bCs/>
        </w:rPr>
        <w:lastRenderedPageBreak/>
        <w:t>9 lentelė. Kita sąveika</w:t>
      </w:r>
    </w:p>
    <w:tbl>
      <w:tblPr>
        <w:tblW w:w="9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8"/>
        <w:gridCol w:w="7738"/>
      </w:tblGrid>
      <w:tr w:rsidR="00F22FBD" w14:paraId="4C73AF15" w14:textId="77777777">
        <w:trPr>
          <w:trHeight w:val="986"/>
        </w:trPr>
        <w:tc>
          <w:tcPr>
            <w:tcW w:w="9286" w:type="dxa"/>
            <w:gridSpan w:val="2"/>
            <w:shd w:val="clear" w:color="auto" w:fill="auto"/>
          </w:tcPr>
          <w:p w14:paraId="545A47E3" w14:textId="77777777" w:rsidR="00F22FBD" w:rsidRDefault="00F22FBD">
            <w:pPr>
              <w:widowControl w:val="0"/>
              <w:kinsoku w:val="0"/>
              <w:overflowPunct w:val="0"/>
              <w:autoSpaceDE w:val="0"/>
              <w:autoSpaceDN w:val="0"/>
              <w:adjustRightInd w:val="0"/>
              <w:spacing w:before="6"/>
              <w:rPr>
                <w:b/>
                <w:bCs/>
                <w:color w:val="000000"/>
                <w:szCs w:val="22"/>
                <w:lang w:val="sl-SI" w:eastAsia="sl-SI"/>
              </w:rPr>
            </w:pPr>
          </w:p>
          <w:p w14:paraId="2684B72B" w14:textId="77777777" w:rsidR="00F22FBD" w:rsidRDefault="00D44E4A">
            <w:pPr>
              <w:widowControl w:val="0"/>
              <w:kinsoku w:val="0"/>
              <w:overflowPunct w:val="0"/>
              <w:autoSpaceDE w:val="0"/>
              <w:autoSpaceDN w:val="0"/>
              <w:adjustRightInd w:val="0"/>
              <w:ind w:left="107"/>
              <w:rPr>
                <w:i/>
                <w:iCs/>
                <w:color w:val="000000"/>
                <w:szCs w:val="22"/>
                <w:u w:val="single"/>
                <w:lang w:val="sl-SI" w:eastAsia="sl-SI"/>
              </w:rPr>
            </w:pPr>
            <w:r>
              <w:rPr>
                <w:i/>
                <w:iCs/>
                <w:u w:val="single"/>
              </w:rPr>
              <w:t>Selektyvūs serotonino reabsorbcijos inhibitoriai (SSRI) arba selektyvūs serotonino ir norepinefrino reabsorbcijos inhibitoriai (SNRI)</w:t>
            </w:r>
          </w:p>
        </w:tc>
      </w:tr>
      <w:tr w:rsidR="00F22FBD" w14:paraId="5DBC8CA4" w14:textId="77777777">
        <w:trPr>
          <w:trHeight w:val="760"/>
        </w:trPr>
        <w:tc>
          <w:tcPr>
            <w:tcW w:w="1548" w:type="dxa"/>
            <w:shd w:val="clear" w:color="auto" w:fill="auto"/>
          </w:tcPr>
          <w:p w14:paraId="0D1096E4" w14:textId="77777777" w:rsidR="00F22FBD" w:rsidRDefault="00D44E4A">
            <w:pPr>
              <w:widowControl w:val="0"/>
              <w:kinsoku w:val="0"/>
              <w:overflowPunct w:val="0"/>
              <w:autoSpaceDE w:val="0"/>
              <w:autoSpaceDN w:val="0"/>
              <w:adjustRightInd w:val="0"/>
              <w:spacing w:line="249" w:lineRule="exact"/>
              <w:ind w:left="107"/>
              <w:rPr>
                <w:color w:val="000000"/>
                <w:szCs w:val="22"/>
                <w:lang w:val="sl-SI" w:eastAsia="sl-SI"/>
              </w:rPr>
            </w:pPr>
            <w:r>
              <w:rPr>
                <w:color w:val="000000"/>
                <w:szCs w:val="22"/>
                <w:lang w:val="sl-SI" w:eastAsia="sl-SI"/>
              </w:rPr>
              <w:t>SSRIs, SNRIs</w:t>
            </w:r>
          </w:p>
        </w:tc>
        <w:tc>
          <w:tcPr>
            <w:tcW w:w="7738" w:type="dxa"/>
            <w:shd w:val="clear" w:color="auto" w:fill="auto"/>
          </w:tcPr>
          <w:p w14:paraId="50796FA2" w14:textId="77777777" w:rsidR="00F22FBD" w:rsidRDefault="00D44E4A">
            <w:pPr>
              <w:widowControl w:val="0"/>
              <w:kinsoku w:val="0"/>
              <w:overflowPunct w:val="0"/>
              <w:autoSpaceDE w:val="0"/>
              <w:autoSpaceDN w:val="0"/>
              <w:adjustRightInd w:val="0"/>
              <w:spacing w:line="252" w:lineRule="exact"/>
              <w:ind w:left="107"/>
              <w:rPr>
                <w:color w:val="000000"/>
                <w:szCs w:val="22"/>
                <w:lang w:val="sl-SI" w:eastAsia="sl-SI"/>
              </w:rPr>
            </w:pPr>
            <w:r>
              <w:t>III fazės klinikinio tyrimo metu SSRI ir SNRI visų gydomų grupių pacientams didino kraujavimo riziką, lyginant dabigatraną su varfarinu, vartojamu prieširdžių virpėjimu sergančių pacientų insulto profilaktikai (RE-LY).</w:t>
            </w:r>
          </w:p>
        </w:tc>
      </w:tr>
      <w:tr w:rsidR="00F22FBD" w14:paraId="56651994" w14:textId="77777777">
        <w:trPr>
          <w:trHeight w:val="731"/>
        </w:trPr>
        <w:tc>
          <w:tcPr>
            <w:tcW w:w="9286" w:type="dxa"/>
            <w:gridSpan w:val="2"/>
            <w:shd w:val="clear" w:color="auto" w:fill="auto"/>
          </w:tcPr>
          <w:p w14:paraId="256C53E9" w14:textId="77777777" w:rsidR="00F22FBD" w:rsidRDefault="00F22FBD">
            <w:pPr>
              <w:widowControl w:val="0"/>
              <w:kinsoku w:val="0"/>
              <w:overflowPunct w:val="0"/>
              <w:autoSpaceDE w:val="0"/>
              <w:autoSpaceDN w:val="0"/>
              <w:adjustRightInd w:val="0"/>
              <w:spacing w:before="3"/>
              <w:rPr>
                <w:b/>
                <w:bCs/>
                <w:color w:val="000000"/>
                <w:szCs w:val="22"/>
                <w:lang w:val="sl-SI" w:eastAsia="sl-SI"/>
              </w:rPr>
            </w:pPr>
          </w:p>
          <w:p w14:paraId="47DBCD70" w14:textId="77777777" w:rsidR="00F22FBD" w:rsidRDefault="00D44E4A">
            <w:pPr>
              <w:widowControl w:val="0"/>
              <w:kinsoku w:val="0"/>
              <w:overflowPunct w:val="0"/>
              <w:autoSpaceDE w:val="0"/>
              <w:autoSpaceDN w:val="0"/>
              <w:adjustRightInd w:val="0"/>
              <w:ind w:left="107"/>
              <w:rPr>
                <w:i/>
                <w:iCs/>
                <w:color w:val="000000"/>
                <w:szCs w:val="22"/>
                <w:u w:val="single"/>
                <w:lang w:val="sl-SI" w:eastAsia="sl-SI"/>
              </w:rPr>
            </w:pPr>
            <w:r>
              <w:rPr>
                <w:i/>
                <w:iCs/>
                <w:u w:val="single"/>
              </w:rPr>
              <w:t>Medžiagos, veikiančios skrandžio pH</w:t>
            </w:r>
          </w:p>
        </w:tc>
      </w:tr>
      <w:tr w:rsidR="00F22FBD" w14:paraId="322D180B" w14:textId="77777777">
        <w:trPr>
          <w:trHeight w:val="1012"/>
        </w:trPr>
        <w:tc>
          <w:tcPr>
            <w:tcW w:w="1548" w:type="dxa"/>
            <w:shd w:val="clear" w:color="auto" w:fill="auto"/>
          </w:tcPr>
          <w:p w14:paraId="7F931F13" w14:textId="77777777" w:rsidR="00F22FBD" w:rsidRDefault="00D44E4A">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Pantoprazolas</w:t>
            </w:r>
          </w:p>
        </w:tc>
        <w:tc>
          <w:tcPr>
            <w:tcW w:w="7738" w:type="dxa"/>
            <w:shd w:val="clear" w:color="auto" w:fill="auto"/>
          </w:tcPr>
          <w:p w14:paraId="4A1C13B6" w14:textId="77777777" w:rsidR="00F22FBD" w:rsidRDefault="00D44E4A">
            <w:pPr>
              <w:widowControl w:val="0"/>
              <w:kinsoku w:val="0"/>
              <w:overflowPunct w:val="0"/>
              <w:autoSpaceDE w:val="0"/>
              <w:autoSpaceDN w:val="0"/>
              <w:adjustRightInd w:val="0"/>
              <w:ind w:left="107" w:right="-286"/>
              <w:rPr>
                <w:color w:val="000000"/>
                <w:szCs w:val="22"/>
                <w:lang w:val="sl-SI" w:eastAsia="sl-SI"/>
              </w:rPr>
            </w:pPr>
            <w:r>
              <w:t>Dabigatraną vartojant kartu su pantoprazolu, dabigatrano AUC sumažėjo maždaug 30 %. Klinikinių tyrimų metu kartu su dabigatranu buvo vartojama pantoprazolo ar kitų protonų siurblio inhibitorių (PSI) ir nepastebėta, kad jie mažintų dabigatrano veiksmingumą</w:t>
            </w:r>
          </w:p>
        </w:tc>
      </w:tr>
      <w:tr w:rsidR="00F22FBD" w14:paraId="2664349E" w14:textId="77777777">
        <w:trPr>
          <w:trHeight w:val="506"/>
        </w:trPr>
        <w:tc>
          <w:tcPr>
            <w:tcW w:w="1548" w:type="dxa"/>
            <w:shd w:val="clear" w:color="auto" w:fill="auto"/>
          </w:tcPr>
          <w:p w14:paraId="07001931" w14:textId="77777777" w:rsidR="00F22FBD" w:rsidRDefault="00D44E4A">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Ranitidine</w:t>
            </w:r>
          </w:p>
        </w:tc>
        <w:tc>
          <w:tcPr>
            <w:tcW w:w="7738" w:type="dxa"/>
            <w:shd w:val="clear" w:color="auto" w:fill="auto"/>
          </w:tcPr>
          <w:p w14:paraId="29D3334F" w14:textId="77777777" w:rsidR="00F22FBD" w:rsidRDefault="00D44E4A">
            <w:pPr>
              <w:widowControl w:val="0"/>
              <w:kinsoku w:val="0"/>
              <w:overflowPunct w:val="0"/>
              <w:autoSpaceDE w:val="0"/>
              <w:autoSpaceDN w:val="0"/>
              <w:adjustRightInd w:val="0"/>
              <w:spacing w:line="247" w:lineRule="exact"/>
              <w:ind w:left="107"/>
              <w:rPr>
                <w:color w:val="000000"/>
                <w:szCs w:val="22"/>
                <w:lang w:val="sl-SI" w:eastAsia="sl-SI"/>
              </w:rPr>
            </w:pPr>
            <w:r>
              <w:t>Kartu su dabigatrano eteksilatu vartojamas ranitidinas klinikai reikšmingo poveikio dabigatrano absorbcijos dydžiui nedarė.</w:t>
            </w:r>
          </w:p>
        </w:tc>
      </w:tr>
    </w:tbl>
    <w:p w14:paraId="6D435FD9" w14:textId="77777777" w:rsidR="00F22FBD" w:rsidRDefault="00F22FBD"/>
    <w:p w14:paraId="4CC0E87D" w14:textId="77777777" w:rsidR="00F22FBD" w:rsidRDefault="00D44E4A">
      <w:pPr>
        <w:rPr>
          <w:u w:val="single"/>
        </w:rPr>
      </w:pPr>
      <w:r>
        <w:rPr>
          <w:u w:val="single"/>
        </w:rPr>
        <w:t>Sąveika, priklausoma nuo dabigatrano eteksilato ir dabigatrano metabolizmo</w:t>
      </w:r>
    </w:p>
    <w:p w14:paraId="1FA3E98A" w14:textId="77777777" w:rsidR="00F22FBD" w:rsidRDefault="00F22FBD"/>
    <w:p w14:paraId="6E431CB6" w14:textId="77777777" w:rsidR="00F22FBD" w:rsidRDefault="00D44E4A">
      <w:r>
        <w:t>Citochromo P 450 sistema dabigatrano eteksilato ir dabigatrano nemetabolizuoja, in vitro šios medžiagos žmogaus citochromo P 450 fermentams poveikio nedaro. Taigi su šiais fermentais susijusių vaistinių preparatų sąveika su dabigatranu nėra tikėtina.</w:t>
      </w:r>
    </w:p>
    <w:p w14:paraId="1FB15A32" w14:textId="77777777" w:rsidR="00F22FBD" w:rsidRDefault="00F22FBD"/>
    <w:p w14:paraId="71DDEF2D" w14:textId="77777777" w:rsidR="00F22FBD" w:rsidRDefault="00D44E4A">
      <w:pPr>
        <w:rPr>
          <w:u w:val="single"/>
        </w:rPr>
      </w:pPr>
      <w:r>
        <w:rPr>
          <w:u w:val="single"/>
        </w:rPr>
        <w:t>Vaikų populiacija</w:t>
      </w:r>
    </w:p>
    <w:p w14:paraId="6A2D8855" w14:textId="77777777" w:rsidR="00F22FBD" w:rsidRDefault="00F22FBD"/>
    <w:p w14:paraId="6FD40FCD" w14:textId="77777777" w:rsidR="00F22FBD" w:rsidRDefault="00D44E4A">
      <w:r>
        <w:t>Sąveikos tyrimai atlikti tik suaugusiesiems.</w:t>
      </w:r>
    </w:p>
    <w:p w14:paraId="356F0D08" w14:textId="77777777" w:rsidR="00F22FBD" w:rsidRDefault="00F22FBD">
      <w:pPr>
        <w:rPr>
          <w:b/>
          <w:bCs/>
        </w:rPr>
      </w:pPr>
    </w:p>
    <w:p w14:paraId="0053B291" w14:textId="77777777" w:rsidR="00F22FBD" w:rsidRDefault="00D44E4A">
      <w:pPr>
        <w:ind w:left="567" w:hanging="567"/>
        <w:rPr>
          <w:b/>
        </w:rPr>
      </w:pPr>
      <w:r>
        <w:rPr>
          <w:b/>
        </w:rPr>
        <w:t>4.6</w:t>
      </w:r>
      <w:r>
        <w:rPr>
          <w:b/>
        </w:rPr>
        <w:tab/>
      </w:r>
      <w:r>
        <w:rPr>
          <w:b/>
          <w:noProof/>
          <w:szCs w:val="22"/>
        </w:rPr>
        <w:t xml:space="preserve">Vaisingumas, </w:t>
      </w:r>
      <w:r>
        <w:rPr>
          <w:b/>
          <w:bCs/>
        </w:rPr>
        <w:t>nėštumo ir žindymo laikotarpis</w:t>
      </w:r>
      <w:r>
        <w:t xml:space="preserve"> </w:t>
      </w:r>
    </w:p>
    <w:p w14:paraId="25F6232B" w14:textId="77777777" w:rsidR="00F22FBD" w:rsidRDefault="00F22FBD">
      <w:pPr>
        <w:rPr>
          <w:i/>
        </w:rPr>
      </w:pPr>
    </w:p>
    <w:p w14:paraId="6EAFEED4" w14:textId="77777777" w:rsidR="00F22FBD" w:rsidRDefault="00D44E4A">
      <w:pPr>
        <w:rPr>
          <w:u w:val="single"/>
        </w:rPr>
      </w:pPr>
      <w:r>
        <w:rPr>
          <w:u w:val="single"/>
        </w:rPr>
        <w:t>Vaisingos moterys</w:t>
      </w:r>
    </w:p>
    <w:p w14:paraId="6E6A2ACE" w14:textId="77777777" w:rsidR="00F22FBD" w:rsidRDefault="00F22FBD"/>
    <w:p w14:paraId="79F92156" w14:textId="77777777" w:rsidR="00F22FBD" w:rsidRDefault="00D44E4A">
      <w:r>
        <w:t>Gydymo dabigatranu metu vaisingos moterys turi išvengti nėštumo.</w:t>
      </w:r>
    </w:p>
    <w:p w14:paraId="6580CDDC" w14:textId="77777777" w:rsidR="00F22FBD" w:rsidRDefault="00F22FBD"/>
    <w:p w14:paraId="1966673C" w14:textId="77777777" w:rsidR="00F22FBD" w:rsidRDefault="00D44E4A">
      <w:pPr>
        <w:rPr>
          <w:u w:val="single"/>
        </w:rPr>
      </w:pPr>
      <w:r>
        <w:rPr>
          <w:u w:val="single"/>
        </w:rPr>
        <w:t>Nėštumas</w:t>
      </w:r>
    </w:p>
    <w:p w14:paraId="08933B5F" w14:textId="77777777" w:rsidR="00F22FBD" w:rsidRDefault="00F22FBD"/>
    <w:p w14:paraId="1359656F" w14:textId="77777777" w:rsidR="00F22FBD" w:rsidRDefault="00D44E4A">
      <w:r>
        <w:t>Duomenys apie dabigatrano vartojimą nėštumo metu yra riboti. Su gyvūnais atlikti tyrimai parodė toksinį poveikį reprodukcijai (žr. 5.3 skyrių). Galimas pavojus žmogui nežinomas.</w:t>
      </w:r>
    </w:p>
    <w:p w14:paraId="67951675" w14:textId="77777777" w:rsidR="00F22FBD" w:rsidRDefault="00F22FBD"/>
    <w:p w14:paraId="5D8B7D1D" w14:textId="77777777" w:rsidR="00F22FBD" w:rsidRDefault="00D44E4A">
      <w:r>
        <w:t>Dabigatrano nėštumo metu vartoti negalima, nebent neabejotinai būtina.</w:t>
      </w:r>
    </w:p>
    <w:p w14:paraId="4B4BAFFB" w14:textId="77777777" w:rsidR="00F22FBD" w:rsidRDefault="00F22FBD"/>
    <w:p w14:paraId="31AAFFFC" w14:textId="77777777" w:rsidR="00F22FBD" w:rsidRDefault="00D44E4A">
      <w:pPr>
        <w:rPr>
          <w:u w:val="single"/>
        </w:rPr>
      </w:pPr>
      <w:r>
        <w:rPr>
          <w:u w:val="single"/>
        </w:rPr>
        <w:t>Žindymas</w:t>
      </w:r>
    </w:p>
    <w:p w14:paraId="082B2B2F" w14:textId="77777777" w:rsidR="00F22FBD" w:rsidRDefault="00F22FBD"/>
    <w:p w14:paraId="7B246C3C" w14:textId="77777777" w:rsidR="00F22FBD" w:rsidRDefault="00D44E4A">
      <w:r>
        <w:t>Apie žindymo metu vartojamo dabigatrano poveikį kūdikiui klinikinių tyrimų duomenų nėra.</w:t>
      </w:r>
    </w:p>
    <w:p w14:paraId="3F59228C" w14:textId="77777777" w:rsidR="00F22FBD" w:rsidRDefault="00D44E4A">
      <w:r>
        <w:t>Gydymo dabigatranu metu žindymą reikia nutraukti.</w:t>
      </w:r>
    </w:p>
    <w:p w14:paraId="598F2C4D" w14:textId="77777777" w:rsidR="00F22FBD" w:rsidRDefault="00F22FBD"/>
    <w:p w14:paraId="64A35ED6" w14:textId="77777777" w:rsidR="00F22FBD" w:rsidRDefault="00D44E4A">
      <w:pPr>
        <w:rPr>
          <w:u w:val="single"/>
        </w:rPr>
      </w:pPr>
      <w:r>
        <w:rPr>
          <w:u w:val="single"/>
        </w:rPr>
        <w:t>Vaisingumas</w:t>
      </w:r>
    </w:p>
    <w:p w14:paraId="6A7A21EA" w14:textId="77777777" w:rsidR="00F22FBD" w:rsidRDefault="00F22FBD"/>
    <w:p w14:paraId="6A73F69B" w14:textId="77777777" w:rsidR="00F22FBD" w:rsidRDefault="00D44E4A">
      <w:r>
        <w:t>Duomenų apie poveikį žmogaus vaisingumui nėra.</w:t>
      </w:r>
    </w:p>
    <w:p w14:paraId="7DC88806" w14:textId="77777777" w:rsidR="00F22FBD" w:rsidRDefault="00F22FBD"/>
    <w:p w14:paraId="111747B7" w14:textId="77777777" w:rsidR="00F22FBD" w:rsidRDefault="00D44E4A">
      <w:r>
        <w:t xml:space="preserve">Tyrimais su gyvūnais nustatytas toksinis poveikis patelių vaisingumui, kuris, vartojant 70 mg/kg kūno svorio dozę (ekspozicijai gyvūnų kraujo plazmoje esant 5 kartus didesnei už ekspoziciją žmogaus kraujo plazmoje), reiškėsi implantacijos suretėjimu ir embriono gaišimo prieš implantaciją padažnėjimu. Kitokio poveikio patelių vaisingumui nestebėta. Poveikio patinų vaisingumui nenustatyta. Tokios dozės, kokios sukėlė toksinį poveikį žiurkių ir triušių vaikingai patelei (ekspozicijai gyvūnų kraujo plazmoje esant 5 - 10 kartų didesnei už ekspoziciją žmogaus kraujo plazmoje), mažino vaisiaus kūno svorį ir embriono bei vaisiaus gyvybingumą, didino vaisiaus </w:t>
      </w:r>
      <w:r>
        <w:lastRenderedPageBreak/>
        <w:t>pokyčius. Poveikio prenataliniam ir postnataliniam vystymuisi tyrimų metu tokios dozės, kokios darė toksinį poveikį vaikingai patelei (ekspozicijai gyvūnų kraujo plazmoje esant 4 kartus didesnė už ekspoziciją žmogaus kraujo plazmoje), dažnino vaisiaus gaišimą.</w:t>
      </w:r>
    </w:p>
    <w:p w14:paraId="452702EF" w14:textId="77777777" w:rsidR="00F22FBD" w:rsidRDefault="00F22FBD"/>
    <w:p w14:paraId="04A8614C" w14:textId="77777777" w:rsidR="00F22FBD" w:rsidRDefault="00D44E4A">
      <w:pPr>
        <w:ind w:left="567" w:hanging="567"/>
        <w:rPr>
          <w:b/>
        </w:rPr>
      </w:pPr>
      <w:r>
        <w:rPr>
          <w:b/>
        </w:rPr>
        <w:t>4.7</w:t>
      </w:r>
      <w:r>
        <w:rPr>
          <w:b/>
        </w:rPr>
        <w:tab/>
        <w:t>Poveikis gebėjimui vairuoti ir valdyti mechanizmus</w:t>
      </w:r>
    </w:p>
    <w:p w14:paraId="4AA94540" w14:textId="77777777" w:rsidR="00F22FBD" w:rsidRDefault="00F22FBD">
      <w:pPr>
        <w:ind w:left="567" w:hanging="567"/>
      </w:pPr>
    </w:p>
    <w:p w14:paraId="5AD27B45" w14:textId="77777777" w:rsidR="00F22FBD" w:rsidRDefault="00D44E4A">
      <w:pPr>
        <w:ind w:left="567" w:hanging="567"/>
      </w:pPr>
      <w:r>
        <w:t>Dabigatrano eteksilatas gebėjimo vairuoti ir valdyti mechanizmus neveikia arba veikia nereikšmingai.</w:t>
      </w:r>
    </w:p>
    <w:p w14:paraId="57CFE9CB" w14:textId="77777777" w:rsidR="00F22FBD" w:rsidRDefault="00F22FBD">
      <w:pPr>
        <w:ind w:left="567" w:hanging="567"/>
      </w:pPr>
    </w:p>
    <w:p w14:paraId="5E4907E1" w14:textId="77777777" w:rsidR="00F22FBD" w:rsidRDefault="00D44E4A">
      <w:pPr>
        <w:ind w:left="567" w:hanging="567"/>
        <w:rPr>
          <w:b/>
        </w:rPr>
      </w:pPr>
      <w:r>
        <w:rPr>
          <w:b/>
        </w:rPr>
        <w:t>4.8</w:t>
      </w:r>
      <w:r>
        <w:rPr>
          <w:b/>
        </w:rPr>
        <w:tab/>
        <w:t>Nepageidaujamas poveikis</w:t>
      </w:r>
    </w:p>
    <w:p w14:paraId="32C03B99" w14:textId="77777777" w:rsidR="00F22FBD" w:rsidRDefault="00F22FBD">
      <w:pPr>
        <w:rPr>
          <w:i/>
        </w:rPr>
      </w:pPr>
    </w:p>
    <w:p w14:paraId="13BB35E6" w14:textId="77777777" w:rsidR="00F22FBD" w:rsidRDefault="00D44E4A">
      <w:pPr>
        <w:suppressLineNumbers/>
        <w:autoSpaceDE w:val="0"/>
        <w:autoSpaceDN w:val="0"/>
        <w:adjustRightInd w:val="0"/>
        <w:jc w:val="both"/>
        <w:rPr>
          <w:u w:val="single"/>
        </w:rPr>
      </w:pPr>
      <w:r>
        <w:rPr>
          <w:u w:val="single"/>
        </w:rPr>
        <w:t>Saugumo duomenų santrauka</w:t>
      </w:r>
    </w:p>
    <w:p w14:paraId="100F7FD1" w14:textId="77777777" w:rsidR="00F22FBD" w:rsidRDefault="00F22FBD">
      <w:pPr>
        <w:suppressLineNumbers/>
        <w:autoSpaceDE w:val="0"/>
        <w:autoSpaceDN w:val="0"/>
        <w:adjustRightInd w:val="0"/>
        <w:jc w:val="both"/>
      </w:pPr>
    </w:p>
    <w:p w14:paraId="3DA71E70" w14:textId="77777777" w:rsidR="00F22FBD" w:rsidRDefault="00D44E4A">
      <w:pPr>
        <w:suppressLineNumbers/>
        <w:autoSpaceDE w:val="0"/>
        <w:autoSpaceDN w:val="0"/>
        <w:adjustRightInd w:val="0"/>
        <w:jc w:val="both"/>
      </w:pPr>
      <w:r>
        <w:t>Dabigatrano eteksilatas vertintas klinikiniuose tyrimuose iš viso dalyvaujant maždaug 64 000 pacientų; iš jų maždaug 35 000 pacientų buvo gydomi dabigatrano eteksilatu.</w:t>
      </w:r>
    </w:p>
    <w:p w14:paraId="4F477A4A" w14:textId="77777777" w:rsidR="00F22FBD" w:rsidRDefault="00F22FBD">
      <w:pPr>
        <w:suppressLineNumbers/>
        <w:autoSpaceDE w:val="0"/>
        <w:autoSpaceDN w:val="0"/>
        <w:adjustRightInd w:val="0"/>
        <w:jc w:val="both"/>
      </w:pPr>
    </w:p>
    <w:p w14:paraId="042B4D4A" w14:textId="77777777" w:rsidR="00F22FBD" w:rsidRDefault="00D44E4A">
      <w:pPr>
        <w:suppressLineNumbers/>
        <w:autoSpaceDE w:val="0"/>
        <w:autoSpaceDN w:val="0"/>
        <w:adjustRightInd w:val="0"/>
        <w:jc w:val="both"/>
      </w:pPr>
      <w:r>
        <w:t>Aktyviai kontroliuojamų VTE profilaktikos tyrimų metu 6 684 pacientai buvo gydomi 150 mg arba 220 mg dabigatrano eteksilato per parą.</w:t>
      </w:r>
    </w:p>
    <w:p w14:paraId="0C40D2A6" w14:textId="77777777" w:rsidR="00F22FBD" w:rsidRDefault="00F22FBD">
      <w:pPr>
        <w:suppressLineNumbers/>
        <w:autoSpaceDE w:val="0"/>
        <w:autoSpaceDN w:val="0"/>
        <w:adjustRightInd w:val="0"/>
        <w:jc w:val="both"/>
      </w:pPr>
    </w:p>
    <w:p w14:paraId="2DDDD7B6" w14:textId="77777777" w:rsidR="00F22FBD" w:rsidRDefault="00D44E4A">
      <w:pPr>
        <w:suppressLineNumbers/>
        <w:autoSpaceDE w:val="0"/>
        <w:autoSpaceDN w:val="0"/>
        <w:adjustRightInd w:val="0"/>
        <w:jc w:val="both"/>
      </w:pPr>
      <w:r>
        <w:t>Dažniausi reiškiniai, pasireiškę maždaug 14 % pacientų, buvo kraujavimas. Didysis kraujavimas, įskaitant kraujavimą iš žaizdos, pasireiškė mažiau negu 2 % pacientų.</w:t>
      </w:r>
    </w:p>
    <w:p w14:paraId="32A93DCE" w14:textId="77777777" w:rsidR="00F22FBD" w:rsidRDefault="00F22FBD">
      <w:pPr>
        <w:suppressLineNumbers/>
        <w:autoSpaceDE w:val="0"/>
        <w:autoSpaceDN w:val="0"/>
        <w:adjustRightInd w:val="0"/>
        <w:jc w:val="both"/>
      </w:pPr>
    </w:p>
    <w:p w14:paraId="21B4D5C3" w14:textId="77777777" w:rsidR="00F22FBD" w:rsidRDefault="00D44E4A">
      <w:pPr>
        <w:suppressLineNumbers/>
        <w:autoSpaceDE w:val="0"/>
        <w:autoSpaceDN w:val="0"/>
        <w:adjustRightInd w:val="0"/>
        <w:jc w:val="both"/>
        <w:rPr>
          <w:b/>
        </w:rPr>
      </w:pPr>
      <w:r>
        <w:t>Galimas didysis arba pavojingas kraujavimas (klinikinių tyrimų metu jis buvo retas), kuris, nepaisant vietos, gali sukelti neįgalumą, pavojų gyvybei ar net mirtį.</w:t>
      </w:r>
    </w:p>
    <w:p w14:paraId="31797015" w14:textId="77777777" w:rsidR="00F22FBD" w:rsidRDefault="00F22FBD">
      <w:pPr>
        <w:ind w:left="567" w:hanging="567"/>
      </w:pPr>
    </w:p>
    <w:p w14:paraId="1ACDB218" w14:textId="77777777" w:rsidR="00F22FBD" w:rsidRDefault="00D44E4A">
      <w:pPr>
        <w:ind w:left="567" w:hanging="567"/>
        <w:rPr>
          <w:u w:val="single"/>
        </w:rPr>
      </w:pPr>
      <w:r>
        <w:rPr>
          <w:u w:val="single"/>
        </w:rPr>
        <w:t>Nepageidaujamų reakcijų santrauka lentelėje</w:t>
      </w:r>
    </w:p>
    <w:p w14:paraId="6035FBBD" w14:textId="77777777" w:rsidR="00F22FBD" w:rsidRDefault="00F22FBD"/>
    <w:p w14:paraId="12076445" w14:textId="77777777" w:rsidR="00F22FBD" w:rsidRDefault="00D44E4A">
      <w:pPr>
        <w:widowControl w:val="0"/>
        <w:kinsoku w:val="0"/>
        <w:overflowPunct w:val="0"/>
        <w:autoSpaceDE w:val="0"/>
        <w:autoSpaceDN w:val="0"/>
        <w:adjustRightInd w:val="0"/>
        <w:rPr>
          <w:color w:val="000000"/>
          <w:szCs w:val="22"/>
          <w:lang w:val="sl-SI" w:eastAsia="sl-SI"/>
        </w:rPr>
      </w:pPr>
      <w:r>
        <w:t>10-oje lentelėje išvardytos nepageidaujamos reakcijos yra suklasifikuotos pagal organų sistemų klases (OSK) ir dažnį, kuris apibūdinamas taip: labai dažnas (≥1/10), dažnas (nuo ≥1/100 iki</w:t>
      </w:r>
      <w:r>
        <w:rPr>
          <w:color w:val="000000"/>
          <w:szCs w:val="22"/>
          <w:lang w:val="sl-SI" w:eastAsia="sl-SI"/>
        </w:rPr>
        <w:t xml:space="preserve">&lt; 1/10), nedažnas (nuo </w:t>
      </w:r>
      <w:r>
        <w:rPr>
          <w:rFonts w:ascii="Symbol" w:hAnsi="Symbol" w:cs="Symbol"/>
          <w:color w:val="000000"/>
          <w:szCs w:val="22"/>
          <w:lang w:val="sl-SI" w:eastAsia="sl-SI"/>
        </w:rPr>
        <w:t></w:t>
      </w:r>
      <w:r>
        <w:rPr>
          <w:rFonts w:ascii="Symbol" w:hAnsi="Symbol" w:cs="Symbol"/>
          <w:color w:val="000000"/>
          <w:szCs w:val="22"/>
          <w:lang w:val="sl-SI" w:eastAsia="sl-SI"/>
        </w:rPr>
        <w:t></w:t>
      </w:r>
      <w:r>
        <w:rPr>
          <w:color w:val="000000"/>
          <w:szCs w:val="22"/>
          <w:lang w:val="sl-SI" w:eastAsia="sl-SI"/>
        </w:rPr>
        <w:t xml:space="preserve">1/1 000 iki &lt; 1/100), retas (nuo </w:t>
      </w:r>
      <w:r>
        <w:rPr>
          <w:rFonts w:ascii="Symbol" w:hAnsi="Symbol" w:cs="Symbol"/>
          <w:color w:val="000000"/>
          <w:szCs w:val="22"/>
          <w:lang w:val="sl-SI" w:eastAsia="sl-SI"/>
        </w:rPr>
        <w:t></w:t>
      </w:r>
      <w:r>
        <w:rPr>
          <w:rFonts w:ascii="Symbol" w:hAnsi="Symbol" w:cs="Symbol"/>
          <w:color w:val="000000"/>
          <w:szCs w:val="22"/>
          <w:lang w:val="sl-SI" w:eastAsia="sl-SI"/>
        </w:rPr>
        <w:t></w:t>
      </w:r>
      <w:r>
        <w:rPr>
          <w:color w:val="000000"/>
          <w:szCs w:val="22"/>
          <w:lang w:val="sl-SI" w:eastAsia="sl-SI"/>
        </w:rPr>
        <w:t>1/10 000 iki &lt; 1/1 000), labai dažnas (&lt; 1/10 000), dažnis nežinomas (</w:t>
      </w:r>
      <w:r>
        <w:t>negali būti apskaičiuotas pagal turimus duomenis</w:t>
      </w:r>
      <w:r>
        <w:rPr>
          <w:color w:val="000000"/>
          <w:szCs w:val="22"/>
          <w:lang w:val="sl-SI" w:eastAsia="sl-SI"/>
        </w:rPr>
        <w:t>).</w:t>
      </w:r>
    </w:p>
    <w:p w14:paraId="409E600A" w14:textId="77777777" w:rsidR="00F22FBD" w:rsidRDefault="00F22FBD"/>
    <w:p w14:paraId="16D74996" w14:textId="77777777" w:rsidR="00F22FBD" w:rsidRDefault="00D44E4A">
      <w:pPr>
        <w:ind w:left="567" w:hanging="567"/>
        <w:rPr>
          <w:b/>
          <w:bCs/>
        </w:rPr>
      </w:pPr>
      <w:r>
        <w:rPr>
          <w:b/>
          <w:bCs/>
        </w:rPr>
        <w:t>10 lentelė. Nepageidaujamos reakcijos</w:t>
      </w:r>
    </w:p>
    <w:p w14:paraId="5C2EACD3" w14:textId="77777777" w:rsidR="00F22FBD" w:rsidRDefault="00F22FBD">
      <w:pPr>
        <w:ind w:left="567" w:hanging="567"/>
      </w:pP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10"/>
        <w:gridCol w:w="4161"/>
      </w:tblGrid>
      <w:tr w:rsidR="00F22FBD" w14:paraId="32DEC9D1" w14:textId="77777777">
        <w:trPr>
          <w:trHeight w:val="254"/>
        </w:trPr>
        <w:tc>
          <w:tcPr>
            <w:tcW w:w="4910" w:type="dxa"/>
            <w:shd w:val="clear" w:color="auto" w:fill="auto"/>
          </w:tcPr>
          <w:p w14:paraId="05A8F060" w14:textId="77777777" w:rsidR="00F22FBD" w:rsidRDefault="00D44E4A">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Organų sistemų klasė/pirmenybinis terminas</w:t>
            </w:r>
          </w:p>
        </w:tc>
        <w:tc>
          <w:tcPr>
            <w:tcW w:w="4161" w:type="dxa"/>
            <w:shd w:val="clear" w:color="auto" w:fill="auto"/>
          </w:tcPr>
          <w:p w14:paraId="3D1A3E8F"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w:t>
            </w:r>
          </w:p>
        </w:tc>
      </w:tr>
      <w:tr w:rsidR="00F22FBD" w14:paraId="6BD45645" w14:textId="77777777">
        <w:trPr>
          <w:trHeight w:val="251"/>
        </w:trPr>
        <w:tc>
          <w:tcPr>
            <w:tcW w:w="9071" w:type="dxa"/>
            <w:gridSpan w:val="2"/>
            <w:shd w:val="clear" w:color="auto" w:fill="auto"/>
          </w:tcPr>
          <w:p w14:paraId="27F136E9" w14:textId="77777777" w:rsidR="00F22FBD" w:rsidRDefault="00D44E4A">
            <w:pPr>
              <w:widowControl w:val="0"/>
              <w:kinsoku w:val="0"/>
              <w:overflowPunct w:val="0"/>
              <w:autoSpaceDE w:val="0"/>
              <w:autoSpaceDN w:val="0"/>
              <w:adjustRightInd w:val="0"/>
              <w:ind w:left="105"/>
              <w:rPr>
                <w:color w:val="000000"/>
                <w:szCs w:val="22"/>
                <w:lang w:val="sl-SI" w:eastAsia="sl-SI"/>
              </w:rPr>
            </w:pPr>
            <w:r>
              <w:t>Kraujo ir limfinės sistemos sutrikimai</w:t>
            </w:r>
          </w:p>
        </w:tc>
      </w:tr>
      <w:tr w:rsidR="00F22FBD" w14:paraId="40E3D6D8" w14:textId="77777777">
        <w:trPr>
          <w:trHeight w:val="253"/>
        </w:trPr>
        <w:tc>
          <w:tcPr>
            <w:tcW w:w="4910" w:type="dxa"/>
            <w:shd w:val="clear" w:color="auto" w:fill="auto"/>
          </w:tcPr>
          <w:p w14:paraId="4BFE75CC" w14:textId="77777777" w:rsidR="00F22FBD" w:rsidRDefault="00D44E4A">
            <w:pPr>
              <w:widowControl w:val="0"/>
              <w:kinsoku w:val="0"/>
              <w:overflowPunct w:val="0"/>
              <w:autoSpaceDE w:val="0"/>
              <w:autoSpaceDN w:val="0"/>
              <w:adjustRightInd w:val="0"/>
              <w:ind w:left="285"/>
              <w:rPr>
                <w:color w:val="000000"/>
                <w:szCs w:val="22"/>
                <w:lang w:val="sl-SI" w:eastAsia="sl-SI"/>
              </w:rPr>
            </w:pPr>
            <w:r>
              <w:t>Hemoglobino kiekio sumažėjimas</w:t>
            </w:r>
          </w:p>
        </w:tc>
        <w:tc>
          <w:tcPr>
            <w:tcW w:w="4161" w:type="dxa"/>
            <w:shd w:val="clear" w:color="auto" w:fill="auto"/>
          </w:tcPr>
          <w:p w14:paraId="7BFA0020"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F22FBD" w14:paraId="42F8B87B" w14:textId="77777777">
        <w:trPr>
          <w:trHeight w:val="254"/>
        </w:trPr>
        <w:tc>
          <w:tcPr>
            <w:tcW w:w="4910" w:type="dxa"/>
            <w:shd w:val="clear" w:color="auto" w:fill="auto"/>
          </w:tcPr>
          <w:p w14:paraId="7FB5E2D3" w14:textId="77777777" w:rsidR="00F22FBD" w:rsidRDefault="00D44E4A">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Anemija</w:t>
            </w:r>
          </w:p>
        </w:tc>
        <w:tc>
          <w:tcPr>
            <w:tcW w:w="4161" w:type="dxa"/>
            <w:shd w:val="clear" w:color="auto" w:fill="auto"/>
          </w:tcPr>
          <w:p w14:paraId="7FCBA7FE"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F22FBD" w14:paraId="1F6816C4" w14:textId="77777777">
        <w:trPr>
          <w:trHeight w:val="251"/>
        </w:trPr>
        <w:tc>
          <w:tcPr>
            <w:tcW w:w="4910" w:type="dxa"/>
            <w:shd w:val="clear" w:color="auto" w:fill="auto"/>
          </w:tcPr>
          <w:p w14:paraId="5ACA0E3D" w14:textId="77777777" w:rsidR="00F22FBD" w:rsidRDefault="00D44E4A">
            <w:pPr>
              <w:widowControl w:val="0"/>
              <w:kinsoku w:val="0"/>
              <w:overflowPunct w:val="0"/>
              <w:autoSpaceDE w:val="0"/>
              <w:autoSpaceDN w:val="0"/>
              <w:adjustRightInd w:val="0"/>
              <w:ind w:left="285"/>
              <w:rPr>
                <w:color w:val="000000"/>
                <w:szCs w:val="22"/>
                <w:lang w:val="sl-SI" w:eastAsia="sl-SI"/>
              </w:rPr>
            </w:pPr>
            <w:r>
              <w:t>Hematokrito sumažėjimas</w:t>
            </w:r>
          </w:p>
        </w:tc>
        <w:tc>
          <w:tcPr>
            <w:tcW w:w="4161" w:type="dxa"/>
            <w:shd w:val="clear" w:color="auto" w:fill="auto"/>
          </w:tcPr>
          <w:p w14:paraId="149125E9"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F22FBD" w14:paraId="79FAB3F6" w14:textId="77777777">
        <w:trPr>
          <w:trHeight w:val="254"/>
        </w:trPr>
        <w:tc>
          <w:tcPr>
            <w:tcW w:w="4910" w:type="dxa"/>
            <w:shd w:val="clear" w:color="auto" w:fill="auto"/>
          </w:tcPr>
          <w:p w14:paraId="773E1CBD" w14:textId="77777777" w:rsidR="00F22FBD" w:rsidRDefault="00D44E4A">
            <w:pPr>
              <w:widowControl w:val="0"/>
              <w:kinsoku w:val="0"/>
              <w:overflowPunct w:val="0"/>
              <w:autoSpaceDE w:val="0"/>
              <w:autoSpaceDN w:val="0"/>
              <w:adjustRightInd w:val="0"/>
              <w:ind w:left="285"/>
              <w:rPr>
                <w:color w:val="000000"/>
                <w:szCs w:val="22"/>
                <w:lang w:val="sl-SI" w:eastAsia="sl-SI"/>
              </w:rPr>
            </w:pPr>
            <w:r>
              <w:t>Trombocitopenija</w:t>
            </w:r>
          </w:p>
        </w:tc>
        <w:tc>
          <w:tcPr>
            <w:tcW w:w="4161" w:type="dxa"/>
            <w:shd w:val="clear" w:color="auto" w:fill="auto"/>
          </w:tcPr>
          <w:p w14:paraId="24E18010"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F22FBD" w14:paraId="65F751F8" w14:textId="77777777">
        <w:trPr>
          <w:trHeight w:val="254"/>
        </w:trPr>
        <w:tc>
          <w:tcPr>
            <w:tcW w:w="4910" w:type="dxa"/>
            <w:shd w:val="clear" w:color="auto" w:fill="auto"/>
          </w:tcPr>
          <w:p w14:paraId="21D6CF84" w14:textId="77777777" w:rsidR="00F22FBD" w:rsidRDefault="00D44E4A">
            <w:pPr>
              <w:widowControl w:val="0"/>
              <w:kinsoku w:val="0"/>
              <w:overflowPunct w:val="0"/>
              <w:autoSpaceDE w:val="0"/>
              <w:autoSpaceDN w:val="0"/>
              <w:adjustRightInd w:val="0"/>
              <w:ind w:left="285"/>
              <w:rPr>
                <w:color w:val="000000"/>
                <w:szCs w:val="22"/>
                <w:lang w:val="sl-SI" w:eastAsia="sl-SI"/>
              </w:rPr>
            </w:pPr>
            <w:r>
              <w:t>Neutropenija</w:t>
            </w:r>
          </w:p>
        </w:tc>
        <w:tc>
          <w:tcPr>
            <w:tcW w:w="4161" w:type="dxa"/>
            <w:shd w:val="clear" w:color="auto" w:fill="auto"/>
          </w:tcPr>
          <w:p w14:paraId="48E3CB33"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F22FBD" w14:paraId="03670633" w14:textId="77777777">
        <w:trPr>
          <w:trHeight w:val="254"/>
        </w:trPr>
        <w:tc>
          <w:tcPr>
            <w:tcW w:w="4910" w:type="dxa"/>
            <w:shd w:val="clear" w:color="auto" w:fill="auto"/>
          </w:tcPr>
          <w:p w14:paraId="5C108D41" w14:textId="77777777" w:rsidR="00F22FBD" w:rsidRDefault="00D44E4A">
            <w:pPr>
              <w:widowControl w:val="0"/>
              <w:kinsoku w:val="0"/>
              <w:overflowPunct w:val="0"/>
              <w:autoSpaceDE w:val="0"/>
              <w:autoSpaceDN w:val="0"/>
              <w:adjustRightInd w:val="0"/>
              <w:ind w:left="285"/>
              <w:rPr>
                <w:color w:val="000000"/>
                <w:szCs w:val="22"/>
                <w:lang w:val="sl-SI" w:eastAsia="sl-SI"/>
              </w:rPr>
            </w:pPr>
            <w:r>
              <w:t>Agranulocitozė</w:t>
            </w:r>
          </w:p>
        </w:tc>
        <w:tc>
          <w:tcPr>
            <w:tcW w:w="4161" w:type="dxa"/>
            <w:shd w:val="clear" w:color="auto" w:fill="auto"/>
          </w:tcPr>
          <w:p w14:paraId="0207E19D"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F22FBD" w14:paraId="2E0EC34B" w14:textId="77777777">
        <w:trPr>
          <w:trHeight w:val="251"/>
        </w:trPr>
        <w:tc>
          <w:tcPr>
            <w:tcW w:w="9071" w:type="dxa"/>
            <w:gridSpan w:val="2"/>
            <w:shd w:val="clear" w:color="auto" w:fill="auto"/>
          </w:tcPr>
          <w:p w14:paraId="226594EB" w14:textId="77777777" w:rsidR="00F22FBD" w:rsidRDefault="00D44E4A">
            <w:pPr>
              <w:widowControl w:val="0"/>
              <w:kinsoku w:val="0"/>
              <w:overflowPunct w:val="0"/>
              <w:autoSpaceDE w:val="0"/>
              <w:autoSpaceDN w:val="0"/>
              <w:adjustRightInd w:val="0"/>
              <w:ind w:left="105"/>
              <w:rPr>
                <w:color w:val="000000"/>
                <w:szCs w:val="22"/>
                <w:lang w:val="sl-SI" w:eastAsia="sl-SI"/>
              </w:rPr>
            </w:pPr>
            <w:r>
              <w:t>Imuninės sistemos sutrikimai</w:t>
            </w:r>
          </w:p>
        </w:tc>
      </w:tr>
      <w:tr w:rsidR="00F22FBD" w14:paraId="3FABF868" w14:textId="77777777">
        <w:trPr>
          <w:trHeight w:val="253"/>
        </w:trPr>
        <w:tc>
          <w:tcPr>
            <w:tcW w:w="4910" w:type="dxa"/>
            <w:shd w:val="clear" w:color="auto" w:fill="auto"/>
          </w:tcPr>
          <w:p w14:paraId="0766ED3A" w14:textId="77777777" w:rsidR="00F22FBD" w:rsidRDefault="00D44E4A">
            <w:pPr>
              <w:widowControl w:val="0"/>
              <w:kinsoku w:val="0"/>
              <w:overflowPunct w:val="0"/>
              <w:autoSpaceDE w:val="0"/>
              <w:autoSpaceDN w:val="0"/>
              <w:adjustRightInd w:val="0"/>
              <w:ind w:left="285"/>
              <w:rPr>
                <w:color w:val="000000"/>
                <w:szCs w:val="22"/>
                <w:lang w:val="sl-SI" w:eastAsia="sl-SI"/>
              </w:rPr>
            </w:pPr>
            <w:r>
              <w:t>Jautrumo vaistiniam preparatui padidėjimas</w:t>
            </w:r>
          </w:p>
        </w:tc>
        <w:tc>
          <w:tcPr>
            <w:tcW w:w="4161" w:type="dxa"/>
            <w:shd w:val="clear" w:color="auto" w:fill="auto"/>
          </w:tcPr>
          <w:p w14:paraId="12A78528"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F22FBD" w14:paraId="76DBF5E1" w14:textId="77777777">
        <w:trPr>
          <w:trHeight w:val="251"/>
        </w:trPr>
        <w:tc>
          <w:tcPr>
            <w:tcW w:w="4910" w:type="dxa"/>
            <w:shd w:val="clear" w:color="auto" w:fill="auto"/>
          </w:tcPr>
          <w:p w14:paraId="436577B3" w14:textId="77777777" w:rsidR="00F22FBD" w:rsidRDefault="00D44E4A">
            <w:pPr>
              <w:widowControl w:val="0"/>
              <w:kinsoku w:val="0"/>
              <w:overflowPunct w:val="0"/>
              <w:autoSpaceDE w:val="0"/>
              <w:autoSpaceDN w:val="0"/>
              <w:adjustRightInd w:val="0"/>
              <w:ind w:left="285"/>
              <w:rPr>
                <w:color w:val="000000"/>
                <w:szCs w:val="22"/>
                <w:lang w:val="sl-SI" w:eastAsia="sl-SI"/>
              </w:rPr>
            </w:pPr>
            <w:r>
              <w:t>Anafilaksinė reakcija</w:t>
            </w:r>
          </w:p>
        </w:tc>
        <w:tc>
          <w:tcPr>
            <w:tcW w:w="4161" w:type="dxa"/>
            <w:shd w:val="clear" w:color="auto" w:fill="auto"/>
          </w:tcPr>
          <w:p w14:paraId="26ADDBF4"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F22FBD" w14:paraId="4978E916" w14:textId="77777777">
        <w:trPr>
          <w:trHeight w:val="253"/>
        </w:trPr>
        <w:tc>
          <w:tcPr>
            <w:tcW w:w="4910" w:type="dxa"/>
            <w:shd w:val="clear" w:color="auto" w:fill="auto"/>
          </w:tcPr>
          <w:p w14:paraId="6F74BB8F" w14:textId="77777777" w:rsidR="00F22FBD" w:rsidRDefault="00D44E4A">
            <w:pPr>
              <w:widowControl w:val="0"/>
              <w:kinsoku w:val="0"/>
              <w:overflowPunct w:val="0"/>
              <w:autoSpaceDE w:val="0"/>
              <w:autoSpaceDN w:val="0"/>
              <w:adjustRightInd w:val="0"/>
              <w:ind w:left="285"/>
              <w:rPr>
                <w:color w:val="000000"/>
                <w:szCs w:val="22"/>
                <w:lang w:val="sl-SI" w:eastAsia="sl-SI"/>
              </w:rPr>
            </w:pPr>
            <w:r>
              <w:t>Angioedema</w:t>
            </w:r>
          </w:p>
        </w:tc>
        <w:tc>
          <w:tcPr>
            <w:tcW w:w="4161" w:type="dxa"/>
            <w:shd w:val="clear" w:color="auto" w:fill="auto"/>
          </w:tcPr>
          <w:p w14:paraId="6C4C62D8"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F22FBD" w14:paraId="0DD9B6AE" w14:textId="77777777">
        <w:trPr>
          <w:trHeight w:val="254"/>
        </w:trPr>
        <w:tc>
          <w:tcPr>
            <w:tcW w:w="4910" w:type="dxa"/>
            <w:shd w:val="clear" w:color="auto" w:fill="auto"/>
          </w:tcPr>
          <w:p w14:paraId="3E92CB22" w14:textId="77777777" w:rsidR="00F22FBD" w:rsidRDefault="00D44E4A">
            <w:pPr>
              <w:widowControl w:val="0"/>
              <w:kinsoku w:val="0"/>
              <w:overflowPunct w:val="0"/>
              <w:autoSpaceDE w:val="0"/>
              <w:autoSpaceDN w:val="0"/>
              <w:adjustRightInd w:val="0"/>
              <w:ind w:left="285"/>
              <w:rPr>
                <w:color w:val="000000"/>
                <w:szCs w:val="22"/>
                <w:lang w:val="sl-SI" w:eastAsia="sl-SI"/>
              </w:rPr>
            </w:pPr>
            <w:r>
              <w:t>Dilgėlinė</w:t>
            </w:r>
          </w:p>
        </w:tc>
        <w:tc>
          <w:tcPr>
            <w:tcW w:w="4161" w:type="dxa"/>
            <w:shd w:val="clear" w:color="auto" w:fill="auto"/>
          </w:tcPr>
          <w:p w14:paraId="20879E89"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F22FBD" w14:paraId="2B9533E6" w14:textId="77777777">
        <w:trPr>
          <w:trHeight w:val="251"/>
        </w:trPr>
        <w:tc>
          <w:tcPr>
            <w:tcW w:w="4910" w:type="dxa"/>
            <w:shd w:val="clear" w:color="auto" w:fill="auto"/>
          </w:tcPr>
          <w:p w14:paraId="7441DA92" w14:textId="77777777" w:rsidR="00F22FBD" w:rsidRDefault="00D44E4A">
            <w:pPr>
              <w:widowControl w:val="0"/>
              <w:kinsoku w:val="0"/>
              <w:overflowPunct w:val="0"/>
              <w:autoSpaceDE w:val="0"/>
              <w:autoSpaceDN w:val="0"/>
              <w:adjustRightInd w:val="0"/>
              <w:ind w:left="285"/>
              <w:rPr>
                <w:color w:val="000000"/>
                <w:szCs w:val="22"/>
                <w:lang w:val="sl-SI" w:eastAsia="sl-SI"/>
              </w:rPr>
            </w:pPr>
            <w:r>
              <w:t>Išbėrimas</w:t>
            </w:r>
          </w:p>
        </w:tc>
        <w:tc>
          <w:tcPr>
            <w:tcW w:w="4161" w:type="dxa"/>
            <w:shd w:val="clear" w:color="auto" w:fill="auto"/>
          </w:tcPr>
          <w:p w14:paraId="1D6AF712"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F22FBD" w14:paraId="574CF3C6" w14:textId="77777777">
        <w:trPr>
          <w:trHeight w:val="253"/>
        </w:trPr>
        <w:tc>
          <w:tcPr>
            <w:tcW w:w="4910" w:type="dxa"/>
            <w:shd w:val="clear" w:color="auto" w:fill="auto"/>
          </w:tcPr>
          <w:p w14:paraId="15F4C78A" w14:textId="77777777" w:rsidR="00F22FBD" w:rsidRDefault="00D44E4A">
            <w:pPr>
              <w:widowControl w:val="0"/>
              <w:kinsoku w:val="0"/>
              <w:overflowPunct w:val="0"/>
              <w:autoSpaceDE w:val="0"/>
              <w:autoSpaceDN w:val="0"/>
              <w:adjustRightInd w:val="0"/>
              <w:ind w:left="285"/>
              <w:rPr>
                <w:color w:val="000000"/>
                <w:szCs w:val="22"/>
                <w:lang w:val="sl-SI" w:eastAsia="sl-SI"/>
              </w:rPr>
            </w:pPr>
            <w:r>
              <w:t>Niežėjimas</w:t>
            </w:r>
          </w:p>
        </w:tc>
        <w:tc>
          <w:tcPr>
            <w:tcW w:w="4161" w:type="dxa"/>
            <w:shd w:val="clear" w:color="auto" w:fill="auto"/>
          </w:tcPr>
          <w:p w14:paraId="6A97A976"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F22FBD" w14:paraId="17B7A890" w14:textId="77777777">
        <w:trPr>
          <w:trHeight w:val="251"/>
        </w:trPr>
        <w:tc>
          <w:tcPr>
            <w:tcW w:w="4910" w:type="dxa"/>
            <w:shd w:val="clear" w:color="auto" w:fill="auto"/>
          </w:tcPr>
          <w:p w14:paraId="3E30DFF3" w14:textId="77777777" w:rsidR="00F22FBD" w:rsidRDefault="00D44E4A">
            <w:pPr>
              <w:widowControl w:val="0"/>
              <w:kinsoku w:val="0"/>
              <w:overflowPunct w:val="0"/>
              <w:autoSpaceDE w:val="0"/>
              <w:autoSpaceDN w:val="0"/>
              <w:adjustRightInd w:val="0"/>
              <w:ind w:left="285"/>
              <w:rPr>
                <w:color w:val="000000"/>
                <w:szCs w:val="22"/>
                <w:lang w:val="sl-SI" w:eastAsia="sl-SI"/>
              </w:rPr>
            </w:pPr>
            <w:r>
              <w:t>Bronchų spazmas</w:t>
            </w:r>
          </w:p>
        </w:tc>
        <w:tc>
          <w:tcPr>
            <w:tcW w:w="4161" w:type="dxa"/>
            <w:shd w:val="clear" w:color="auto" w:fill="auto"/>
          </w:tcPr>
          <w:p w14:paraId="740C5221"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F22FBD" w14:paraId="1C88FCDE" w14:textId="77777777">
        <w:trPr>
          <w:trHeight w:val="254"/>
        </w:trPr>
        <w:tc>
          <w:tcPr>
            <w:tcW w:w="9071" w:type="dxa"/>
            <w:gridSpan w:val="2"/>
            <w:shd w:val="clear" w:color="auto" w:fill="auto"/>
          </w:tcPr>
          <w:p w14:paraId="7BCA576D" w14:textId="77777777" w:rsidR="00F22FBD" w:rsidRDefault="00D44E4A">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Nervų sistemos sutrikimai</w:t>
            </w:r>
          </w:p>
        </w:tc>
      </w:tr>
      <w:tr w:rsidR="00F22FBD" w14:paraId="08EF8841" w14:textId="77777777">
        <w:trPr>
          <w:trHeight w:val="253"/>
        </w:trPr>
        <w:tc>
          <w:tcPr>
            <w:tcW w:w="4910" w:type="dxa"/>
            <w:shd w:val="clear" w:color="auto" w:fill="auto"/>
          </w:tcPr>
          <w:p w14:paraId="4E598553" w14:textId="77777777" w:rsidR="00F22FBD" w:rsidRDefault="00D44E4A">
            <w:pPr>
              <w:widowControl w:val="0"/>
              <w:kinsoku w:val="0"/>
              <w:overflowPunct w:val="0"/>
              <w:autoSpaceDE w:val="0"/>
              <w:autoSpaceDN w:val="0"/>
              <w:adjustRightInd w:val="0"/>
              <w:ind w:left="285"/>
              <w:rPr>
                <w:color w:val="000000"/>
                <w:szCs w:val="22"/>
                <w:lang w:val="sl-SI" w:eastAsia="sl-SI"/>
              </w:rPr>
            </w:pPr>
            <w:r>
              <w:t>Intrakranijinis kraujavimas</w:t>
            </w:r>
          </w:p>
        </w:tc>
        <w:tc>
          <w:tcPr>
            <w:tcW w:w="4161" w:type="dxa"/>
            <w:shd w:val="clear" w:color="auto" w:fill="auto"/>
          </w:tcPr>
          <w:p w14:paraId="5B5C8F3A"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F22FBD" w14:paraId="199F82BB" w14:textId="77777777">
        <w:trPr>
          <w:trHeight w:val="251"/>
        </w:trPr>
        <w:tc>
          <w:tcPr>
            <w:tcW w:w="9071" w:type="dxa"/>
            <w:gridSpan w:val="2"/>
            <w:shd w:val="clear" w:color="auto" w:fill="auto"/>
          </w:tcPr>
          <w:p w14:paraId="684AD378" w14:textId="77777777" w:rsidR="00F22FBD" w:rsidRDefault="00D44E4A">
            <w:pPr>
              <w:widowControl w:val="0"/>
              <w:kinsoku w:val="0"/>
              <w:overflowPunct w:val="0"/>
              <w:autoSpaceDE w:val="0"/>
              <w:autoSpaceDN w:val="0"/>
              <w:adjustRightInd w:val="0"/>
              <w:ind w:left="105"/>
              <w:rPr>
                <w:color w:val="000000"/>
                <w:szCs w:val="22"/>
                <w:lang w:val="sl-SI" w:eastAsia="sl-SI"/>
              </w:rPr>
            </w:pPr>
            <w:r>
              <w:t>Kraujagyslių sutrikimai</w:t>
            </w:r>
          </w:p>
        </w:tc>
      </w:tr>
      <w:tr w:rsidR="00F22FBD" w14:paraId="4808B2CD" w14:textId="77777777">
        <w:trPr>
          <w:trHeight w:val="253"/>
        </w:trPr>
        <w:tc>
          <w:tcPr>
            <w:tcW w:w="4910" w:type="dxa"/>
            <w:shd w:val="clear" w:color="auto" w:fill="auto"/>
          </w:tcPr>
          <w:p w14:paraId="1766F523" w14:textId="77777777" w:rsidR="00F22FBD" w:rsidRDefault="00D44E4A">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Hematoma</w:t>
            </w:r>
          </w:p>
        </w:tc>
        <w:tc>
          <w:tcPr>
            <w:tcW w:w="4161" w:type="dxa"/>
            <w:shd w:val="clear" w:color="auto" w:fill="auto"/>
          </w:tcPr>
          <w:p w14:paraId="63D6F1D7"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F22FBD" w14:paraId="3DFA6C0F" w14:textId="77777777">
        <w:trPr>
          <w:trHeight w:val="251"/>
        </w:trPr>
        <w:tc>
          <w:tcPr>
            <w:tcW w:w="4910" w:type="dxa"/>
            <w:shd w:val="clear" w:color="auto" w:fill="auto"/>
          </w:tcPr>
          <w:p w14:paraId="10C03951" w14:textId="77777777" w:rsidR="00F22FBD" w:rsidRDefault="00D44E4A">
            <w:pPr>
              <w:widowControl w:val="0"/>
              <w:kinsoku w:val="0"/>
              <w:overflowPunct w:val="0"/>
              <w:autoSpaceDE w:val="0"/>
              <w:autoSpaceDN w:val="0"/>
              <w:adjustRightInd w:val="0"/>
              <w:ind w:left="285"/>
              <w:rPr>
                <w:color w:val="000000"/>
                <w:szCs w:val="22"/>
                <w:lang w:val="sl-SI" w:eastAsia="sl-SI"/>
              </w:rPr>
            </w:pPr>
            <w:r>
              <w:t>Kraujavimas iš žaizdos</w:t>
            </w:r>
          </w:p>
        </w:tc>
        <w:tc>
          <w:tcPr>
            <w:tcW w:w="4161" w:type="dxa"/>
            <w:shd w:val="clear" w:color="auto" w:fill="auto"/>
          </w:tcPr>
          <w:p w14:paraId="39639FE8"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F22FBD" w14:paraId="0A0416D0" w14:textId="77777777">
        <w:trPr>
          <w:trHeight w:val="253"/>
        </w:trPr>
        <w:tc>
          <w:tcPr>
            <w:tcW w:w="4910" w:type="dxa"/>
            <w:shd w:val="clear" w:color="auto" w:fill="auto"/>
          </w:tcPr>
          <w:p w14:paraId="4B10610D" w14:textId="77777777" w:rsidR="00F22FBD" w:rsidRDefault="00D44E4A">
            <w:pPr>
              <w:widowControl w:val="0"/>
              <w:kinsoku w:val="0"/>
              <w:overflowPunct w:val="0"/>
              <w:autoSpaceDE w:val="0"/>
              <w:autoSpaceDN w:val="0"/>
              <w:adjustRightInd w:val="0"/>
              <w:ind w:left="285"/>
              <w:rPr>
                <w:color w:val="000000"/>
                <w:szCs w:val="22"/>
                <w:lang w:val="sl-SI" w:eastAsia="sl-SI"/>
              </w:rPr>
            </w:pPr>
            <w:r>
              <w:t>Kraujavimas</w:t>
            </w:r>
          </w:p>
        </w:tc>
        <w:tc>
          <w:tcPr>
            <w:tcW w:w="4161" w:type="dxa"/>
            <w:shd w:val="clear" w:color="auto" w:fill="auto"/>
          </w:tcPr>
          <w:p w14:paraId="4E681540"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F22FBD" w14:paraId="49DECB0B" w14:textId="77777777">
        <w:trPr>
          <w:trHeight w:val="251"/>
        </w:trPr>
        <w:tc>
          <w:tcPr>
            <w:tcW w:w="9071" w:type="dxa"/>
            <w:gridSpan w:val="2"/>
            <w:shd w:val="clear" w:color="auto" w:fill="auto"/>
          </w:tcPr>
          <w:p w14:paraId="59EBE5E1" w14:textId="77777777" w:rsidR="00F22FBD" w:rsidRDefault="00D44E4A">
            <w:pPr>
              <w:widowControl w:val="0"/>
              <w:kinsoku w:val="0"/>
              <w:overflowPunct w:val="0"/>
              <w:autoSpaceDE w:val="0"/>
              <w:autoSpaceDN w:val="0"/>
              <w:adjustRightInd w:val="0"/>
              <w:ind w:left="105"/>
              <w:rPr>
                <w:color w:val="000000"/>
                <w:szCs w:val="22"/>
                <w:lang w:val="sl-SI" w:eastAsia="sl-SI"/>
              </w:rPr>
            </w:pPr>
            <w:r>
              <w:t>Kvėpavimo sistemos, krūtinės ląstos ir tarpuplaučio sutrikimai</w:t>
            </w:r>
          </w:p>
        </w:tc>
      </w:tr>
      <w:tr w:rsidR="00F22FBD" w14:paraId="14360F69" w14:textId="77777777">
        <w:trPr>
          <w:trHeight w:val="254"/>
        </w:trPr>
        <w:tc>
          <w:tcPr>
            <w:tcW w:w="4910" w:type="dxa"/>
            <w:shd w:val="clear" w:color="auto" w:fill="auto"/>
          </w:tcPr>
          <w:p w14:paraId="03204AD4" w14:textId="77777777" w:rsidR="00F22FBD" w:rsidRDefault="00D44E4A">
            <w:pPr>
              <w:widowControl w:val="0"/>
              <w:kinsoku w:val="0"/>
              <w:overflowPunct w:val="0"/>
              <w:autoSpaceDE w:val="0"/>
              <w:autoSpaceDN w:val="0"/>
              <w:adjustRightInd w:val="0"/>
              <w:ind w:left="285"/>
              <w:rPr>
                <w:color w:val="000000"/>
                <w:szCs w:val="22"/>
                <w:lang w:val="sl-SI" w:eastAsia="sl-SI"/>
              </w:rPr>
            </w:pPr>
            <w:r>
              <w:lastRenderedPageBreak/>
              <w:t>Kraujavimas iš nosies</w:t>
            </w:r>
          </w:p>
        </w:tc>
        <w:tc>
          <w:tcPr>
            <w:tcW w:w="4161" w:type="dxa"/>
            <w:shd w:val="clear" w:color="auto" w:fill="auto"/>
          </w:tcPr>
          <w:p w14:paraId="08E354BA"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F22FBD" w14:paraId="6C61A572" w14:textId="77777777">
        <w:trPr>
          <w:trHeight w:val="253"/>
        </w:trPr>
        <w:tc>
          <w:tcPr>
            <w:tcW w:w="4910" w:type="dxa"/>
            <w:shd w:val="clear" w:color="auto" w:fill="auto"/>
          </w:tcPr>
          <w:p w14:paraId="78F9DD37" w14:textId="77777777" w:rsidR="00F22FBD" w:rsidRDefault="00D44E4A">
            <w:pPr>
              <w:widowControl w:val="0"/>
              <w:kinsoku w:val="0"/>
              <w:overflowPunct w:val="0"/>
              <w:autoSpaceDE w:val="0"/>
              <w:autoSpaceDN w:val="0"/>
              <w:adjustRightInd w:val="0"/>
              <w:ind w:left="285"/>
              <w:rPr>
                <w:color w:val="000000"/>
                <w:szCs w:val="22"/>
                <w:lang w:val="sl-SI" w:eastAsia="sl-SI"/>
              </w:rPr>
            </w:pPr>
            <w:r>
              <w:t>Skrepliavimas krauju</w:t>
            </w:r>
          </w:p>
        </w:tc>
        <w:tc>
          <w:tcPr>
            <w:tcW w:w="4161" w:type="dxa"/>
            <w:shd w:val="clear" w:color="auto" w:fill="auto"/>
          </w:tcPr>
          <w:p w14:paraId="24A86CC6"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F22FBD" w14:paraId="31A6C6E1" w14:textId="77777777">
        <w:trPr>
          <w:trHeight w:val="251"/>
        </w:trPr>
        <w:tc>
          <w:tcPr>
            <w:tcW w:w="9071" w:type="dxa"/>
            <w:gridSpan w:val="2"/>
            <w:shd w:val="clear" w:color="auto" w:fill="auto"/>
          </w:tcPr>
          <w:p w14:paraId="7914E51F" w14:textId="77777777" w:rsidR="00F22FBD" w:rsidRDefault="00D44E4A">
            <w:pPr>
              <w:widowControl w:val="0"/>
              <w:kinsoku w:val="0"/>
              <w:overflowPunct w:val="0"/>
              <w:autoSpaceDE w:val="0"/>
              <w:autoSpaceDN w:val="0"/>
              <w:adjustRightInd w:val="0"/>
              <w:ind w:left="105"/>
              <w:rPr>
                <w:color w:val="000000"/>
                <w:szCs w:val="22"/>
                <w:lang w:val="sl-SI" w:eastAsia="sl-SI"/>
              </w:rPr>
            </w:pPr>
            <w:r>
              <w:t>Virškinimo trakto sutrikimai</w:t>
            </w:r>
          </w:p>
        </w:tc>
      </w:tr>
      <w:tr w:rsidR="00F22FBD" w14:paraId="3E56A3A4" w14:textId="77777777">
        <w:trPr>
          <w:trHeight w:val="253"/>
        </w:trPr>
        <w:tc>
          <w:tcPr>
            <w:tcW w:w="4910" w:type="dxa"/>
            <w:shd w:val="clear" w:color="auto" w:fill="auto"/>
          </w:tcPr>
          <w:p w14:paraId="66287FE0" w14:textId="77777777" w:rsidR="00F22FBD" w:rsidRDefault="00D44E4A">
            <w:pPr>
              <w:widowControl w:val="0"/>
              <w:kinsoku w:val="0"/>
              <w:overflowPunct w:val="0"/>
              <w:autoSpaceDE w:val="0"/>
              <w:autoSpaceDN w:val="0"/>
              <w:adjustRightInd w:val="0"/>
              <w:ind w:left="285"/>
              <w:rPr>
                <w:color w:val="000000"/>
                <w:szCs w:val="22"/>
                <w:lang w:val="sl-SI" w:eastAsia="sl-SI"/>
              </w:rPr>
            </w:pPr>
            <w:r>
              <w:t>Kraujavimas iš skrandžio ir žarnyno</w:t>
            </w:r>
          </w:p>
        </w:tc>
        <w:tc>
          <w:tcPr>
            <w:tcW w:w="4161" w:type="dxa"/>
            <w:shd w:val="clear" w:color="auto" w:fill="auto"/>
          </w:tcPr>
          <w:p w14:paraId="3ABEA1EC"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1ABBCCA6" w14:textId="77777777">
        <w:trPr>
          <w:trHeight w:val="251"/>
        </w:trPr>
        <w:tc>
          <w:tcPr>
            <w:tcW w:w="4910" w:type="dxa"/>
            <w:shd w:val="clear" w:color="auto" w:fill="auto"/>
          </w:tcPr>
          <w:p w14:paraId="1CD09A4E" w14:textId="77777777" w:rsidR="00F22FBD" w:rsidRDefault="00D44E4A">
            <w:pPr>
              <w:widowControl w:val="0"/>
              <w:kinsoku w:val="0"/>
              <w:overflowPunct w:val="0"/>
              <w:autoSpaceDE w:val="0"/>
              <w:autoSpaceDN w:val="0"/>
              <w:adjustRightInd w:val="0"/>
              <w:ind w:left="285"/>
              <w:rPr>
                <w:color w:val="000000"/>
                <w:szCs w:val="22"/>
                <w:lang w:val="sl-SI" w:eastAsia="sl-SI"/>
              </w:rPr>
            </w:pPr>
            <w:r>
              <w:t>Kraujavimas iš tiesiosios žarnos</w:t>
            </w:r>
          </w:p>
        </w:tc>
        <w:tc>
          <w:tcPr>
            <w:tcW w:w="4161" w:type="dxa"/>
            <w:shd w:val="clear" w:color="auto" w:fill="auto"/>
          </w:tcPr>
          <w:p w14:paraId="09BC6001"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010F77B3" w14:textId="77777777">
        <w:trPr>
          <w:trHeight w:val="253"/>
        </w:trPr>
        <w:tc>
          <w:tcPr>
            <w:tcW w:w="4910" w:type="dxa"/>
            <w:shd w:val="clear" w:color="auto" w:fill="auto"/>
          </w:tcPr>
          <w:p w14:paraId="31A6BE51" w14:textId="77777777" w:rsidR="00F22FBD" w:rsidRDefault="00D44E4A">
            <w:pPr>
              <w:widowControl w:val="0"/>
              <w:kinsoku w:val="0"/>
              <w:overflowPunct w:val="0"/>
              <w:autoSpaceDE w:val="0"/>
              <w:autoSpaceDN w:val="0"/>
              <w:adjustRightInd w:val="0"/>
              <w:ind w:left="285"/>
              <w:rPr>
                <w:color w:val="000000"/>
                <w:szCs w:val="22"/>
                <w:lang w:val="sl-SI" w:eastAsia="sl-SI"/>
              </w:rPr>
            </w:pPr>
            <w:r>
              <w:t>Hemorojinis kraujavimas</w:t>
            </w:r>
          </w:p>
        </w:tc>
        <w:tc>
          <w:tcPr>
            <w:tcW w:w="4161" w:type="dxa"/>
            <w:shd w:val="clear" w:color="auto" w:fill="auto"/>
          </w:tcPr>
          <w:p w14:paraId="64E0043D"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5D325079" w14:textId="77777777">
        <w:trPr>
          <w:trHeight w:val="251"/>
        </w:trPr>
        <w:tc>
          <w:tcPr>
            <w:tcW w:w="4910" w:type="dxa"/>
            <w:shd w:val="clear" w:color="auto" w:fill="auto"/>
          </w:tcPr>
          <w:p w14:paraId="496FB1D8" w14:textId="77777777" w:rsidR="00F22FBD" w:rsidRDefault="00D44E4A">
            <w:pPr>
              <w:widowControl w:val="0"/>
              <w:kinsoku w:val="0"/>
              <w:overflowPunct w:val="0"/>
              <w:autoSpaceDE w:val="0"/>
              <w:autoSpaceDN w:val="0"/>
              <w:adjustRightInd w:val="0"/>
              <w:ind w:left="285"/>
              <w:rPr>
                <w:color w:val="000000"/>
                <w:szCs w:val="22"/>
                <w:lang w:val="sl-SI" w:eastAsia="sl-SI"/>
              </w:rPr>
            </w:pPr>
            <w:r>
              <w:t>Viduriavimas</w:t>
            </w:r>
          </w:p>
        </w:tc>
        <w:tc>
          <w:tcPr>
            <w:tcW w:w="4161" w:type="dxa"/>
            <w:shd w:val="clear" w:color="auto" w:fill="auto"/>
          </w:tcPr>
          <w:p w14:paraId="5D067E90"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0FBA2516" w14:textId="77777777">
        <w:trPr>
          <w:trHeight w:val="253"/>
        </w:trPr>
        <w:tc>
          <w:tcPr>
            <w:tcW w:w="4910" w:type="dxa"/>
            <w:shd w:val="clear" w:color="auto" w:fill="auto"/>
          </w:tcPr>
          <w:p w14:paraId="6E461CF4" w14:textId="77777777" w:rsidR="00F22FBD" w:rsidRDefault="00D44E4A">
            <w:pPr>
              <w:widowControl w:val="0"/>
              <w:kinsoku w:val="0"/>
              <w:overflowPunct w:val="0"/>
              <w:autoSpaceDE w:val="0"/>
              <w:autoSpaceDN w:val="0"/>
              <w:adjustRightInd w:val="0"/>
              <w:ind w:left="285"/>
              <w:rPr>
                <w:color w:val="000000"/>
                <w:szCs w:val="22"/>
                <w:lang w:val="sl-SI" w:eastAsia="sl-SI"/>
              </w:rPr>
            </w:pPr>
            <w:r>
              <w:t>Pykinimas</w:t>
            </w:r>
          </w:p>
        </w:tc>
        <w:tc>
          <w:tcPr>
            <w:tcW w:w="4161" w:type="dxa"/>
            <w:shd w:val="clear" w:color="auto" w:fill="auto"/>
          </w:tcPr>
          <w:p w14:paraId="12D1A52B"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7C4CDAB7" w14:textId="77777777">
        <w:trPr>
          <w:trHeight w:val="254"/>
        </w:trPr>
        <w:tc>
          <w:tcPr>
            <w:tcW w:w="4910" w:type="dxa"/>
            <w:shd w:val="clear" w:color="auto" w:fill="auto"/>
          </w:tcPr>
          <w:p w14:paraId="732D74E3" w14:textId="77777777" w:rsidR="00F22FBD" w:rsidRDefault="00D44E4A">
            <w:pPr>
              <w:widowControl w:val="0"/>
              <w:kinsoku w:val="0"/>
              <w:overflowPunct w:val="0"/>
              <w:autoSpaceDE w:val="0"/>
              <w:autoSpaceDN w:val="0"/>
              <w:adjustRightInd w:val="0"/>
              <w:ind w:left="285"/>
              <w:rPr>
                <w:color w:val="000000"/>
                <w:szCs w:val="22"/>
                <w:lang w:val="sl-SI" w:eastAsia="sl-SI"/>
              </w:rPr>
            </w:pPr>
            <w:r>
              <w:t>Vėmimas</w:t>
            </w:r>
          </w:p>
        </w:tc>
        <w:tc>
          <w:tcPr>
            <w:tcW w:w="4161" w:type="dxa"/>
            <w:shd w:val="clear" w:color="auto" w:fill="auto"/>
          </w:tcPr>
          <w:p w14:paraId="31EA15A3"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7972EFC7" w14:textId="77777777">
        <w:trPr>
          <w:trHeight w:val="505"/>
        </w:trPr>
        <w:tc>
          <w:tcPr>
            <w:tcW w:w="4910" w:type="dxa"/>
            <w:shd w:val="clear" w:color="auto" w:fill="auto"/>
          </w:tcPr>
          <w:p w14:paraId="2B6F89C8" w14:textId="77777777" w:rsidR="00F22FBD" w:rsidRDefault="00D44E4A">
            <w:pPr>
              <w:widowControl w:val="0"/>
              <w:kinsoku w:val="0"/>
              <w:overflowPunct w:val="0"/>
              <w:autoSpaceDE w:val="0"/>
              <w:autoSpaceDN w:val="0"/>
              <w:adjustRightInd w:val="0"/>
              <w:ind w:left="285"/>
              <w:rPr>
                <w:color w:val="000000"/>
                <w:szCs w:val="22"/>
                <w:lang w:val="sl-SI" w:eastAsia="sl-SI"/>
              </w:rPr>
            </w:pPr>
            <w:r>
              <w:t>Skrandžio ar žarnų opa, įskaitant stemplės opą</w:t>
            </w:r>
          </w:p>
        </w:tc>
        <w:tc>
          <w:tcPr>
            <w:tcW w:w="4161" w:type="dxa"/>
            <w:shd w:val="clear" w:color="auto" w:fill="auto"/>
          </w:tcPr>
          <w:p w14:paraId="71057553" w14:textId="77777777" w:rsidR="00F22FBD" w:rsidRDefault="00D44E4A">
            <w:pPr>
              <w:widowControl w:val="0"/>
              <w:kinsoku w:val="0"/>
              <w:overflowPunct w:val="0"/>
              <w:autoSpaceDE w:val="0"/>
              <w:autoSpaceDN w:val="0"/>
              <w:adjustRightInd w:val="0"/>
              <w:jc w:val="center"/>
              <w:rPr>
                <w:color w:val="000000"/>
                <w:szCs w:val="22"/>
                <w:lang w:val="sl-SI" w:eastAsia="sl-SI"/>
              </w:rPr>
            </w:pPr>
            <w:r>
              <w:t>Retas</w:t>
            </w:r>
          </w:p>
        </w:tc>
      </w:tr>
      <w:tr w:rsidR="00F22FBD" w14:paraId="4B4929C5" w14:textId="77777777">
        <w:trPr>
          <w:trHeight w:val="251"/>
        </w:trPr>
        <w:tc>
          <w:tcPr>
            <w:tcW w:w="4910" w:type="dxa"/>
            <w:shd w:val="clear" w:color="auto" w:fill="auto"/>
          </w:tcPr>
          <w:p w14:paraId="4965A499" w14:textId="77777777" w:rsidR="00F22FBD" w:rsidRDefault="00D44E4A">
            <w:pPr>
              <w:widowControl w:val="0"/>
              <w:kinsoku w:val="0"/>
              <w:overflowPunct w:val="0"/>
              <w:autoSpaceDE w:val="0"/>
              <w:autoSpaceDN w:val="0"/>
              <w:adjustRightInd w:val="0"/>
              <w:ind w:left="285"/>
              <w:rPr>
                <w:color w:val="000000"/>
                <w:szCs w:val="22"/>
                <w:lang w:val="sl-SI" w:eastAsia="sl-SI"/>
              </w:rPr>
            </w:pPr>
            <w:r>
              <w:t>Gastroezofagitas</w:t>
            </w:r>
          </w:p>
        </w:tc>
        <w:tc>
          <w:tcPr>
            <w:tcW w:w="4161" w:type="dxa"/>
            <w:shd w:val="clear" w:color="auto" w:fill="auto"/>
          </w:tcPr>
          <w:p w14:paraId="5B684C6F" w14:textId="77777777" w:rsidR="00F22FBD" w:rsidRDefault="00D44E4A">
            <w:pPr>
              <w:widowControl w:val="0"/>
              <w:kinsoku w:val="0"/>
              <w:overflowPunct w:val="0"/>
              <w:autoSpaceDE w:val="0"/>
              <w:autoSpaceDN w:val="0"/>
              <w:adjustRightInd w:val="0"/>
              <w:jc w:val="center"/>
              <w:rPr>
                <w:color w:val="000000"/>
                <w:szCs w:val="22"/>
                <w:lang w:val="sl-SI" w:eastAsia="sl-SI"/>
              </w:rPr>
            </w:pPr>
            <w:r>
              <w:t>Retas</w:t>
            </w:r>
          </w:p>
        </w:tc>
      </w:tr>
      <w:tr w:rsidR="00F22FBD" w14:paraId="53272412" w14:textId="77777777">
        <w:trPr>
          <w:trHeight w:val="253"/>
        </w:trPr>
        <w:tc>
          <w:tcPr>
            <w:tcW w:w="4910" w:type="dxa"/>
            <w:shd w:val="clear" w:color="auto" w:fill="auto"/>
          </w:tcPr>
          <w:p w14:paraId="50D4568A" w14:textId="77777777" w:rsidR="00F22FBD" w:rsidRDefault="00D44E4A">
            <w:pPr>
              <w:widowControl w:val="0"/>
              <w:kinsoku w:val="0"/>
              <w:overflowPunct w:val="0"/>
              <w:autoSpaceDE w:val="0"/>
              <w:autoSpaceDN w:val="0"/>
              <w:adjustRightInd w:val="0"/>
              <w:ind w:left="285"/>
              <w:rPr>
                <w:color w:val="000000"/>
                <w:szCs w:val="22"/>
                <w:lang w:val="sl-SI" w:eastAsia="sl-SI"/>
              </w:rPr>
            </w:pPr>
            <w:r>
              <w:t>Gastroezofaginio refliukso liga</w:t>
            </w:r>
          </w:p>
        </w:tc>
        <w:tc>
          <w:tcPr>
            <w:tcW w:w="4161" w:type="dxa"/>
            <w:shd w:val="clear" w:color="auto" w:fill="auto"/>
          </w:tcPr>
          <w:p w14:paraId="7D08BC27" w14:textId="77777777" w:rsidR="00F22FBD" w:rsidRDefault="00D44E4A">
            <w:pPr>
              <w:widowControl w:val="0"/>
              <w:kinsoku w:val="0"/>
              <w:overflowPunct w:val="0"/>
              <w:autoSpaceDE w:val="0"/>
              <w:autoSpaceDN w:val="0"/>
              <w:adjustRightInd w:val="0"/>
              <w:jc w:val="center"/>
              <w:rPr>
                <w:color w:val="000000"/>
                <w:szCs w:val="22"/>
                <w:lang w:val="sl-SI" w:eastAsia="sl-SI"/>
              </w:rPr>
            </w:pPr>
            <w:r>
              <w:t>Retas</w:t>
            </w:r>
          </w:p>
        </w:tc>
      </w:tr>
      <w:tr w:rsidR="00F22FBD" w14:paraId="59BD5289" w14:textId="77777777">
        <w:trPr>
          <w:trHeight w:val="251"/>
        </w:trPr>
        <w:tc>
          <w:tcPr>
            <w:tcW w:w="4910" w:type="dxa"/>
            <w:shd w:val="clear" w:color="auto" w:fill="auto"/>
          </w:tcPr>
          <w:p w14:paraId="1F9FA2C7" w14:textId="77777777" w:rsidR="00F22FBD" w:rsidRDefault="00D44E4A">
            <w:pPr>
              <w:widowControl w:val="0"/>
              <w:kinsoku w:val="0"/>
              <w:overflowPunct w:val="0"/>
              <w:autoSpaceDE w:val="0"/>
              <w:autoSpaceDN w:val="0"/>
              <w:adjustRightInd w:val="0"/>
              <w:ind w:left="285"/>
              <w:rPr>
                <w:color w:val="000000"/>
                <w:szCs w:val="22"/>
                <w:lang w:val="sl-SI" w:eastAsia="sl-SI"/>
              </w:rPr>
            </w:pPr>
            <w:r>
              <w:t>Pilvo skausmas</w:t>
            </w:r>
          </w:p>
        </w:tc>
        <w:tc>
          <w:tcPr>
            <w:tcW w:w="4161" w:type="dxa"/>
            <w:shd w:val="clear" w:color="auto" w:fill="auto"/>
          </w:tcPr>
          <w:p w14:paraId="4A3476C5" w14:textId="77777777" w:rsidR="00F22FBD" w:rsidRDefault="00D44E4A">
            <w:pPr>
              <w:widowControl w:val="0"/>
              <w:kinsoku w:val="0"/>
              <w:overflowPunct w:val="0"/>
              <w:autoSpaceDE w:val="0"/>
              <w:autoSpaceDN w:val="0"/>
              <w:adjustRightInd w:val="0"/>
              <w:jc w:val="center"/>
              <w:rPr>
                <w:color w:val="000000"/>
                <w:szCs w:val="22"/>
                <w:lang w:val="sl-SI" w:eastAsia="sl-SI"/>
              </w:rPr>
            </w:pPr>
            <w:r>
              <w:t>Retas</w:t>
            </w:r>
          </w:p>
        </w:tc>
      </w:tr>
      <w:tr w:rsidR="00F22FBD" w14:paraId="0DA107D1" w14:textId="77777777">
        <w:trPr>
          <w:trHeight w:val="253"/>
        </w:trPr>
        <w:tc>
          <w:tcPr>
            <w:tcW w:w="4910" w:type="dxa"/>
            <w:shd w:val="clear" w:color="auto" w:fill="auto"/>
          </w:tcPr>
          <w:p w14:paraId="4F142BFC" w14:textId="77777777" w:rsidR="00F22FBD" w:rsidRDefault="00D44E4A">
            <w:pPr>
              <w:widowControl w:val="0"/>
              <w:kinsoku w:val="0"/>
              <w:overflowPunct w:val="0"/>
              <w:autoSpaceDE w:val="0"/>
              <w:autoSpaceDN w:val="0"/>
              <w:adjustRightInd w:val="0"/>
              <w:ind w:left="285"/>
              <w:rPr>
                <w:color w:val="000000"/>
                <w:szCs w:val="22"/>
                <w:lang w:val="sl-SI" w:eastAsia="sl-SI"/>
              </w:rPr>
            </w:pPr>
            <w:r>
              <w:t>Dispepsija</w:t>
            </w:r>
          </w:p>
        </w:tc>
        <w:tc>
          <w:tcPr>
            <w:tcW w:w="4161" w:type="dxa"/>
            <w:shd w:val="clear" w:color="auto" w:fill="auto"/>
          </w:tcPr>
          <w:p w14:paraId="53E830B2" w14:textId="77777777" w:rsidR="00F22FBD" w:rsidRDefault="00D44E4A">
            <w:pPr>
              <w:widowControl w:val="0"/>
              <w:kinsoku w:val="0"/>
              <w:overflowPunct w:val="0"/>
              <w:autoSpaceDE w:val="0"/>
              <w:autoSpaceDN w:val="0"/>
              <w:adjustRightInd w:val="0"/>
              <w:jc w:val="center"/>
              <w:rPr>
                <w:color w:val="000000"/>
                <w:szCs w:val="22"/>
                <w:lang w:val="sl-SI" w:eastAsia="sl-SI"/>
              </w:rPr>
            </w:pPr>
            <w:r>
              <w:t>Retas</w:t>
            </w:r>
          </w:p>
        </w:tc>
      </w:tr>
      <w:tr w:rsidR="00F22FBD" w14:paraId="0D1632F6" w14:textId="77777777">
        <w:trPr>
          <w:trHeight w:val="251"/>
        </w:trPr>
        <w:tc>
          <w:tcPr>
            <w:tcW w:w="4910" w:type="dxa"/>
            <w:shd w:val="clear" w:color="auto" w:fill="auto"/>
          </w:tcPr>
          <w:p w14:paraId="75B586A8" w14:textId="77777777" w:rsidR="00F22FBD" w:rsidRDefault="00D44E4A">
            <w:pPr>
              <w:widowControl w:val="0"/>
              <w:kinsoku w:val="0"/>
              <w:overflowPunct w:val="0"/>
              <w:autoSpaceDE w:val="0"/>
              <w:autoSpaceDN w:val="0"/>
              <w:adjustRightInd w:val="0"/>
              <w:ind w:left="285"/>
              <w:rPr>
                <w:color w:val="000000"/>
                <w:szCs w:val="22"/>
                <w:lang w:val="sl-SI" w:eastAsia="sl-SI"/>
              </w:rPr>
            </w:pPr>
            <w:r>
              <w:t>Disfagija</w:t>
            </w:r>
          </w:p>
        </w:tc>
        <w:tc>
          <w:tcPr>
            <w:tcW w:w="4161" w:type="dxa"/>
            <w:shd w:val="clear" w:color="auto" w:fill="auto"/>
          </w:tcPr>
          <w:p w14:paraId="4FFBE1E7" w14:textId="77777777" w:rsidR="00F22FBD" w:rsidRDefault="00D44E4A">
            <w:pPr>
              <w:widowControl w:val="0"/>
              <w:kinsoku w:val="0"/>
              <w:overflowPunct w:val="0"/>
              <w:autoSpaceDE w:val="0"/>
              <w:autoSpaceDN w:val="0"/>
              <w:adjustRightInd w:val="0"/>
              <w:jc w:val="center"/>
              <w:rPr>
                <w:color w:val="000000"/>
                <w:szCs w:val="22"/>
                <w:lang w:val="sl-SI" w:eastAsia="sl-SI"/>
              </w:rPr>
            </w:pPr>
            <w:r>
              <w:t>Retas</w:t>
            </w:r>
          </w:p>
        </w:tc>
      </w:tr>
      <w:tr w:rsidR="00F22FBD" w14:paraId="515B45D1" w14:textId="77777777">
        <w:trPr>
          <w:trHeight w:val="253"/>
        </w:trPr>
        <w:tc>
          <w:tcPr>
            <w:tcW w:w="9071" w:type="dxa"/>
            <w:gridSpan w:val="2"/>
            <w:shd w:val="clear" w:color="auto" w:fill="auto"/>
          </w:tcPr>
          <w:p w14:paraId="27ADCB41" w14:textId="77777777" w:rsidR="00F22FBD" w:rsidRDefault="00D44E4A">
            <w:pPr>
              <w:widowControl w:val="0"/>
              <w:kinsoku w:val="0"/>
              <w:overflowPunct w:val="0"/>
              <w:autoSpaceDE w:val="0"/>
              <w:autoSpaceDN w:val="0"/>
              <w:adjustRightInd w:val="0"/>
              <w:ind w:left="105"/>
              <w:rPr>
                <w:color w:val="000000"/>
                <w:szCs w:val="22"/>
                <w:lang w:val="sl-SI" w:eastAsia="sl-SI"/>
              </w:rPr>
            </w:pPr>
            <w:r>
              <w:t>Kepenų, tulžies pūslės ir latakų sutrikimai</w:t>
            </w:r>
          </w:p>
        </w:tc>
      </w:tr>
      <w:tr w:rsidR="00F22FBD" w14:paraId="1DEEFEDB" w14:textId="77777777">
        <w:trPr>
          <w:trHeight w:val="505"/>
        </w:trPr>
        <w:tc>
          <w:tcPr>
            <w:tcW w:w="4910" w:type="dxa"/>
            <w:shd w:val="clear" w:color="auto" w:fill="auto"/>
          </w:tcPr>
          <w:p w14:paraId="35924E86" w14:textId="77777777" w:rsidR="00F22FBD" w:rsidRDefault="00D44E4A">
            <w:pPr>
              <w:widowControl w:val="0"/>
              <w:kinsoku w:val="0"/>
              <w:overflowPunct w:val="0"/>
              <w:autoSpaceDE w:val="0"/>
              <w:autoSpaceDN w:val="0"/>
              <w:adjustRightInd w:val="0"/>
              <w:ind w:left="285"/>
              <w:rPr>
                <w:color w:val="000000"/>
                <w:szCs w:val="22"/>
                <w:lang w:val="sl-SI" w:eastAsia="sl-SI"/>
              </w:rPr>
            </w:pPr>
            <w:r>
              <w:t>Nenormali kepenų funkcija / nenormalūs kepenų funkcijos tyrimų duomenys</w:t>
            </w:r>
          </w:p>
        </w:tc>
        <w:tc>
          <w:tcPr>
            <w:tcW w:w="4161" w:type="dxa"/>
            <w:shd w:val="clear" w:color="auto" w:fill="auto"/>
          </w:tcPr>
          <w:p w14:paraId="48DB3E39"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F22FBD" w14:paraId="72421748" w14:textId="77777777">
        <w:trPr>
          <w:trHeight w:val="254"/>
        </w:trPr>
        <w:tc>
          <w:tcPr>
            <w:tcW w:w="4910" w:type="dxa"/>
            <w:shd w:val="clear" w:color="auto" w:fill="auto"/>
          </w:tcPr>
          <w:p w14:paraId="74B3CB7B" w14:textId="77777777" w:rsidR="00F22FBD" w:rsidRDefault="00D44E4A">
            <w:pPr>
              <w:widowControl w:val="0"/>
              <w:kinsoku w:val="0"/>
              <w:overflowPunct w:val="0"/>
              <w:autoSpaceDE w:val="0"/>
              <w:autoSpaceDN w:val="0"/>
              <w:adjustRightInd w:val="0"/>
              <w:ind w:left="285"/>
              <w:rPr>
                <w:color w:val="000000"/>
                <w:szCs w:val="22"/>
                <w:lang w:val="sl-SI" w:eastAsia="sl-SI"/>
              </w:rPr>
            </w:pPr>
            <w:r>
              <w:t>Alaninaminotransferazės aktyvumo padidėjimas</w:t>
            </w:r>
          </w:p>
        </w:tc>
        <w:tc>
          <w:tcPr>
            <w:tcW w:w="4161" w:type="dxa"/>
            <w:shd w:val="clear" w:color="auto" w:fill="auto"/>
          </w:tcPr>
          <w:p w14:paraId="3092292B"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6C72D997" w14:textId="77777777">
        <w:trPr>
          <w:trHeight w:val="251"/>
        </w:trPr>
        <w:tc>
          <w:tcPr>
            <w:tcW w:w="4910" w:type="dxa"/>
            <w:shd w:val="clear" w:color="auto" w:fill="auto"/>
          </w:tcPr>
          <w:p w14:paraId="6C841BFD" w14:textId="77777777" w:rsidR="00F22FBD" w:rsidRDefault="00D44E4A">
            <w:pPr>
              <w:widowControl w:val="0"/>
              <w:kinsoku w:val="0"/>
              <w:overflowPunct w:val="0"/>
              <w:autoSpaceDE w:val="0"/>
              <w:autoSpaceDN w:val="0"/>
              <w:adjustRightInd w:val="0"/>
              <w:ind w:left="285"/>
              <w:rPr>
                <w:color w:val="000000"/>
                <w:szCs w:val="22"/>
                <w:lang w:val="sl-SI" w:eastAsia="sl-SI"/>
              </w:rPr>
            </w:pPr>
            <w:r>
              <w:t>Aspartataminotransferazės aktyvumo padidėjimas</w:t>
            </w:r>
          </w:p>
        </w:tc>
        <w:tc>
          <w:tcPr>
            <w:tcW w:w="4161" w:type="dxa"/>
            <w:shd w:val="clear" w:color="auto" w:fill="auto"/>
          </w:tcPr>
          <w:p w14:paraId="2332BC69"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564F2E8D" w14:textId="77777777">
        <w:trPr>
          <w:trHeight w:val="253"/>
        </w:trPr>
        <w:tc>
          <w:tcPr>
            <w:tcW w:w="4910" w:type="dxa"/>
            <w:shd w:val="clear" w:color="auto" w:fill="auto"/>
          </w:tcPr>
          <w:p w14:paraId="0D1260B5" w14:textId="77777777" w:rsidR="00F22FBD" w:rsidRDefault="00D44E4A">
            <w:pPr>
              <w:widowControl w:val="0"/>
              <w:kinsoku w:val="0"/>
              <w:overflowPunct w:val="0"/>
              <w:autoSpaceDE w:val="0"/>
              <w:autoSpaceDN w:val="0"/>
              <w:adjustRightInd w:val="0"/>
              <w:ind w:left="285"/>
              <w:rPr>
                <w:color w:val="000000"/>
                <w:szCs w:val="22"/>
                <w:lang w:val="sl-SI" w:eastAsia="sl-SI"/>
              </w:rPr>
            </w:pPr>
            <w:r>
              <w:t>Kepenų fermentų aktyvumo padidėjimas</w:t>
            </w:r>
          </w:p>
        </w:tc>
        <w:tc>
          <w:tcPr>
            <w:tcW w:w="4161" w:type="dxa"/>
            <w:shd w:val="clear" w:color="auto" w:fill="auto"/>
          </w:tcPr>
          <w:p w14:paraId="1514B422"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06C1774C" w14:textId="77777777">
        <w:trPr>
          <w:trHeight w:val="251"/>
        </w:trPr>
        <w:tc>
          <w:tcPr>
            <w:tcW w:w="4910" w:type="dxa"/>
            <w:shd w:val="clear" w:color="auto" w:fill="auto"/>
          </w:tcPr>
          <w:p w14:paraId="36B9CBE3" w14:textId="77777777" w:rsidR="00F22FBD" w:rsidRDefault="00D44E4A">
            <w:pPr>
              <w:widowControl w:val="0"/>
              <w:kinsoku w:val="0"/>
              <w:overflowPunct w:val="0"/>
              <w:autoSpaceDE w:val="0"/>
              <w:autoSpaceDN w:val="0"/>
              <w:adjustRightInd w:val="0"/>
              <w:ind w:left="285"/>
              <w:rPr>
                <w:color w:val="000000"/>
                <w:szCs w:val="22"/>
                <w:lang w:val="sl-SI" w:eastAsia="sl-SI"/>
              </w:rPr>
            </w:pPr>
            <w:r>
              <w:t>Hiperbilirubinemija</w:t>
            </w:r>
          </w:p>
        </w:tc>
        <w:tc>
          <w:tcPr>
            <w:tcW w:w="4161" w:type="dxa"/>
            <w:shd w:val="clear" w:color="auto" w:fill="auto"/>
          </w:tcPr>
          <w:p w14:paraId="10CF9630"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73187ADC" w14:textId="77777777">
        <w:trPr>
          <w:trHeight w:val="253"/>
        </w:trPr>
        <w:tc>
          <w:tcPr>
            <w:tcW w:w="9071" w:type="dxa"/>
            <w:gridSpan w:val="2"/>
            <w:shd w:val="clear" w:color="auto" w:fill="auto"/>
          </w:tcPr>
          <w:p w14:paraId="470A5981" w14:textId="77777777" w:rsidR="00F22FBD" w:rsidRDefault="00D44E4A">
            <w:pPr>
              <w:widowControl w:val="0"/>
              <w:kinsoku w:val="0"/>
              <w:overflowPunct w:val="0"/>
              <w:autoSpaceDE w:val="0"/>
              <w:autoSpaceDN w:val="0"/>
              <w:adjustRightInd w:val="0"/>
              <w:ind w:left="105"/>
              <w:rPr>
                <w:color w:val="000000"/>
                <w:szCs w:val="22"/>
                <w:lang w:val="sl-SI" w:eastAsia="sl-SI"/>
              </w:rPr>
            </w:pPr>
            <w:r>
              <w:t>Odos ir poodinio audinio sutrikimai</w:t>
            </w:r>
          </w:p>
        </w:tc>
      </w:tr>
      <w:tr w:rsidR="00F22FBD" w14:paraId="34BB7631" w14:textId="77777777">
        <w:trPr>
          <w:trHeight w:val="251"/>
        </w:trPr>
        <w:tc>
          <w:tcPr>
            <w:tcW w:w="4910" w:type="dxa"/>
            <w:shd w:val="clear" w:color="auto" w:fill="auto"/>
          </w:tcPr>
          <w:p w14:paraId="0D2E3154" w14:textId="77777777" w:rsidR="00F22FBD" w:rsidRDefault="00D44E4A">
            <w:pPr>
              <w:widowControl w:val="0"/>
              <w:kinsoku w:val="0"/>
              <w:overflowPunct w:val="0"/>
              <w:autoSpaceDE w:val="0"/>
              <w:autoSpaceDN w:val="0"/>
              <w:adjustRightInd w:val="0"/>
              <w:ind w:left="285"/>
              <w:rPr>
                <w:color w:val="000000"/>
                <w:szCs w:val="22"/>
                <w:lang w:val="sl-SI" w:eastAsia="sl-SI"/>
              </w:rPr>
            </w:pPr>
            <w:r>
              <w:t>Kraujavimas į odą</w:t>
            </w:r>
          </w:p>
        </w:tc>
        <w:tc>
          <w:tcPr>
            <w:tcW w:w="4161" w:type="dxa"/>
            <w:shd w:val="clear" w:color="auto" w:fill="auto"/>
          </w:tcPr>
          <w:p w14:paraId="40270A1B"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752D9298" w14:textId="77777777">
        <w:trPr>
          <w:trHeight w:val="251"/>
        </w:trPr>
        <w:tc>
          <w:tcPr>
            <w:tcW w:w="4910" w:type="dxa"/>
            <w:shd w:val="clear" w:color="auto" w:fill="auto"/>
          </w:tcPr>
          <w:p w14:paraId="16B1FB1D" w14:textId="77777777" w:rsidR="00F22FBD" w:rsidRDefault="00D44E4A">
            <w:pPr>
              <w:widowControl w:val="0"/>
              <w:kinsoku w:val="0"/>
              <w:overflowPunct w:val="0"/>
              <w:autoSpaceDE w:val="0"/>
              <w:autoSpaceDN w:val="0"/>
              <w:adjustRightInd w:val="0"/>
              <w:ind w:left="285"/>
              <w:rPr>
                <w:color w:val="000000"/>
                <w:szCs w:val="22"/>
                <w:lang w:val="sl-SI" w:eastAsia="sl-SI"/>
              </w:rPr>
            </w:pPr>
            <w:r>
              <w:t>Alopecija</w:t>
            </w:r>
          </w:p>
        </w:tc>
        <w:tc>
          <w:tcPr>
            <w:tcW w:w="4161" w:type="dxa"/>
            <w:shd w:val="clear" w:color="auto" w:fill="auto"/>
          </w:tcPr>
          <w:p w14:paraId="44FB3BAF" w14:textId="77777777" w:rsidR="00F22FBD" w:rsidRDefault="00D44E4A">
            <w:pPr>
              <w:widowControl w:val="0"/>
              <w:kinsoku w:val="0"/>
              <w:overflowPunct w:val="0"/>
              <w:autoSpaceDE w:val="0"/>
              <w:autoSpaceDN w:val="0"/>
              <w:adjustRightInd w:val="0"/>
              <w:jc w:val="center"/>
              <w:rPr>
                <w:color w:val="000000"/>
                <w:szCs w:val="22"/>
                <w:lang w:val="sl-SI" w:eastAsia="sl-SI"/>
              </w:rPr>
            </w:pPr>
            <w:r>
              <w:t>Dažnis nežinomas</w:t>
            </w:r>
          </w:p>
        </w:tc>
      </w:tr>
      <w:tr w:rsidR="00F22FBD" w14:paraId="5A578CA2" w14:textId="77777777">
        <w:trPr>
          <w:trHeight w:val="253"/>
        </w:trPr>
        <w:tc>
          <w:tcPr>
            <w:tcW w:w="9071" w:type="dxa"/>
            <w:gridSpan w:val="2"/>
            <w:shd w:val="clear" w:color="auto" w:fill="auto"/>
          </w:tcPr>
          <w:p w14:paraId="705DD23E" w14:textId="77777777" w:rsidR="00F22FBD" w:rsidRDefault="00D44E4A">
            <w:pPr>
              <w:widowControl w:val="0"/>
              <w:kinsoku w:val="0"/>
              <w:overflowPunct w:val="0"/>
              <w:autoSpaceDE w:val="0"/>
              <w:autoSpaceDN w:val="0"/>
              <w:adjustRightInd w:val="0"/>
              <w:ind w:left="105"/>
              <w:rPr>
                <w:color w:val="000000"/>
                <w:szCs w:val="22"/>
                <w:lang w:val="sl-SI" w:eastAsia="sl-SI"/>
              </w:rPr>
            </w:pPr>
            <w:r>
              <w:t>Skeleto, raumenų ir jungiamojo audinio sutrikimai</w:t>
            </w:r>
          </w:p>
        </w:tc>
      </w:tr>
      <w:tr w:rsidR="00F22FBD" w14:paraId="5D770760" w14:textId="77777777">
        <w:trPr>
          <w:trHeight w:val="253"/>
        </w:trPr>
        <w:tc>
          <w:tcPr>
            <w:tcW w:w="4910" w:type="dxa"/>
            <w:shd w:val="clear" w:color="auto" w:fill="auto"/>
          </w:tcPr>
          <w:p w14:paraId="6BBB0348" w14:textId="77777777" w:rsidR="00F22FBD" w:rsidRDefault="00D44E4A">
            <w:pPr>
              <w:widowControl w:val="0"/>
              <w:kinsoku w:val="0"/>
              <w:overflowPunct w:val="0"/>
              <w:autoSpaceDE w:val="0"/>
              <w:autoSpaceDN w:val="0"/>
              <w:adjustRightInd w:val="0"/>
              <w:ind w:left="285"/>
              <w:rPr>
                <w:color w:val="000000"/>
                <w:szCs w:val="22"/>
                <w:lang w:val="sl-SI" w:eastAsia="sl-SI"/>
              </w:rPr>
            </w:pPr>
            <w:r>
              <w:t>Hemartrozė</w:t>
            </w:r>
          </w:p>
        </w:tc>
        <w:tc>
          <w:tcPr>
            <w:tcW w:w="4161" w:type="dxa"/>
            <w:shd w:val="clear" w:color="auto" w:fill="auto"/>
          </w:tcPr>
          <w:p w14:paraId="0079D899"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7A1EB9EA" w14:textId="77777777">
        <w:trPr>
          <w:trHeight w:val="251"/>
        </w:trPr>
        <w:tc>
          <w:tcPr>
            <w:tcW w:w="9071" w:type="dxa"/>
            <w:gridSpan w:val="2"/>
            <w:shd w:val="clear" w:color="auto" w:fill="auto"/>
          </w:tcPr>
          <w:p w14:paraId="3A62C4A5" w14:textId="77777777" w:rsidR="00F22FBD" w:rsidRDefault="00D44E4A">
            <w:pPr>
              <w:widowControl w:val="0"/>
              <w:kinsoku w:val="0"/>
              <w:overflowPunct w:val="0"/>
              <w:autoSpaceDE w:val="0"/>
              <w:autoSpaceDN w:val="0"/>
              <w:adjustRightInd w:val="0"/>
              <w:ind w:left="105"/>
              <w:rPr>
                <w:color w:val="000000"/>
                <w:szCs w:val="22"/>
                <w:lang w:val="sl-SI" w:eastAsia="sl-SI"/>
              </w:rPr>
            </w:pPr>
            <w:r>
              <w:t>Inkstų ir šlapimo takų sutrikimai</w:t>
            </w:r>
          </w:p>
        </w:tc>
      </w:tr>
      <w:tr w:rsidR="00F22FBD" w14:paraId="6C904CDD" w14:textId="77777777">
        <w:trPr>
          <w:trHeight w:val="506"/>
        </w:trPr>
        <w:tc>
          <w:tcPr>
            <w:tcW w:w="4910" w:type="dxa"/>
            <w:shd w:val="clear" w:color="auto" w:fill="auto"/>
          </w:tcPr>
          <w:p w14:paraId="07CF4D42" w14:textId="77777777" w:rsidR="00F22FBD" w:rsidRDefault="00D44E4A">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Kraujavimas iš lyties ir šlapimo organų, įskaitant hematuriją</w:t>
            </w:r>
          </w:p>
        </w:tc>
        <w:tc>
          <w:tcPr>
            <w:tcW w:w="4161" w:type="dxa"/>
            <w:shd w:val="clear" w:color="auto" w:fill="auto"/>
          </w:tcPr>
          <w:p w14:paraId="36D38B35"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F22FBD" w14:paraId="49E7BFBF" w14:textId="77777777">
        <w:trPr>
          <w:trHeight w:val="253"/>
        </w:trPr>
        <w:tc>
          <w:tcPr>
            <w:tcW w:w="9071" w:type="dxa"/>
            <w:gridSpan w:val="2"/>
            <w:shd w:val="clear" w:color="auto" w:fill="auto"/>
          </w:tcPr>
          <w:p w14:paraId="76E1A79A" w14:textId="77777777" w:rsidR="00F22FBD" w:rsidRDefault="00D44E4A">
            <w:pPr>
              <w:widowControl w:val="0"/>
              <w:kinsoku w:val="0"/>
              <w:overflowPunct w:val="0"/>
              <w:autoSpaceDE w:val="0"/>
              <w:autoSpaceDN w:val="0"/>
              <w:adjustRightInd w:val="0"/>
              <w:ind w:left="105"/>
              <w:rPr>
                <w:color w:val="000000"/>
                <w:szCs w:val="22"/>
                <w:lang w:val="sl-SI" w:eastAsia="sl-SI"/>
              </w:rPr>
            </w:pPr>
            <w:r>
              <w:t>Bendrieji sutrikimai ir vartojimo vietos pažeidimai</w:t>
            </w:r>
          </w:p>
        </w:tc>
      </w:tr>
      <w:tr w:rsidR="00F22FBD" w14:paraId="320492DB" w14:textId="77777777">
        <w:trPr>
          <w:trHeight w:val="251"/>
        </w:trPr>
        <w:tc>
          <w:tcPr>
            <w:tcW w:w="4910" w:type="dxa"/>
            <w:shd w:val="clear" w:color="auto" w:fill="auto"/>
          </w:tcPr>
          <w:p w14:paraId="5AB3E584" w14:textId="77777777" w:rsidR="00F22FBD" w:rsidRDefault="00D44E4A">
            <w:pPr>
              <w:widowControl w:val="0"/>
              <w:kinsoku w:val="0"/>
              <w:overflowPunct w:val="0"/>
              <w:autoSpaceDE w:val="0"/>
              <w:autoSpaceDN w:val="0"/>
              <w:adjustRightInd w:val="0"/>
              <w:ind w:left="285"/>
              <w:rPr>
                <w:color w:val="000000"/>
                <w:szCs w:val="22"/>
                <w:lang w:val="sl-SI" w:eastAsia="sl-SI"/>
              </w:rPr>
            </w:pPr>
            <w:r>
              <w:t>Kraujavimas iš injekcijos vietos</w:t>
            </w:r>
          </w:p>
        </w:tc>
        <w:tc>
          <w:tcPr>
            <w:tcW w:w="4161" w:type="dxa"/>
            <w:shd w:val="clear" w:color="auto" w:fill="auto"/>
          </w:tcPr>
          <w:p w14:paraId="4278DEB5" w14:textId="77777777" w:rsidR="00F22FBD" w:rsidRDefault="00D44E4A">
            <w:pPr>
              <w:widowControl w:val="0"/>
              <w:kinsoku w:val="0"/>
              <w:overflowPunct w:val="0"/>
              <w:autoSpaceDE w:val="0"/>
              <w:autoSpaceDN w:val="0"/>
              <w:adjustRightInd w:val="0"/>
              <w:jc w:val="center"/>
              <w:rPr>
                <w:color w:val="000000"/>
                <w:szCs w:val="22"/>
                <w:lang w:val="sl-SI" w:eastAsia="sl-SI"/>
              </w:rPr>
            </w:pPr>
            <w:r>
              <w:t>Retas</w:t>
            </w:r>
          </w:p>
        </w:tc>
      </w:tr>
      <w:tr w:rsidR="00F22FBD" w14:paraId="668DD72C" w14:textId="77777777">
        <w:trPr>
          <w:trHeight w:val="253"/>
        </w:trPr>
        <w:tc>
          <w:tcPr>
            <w:tcW w:w="4910" w:type="dxa"/>
            <w:shd w:val="clear" w:color="auto" w:fill="auto"/>
          </w:tcPr>
          <w:p w14:paraId="7482B1E0" w14:textId="77777777" w:rsidR="00F22FBD" w:rsidRDefault="00D44E4A">
            <w:pPr>
              <w:widowControl w:val="0"/>
              <w:kinsoku w:val="0"/>
              <w:overflowPunct w:val="0"/>
              <w:autoSpaceDE w:val="0"/>
              <w:autoSpaceDN w:val="0"/>
              <w:adjustRightInd w:val="0"/>
              <w:ind w:left="285"/>
              <w:rPr>
                <w:color w:val="000000"/>
                <w:szCs w:val="22"/>
                <w:lang w:val="sl-SI" w:eastAsia="sl-SI"/>
              </w:rPr>
            </w:pPr>
            <w:r>
              <w:t>Kraujavimas iš kateterio vietos</w:t>
            </w:r>
          </w:p>
        </w:tc>
        <w:tc>
          <w:tcPr>
            <w:tcW w:w="4161" w:type="dxa"/>
            <w:shd w:val="clear" w:color="auto" w:fill="auto"/>
          </w:tcPr>
          <w:p w14:paraId="54EEC1CE" w14:textId="77777777" w:rsidR="00F22FBD" w:rsidRDefault="00D44E4A">
            <w:pPr>
              <w:widowControl w:val="0"/>
              <w:kinsoku w:val="0"/>
              <w:overflowPunct w:val="0"/>
              <w:autoSpaceDE w:val="0"/>
              <w:autoSpaceDN w:val="0"/>
              <w:adjustRightInd w:val="0"/>
              <w:jc w:val="center"/>
              <w:rPr>
                <w:color w:val="000000"/>
                <w:szCs w:val="22"/>
                <w:lang w:val="sl-SI" w:eastAsia="sl-SI"/>
              </w:rPr>
            </w:pPr>
            <w:r>
              <w:t>Retas</w:t>
            </w:r>
          </w:p>
        </w:tc>
      </w:tr>
      <w:tr w:rsidR="00F22FBD" w14:paraId="216ED409" w14:textId="77777777">
        <w:trPr>
          <w:trHeight w:val="254"/>
        </w:trPr>
        <w:tc>
          <w:tcPr>
            <w:tcW w:w="4910" w:type="dxa"/>
            <w:shd w:val="clear" w:color="auto" w:fill="auto"/>
          </w:tcPr>
          <w:p w14:paraId="6A849CEE" w14:textId="77777777" w:rsidR="00F22FBD" w:rsidRDefault="00D44E4A">
            <w:pPr>
              <w:widowControl w:val="0"/>
              <w:kinsoku w:val="0"/>
              <w:overflowPunct w:val="0"/>
              <w:autoSpaceDE w:val="0"/>
              <w:autoSpaceDN w:val="0"/>
              <w:adjustRightInd w:val="0"/>
              <w:ind w:left="285"/>
              <w:rPr>
                <w:color w:val="000000"/>
                <w:szCs w:val="22"/>
                <w:lang w:val="sl-SI" w:eastAsia="sl-SI"/>
              </w:rPr>
            </w:pPr>
            <w:r>
              <w:t>Kraujingo sekreto išsiskyrimas</w:t>
            </w:r>
          </w:p>
        </w:tc>
        <w:tc>
          <w:tcPr>
            <w:tcW w:w="4161" w:type="dxa"/>
            <w:shd w:val="clear" w:color="auto" w:fill="auto"/>
          </w:tcPr>
          <w:p w14:paraId="7C855084" w14:textId="77777777" w:rsidR="00F22FBD" w:rsidRDefault="00D44E4A">
            <w:pPr>
              <w:widowControl w:val="0"/>
              <w:kinsoku w:val="0"/>
              <w:overflowPunct w:val="0"/>
              <w:autoSpaceDE w:val="0"/>
              <w:autoSpaceDN w:val="0"/>
              <w:adjustRightInd w:val="0"/>
              <w:jc w:val="center"/>
              <w:rPr>
                <w:color w:val="000000"/>
                <w:szCs w:val="22"/>
                <w:lang w:val="sl-SI" w:eastAsia="sl-SI"/>
              </w:rPr>
            </w:pPr>
            <w:r>
              <w:t>Retas</w:t>
            </w:r>
          </w:p>
        </w:tc>
      </w:tr>
      <w:tr w:rsidR="00F22FBD" w14:paraId="48290C4B" w14:textId="77777777">
        <w:trPr>
          <w:trHeight w:val="251"/>
        </w:trPr>
        <w:tc>
          <w:tcPr>
            <w:tcW w:w="9071" w:type="dxa"/>
            <w:gridSpan w:val="2"/>
            <w:shd w:val="clear" w:color="auto" w:fill="auto"/>
          </w:tcPr>
          <w:p w14:paraId="33C92F51" w14:textId="77777777" w:rsidR="00F22FBD" w:rsidRDefault="00D44E4A">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Sužalojimai, apsinuodijimai ir procedūrų komplikacijos</w:t>
            </w:r>
          </w:p>
        </w:tc>
      </w:tr>
      <w:tr w:rsidR="00F22FBD" w14:paraId="3CEF122F" w14:textId="77777777">
        <w:trPr>
          <w:trHeight w:val="253"/>
        </w:trPr>
        <w:tc>
          <w:tcPr>
            <w:tcW w:w="4910" w:type="dxa"/>
            <w:shd w:val="clear" w:color="auto" w:fill="auto"/>
          </w:tcPr>
          <w:p w14:paraId="69C9793A" w14:textId="77777777" w:rsidR="00F22FBD" w:rsidRDefault="00D44E4A">
            <w:pPr>
              <w:widowControl w:val="0"/>
              <w:kinsoku w:val="0"/>
              <w:overflowPunct w:val="0"/>
              <w:autoSpaceDE w:val="0"/>
              <w:autoSpaceDN w:val="0"/>
              <w:adjustRightInd w:val="0"/>
              <w:ind w:left="285"/>
              <w:rPr>
                <w:color w:val="000000"/>
                <w:szCs w:val="22"/>
                <w:lang w:val="sl-SI" w:eastAsia="sl-SI"/>
              </w:rPr>
            </w:pPr>
            <w:r>
              <w:t>Trauminis kraujavimas</w:t>
            </w:r>
          </w:p>
        </w:tc>
        <w:tc>
          <w:tcPr>
            <w:tcW w:w="4161" w:type="dxa"/>
            <w:shd w:val="clear" w:color="auto" w:fill="auto"/>
          </w:tcPr>
          <w:p w14:paraId="713C9A0E"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2B5B8098" w14:textId="77777777">
        <w:trPr>
          <w:trHeight w:val="251"/>
        </w:trPr>
        <w:tc>
          <w:tcPr>
            <w:tcW w:w="4910" w:type="dxa"/>
            <w:shd w:val="clear" w:color="auto" w:fill="auto"/>
          </w:tcPr>
          <w:p w14:paraId="3A995BBB" w14:textId="77777777" w:rsidR="00F22FBD" w:rsidRDefault="00D44E4A">
            <w:pPr>
              <w:widowControl w:val="0"/>
              <w:kinsoku w:val="0"/>
              <w:overflowPunct w:val="0"/>
              <w:autoSpaceDE w:val="0"/>
              <w:autoSpaceDN w:val="0"/>
              <w:adjustRightInd w:val="0"/>
              <w:ind w:left="285"/>
              <w:rPr>
                <w:color w:val="000000"/>
                <w:szCs w:val="22"/>
                <w:lang w:val="sl-SI" w:eastAsia="sl-SI"/>
              </w:rPr>
            </w:pPr>
            <w:r>
              <w:t>Hematoma po procedūros</w:t>
            </w:r>
          </w:p>
        </w:tc>
        <w:tc>
          <w:tcPr>
            <w:tcW w:w="4161" w:type="dxa"/>
            <w:shd w:val="clear" w:color="auto" w:fill="auto"/>
          </w:tcPr>
          <w:p w14:paraId="2860F9CA"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31A493AA" w14:textId="77777777">
        <w:trPr>
          <w:trHeight w:val="253"/>
        </w:trPr>
        <w:tc>
          <w:tcPr>
            <w:tcW w:w="4910" w:type="dxa"/>
            <w:shd w:val="clear" w:color="auto" w:fill="auto"/>
          </w:tcPr>
          <w:p w14:paraId="70610242" w14:textId="77777777" w:rsidR="00F22FBD" w:rsidRDefault="00D44E4A">
            <w:pPr>
              <w:widowControl w:val="0"/>
              <w:kinsoku w:val="0"/>
              <w:overflowPunct w:val="0"/>
              <w:autoSpaceDE w:val="0"/>
              <w:autoSpaceDN w:val="0"/>
              <w:adjustRightInd w:val="0"/>
              <w:ind w:left="285"/>
              <w:rPr>
                <w:color w:val="000000"/>
                <w:szCs w:val="22"/>
                <w:lang w:val="sl-SI" w:eastAsia="sl-SI"/>
              </w:rPr>
            </w:pPr>
            <w:r>
              <w:t>Kraujavimas po procedūros</w:t>
            </w:r>
          </w:p>
        </w:tc>
        <w:tc>
          <w:tcPr>
            <w:tcW w:w="4161" w:type="dxa"/>
            <w:shd w:val="clear" w:color="auto" w:fill="auto"/>
          </w:tcPr>
          <w:p w14:paraId="54A0A346"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49DF798C" w14:textId="77777777">
        <w:trPr>
          <w:trHeight w:val="254"/>
        </w:trPr>
        <w:tc>
          <w:tcPr>
            <w:tcW w:w="4910" w:type="dxa"/>
            <w:shd w:val="clear" w:color="auto" w:fill="auto"/>
          </w:tcPr>
          <w:p w14:paraId="11C1B56E" w14:textId="77777777" w:rsidR="00F22FBD" w:rsidRDefault="00D44E4A">
            <w:pPr>
              <w:widowControl w:val="0"/>
              <w:kinsoku w:val="0"/>
              <w:overflowPunct w:val="0"/>
              <w:autoSpaceDE w:val="0"/>
              <w:autoSpaceDN w:val="0"/>
              <w:adjustRightInd w:val="0"/>
              <w:ind w:left="285"/>
              <w:rPr>
                <w:color w:val="000000"/>
                <w:szCs w:val="22"/>
                <w:lang w:val="sl-SI" w:eastAsia="sl-SI"/>
              </w:rPr>
            </w:pPr>
            <w:r>
              <w:t>Išskyros po procedūros</w:t>
            </w:r>
          </w:p>
        </w:tc>
        <w:tc>
          <w:tcPr>
            <w:tcW w:w="4161" w:type="dxa"/>
            <w:shd w:val="clear" w:color="auto" w:fill="auto"/>
          </w:tcPr>
          <w:p w14:paraId="4F59FA2D"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3C2C081B" w14:textId="77777777">
        <w:trPr>
          <w:trHeight w:val="251"/>
        </w:trPr>
        <w:tc>
          <w:tcPr>
            <w:tcW w:w="4910" w:type="dxa"/>
            <w:shd w:val="clear" w:color="auto" w:fill="auto"/>
          </w:tcPr>
          <w:p w14:paraId="1D46CA9A" w14:textId="77777777" w:rsidR="00F22FBD" w:rsidRDefault="00D44E4A">
            <w:pPr>
              <w:widowControl w:val="0"/>
              <w:kinsoku w:val="0"/>
              <w:overflowPunct w:val="0"/>
              <w:autoSpaceDE w:val="0"/>
              <w:autoSpaceDN w:val="0"/>
              <w:adjustRightInd w:val="0"/>
              <w:ind w:left="285"/>
              <w:rPr>
                <w:color w:val="000000"/>
                <w:szCs w:val="22"/>
                <w:lang w:val="sl-SI" w:eastAsia="sl-SI"/>
              </w:rPr>
            </w:pPr>
            <w:r>
              <w:t>Žaizdos sekrecija</w:t>
            </w:r>
          </w:p>
        </w:tc>
        <w:tc>
          <w:tcPr>
            <w:tcW w:w="4161" w:type="dxa"/>
            <w:shd w:val="clear" w:color="auto" w:fill="auto"/>
          </w:tcPr>
          <w:p w14:paraId="3FD72826"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63794699" w14:textId="77777777">
        <w:trPr>
          <w:trHeight w:val="253"/>
        </w:trPr>
        <w:tc>
          <w:tcPr>
            <w:tcW w:w="4910" w:type="dxa"/>
            <w:shd w:val="clear" w:color="auto" w:fill="auto"/>
          </w:tcPr>
          <w:p w14:paraId="003FC689" w14:textId="77777777" w:rsidR="00F22FBD" w:rsidRDefault="00D44E4A">
            <w:pPr>
              <w:widowControl w:val="0"/>
              <w:kinsoku w:val="0"/>
              <w:overflowPunct w:val="0"/>
              <w:autoSpaceDE w:val="0"/>
              <w:autoSpaceDN w:val="0"/>
              <w:adjustRightInd w:val="0"/>
              <w:ind w:left="285"/>
              <w:rPr>
                <w:color w:val="000000"/>
                <w:szCs w:val="22"/>
                <w:lang w:val="sl-SI" w:eastAsia="sl-SI"/>
              </w:rPr>
            </w:pPr>
            <w:r>
              <w:t>Kraujavimas iš pjūvio vietos</w:t>
            </w:r>
          </w:p>
        </w:tc>
        <w:tc>
          <w:tcPr>
            <w:tcW w:w="4161" w:type="dxa"/>
            <w:shd w:val="clear" w:color="auto" w:fill="auto"/>
          </w:tcPr>
          <w:p w14:paraId="29B01744" w14:textId="77777777" w:rsidR="00F22FBD" w:rsidRDefault="00D44E4A">
            <w:pPr>
              <w:widowControl w:val="0"/>
              <w:kinsoku w:val="0"/>
              <w:overflowPunct w:val="0"/>
              <w:autoSpaceDE w:val="0"/>
              <w:autoSpaceDN w:val="0"/>
              <w:adjustRightInd w:val="0"/>
              <w:jc w:val="center"/>
              <w:rPr>
                <w:color w:val="000000"/>
                <w:szCs w:val="22"/>
                <w:lang w:val="sl-SI" w:eastAsia="sl-SI"/>
              </w:rPr>
            </w:pPr>
            <w:r>
              <w:t>Retas</w:t>
            </w:r>
          </w:p>
        </w:tc>
      </w:tr>
      <w:tr w:rsidR="00F22FBD" w14:paraId="3723D695" w14:textId="77777777">
        <w:trPr>
          <w:trHeight w:val="251"/>
        </w:trPr>
        <w:tc>
          <w:tcPr>
            <w:tcW w:w="4910" w:type="dxa"/>
            <w:shd w:val="clear" w:color="auto" w:fill="auto"/>
          </w:tcPr>
          <w:p w14:paraId="3E963AF7" w14:textId="77777777" w:rsidR="00F22FBD" w:rsidRDefault="00D44E4A">
            <w:pPr>
              <w:widowControl w:val="0"/>
              <w:kinsoku w:val="0"/>
              <w:overflowPunct w:val="0"/>
              <w:autoSpaceDE w:val="0"/>
              <w:autoSpaceDN w:val="0"/>
              <w:adjustRightInd w:val="0"/>
              <w:ind w:left="285"/>
              <w:rPr>
                <w:color w:val="000000"/>
                <w:szCs w:val="22"/>
                <w:lang w:val="sl-SI" w:eastAsia="sl-SI"/>
              </w:rPr>
            </w:pPr>
            <w:r>
              <w:t>Anemija po operacijos</w:t>
            </w:r>
          </w:p>
        </w:tc>
        <w:tc>
          <w:tcPr>
            <w:tcW w:w="4161" w:type="dxa"/>
            <w:shd w:val="clear" w:color="auto" w:fill="auto"/>
          </w:tcPr>
          <w:p w14:paraId="2460F857" w14:textId="77777777" w:rsidR="00F22FBD" w:rsidRDefault="00D44E4A">
            <w:pPr>
              <w:widowControl w:val="0"/>
              <w:kinsoku w:val="0"/>
              <w:overflowPunct w:val="0"/>
              <w:autoSpaceDE w:val="0"/>
              <w:autoSpaceDN w:val="0"/>
              <w:adjustRightInd w:val="0"/>
              <w:jc w:val="center"/>
              <w:rPr>
                <w:color w:val="000000"/>
                <w:szCs w:val="22"/>
                <w:lang w:val="sl-SI" w:eastAsia="sl-SI"/>
              </w:rPr>
            </w:pPr>
            <w:r>
              <w:t>Retas</w:t>
            </w:r>
          </w:p>
        </w:tc>
      </w:tr>
      <w:tr w:rsidR="00F22FBD" w14:paraId="1672A12E" w14:textId="77777777">
        <w:trPr>
          <w:trHeight w:val="253"/>
        </w:trPr>
        <w:tc>
          <w:tcPr>
            <w:tcW w:w="9071" w:type="dxa"/>
            <w:gridSpan w:val="2"/>
            <w:shd w:val="clear" w:color="auto" w:fill="auto"/>
          </w:tcPr>
          <w:p w14:paraId="74EBD5B6" w14:textId="77777777" w:rsidR="00F22FBD" w:rsidRDefault="00D44E4A">
            <w:pPr>
              <w:widowControl w:val="0"/>
              <w:kinsoku w:val="0"/>
              <w:overflowPunct w:val="0"/>
              <w:autoSpaceDE w:val="0"/>
              <w:autoSpaceDN w:val="0"/>
              <w:adjustRightInd w:val="0"/>
              <w:ind w:left="105"/>
              <w:rPr>
                <w:color w:val="000000"/>
                <w:szCs w:val="22"/>
                <w:lang w:val="sl-SI" w:eastAsia="sl-SI"/>
              </w:rPr>
            </w:pPr>
            <w:r>
              <w:t>Chirurginės ir terapinės procedūros</w:t>
            </w:r>
          </w:p>
        </w:tc>
      </w:tr>
      <w:tr w:rsidR="00F22FBD" w14:paraId="798D4976" w14:textId="77777777">
        <w:trPr>
          <w:trHeight w:val="251"/>
        </w:trPr>
        <w:tc>
          <w:tcPr>
            <w:tcW w:w="4910" w:type="dxa"/>
            <w:shd w:val="clear" w:color="auto" w:fill="auto"/>
          </w:tcPr>
          <w:p w14:paraId="469E1124" w14:textId="77777777" w:rsidR="00F22FBD" w:rsidRDefault="00D44E4A">
            <w:pPr>
              <w:widowControl w:val="0"/>
              <w:kinsoku w:val="0"/>
              <w:overflowPunct w:val="0"/>
              <w:autoSpaceDE w:val="0"/>
              <w:autoSpaceDN w:val="0"/>
              <w:adjustRightInd w:val="0"/>
              <w:ind w:left="285"/>
              <w:rPr>
                <w:color w:val="000000"/>
                <w:szCs w:val="22"/>
                <w:lang w:val="sl-SI" w:eastAsia="sl-SI"/>
              </w:rPr>
            </w:pPr>
            <w:r>
              <w:t>Žaizdos drenažas</w:t>
            </w:r>
          </w:p>
        </w:tc>
        <w:tc>
          <w:tcPr>
            <w:tcW w:w="4161" w:type="dxa"/>
            <w:shd w:val="clear" w:color="auto" w:fill="auto"/>
          </w:tcPr>
          <w:p w14:paraId="39046B18" w14:textId="77777777" w:rsidR="00F22FBD" w:rsidRDefault="00D44E4A">
            <w:pPr>
              <w:widowControl w:val="0"/>
              <w:kinsoku w:val="0"/>
              <w:overflowPunct w:val="0"/>
              <w:autoSpaceDE w:val="0"/>
              <w:autoSpaceDN w:val="0"/>
              <w:adjustRightInd w:val="0"/>
              <w:jc w:val="center"/>
            </w:pPr>
            <w:r>
              <w:t>Retas</w:t>
            </w:r>
          </w:p>
        </w:tc>
      </w:tr>
      <w:tr w:rsidR="00F22FBD" w14:paraId="2658753D" w14:textId="77777777">
        <w:trPr>
          <w:trHeight w:val="254"/>
        </w:trPr>
        <w:tc>
          <w:tcPr>
            <w:tcW w:w="4910" w:type="dxa"/>
            <w:shd w:val="clear" w:color="auto" w:fill="auto"/>
          </w:tcPr>
          <w:p w14:paraId="3C483A97" w14:textId="77777777" w:rsidR="00F22FBD" w:rsidRDefault="00D44E4A">
            <w:pPr>
              <w:widowControl w:val="0"/>
              <w:kinsoku w:val="0"/>
              <w:overflowPunct w:val="0"/>
              <w:autoSpaceDE w:val="0"/>
              <w:autoSpaceDN w:val="0"/>
              <w:adjustRightInd w:val="0"/>
              <w:ind w:left="285"/>
              <w:rPr>
                <w:color w:val="000000"/>
                <w:szCs w:val="22"/>
                <w:lang w:val="sl-SI" w:eastAsia="sl-SI"/>
              </w:rPr>
            </w:pPr>
            <w:r>
              <w:t>Drenažas po procedūros</w:t>
            </w:r>
          </w:p>
        </w:tc>
        <w:tc>
          <w:tcPr>
            <w:tcW w:w="4161" w:type="dxa"/>
            <w:shd w:val="clear" w:color="auto" w:fill="auto"/>
          </w:tcPr>
          <w:p w14:paraId="39FC7D1C" w14:textId="77777777" w:rsidR="00F22FBD" w:rsidRDefault="00D44E4A">
            <w:pPr>
              <w:widowControl w:val="0"/>
              <w:kinsoku w:val="0"/>
              <w:overflowPunct w:val="0"/>
              <w:autoSpaceDE w:val="0"/>
              <w:autoSpaceDN w:val="0"/>
              <w:adjustRightInd w:val="0"/>
              <w:jc w:val="center"/>
              <w:rPr>
                <w:color w:val="000000"/>
                <w:szCs w:val="22"/>
                <w:lang w:val="sl-SI" w:eastAsia="sl-SI"/>
              </w:rPr>
            </w:pPr>
            <w:r>
              <w:t>Retas</w:t>
            </w:r>
          </w:p>
        </w:tc>
      </w:tr>
    </w:tbl>
    <w:p w14:paraId="2A966560" w14:textId="77777777" w:rsidR="00F22FBD" w:rsidRDefault="00F22FBD">
      <w:pPr>
        <w:ind w:left="567" w:hanging="567"/>
        <w:rPr>
          <w:b/>
        </w:rPr>
      </w:pPr>
    </w:p>
    <w:p w14:paraId="66BBE0E6" w14:textId="77777777" w:rsidR="00F22FBD" w:rsidRDefault="00D44E4A">
      <w:pPr>
        <w:rPr>
          <w:u w:val="single"/>
        </w:rPr>
      </w:pPr>
      <w:r>
        <w:rPr>
          <w:u w:val="single"/>
        </w:rPr>
        <w:t>Atrinktų nepageidaujamų reakcijų apibūdinimas</w:t>
      </w:r>
    </w:p>
    <w:p w14:paraId="50AFCD44" w14:textId="77777777" w:rsidR="00F22FBD" w:rsidRDefault="00F22FBD"/>
    <w:p w14:paraId="03629142" w14:textId="77777777" w:rsidR="00F22FBD" w:rsidRDefault="00D44E4A">
      <w:pPr>
        <w:rPr>
          <w:i/>
          <w:iCs/>
          <w:u w:val="single"/>
        </w:rPr>
      </w:pPr>
      <w:r>
        <w:rPr>
          <w:i/>
          <w:iCs/>
          <w:u w:val="single"/>
        </w:rPr>
        <w:t>Kraujavimo reakcijos</w:t>
      </w:r>
    </w:p>
    <w:p w14:paraId="776B4580" w14:textId="77777777" w:rsidR="00F22FBD" w:rsidRDefault="00F22FBD"/>
    <w:p w14:paraId="69562600" w14:textId="77777777" w:rsidR="00F22FBD" w:rsidRDefault="00D44E4A">
      <w:r>
        <w:t xml:space="preserve">Dėl dabigatrano eteksilato farmakologinio veikimo būdo jo vartojimas gali būti susijęs su padidėjusia slapto arba akivaizdaus kraujavimo iš bet kurio audinio ar organo rizika. Požymiai, simptomai ir sunkumas (įskaitant mirtiną baigtį) gali būti įvairūs, priklausomai nuo kraujavimo ir (arba) anemijos </w:t>
      </w:r>
      <w:r>
        <w:lastRenderedPageBreak/>
        <w:t>vietos ir laipsnio arba apimties. Klinikinių tyrimų metu kraujavimas iš gleivinių (pvz., virškinimo trakto, šlapimo ir lytinių takų), ilgą laiką gydant dabigatrano eteksilatu, palyginti su gydymu vitamino K antagonistais (VKA), stebėtas dažniau. Taigi, siekiant nustatyti slaptąjį kraujavimą, svarbu ne tik tinkamai kliniškai prižiūrėti, bet ir atlikti hemoglobino/hematokrito laboratorinius tyrimus. Tam tikrų grupių pacientams gali būti padidėjusi kraujavimo rizika, pvz., pacientams, kuriems yra vidutinio sunkumo inkstų funkcijos sutrikimas ir (arba) kuriems kartu taikomas hemostazę veikiantis gydymas arba gydymas stipriais P-gp inhibitoriais (žr. 4.4 skyrių, „Kraujavimo rizika“). Kraujavimo komplikacijos gali pasireikšti silpnumu, blyškumu, svaiguliu, galvos skausmu ar dėl neaiškių priežasčių atsiradusiu patinimu, dispnėja ir dėl neaiškių priežasčių pasireiškusiu šoku.</w:t>
      </w:r>
    </w:p>
    <w:p w14:paraId="28FCBA6C" w14:textId="77777777" w:rsidR="00F22FBD" w:rsidRDefault="00F22FBD"/>
    <w:p w14:paraId="028894B5" w14:textId="77777777" w:rsidR="00F22FBD" w:rsidRDefault="00D44E4A">
      <w:r>
        <w:t xml:space="preserve">Pranešta apie vartojant dabigatrano eteksilato pasireiškusias žinomas kraujavimo komplikacijas, tokias kaip raumenų guolio ankštumo sindromą (angl. </w:t>
      </w:r>
      <w:r>
        <w:rPr>
          <w:i/>
          <w:iCs/>
        </w:rPr>
        <w:t>compartment syndrome</w:t>
      </w:r>
      <w:r>
        <w:t>) ir ūminį inkstų nepakankamumą dėl hipoperfuzijos, susijusias su antikoaguliantų vartojimu nefropatijos pacientams, turintiems predisponuojančių rizikos veiksnių. Todėl vertinant bet kurio antikoaguliantais gydomo paciento būklę reikia atsižvelgti į kraujavimo galimybę. Suaugusiems pacientams nekontroliuojamo kraujavimo atvejams skirtas specifinis dabigatraną neutralizuojantis vaistinis preparatas idarucizumabas (žr. 4.9 skyrių).</w:t>
      </w:r>
    </w:p>
    <w:p w14:paraId="4CBDA491" w14:textId="77777777" w:rsidR="00F22FBD" w:rsidRDefault="00F22FBD"/>
    <w:p w14:paraId="225F2D17" w14:textId="77777777" w:rsidR="00F22FBD" w:rsidRDefault="00D44E4A">
      <w:pPr>
        <w:rPr>
          <w:b/>
        </w:rPr>
      </w:pPr>
      <w:r>
        <w:t>11-oje lentelėje nurodytas pacientų, kuriems, gydymą taikant pirminės VTE profilaktikos po klubo arba kelio sąnario keitimo operacijos indikacijai, gydymo laikotarpiu dviejų pagrindinių klinikinių tyrimų metu pasireiškė nepageidaujama reakcija kraujavimas, skaičius (%) priklausomai nuo dozės dydžio.</w:t>
      </w:r>
    </w:p>
    <w:p w14:paraId="385190BD" w14:textId="77777777" w:rsidR="00F22FBD" w:rsidRDefault="00F22FBD">
      <w:pPr>
        <w:ind w:left="567" w:hanging="567"/>
      </w:pPr>
    </w:p>
    <w:p w14:paraId="2C2A8425" w14:textId="77777777" w:rsidR="00F22FBD" w:rsidRDefault="00D44E4A">
      <w:pPr>
        <w:ind w:left="567" w:hanging="567"/>
        <w:rPr>
          <w:b/>
          <w:bCs/>
        </w:rPr>
      </w:pPr>
      <w:r>
        <w:rPr>
          <w:b/>
          <w:bCs/>
        </w:rPr>
        <w:t>11 lentelė. Pacientų skaičius (%), kuriems pasireiškė nepageidaujama reakcija kraujavimas</w:t>
      </w:r>
    </w:p>
    <w:p w14:paraId="761C3EFA" w14:textId="77777777" w:rsidR="00F22FBD" w:rsidRDefault="00F22FBD">
      <w:pPr>
        <w:ind w:left="567" w:hanging="567"/>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00"/>
        <w:gridCol w:w="2040"/>
        <w:gridCol w:w="2167"/>
        <w:gridCol w:w="2165"/>
      </w:tblGrid>
      <w:tr w:rsidR="00F22FBD" w14:paraId="76F157D2" w14:textId="77777777">
        <w:trPr>
          <w:trHeight w:val="757"/>
        </w:trPr>
        <w:tc>
          <w:tcPr>
            <w:tcW w:w="2700" w:type="dxa"/>
            <w:shd w:val="clear" w:color="auto" w:fill="auto"/>
          </w:tcPr>
          <w:p w14:paraId="34A8FE39" w14:textId="77777777" w:rsidR="00F22FBD" w:rsidRDefault="00F22FBD">
            <w:pPr>
              <w:widowControl w:val="0"/>
              <w:kinsoku w:val="0"/>
              <w:overflowPunct w:val="0"/>
              <w:autoSpaceDE w:val="0"/>
              <w:autoSpaceDN w:val="0"/>
              <w:adjustRightInd w:val="0"/>
              <w:rPr>
                <w:color w:val="000000"/>
                <w:szCs w:val="22"/>
                <w:lang w:val="sl-SI" w:eastAsia="sl-SI"/>
              </w:rPr>
            </w:pPr>
          </w:p>
        </w:tc>
        <w:tc>
          <w:tcPr>
            <w:tcW w:w="2040" w:type="dxa"/>
            <w:shd w:val="clear" w:color="auto" w:fill="auto"/>
          </w:tcPr>
          <w:p w14:paraId="522D9EDB" w14:textId="77777777" w:rsidR="00F22FBD" w:rsidRDefault="00D44E4A">
            <w:pPr>
              <w:widowControl w:val="0"/>
              <w:kinsoku w:val="0"/>
              <w:overflowPunct w:val="0"/>
              <w:autoSpaceDE w:val="0"/>
              <w:autoSpaceDN w:val="0"/>
              <w:adjustRightInd w:val="0"/>
              <w:ind w:left="62"/>
              <w:rPr>
                <w:color w:val="000000"/>
                <w:szCs w:val="22"/>
                <w:lang w:val="sl-SI" w:eastAsia="sl-SI"/>
              </w:rPr>
            </w:pPr>
            <w:r>
              <w:rPr>
                <w:color w:val="000000"/>
                <w:szCs w:val="22"/>
                <w:lang w:val="sl-SI" w:eastAsia="sl-SI"/>
              </w:rPr>
              <w:t>Dabigatrano eteksilatas 150 mg</w:t>
            </w:r>
          </w:p>
          <w:p w14:paraId="3B3422B5" w14:textId="77777777" w:rsidR="00F22FBD" w:rsidRDefault="00D44E4A">
            <w:pPr>
              <w:widowControl w:val="0"/>
              <w:kinsoku w:val="0"/>
              <w:overflowPunct w:val="0"/>
              <w:autoSpaceDE w:val="0"/>
              <w:autoSpaceDN w:val="0"/>
              <w:adjustRightInd w:val="0"/>
              <w:spacing w:line="238" w:lineRule="exact"/>
              <w:ind w:left="62"/>
              <w:jc w:val="center"/>
              <w:rPr>
                <w:color w:val="000000"/>
                <w:szCs w:val="22"/>
                <w:lang w:val="sl-SI" w:eastAsia="sl-SI"/>
              </w:rPr>
            </w:pPr>
            <w:r>
              <w:rPr>
                <w:color w:val="000000"/>
                <w:szCs w:val="22"/>
                <w:lang w:val="sl-SI" w:eastAsia="sl-SI"/>
              </w:rPr>
              <w:t>N (%)</w:t>
            </w:r>
          </w:p>
        </w:tc>
        <w:tc>
          <w:tcPr>
            <w:tcW w:w="2167" w:type="dxa"/>
            <w:shd w:val="clear" w:color="auto" w:fill="auto"/>
          </w:tcPr>
          <w:p w14:paraId="5A2449DA" w14:textId="77777777" w:rsidR="00F22FBD" w:rsidRDefault="00D44E4A">
            <w:pPr>
              <w:widowControl w:val="0"/>
              <w:kinsoku w:val="0"/>
              <w:overflowPunct w:val="0"/>
              <w:autoSpaceDE w:val="0"/>
              <w:autoSpaceDN w:val="0"/>
              <w:adjustRightInd w:val="0"/>
              <w:ind w:left="62"/>
              <w:rPr>
                <w:color w:val="000000"/>
                <w:szCs w:val="22"/>
                <w:lang w:val="sl-SI" w:eastAsia="sl-SI"/>
              </w:rPr>
            </w:pPr>
            <w:r>
              <w:rPr>
                <w:color w:val="000000"/>
                <w:szCs w:val="22"/>
                <w:lang w:val="sl-SI" w:eastAsia="sl-SI"/>
              </w:rPr>
              <w:t>Dabigatrano eteksilatas 220 mg</w:t>
            </w:r>
          </w:p>
          <w:p w14:paraId="3D3210B4" w14:textId="77777777" w:rsidR="00F22FBD" w:rsidRDefault="00D44E4A">
            <w:pPr>
              <w:widowControl w:val="0"/>
              <w:kinsoku w:val="0"/>
              <w:overflowPunct w:val="0"/>
              <w:autoSpaceDE w:val="0"/>
              <w:autoSpaceDN w:val="0"/>
              <w:adjustRightInd w:val="0"/>
              <w:spacing w:line="238" w:lineRule="exact"/>
              <w:ind w:left="62"/>
              <w:jc w:val="center"/>
              <w:rPr>
                <w:color w:val="000000"/>
                <w:szCs w:val="22"/>
                <w:lang w:val="sl-SI" w:eastAsia="sl-SI"/>
              </w:rPr>
            </w:pPr>
            <w:r>
              <w:rPr>
                <w:color w:val="000000"/>
                <w:szCs w:val="22"/>
                <w:lang w:val="sl-SI" w:eastAsia="sl-SI"/>
              </w:rPr>
              <w:t>N (%)</w:t>
            </w:r>
          </w:p>
        </w:tc>
        <w:tc>
          <w:tcPr>
            <w:tcW w:w="2165" w:type="dxa"/>
            <w:shd w:val="clear" w:color="auto" w:fill="auto"/>
          </w:tcPr>
          <w:p w14:paraId="44B7A16E" w14:textId="77777777" w:rsidR="00F22FBD" w:rsidRDefault="00D44E4A">
            <w:pPr>
              <w:widowControl w:val="0"/>
              <w:kinsoku w:val="0"/>
              <w:overflowPunct w:val="0"/>
              <w:autoSpaceDE w:val="0"/>
              <w:autoSpaceDN w:val="0"/>
              <w:adjustRightInd w:val="0"/>
              <w:spacing w:line="247" w:lineRule="exact"/>
              <w:ind w:left="60"/>
              <w:jc w:val="center"/>
              <w:rPr>
                <w:color w:val="000000"/>
                <w:szCs w:val="22"/>
                <w:lang w:val="sl-SI" w:eastAsia="sl-SI"/>
              </w:rPr>
            </w:pPr>
            <w:r>
              <w:rPr>
                <w:color w:val="000000"/>
                <w:szCs w:val="22"/>
                <w:lang w:val="sl-SI" w:eastAsia="sl-SI"/>
              </w:rPr>
              <w:t>Enoksaparinas</w:t>
            </w:r>
          </w:p>
          <w:p w14:paraId="53B8E335" w14:textId="77777777" w:rsidR="00F22FBD" w:rsidRDefault="00D44E4A">
            <w:pPr>
              <w:widowControl w:val="0"/>
              <w:kinsoku w:val="0"/>
              <w:overflowPunct w:val="0"/>
              <w:autoSpaceDE w:val="0"/>
              <w:autoSpaceDN w:val="0"/>
              <w:adjustRightInd w:val="0"/>
              <w:spacing w:line="238" w:lineRule="exact"/>
              <w:ind w:left="60"/>
              <w:jc w:val="center"/>
              <w:rPr>
                <w:color w:val="000000"/>
                <w:szCs w:val="22"/>
                <w:lang w:val="sl-SI" w:eastAsia="sl-SI"/>
              </w:rPr>
            </w:pPr>
            <w:r>
              <w:rPr>
                <w:color w:val="000000"/>
                <w:szCs w:val="22"/>
                <w:lang w:val="sl-SI" w:eastAsia="sl-SI"/>
              </w:rPr>
              <w:t>N (%)</w:t>
            </w:r>
          </w:p>
        </w:tc>
      </w:tr>
      <w:tr w:rsidR="00F22FBD" w14:paraId="2F67902B" w14:textId="77777777">
        <w:trPr>
          <w:trHeight w:val="253"/>
        </w:trPr>
        <w:tc>
          <w:tcPr>
            <w:tcW w:w="2700" w:type="dxa"/>
            <w:shd w:val="clear" w:color="auto" w:fill="auto"/>
          </w:tcPr>
          <w:p w14:paraId="23C2FEE3" w14:textId="77777777" w:rsidR="00F22FBD" w:rsidRDefault="00D44E4A">
            <w:pPr>
              <w:widowControl w:val="0"/>
              <w:kinsoku w:val="0"/>
              <w:overflowPunct w:val="0"/>
              <w:autoSpaceDE w:val="0"/>
              <w:autoSpaceDN w:val="0"/>
              <w:adjustRightInd w:val="0"/>
              <w:spacing w:line="234" w:lineRule="exact"/>
              <w:ind w:left="59"/>
              <w:rPr>
                <w:color w:val="000000"/>
                <w:szCs w:val="22"/>
                <w:lang w:val="sl-SI" w:eastAsia="sl-SI"/>
              </w:rPr>
            </w:pPr>
            <w:r>
              <w:rPr>
                <w:color w:val="000000"/>
                <w:szCs w:val="22"/>
                <w:lang w:val="sl-SI" w:eastAsia="sl-SI"/>
              </w:rPr>
              <w:t>Gydyti pacientai</w:t>
            </w:r>
          </w:p>
        </w:tc>
        <w:tc>
          <w:tcPr>
            <w:tcW w:w="2040" w:type="dxa"/>
            <w:shd w:val="clear" w:color="auto" w:fill="auto"/>
          </w:tcPr>
          <w:p w14:paraId="0AB91E03"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1866(100)</w:t>
            </w:r>
          </w:p>
        </w:tc>
        <w:tc>
          <w:tcPr>
            <w:tcW w:w="2167" w:type="dxa"/>
            <w:shd w:val="clear" w:color="auto" w:fill="auto"/>
          </w:tcPr>
          <w:p w14:paraId="7AC120DE"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1825(100)</w:t>
            </w:r>
          </w:p>
        </w:tc>
        <w:tc>
          <w:tcPr>
            <w:tcW w:w="2165" w:type="dxa"/>
            <w:shd w:val="clear" w:color="auto" w:fill="auto"/>
          </w:tcPr>
          <w:p w14:paraId="5E16E54C"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1848(100)</w:t>
            </w:r>
          </w:p>
        </w:tc>
      </w:tr>
      <w:tr w:rsidR="00F22FBD" w14:paraId="3E25455E" w14:textId="77777777">
        <w:trPr>
          <w:trHeight w:val="251"/>
        </w:trPr>
        <w:tc>
          <w:tcPr>
            <w:tcW w:w="2700" w:type="dxa"/>
            <w:shd w:val="clear" w:color="auto" w:fill="auto"/>
          </w:tcPr>
          <w:p w14:paraId="33128941" w14:textId="77777777" w:rsidR="00F22FBD" w:rsidRDefault="00D44E4A">
            <w:pPr>
              <w:widowControl w:val="0"/>
              <w:kinsoku w:val="0"/>
              <w:overflowPunct w:val="0"/>
              <w:autoSpaceDE w:val="0"/>
              <w:autoSpaceDN w:val="0"/>
              <w:adjustRightInd w:val="0"/>
              <w:spacing w:line="232" w:lineRule="exact"/>
              <w:ind w:left="59"/>
              <w:rPr>
                <w:color w:val="000000"/>
                <w:szCs w:val="22"/>
                <w:lang w:val="sl-SI" w:eastAsia="sl-SI"/>
              </w:rPr>
            </w:pPr>
            <w:r>
              <w:rPr>
                <w:color w:val="000000"/>
                <w:szCs w:val="22"/>
                <w:lang w:val="sl-SI" w:eastAsia="sl-SI"/>
              </w:rPr>
              <w:t>Didysis kraujavimas</w:t>
            </w:r>
          </w:p>
        </w:tc>
        <w:tc>
          <w:tcPr>
            <w:tcW w:w="2040" w:type="dxa"/>
            <w:shd w:val="clear" w:color="auto" w:fill="auto"/>
          </w:tcPr>
          <w:p w14:paraId="69284EF7"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24 (1,3)</w:t>
            </w:r>
          </w:p>
        </w:tc>
        <w:tc>
          <w:tcPr>
            <w:tcW w:w="2167" w:type="dxa"/>
            <w:shd w:val="clear" w:color="auto" w:fill="auto"/>
          </w:tcPr>
          <w:p w14:paraId="4A6A3717"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33 (1,8)</w:t>
            </w:r>
          </w:p>
        </w:tc>
        <w:tc>
          <w:tcPr>
            <w:tcW w:w="2165" w:type="dxa"/>
            <w:shd w:val="clear" w:color="auto" w:fill="auto"/>
          </w:tcPr>
          <w:p w14:paraId="67D053A1"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27 (1,5)</w:t>
            </w:r>
          </w:p>
        </w:tc>
      </w:tr>
      <w:tr w:rsidR="00F22FBD" w14:paraId="2D7135C5" w14:textId="77777777">
        <w:trPr>
          <w:trHeight w:val="254"/>
        </w:trPr>
        <w:tc>
          <w:tcPr>
            <w:tcW w:w="2700" w:type="dxa"/>
            <w:shd w:val="clear" w:color="auto" w:fill="auto"/>
          </w:tcPr>
          <w:p w14:paraId="36E306FC" w14:textId="77777777" w:rsidR="00F22FBD" w:rsidRDefault="00D44E4A">
            <w:pPr>
              <w:widowControl w:val="0"/>
              <w:kinsoku w:val="0"/>
              <w:overflowPunct w:val="0"/>
              <w:autoSpaceDE w:val="0"/>
              <w:autoSpaceDN w:val="0"/>
              <w:adjustRightInd w:val="0"/>
              <w:spacing w:line="234" w:lineRule="exact"/>
              <w:ind w:left="59"/>
              <w:rPr>
                <w:color w:val="000000"/>
                <w:szCs w:val="22"/>
                <w:lang w:val="sl-SI" w:eastAsia="sl-SI"/>
              </w:rPr>
            </w:pPr>
            <w:r>
              <w:rPr>
                <w:color w:val="000000"/>
                <w:szCs w:val="22"/>
                <w:lang w:val="sl-SI" w:eastAsia="sl-SI"/>
              </w:rPr>
              <w:t>Bet koks kraujavimas</w:t>
            </w:r>
          </w:p>
        </w:tc>
        <w:tc>
          <w:tcPr>
            <w:tcW w:w="2040" w:type="dxa"/>
            <w:shd w:val="clear" w:color="auto" w:fill="auto"/>
          </w:tcPr>
          <w:p w14:paraId="3E8FB13D"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258(13,8)</w:t>
            </w:r>
          </w:p>
        </w:tc>
        <w:tc>
          <w:tcPr>
            <w:tcW w:w="2167" w:type="dxa"/>
            <w:shd w:val="clear" w:color="auto" w:fill="auto"/>
          </w:tcPr>
          <w:p w14:paraId="298F33C6"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251(13,8)</w:t>
            </w:r>
          </w:p>
        </w:tc>
        <w:tc>
          <w:tcPr>
            <w:tcW w:w="2165" w:type="dxa"/>
            <w:shd w:val="clear" w:color="auto" w:fill="auto"/>
          </w:tcPr>
          <w:p w14:paraId="75C1F8C3"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247(13,4)</w:t>
            </w:r>
          </w:p>
        </w:tc>
      </w:tr>
    </w:tbl>
    <w:p w14:paraId="6B2893D1" w14:textId="77777777" w:rsidR="00F22FBD" w:rsidRDefault="00F22FBD">
      <w:pPr>
        <w:ind w:left="567" w:hanging="567"/>
        <w:rPr>
          <w:b/>
        </w:rPr>
      </w:pPr>
    </w:p>
    <w:p w14:paraId="0EBB9D2F" w14:textId="77777777" w:rsidR="00F22FBD" w:rsidRDefault="00D44E4A">
      <w:pPr>
        <w:rPr>
          <w:i/>
          <w:iCs/>
          <w:u w:val="single"/>
        </w:rPr>
      </w:pPr>
      <w:r>
        <w:rPr>
          <w:i/>
          <w:iCs/>
          <w:u w:val="single"/>
        </w:rPr>
        <w:t>Agranulocitozė ir neutropenija</w:t>
      </w:r>
    </w:p>
    <w:p w14:paraId="4E89C90C" w14:textId="77777777" w:rsidR="00F22FBD" w:rsidRDefault="00F22FBD"/>
    <w:p w14:paraId="16F2BB50" w14:textId="77777777" w:rsidR="00F22FBD" w:rsidRDefault="00D44E4A">
      <w:r>
        <w:t>Vartojant dabigatrano eteksilato poregistraciniu laikotarpiu, labai retai pranešta apie agranulocitozę ir neutropeniją. Pranešimai apie šias nepageidaujamas reakcijas pateikti per poregistracinės stebėsenos sistemas ir vaistinio preparato vartojusiųjų populiacijos dydis tiksliai nežinomas, todėl patikimai įvertinti dažnio neįmanoma. Apskaičiuotasis pranešimų apie agranulocitozę dažnis yra 7 atvejai 1 milijonui pacientų metų, o neutropenijos dažnis – 5 atvejai 1 milijonui pacientų metų.</w:t>
      </w:r>
    </w:p>
    <w:p w14:paraId="79089964" w14:textId="77777777" w:rsidR="00F22FBD" w:rsidRDefault="00F22FBD"/>
    <w:p w14:paraId="59F18D68" w14:textId="77777777" w:rsidR="00F22FBD" w:rsidRDefault="00D44E4A">
      <w:pPr>
        <w:rPr>
          <w:u w:val="single"/>
        </w:rPr>
      </w:pPr>
      <w:r>
        <w:rPr>
          <w:u w:val="single"/>
        </w:rPr>
        <w:t>Vaikų populiacija</w:t>
      </w:r>
    </w:p>
    <w:p w14:paraId="22CAC731" w14:textId="77777777" w:rsidR="00F22FBD" w:rsidRDefault="00D44E4A">
      <w:r>
        <w:t>Dabigatrano eteksilato saugumas gydant VTE ir skiriant VTE pasikartojimo profilaktikai pacientams vaikams tirtas atliekant du III fazės tyrimus (DIVERSITY ir 1160.108). Dabigatrano eteksilatu buvo gydyti iš viso 328 pacientai vaikai. Pacientams buvo skirtos pagal amžių ir svorį ir jų amžių atitinkančios dabigatrano eteksilato farmacinės formos dozės.</w:t>
      </w:r>
    </w:p>
    <w:p w14:paraId="584878AB" w14:textId="77777777" w:rsidR="00F22FBD" w:rsidRDefault="00D44E4A">
      <w:r>
        <w:t>Bendrai tikimasi, kad saugumo profilis vaikams bus panašus į suaugusiųjų.</w:t>
      </w:r>
    </w:p>
    <w:p w14:paraId="6F4A181A" w14:textId="77777777" w:rsidR="00F22FBD" w:rsidRDefault="00D44E4A">
      <w:r>
        <w:t>Nepageidaujamų reakcijų patyrė iš viso 26 % pacientų vaikų, vartojusių dabigatrano eteksilato VTE gydyti ir VTE pasikartojimo profilaktikai.</w:t>
      </w:r>
    </w:p>
    <w:p w14:paraId="088B9170" w14:textId="77777777" w:rsidR="00F22FBD" w:rsidRDefault="00F22FBD"/>
    <w:p w14:paraId="6D57300E" w14:textId="77777777" w:rsidR="00F22FBD" w:rsidRDefault="00D44E4A">
      <w:pPr>
        <w:rPr>
          <w:i/>
          <w:iCs/>
          <w:u w:val="single"/>
        </w:rPr>
      </w:pPr>
      <w:r>
        <w:rPr>
          <w:i/>
          <w:iCs/>
          <w:u w:val="single"/>
        </w:rPr>
        <w:t>Nepageidaujamų reakcijų santrauka lentelėje</w:t>
      </w:r>
    </w:p>
    <w:p w14:paraId="44DB7608" w14:textId="77777777" w:rsidR="00F22FBD" w:rsidRDefault="00F22FBD"/>
    <w:p w14:paraId="324BEEF1" w14:textId="77777777" w:rsidR="00F22FBD" w:rsidRDefault="00D44E4A">
      <w:pPr>
        <w:widowControl w:val="0"/>
        <w:kinsoku w:val="0"/>
        <w:overflowPunct w:val="0"/>
        <w:autoSpaceDE w:val="0"/>
        <w:autoSpaceDN w:val="0"/>
        <w:adjustRightInd w:val="0"/>
        <w:rPr>
          <w:b/>
        </w:rPr>
      </w:pPr>
      <w:r>
        <w:t xml:space="preserve">12-ojoje lentelėje išvardytos nepageidaujamos reakcijos, nustatytos pacientų vaikų tyrimuose, skirtuose VTE gydyti ir VTE pasikartojimo profilaktikai. Jos suklasifikuotos pagal organų sistemų klases (OSK) ir dažnį, kuris apibūdinamas taip: labai dažnas (≥1/10), dažnas (nuo ≥1/100 iki </w:t>
      </w:r>
      <w:r>
        <w:rPr>
          <w:color w:val="000000"/>
          <w:szCs w:val="22"/>
          <w:lang w:val="sl-SI" w:eastAsia="sl-SI"/>
        </w:rPr>
        <w:t xml:space="preserve">&lt;1/10), nedažnas (nuo ≥1/1 000 iki &lt;1/100), retas (nuo ≥1/10 000 iki &lt;1/1 000), labai retas (&lt;1/10 000), </w:t>
      </w:r>
      <w:r>
        <w:t>dažnis nežinomas (negali būti apskaičiuotas pagal turimus duomenis).</w:t>
      </w:r>
    </w:p>
    <w:p w14:paraId="261A6BD1" w14:textId="77777777" w:rsidR="00F22FBD" w:rsidRDefault="00F22FBD">
      <w:pPr>
        <w:ind w:left="567" w:hanging="567"/>
      </w:pPr>
    </w:p>
    <w:p w14:paraId="5EA709B7" w14:textId="77777777" w:rsidR="00F22FBD" w:rsidRDefault="00D44E4A">
      <w:pPr>
        <w:ind w:left="567" w:hanging="567"/>
        <w:rPr>
          <w:b/>
          <w:bCs/>
        </w:rPr>
      </w:pPr>
      <w:r>
        <w:rPr>
          <w:b/>
          <w:bCs/>
        </w:rPr>
        <w:lastRenderedPageBreak/>
        <w:t>12 lentelė. Nepageidaujamos reakcijos</w:t>
      </w:r>
    </w:p>
    <w:p w14:paraId="492C94AF" w14:textId="77777777" w:rsidR="00F22FBD" w:rsidRDefault="00F22FBD">
      <w:pPr>
        <w:ind w:left="567" w:hanging="567"/>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8"/>
      </w:tblGrid>
      <w:tr w:rsidR="00F22FBD" w14:paraId="59BD2D8C" w14:textId="77777777">
        <w:tc>
          <w:tcPr>
            <w:tcW w:w="4542" w:type="dxa"/>
            <w:shd w:val="clear" w:color="auto" w:fill="auto"/>
          </w:tcPr>
          <w:p w14:paraId="4E50EA4B" w14:textId="77777777" w:rsidR="00F22FBD" w:rsidRDefault="00F22FBD">
            <w:pPr>
              <w:widowControl w:val="0"/>
              <w:kinsoku w:val="0"/>
              <w:overflowPunct w:val="0"/>
              <w:autoSpaceDE w:val="0"/>
              <w:autoSpaceDN w:val="0"/>
              <w:adjustRightInd w:val="0"/>
              <w:rPr>
                <w:color w:val="000000"/>
                <w:szCs w:val="22"/>
                <w:lang w:val="sl-SI" w:eastAsia="sl-SI"/>
              </w:rPr>
            </w:pPr>
          </w:p>
        </w:tc>
        <w:tc>
          <w:tcPr>
            <w:tcW w:w="4518" w:type="dxa"/>
            <w:shd w:val="clear" w:color="auto" w:fill="auto"/>
          </w:tcPr>
          <w:p w14:paraId="11392E98" w14:textId="77777777" w:rsidR="00F22FBD" w:rsidRDefault="00D44E4A">
            <w:pPr>
              <w:widowControl w:val="0"/>
              <w:kinsoku w:val="0"/>
              <w:overflowPunct w:val="0"/>
              <w:autoSpaceDE w:val="0"/>
              <w:autoSpaceDN w:val="0"/>
              <w:adjustRightInd w:val="0"/>
              <w:jc w:val="center"/>
              <w:rPr>
                <w:color w:val="000000"/>
                <w:szCs w:val="22"/>
                <w:lang w:val="sl-SI" w:eastAsia="sl-SI"/>
              </w:rPr>
            </w:pPr>
            <w:r>
              <w:t>Dažnis</w:t>
            </w:r>
          </w:p>
        </w:tc>
      </w:tr>
      <w:tr w:rsidR="00F22FBD" w14:paraId="551B168F" w14:textId="77777777">
        <w:tc>
          <w:tcPr>
            <w:tcW w:w="4542" w:type="dxa"/>
            <w:shd w:val="clear" w:color="auto" w:fill="auto"/>
          </w:tcPr>
          <w:p w14:paraId="498933C4" w14:textId="77777777" w:rsidR="00F22FBD" w:rsidRDefault="00D44E4A">
            <w:pPr>
              <w:widowControl w:val="0"/>
              <w:kinsoku w:val="0"/>
              <w:overflowPunct w:val="0"/>
              <w:autoSpaceDE w:val="0"/>
              <w:autoSpaceDN w:val="0"/>
              <w:adjustRightInd w:val="0"/>
              <w:rPr>
                <w:color w:val="000000"/>
                <w:szCs w:val="22"/>
                <w:lang w:val="sl-SI" w:eastAsia="sl-SI"/>
              </w:rPr>
            </w:pPr>
            <w:r>
              <w:t>Organų sistemų klasė / pirmenybinis terminas</w:t>
            </w:r>
          </w:p>
        </w:tc>
        <w:tc>
          <w:tcPr>
            <w:tcW w:w="4518" w:type="dxa"/>
            <w:shd w:val="clear" w:color="auto" w:fill="auto"/>
          </w:tcPr>
          <w:p w14:paraId="2F93D33A" w14:textId="77777777" w:rsidR="00F22FBD" w:rsidRDefault="00D44E4A">
            <w:pPr>
              <w:widowControl w:val="0"/>
              <w:kinsoku w:val="0"/>
              <w:overflowPunct w:val="0"/>
              <w:autoSpaceDE w:val="0"/>
              <w:autoSpaceDN w:val="0"/>
              <w:adjustRightInd w:val="0"/>
              <w:jc w:val="center"/>
              <w:rPr>
                <w:color w:val="000000"/>
                <w:szCs w:val="22"/>
                <w:lang w:val="sl-SI" w:eastAsia="sl-SI"/>
              </w:rPr>
            </w:pPr>
            <w:r>
              <w:t>VTE gydymas ir VTE pasikartojimo profilaktika pacientams vaikams</w:t>
            </w:r>
          </w:p>
        </w:tc>
      </w:tr>
      <w:tr w:rsidR="00F22FBD" w14:paraId="4B79C7B9" w14:textId="77777777">
        <w:tc>
          <w:tcPr>
            <w:tcW w:w="9060" w:type="dxa"/>
            <w:gridSpan w:val="2"/>
            <w:shd w:val="clear" w:color="auto" w:fill="auto"/>
          </w:tcPr>
          <w:p w14:paraId="0B3D5886"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t>Kraujo ir limfinės sistemos sutrikimai</w:t>
            </w:r>
          </w:p>
        </w:tc>
      </w:tr>
      <w:tr w:rsidR="00F22FBD" w14:paraId="7BC0E0DC" w14:textId="77777777">
        <w:tc>
          <w:tcPr>
            <w:tcW w:w="4542" w:type="dxa"/>
            <w:shd w:val="clear" w:color="auto" w:fill="auto"/>
          </w:tcPr>
          <w:p w14:paraId="19EFE325" w14:textId="77777777" w:rsidR="00F22FBD" w:rsidRDefault="00D44E4A">
            <w:pPr>
              <w:widowControl w:val="0"/>
              <w:kinsoku w:val="0"/>
              <w:overflowPunct w:val="0"/>
              <w:autoSpaceDE w:val="0"/>
              <w:autoSpaceDN w:val="0"/>
              <w:adjustRightInd w:val="0"/>
              <w:ind w:left="284"/>
              <w:rPr>
                <w:color w:val="000000"/>
                <w:szCs w:val="22"/>
                <w:lang w:val="sl-SI" w:eastAsia="sl-SI"/>
              </w:rPr>
            </w:pPr>
            <w:r>
              <w:t>Anemija</w:t>
            </w:r>
          </w:p>
        </w:tc>
        <w:tc>
          <w:tcPr>
            <w:tcW w:w="4518" w:type="dxa"/>
            <w:shd w:val="clear" w:color="auto" w:fill="auto"/>
          </w:tcPr>
          <w:p w14:paraId="22E9BB3D" w14:textId="77777777" w:rsidR="00F22FBD" w:rsidRDefault="00D44E4A">
            <w:pPr>
              <w:widowControl w:val="0"/>
              <w:kinsoku w:val="0"/>
              <w:overflowPunct w:val="0"/>
              <w:autoSpaceDE w:val="0"/>
              <w:autoSpaceDN w:val="0"/>
              <w:adjustRightInd w:val="0"/>
              <w:jc w:val="center"/>
              <w:rPr>
                <w:color w:val="000000"/>
                <w:szCs w:val="22"/>
                <w:lang w:val="sl-SI" w:eastAsia="sl-SI"/>
              </w:rPr>
            </w:pPr>
            <w:r>
              <w:t>Dažnas</w:t>
            </w:r>
          </w:p>
        </w:tc>
      </w:tr>
      <w:tr w:rsidR="00F22FBD" w14:paraId="3ACF1BC1" w14:textId="77777777">
        <w:tc>
          <w:tcPr>
            <w:tcW w:w="4542" w:type="dxa"/>
            <w:shd w:val="clear" w:color="auto" w:fill="auto"/>
          </w:tcPr>
          <w:p w14:paraId="317F3FA0" w14:textId="77777777" w:rsidR="00F22FBD" w:rsidRDefault="00D44E4A">
            <w:pPr>
              <w:widowControl w:val="0"/>
              <w:kinsoku w:val="0"/>
              <w:overflowPunct w:val="0"/>
              <w:autoSpaceDE w:val="0"/>
              <w:autoSpaceDN w:val="0"/>
              <w:adjustRightInd w:val="0"/>
              <w:ind w:left="284"/>
              <w:rPr>
                <w:color w:val="000000"/>
                <w:szCs w:val="22"/>
                <w:lang w:val="sl-SI" w:eastAsia="sl-SI"/>
              </w:rPr>
            </w:pPr>
            <w:r>
              <w:t>Hemoglobino kiekio sumažėjimas</w:t>
            </w:r>
          </w:p>
        </w:tc>
        <w:tc>
          <w:tcPr>
            <w:tcW w:w="4518" w:type="dxa"/>
            <w:shd w:val="clear" w:color="auto" w:fill="auto"/>
          </w:tcPr>
          <w:p w14:paraId="79B89F95"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1CA56802" w14:textId="77777777">
        <w:tc>
          <w:tcPr>
            <w:tcW w:w="4542" w:type="dxa"/>
            <w:shd w:val="clear" w:color="auto" w:fill="auto"/>
          </w:tcPr>
          <w:p w14:paraId="36688212" w14:textId="77777777" w:rsidR="00F22FBD" w:rsidRDefault="00D44E4A">
            <w:pPr>
              <w:widowControl w:val="0"/>
              <w:kinsoku w:val="0"/>
              <w:overflowPunct w:val="0"/>
              <w:autoSpaceDE w:val="0"/>
              <w:autoSpaceDN w:val="0"/>
              <w:adjustRightInd w:val="0"/>
              <w:ind w:left="284"/>
              <w:rPr>
                <w:color w:val="000000"/>
                <w:szCs w:val="22"/>
                <w:lang w:val="sl-SI" w:eastAsia="sl-SI"/>
              </w:rPr>
            </w:pPr>
            <w:r>
              <w:t>Trombocitopenija</w:t>
            </w:r>
          </w:p>
        </w:tc>
        <w:tc>
          <w:tcPr>
            <w:tcW w:w="4518" w:type="dxa"/>
            <w:shd w:val="clear" w:color="auto" w:fill="auto"/>
          </w:tcPr>
          <w:p w14:paraId="6252C6E7" w14:textId="77777777" w:rsidR="00F22FBD" w:rsidRDefault="00D44E4A">
            <w:pPr>
              <w:widowControl w:val="0"/>
              <w:kinsoku w:val="0"/>
              <w:overflowPunct w:val="0"/>
              <w:autoSpaceDE w:val="0"/>
              <w:autoSpaceDN w:val="0"/>
              <w:adjustRightInd w:val="0"/>
              <w:jc w:val="center"/>
              <w:rPr>
                <w:color w:val="000000"/>
                <w:szCs w:val="22"/>
                <w:lang w:val="sl-SI" w:eastAsia="sl-SI"/>
              </w:rPr>
            </w:pPr>
            <w:r>
              <w:t>Dažnas</w:t>
            </w:r>
          </w:p>
        </w:tc>
      </w:tr>
      <w:tr w:rsidR="00F22FBD" w14:paraId="76BF2E78" w14:textId="77777777">
        <w:tc>
          <w:tcPr>
            <w:tcW w:w="4542" w:type="dxa"/>
            <w:shd w:val="clear" w:color="auto" w:fill="auto"/>
          </w:tcPr>
          <w:p w14:paraId="1093D146" w14:textId="77777777" w:rsidR="00F22FBD" w:rsidRDefault="00D44E4A">
            <w:pPr>
              <w:widowControl w:val="0"/>
              <w:kinsoku w:val="0"/>
              <w:overflowPunct w:val="0"/>
              <w:autoSpaceDE w:val="0"/>
              <w:autoSpaceDN w:val="0"/>
              <w:adjustRightInd w:val="0"/>
              <w:ind w:left="284"/>
              <w:rPr>
                <w:color w:val="000000"/>
                <w:szCs w:val="22"/>
                <w:lang w:val="sl-SI" w:eastAsia="sl-SI"/>
              </w:rPr>
            </w:pPr>
            <w:r>
              <w:t>Hematokrito sumažėjimas</w:t>
            </w:r>
          </w:p>
        </w:tc>
        <w:tc>
          <w:tcPr>
            <w:tcW w:w="4518" w:type="dxa"/>
            <w:shd w:val="clear" w:color="auto" w:fill="auto"/>
          </w:tcPr>
          <w:p w14:paraId="11D014EB"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3CE2FCB2" w14:textId="77777777">
        <w:tc>
          <w:tcPr>
            <w:tcW w:w="4542" w:type="dxa"/>
            <w:shd w:val="clear" w:color="auto" w:fill="auto"/>
          </w:tcPr>
          <w:p w14:paraId="1F66AD27" w14:textId="77777777" w:rsidR="00F22FBD" w:rsidRDefault="00D44E4A">
            <w:pPr>
              <w:widowControl w:val="0"/>
              <w:kinsoku w:val="0"/>
              <w:overflowPunct w:val="0"/>
              <w:autoSpaceDE w:val="0"/>
              <w:autoSpaceDN w:val="0"/>
              <w:adjustRightInd w:val="0"/>
              <w:ind w:left="284"/>
              <w:rPr>
                <w:color w:val="000000"/>
                <w:szCs w:val="22"/>
                <w:lang w:val="sl-SI" w:eastAsia="sl-SI"/>
              </w:rPr>
            </w:pPr>
            <w:r>
              <w:t>Neutropenija</w:t>
            </w:r>
          </w:p>
        </w:tc>
        <w:tc>
          <w:tcPr>
            <w:tcW w:w="4518" w:type="dxa"/>
            <w:shd w:val="clear" w:color="auto" w:fill="auto"/>
          </w:tcPr>
          <w:p w14:paraId="410D78E0"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7C85022E" w14:textId="77777777">
        <w:tc>
          <w:tcPr>
            <w:tcW w:w="4542" w:type="dxa"/>
            <w:shd w:val="clear" w:color="auto" w:fill="auto"/>
          </w:tcPr>
          <w:p w14:paraId="6B0511E7" w14:textId="77777777" w:rsidR="00F22FBD" w:rsidRDefault="00D44E4A">
            <w:pPr>
              <w:widowControl w:val="0"/>
              <w:kinsoku w:val="0"/>
              <w:overflowPunct w:val="0"/>
              <w:autoSpaceDE w:val="0"/>
              <w:autoSpaceDN w:val="0"/>
              <w:adjustRightInd w:val="0"/>
              <w:ind w:left="284"/>
              <w:rPr>
                <w:color w:val="000000"/>
                <w:szCs w:val="22"/>
                <w:lang w:val="sl-SI" w:eastAsia="sl-SI"/>
              </w:rPr>
            </w:pPr>
            <w:r>
              <w:t>Agranulocitozė</w:t>
            </w:r>
          </w:p>
        </w:tc>
        <w:tc>
          <w:tcPr>
            <w:tcW w:w="4518" w:type="dxa"/>
            <w:shd w:val="clear" w:color="auto" w:fill="auto"/>
          </w:tcPr>
          <w:p w14:paraId="3C8CB192" w14:textId="77777777" w:rsidR="00F22FBD" w:rsidRDefault="00D44E4A">
            <w:pPr>
              <w:widowControl w:val="0"/>
              <w:kinsoku w:val="0"/>
              <w:overflowPunct w:val="0"/>
              <w:autoSpaceDE w:val="0"/>
              <w:autoSpaceDN w:val="0"/>
              <w:adjustRightInd w:val="0"/>
              <w:jc w:val="center"/>
              <w:rPr>
                <w:color w:val="000000"/>
                <w:szCs w:val="22"/>
                <w:lang w:val="sl-SI" w:eastAsia="sl-SI"/>
              </w:rPr>
            </w:pPr>
            <w:r>
              <w:t>Dažnis nežinomas</w:t>
            </w:r>
          </w:p>
        </w:tc>
      </w:tr>
      <w:tr w:rsidR="00F22FBD" w14:paraId="42BF1B53" w14:textId="77777777">
        <w:tc>
          <w:tcPr>
            <w:tcW w:w="4542" w:type="dxa"/>
            <w:shd w:val="clear" w:color="auto" w:fill="auto"/>
          </w:tcPr>
          <w:p w14:paraId="15B19E3E"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t>Imuninės sistemos sutrikimai</w:t>
            </w:r>
          </w:p>
        </w:tc>
        <w:tc>
          <w:tcPr>
            <w:tcW w:w="4518" w:type="dxa"/>
            <w:shd w:val="clear" w:color="auto" w:fill="auto"/>
          </w:tcPr>
          <w:p w14:paraId="5A1069FE" w14:textId="77777777" w:rsidR="00F22FBD" w:rsidRDefault="00F22FBD">
            <w:pPr>
              <w:widowControl w:val="0"/>
              <w:kinsoku w:val="0"/>
              <w:overflowPunct w:val="0"/>
              <w:autoSpaceDE w:val="0"/>
              <w:autoSpaceDN w:val="0"/>
              <w:adjustRightInd w:val="0"/>
              <w:jc w:val="center"/>
              <w:rPr>
                <w:color w:val="000000"/>
                <w:szCs w:val="22"/>
                <w:lang w:val="sl-SI" w:eastAsia="sl-SI"/>
              </w:rPr>
            </w:pPr>
          </w:p>
        </w:tc>
      </w:tr>
      <w:tr w:rsidR="00F22FBD" w14:paraId="5FED7185" w14:textId="77777777">
        <w:tc>
          <w:tcPr>
            <w:tcW w:w="4542" w:type="dxa"/>
            <w:shd w:val="clear" w:color="auto" w:fill="auto"/>
          </w:tcPr>
          <w:p w14:paraId="38882821" w14:textId="77777777" w:rsidR="00F22FBD" w:rsidRDefault="00D44E4A">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Jautrumo vaistiniam preparatui</w:t>
            </w:r>
          </w:p>
          <w:p w14:paraId="5A783FD2" w14:textId="77777777" w:rsidR="00F22FBD" w:rsidRDefault="00D44E4A">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padidėjimas</w:t>
            </w:r>
          </w:p>
        </w:tc>
        <w:tc>
          <w:tcPr>
            <w:tcW w:w="4518" w:type="dxa"/>
            <w:shd w:val="clear" w:color="auto" w:fill="auto"/>
          </w:tcPr>
          <w:p w14:paraId="52354037"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F22FBD" w14:paraId="47C17840" w14:textId="77777777">
        <w:tc>
          <w:tcPr>
            <w:tcW w:w="4542" w:type="dxa"/>
            <w:shd w:val="clear" w:color="auto" w:fill="auto"/>
          </w:tcPr>
          <w:p w14:paraId="3328D89A" w14:textId="77777777" w:rsidR="00F22FBD" w:rsidRDefault="00D44E4A">
            <w:pPr>
              <w:widowControl w:val="0"/>
              <w:kinsoku w:val="0"/>
              <w:overflowPunct w:val="0"/>
              <w:autoSpaceDE w:val="0"/>
              <w:autoSpaceDN w:val="0"/>
              <w:adjustRightInd w:val="0"/>
              <w:ind w:left="284"/>
              <w:rPr>
                <w:color w:val="000000"/>
                <w:szCs w:val="22"/>
                <w:lang w:val="sl-SI" w:eastAsia="sl-SI"/>
              </w:rPr>
            </w:pPr>
            <w:r>
              <w:t>Išbėrimas</w:t>
            </w:r>
          </w:p>
        </w:tc>
        <w:tc>
          <w:tcPr>
            <w:tcW w:w="4518" w:type="dxa"/>
            <w:shd w:val="clear" w:color="auto" w:fill="auto"/>
          </w:tcPr>
          <w:p w14:paraId="410A6B41" w14:textId="77777777" w:rsidR="00F22FBD" w:rsidRDefault="00D44E4A">
            <w:pPr>
              <w:widowControl w:val="0"/>
              <w:kinsoku w:val="0"/>
              <w:overflowPunct w:val="0"/>
              <w:autoSpaceDE w:val="0"/>
              <w:autoSpaceDN w:val="0"/>
              <w:adjustRightInd w:val="0"/>
              <w:jc w:val="center"/>
              <w:rPr>
                <w:color w:val="000000"/>
                <w:szCs w:val="22"/>
                <w:lang w:val="sl-SI" w:eastAsia="sl-SI"/>
              </w:rPr>
            </w:pPr>
            <w:r>
              <w:t>Dažnas</w:t>
            </w:r>
          </w:p>
        </w:tc>
      </w:tr>
      <w:tr w:rsidR="00F22FBD" w14:paraId="4242B0BB" w14:textId="77777777">
        <w:tc>
          <w:tcPr>
            <w:tcW w:w="4542" w:type="dxa"/>
            <w:shd w:val="clear" w:color="auto" w:fill="auto"/>
          </w:tcPr>
          <w:p w14:paraId="642F0EB5" w14:textId="77777777" w:rsidR="00F22FBD" w:rsidRDefault="00D44E4A">
            <w:pPr>
              <w:widowControl w:val="0"/>
              <w:kinsoku w:val="0"/>
              <w:overflowPunct w:val="0"/>
              <w:autoSpaceDE w:val="0"/>
              <w:autoSpaceDN w:val="0"/>
              <w:adjustRightInd w:val="0"/>
              <w:ind w:left="284"/>
              <w:rPr>
                <w:color w:val="000000"/>
                <w:szCs w:val="22"/>
                <w:lang w:val="sl-SI" w:eastAsia="sl-SI"/>
              </w:rPr>
            </w:pPr>
            <w:r>
              <w:t>Niežėjimas</w:t>
            </w:r>
          </w:p>
        </w:tc>
        <w:tc>
          <w:tcPr>
            <w:tcW w:w="4518" w:type="dxa"/>
            <w:shd w:val="clear" w:color="auto" w:fill="auto"/>
          </w:tcPr>
          <w:p w14:paraId="7C541F53"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622BDD47" w14:textId="77777777">
        <w:tc>
          <w:tcPr>
            <w:tcW w:w="4542" w:type="dxa"/>
            <w:shd w:val="clear" w:color="auto" w:fill="auto"/>
          </w:tcPr>
          <w:p w14:paraId="1382E043" w14:textId="77777777" w:rsidR="00F22FBD" w:rsidRDefault="00D44E4A">
            <w:pPr>
              <w:widowControl w:val="0"/>
              <w:kinsoku w:val="0"/>
              <w:overflowPunct w:val="0"/>
              <w:autoSpaceDE w:val="0"/>
              <w:autoSpaceDN w:val="0"/>
              <w:adjustRightInd w:val="0"/>
              <w:ind w:left="284"/>
              <w:rPr>
                <w:color w:val="000000"/>
                <w:szCs w:val="22"/>
                <w:lang w:val="sl-SI" w:eastAsia="sl-SI"/>
              </w:rPr>
            </w:pPr>
            <w:r>
              <w:t>Anafilaksinė reakcija</w:t>
            </w:r>
          </w:p>
        </w:tc>
        <w:tc>
          <w:tcPr>
            <w:tcW w:w="4518" w:type="dxa"/>
            <w:shd w:val="clear" w:color="auto" w:fill="auto"/>
          </w:tcPr>
          <w:p w14:paraId="1EE21427" w14:textId="77777777" w:rsidR="00F22FBD" w:rsidRDefault="00D44E4A">
            <w:pPr>
              <w:widowControl w:val="0"/>
              <w:kinsoku w:val="0"/>
              <w:overflowPunct w:val="0"/>
              <w:autoSpaceDE w:val="0"/>
              <w:autoSpaceDN w:val="0"/>
              <w:adjustRightInd w:val="0"/>
              <w:jc w:val="center"/>
              <w:rPr>
                <w:color w:val="000000"/>
                <w:szCs w:val="22"/>
                <w:lang w:val="sl-SI" w:eastAsia="sl-SI"/>
              </w:rPr>
            </w:pPr>
            <w:r>
              <w:t>Dažnis nežinomas</w:t>
            </w:r>
          </w:p>
        </w:tc>
      </w:tr>
      <w:tr w:rsidR="00F22FBD" w14:paraId="348136BA" w14:textId="77777777">
        <w:tc>
          <w:tcPr>
            <w:tcW w:w="4542" w:type="dxa"/>
            <w:shd w:val="clear" w:color="auto" w:fill="auto"/>
          </w:tcPr>
          <w:p w14:paraId="47D4E713" w14:textId="77777777" w:rsidR="00F22FBD" w:rsidRDefault="00D44E4A">
            <w:pPr>
              <w:widowControl w:val="0"/>
              <w:kinsoku w:val="0"/>
              <w:overflowPunct w:val="0"/>
              <w:autoSpaceDE w:val="0"/>
              <w:autoSpaceDN w:val="0"/>
              <w:adjustRightInd w:val="0"/>
              <w:ind w:left="284"/>
              <w:rPr>
                <w:color w:val="000000"/>
                <w:szCs w:val="22"/>
                <w:lang w:val="sl-SI" w:eastAsia="sl-SI"/>
              </w:rPr>
            </w:pPr>
            <w:r>
              <w:t>Angioedema</w:t>
            </w:r>
          </w:p>
        </w:tc>
        <w:tc>
          <w:tcPr>
            <w:tcW w:w="4518" w:type="dxa"/>
            <w:shd w:val="clear" w:color="auto" w:fill="auto"/>
          </w:tcPr>
          <w:p w14:paraId="4DB1AE86" w14:textId="77777777" w:rsidR="00F22FBD" w:rsidRDefault="00D44E4A">
            <w:pPr>
              <w:widowControl w:val="0"/>
              <w:kinsoku w:val="0"/>
              <w:overflowPunct w:val="0"/>
              <w:autoSpaceDE w:val="0"/>
              <w:autoSpaceDN w:val="0"/>
              <w:adjustRightInd w:val="0"/>
              <w:jc w:val="center"/>
              <w:rPr>
                <w:color w:val="000000"/>
                <w:szCs w:val="22"/>
                <w:lang w:val="sl-SI" w:eastAsia="sl-SI"/>
              </w:rPr>
            </w:pPr>
            <w:r>
              <w:t>Dažnis nežinomas</w:t>
            </w:r>
          </w:p>
        </w:tc>
      </w:tr>
      <w:tr w:rsidR="00F22FBD" w14:paraId="3849FB79" w14:textId="77777777">
        <w:tc>
          <w:tcPr>
            <w:tcW w:w="4542" w:type="dxa"/>
            <w:shd w:val="clear" w:color="auto" w:fill="auto"/>
          </w:tcPr>
          <w:p w14:paraId="5C1D5490" w14:textId="77777777" w:rsidR="00F22FBD" w:rsidRDefault="00D44E4A">
            <w:pPr>
              <w:widowControl w:val="0"/>
              <w:kinsoku w:val="0"/>
              <w:overflowPunct w:val="0"/>
              <w:autoSpaceDE w:val="0"/>
              <w:autoSpaceDN w:val="0"/>
              <w:adjustRightInd w:val="0"/>
              <w:ind w:left="284"/>
              <w:rPr>
                <w:color w:val="000000"/>
                <w:szCs w:val="22"/>
                <w:lang w:val="sl-SI" w:eastAsia="sl-SI"/>
              </w:rPr>
            </w:pPr>
            <w:r>
              <w:t>Dilgėlinė</w:t>
            </w:r>
          </w:p>
        </w:tc>
        <w:tc>
          <w:tcPr>
            <w:tcW w:w="4518" w:type="dxa"/>
            <w:shd w:val="clear" w:color="auto" w:fill="auto"/>
          </w:tcPr>
          <w:p w14:paraId="6C41EDBA" w14:textId="77777777" w:rsidR="00F22FBD" w:rsidRDefault="00D44E4A">
            <w:pPr>
              <w:widowControl w:val="0"/>
              <w:kinsoku w:val="0"/>
              <w:overflowPunct w:val="0"/>
              <w:autoSpaceDE w:val="0"/>
              <w:autoSpaceDN w:val="0"/>
              <w:adjustRightInd w:val="0"/>
              <w:jc w:val="center"/>
              <w:rPr>
                <w:color w:val="000000"/>
                <w:szCs w:val="22"/>
                <w:lang w:val="sl-SI" w:eastAsia="sl-SI"/>
              </w:rPr>
            </w:pPr>
            <w:r>
              <w:t>Dažnas</w:t>
            </w:r>
          </w:p>
        </w:tc>
      </w:tr>
      <w:tr w:rsidR="00F22FBD" w14:paraId="722D78A8" w14:textId="77777777">
        <w:tc>
          <w:tcPr>
            <w:tcW w:w="4542" w:type="dxa"/>
            <w:shd w:val="clear" w:color="auto" w:fill="auto"/>
          </w:tcPr>
          <w:p w14:paraId="09411106" w14:textId="77777777" w:rsidR="00F22FBD" w:rsidRDefault="00D44E4A">
            <w:pPr>
              <w:widowControl w:val="0"/>
              <w:kinsoku w:val="0"/>
              <w:overflowPunct w:val="0"/>
              <w:autoSpaceDE w:val="0"/>
              <w:autoSpaceDN w:val="0"/>
              <w:adjustRightInd w:val="0"/>
              <w:ind w:left="284"/>
              <w:rPr>
                <w:color w:val="000000"/>
                <w:szCs w:val="22"/>
                <w:lang w:val="sl-SI" w:eastAsia="sl-SI"/>
              </w:rPr>
            </w:pPr>
            <w:r>
              <w:t>Bronchų spazmas</w:t>
            </w:r>
          </w:p>
        </w:tc>
        <w:tc>
          <w:tcPr>
            <w:tcW w:w="4518" w:type="dxa"/>
            <w:shd w:val="clear" w:color="auto" w:fill="auto"/>
          </w:tcPr>
          <w:p w14:paraId="2036D246" w14:textId="77777777" w:rsidR="00F22FBD" w:rsidRDefault="00D44E4A">
            <w:pPr>
              <w:widowControl w:val="0"/>
              <w:kinsoku w:val="0"/>
              <w:overflowPunct w:val="0"/>
              <w:autoSpaceDE w:val="0"/>
              <w:autoSpaceDN w:val="0"/>
              <w:adjustRightInd w:val="0"/>
              <w:jc w:val="center"/>
              <w:rPr>
                <w:color w:val="000000"/>
                <w:szCs w:val="22"/>
                <w:lang w:val="sl-SI" w:eastAsia="sl-SI"/>
              </w:rPr>
            </w:pPr>
            <w:r>
              <w:t>Dažnis nežinomas</w:t>
            </w:r>
          </w:p>
        </w:tc>
      </w:tr>
      <w:tr w:rsidR="00F22FBD" w14:paraId="5E1EEC4F" w14:textId="77777777">
        <w:tc>
          <w:tcPr>
            <w:tcW w:w="9060" w:type="dxa"/>
            <w:gridSpan w:val="2"/>
            <w:shd w:val="clear" w:color="auto" w:fill="auto"/>
          </w:tcPr>
          <w:p w14:paraId="557AABD5"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Nervų sistemos sutrikimai</w:t>
            </w:r>
          </w:p>
        </w:tc>
      </w:tr>
      <w:tr w:rsidR="00F22FBD" w14:paraId="6D6D4697" w14:textId="77777777">
        <w:tc>
          <w:tcPr>
            <w:tcW w:w="4542" w:type="dxa"/>
            <w:shd w:val="clear" w:color="auto" w:fill="auto"/>
          </w:tcPr>
          <w:p w14:paraId="635C7C0C" w14:textId="77777777" w:rsidR="00F22FBD" w:rsidRDefault="00D44E4A">
            <w:pPr>
              <w:widowControl w:val="0"/>
              <w:kinsoku w:val="0"/>
              <w:overflowPunct w:val="0"/>
              <w:autoSpaceDE w:val="0"/>
              <w:autoSpaceDN w:val="0"/>
              <w:adjustRightInd w:val="0"/>
              <w:ind w:left="284"/>
              <w:rPr>
                <w:color w:val="000000"/>
                <w:szCs w:val="22"/>
                <w:lang w:val="sl-SI" w:eastAsia="sl-SI"/>
              </w:rPr>
            </w:pPr>
            <w:r>
              <w:t>Intrakranijinis kraujavimas</w:t>
            </w:r>
          </w:p>
        </w:tc>
        <w:tc>
          <w:tcPr>
            <w:tcW w:w="4518" w:type="dxa"/>
            <w:shd w:val="clear" w:color="auto" w:fill="auto"/>
          </w:tcPr>
          <w:p w14:paraId="6E0FC108"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10C296D2" w14:textId="77777777">
        <w:tc>
          <w:tcPr>
            <w:tcW w:w="9060" w:type="dxa"/>
            <w:gridSpan w:val="2"/>
            <w:shd w:val="clear" w:color="auto" w:fill="auto"/>
          </w:tcPr>
          <w:p w14:paraId="143A0445"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Kraujagyslių sutrikimai</w:t>
            </w:r>
          </w:p>
        </w:tc>
      </w:tr>
      <w:tr w:rsidR="00F22FBD" w14:paraId="19FCCE04" w14:textId="77777777">
        <w:tc>
          <w:tcPr>
            <w:tcW w:w="4542" w:type="dxa"/>
            <w:shd w:val="clear" w:color="auto" w:fill="auto"/>
          </w:tcPr>
          <w:p w14:paraId="1420C245" w14:textId="77777777" w:rsidR="00F22FBD" w:rsidRDefault="00D44E4A">
            <w:pPr>
              <w:widowControl w:val="0"/>
              <w:kinsoku w:val="0"/>
              <w:overflowPunct w:val="0"/>
              <w:autoSpaceDE w:val="0"/>
              <w:autoSpaceDN w:val="0"/>
              <w:adjustRightInd w:val="0"/>
              <w:spacing w:line="232" w:lineRule="exact"/>
              <w:ind w:left="285"/>
              <w:rPr>
                <w:color w:val="000000"/>
                <w:szCs w:val="22"/>
                <w:lang w:val="sl-SI" w:eastAsia="sl-SI"/>
              </w:rPr>
            </w:pPr>
            <w:r>
              <w:t>Hematoma</w:t>
            </w:r>
          </w:p>
        </w:tc>
        <w:tc>
          <w:tcPr>
            <w:tcW w:w="4518" w:type="dxa"/>
            <w:shd w:val="clear" w:color="auto" w:fill="auto"/>
          </w:tcPr>
          <w:p w14:paraId="47C98B96" w14:textId="77777777" w:rsidR="00F22FBD" w:rsidRDefault="00D44E4A">
            <w:pPr>
              <w:widowControl w:val="0"/>
              <w:kinsoku w:val="0"/>
              <w:overflowPunct w:val="0"/>
              <w:autoSpaceDE w:val="0"/>
              <w:autoSpaceDN w:val="0"/>
              <w:adjustRightInd w:val="0"/>
              <w:jc w:val="center"/>
              <w:rPr>
                <w:color w:val="000000"/>
                <w:szCs w:val="22"/>
                <w:lang w:val="sl-SI" w:eastAsia="sl-SI"/>
              </w:rPr>
            </w:pPr>
            <w:r>
              <w:t>Dažnas</w:t>
            </w:r>
          </w:p>
        </w:tc>
      </w:tr>
      <w:tr w:rsidR="00F22FBD" w14:paraId="1E1C85DE" w14:textId="77777777">
        <w:tc>
          <w:tcPr>
            <w:tcW w:w="4542" w:type="dxa"/>
            <w:shd w:val="clear" w:color="auto" w:fill="auto"/>
          </w:tcPr>
          <w:p w14:paraId="12781EBC" w14:textId="77777777" w:rsidR="00F22FBD" w:rsidRDefault="00D44E4A">
            <w:pPr>
              <w:widowControl w:val="0"/>
              <w:kinsoku w:val="0"/>
              <w:overflowPunct w:val="0"/>
              <w:autoSpaceDE w:val="0"/>
              <w:autoSpaceDN w:val="0"/>
              <w:adjustRightInd w:val="0"/>
              <w:spacing w:line="232" w:lineRule="exact"/>
              <w:ind w:left="285"/>
              <w:rPr>
                <w:color w:val="000000"/>
                <w:szCs w:val="22"/>
                <w:lang w:val="sl-SI" w:eastAsia="sl-SI"/>
              </w:rPr>
            </w:pPr>
            <w:r>
              <w:t>Kraujavimas</w:t>
            </w:r>
          </w:p>
        </w:tc>
        <w:tc>
          <w:tcPr>
            <w:tcW w:w="4518" w:type="dxa"/>
            <w:shd w:val="clear" w:color="auto" w:fill="auto"/>
          </w:tcPr>
          <w:p w14:paraId="253FDD61" w14:textId="77777777" w:rsidR="00F22FBD" w:rsidRDefault="00D44E4A">
            <w:pPr>
              <w:widowControl w:val="0"/>
              <w:kinsoku w:val="0"/>
              <w:overflowPunct w:val="0"/>
              <w:autoSpaceDE w:val="0"/>
              <w:autoSpaceDN w:val="0"/>
              <w:adjustRightInd w:val="0"/>
              <w:jc w:val="center"/>
              <w:rPr>
                <w:color w:val="000000"/>
                <w:szCs w:val="22"/>
                <w:lang w:val="sl-SI" w:eastAsia="sl-SI"/>
              </w:rPr>
            </w:pPr>
            <w:r>
              <w:t>Dažnis nežinomas</w:t>
            </w:r>
          </w:p>
        </w:tc>
      </w:tr>
      <w:tr w:rsidR="00F22FBD" w14:paraId="3C077857" w14:textId="77777777">
        <w:tc>
          <w:tcPr>
            <w:tcW w:w="9060" w:type="dxa"/>
            <w:gridSpan w:val="2"/>
            <w:shd w:val="clear" w:color="auto" w:fill="auto"/>
          </w:tcPr>
          <w:p w14:paraId="47484EE5"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t>Kvėpavimo sistemos, krūtinės ląstos ir tarpuplaučio sutrikimai</w:t>
            </w:r>
          </w:p>
        </w:tc>
      </w:tr>
      <w:tr w:rsidR="00F22FBD" w14:paraId="1A24A93D" w14:textId="77777777">
        <w:tc>
          <w:tcPr>
            <w:tcW w:w="4542" w:type="dxa"/>
            <w:shd w:val="clear" w:color="auto" w:fill="auto"/>
          </w:tcPr>
          <w:p w14:paraId="05A07095" w14:textId="77777777" w:rsidR="00F22FBD" w:rsidRDefault="00D44E4A">
            <w:pPr>
              <w:widowControl w:val="0"/>
              <w:kinsoku w:val="0"/>
              <w:overflowPunct w:val="0"/>
              <w:autoSpaceDE w:val="0"/>
              <w:autoSpaceDN w:val="0"/>
              <w:adjustRightInd w:val="0"/>
              <w:ind w:left="284"/>
              <w:rPr>
                <w:color w:val="000000"/>
                <w:szCs w:val="22"/>
                <w:lang w:val="sl-SI" w:eastAsia="sl-SI"/>
              </w:rPr>
            </w:pPr>
            <w:r>
              <w:t>Kraujavimas iš nosies</w:t>
            </w:r>
          </w:p>
        </w:tc>
        <w:tc>
          <w:tcPr>
            <w:tcW w:w="4518" w:type="dxa"/>
            <w:shd w:val="clear" w:color="auto" w:fill="auto"/>
          </w:tcPr>
          <w:p w14:paraId="770BC8D6" w14:textId="77777777" w:rsidR="00F22FBD" w:rsidRDefault="00D44E4A">
            <w:pPr>
              <w:widowControl w:val="0"/>
              <w:kinsoku w:val="0"/>
              <w:overflowPunct w:val="0"/>
              <w:autoSpaceDE w:val="0"/>
              <w:autoSpaceDN w:val="0"/>
              <w:adjustRightInd w:val="0"/>
              <w:jc w:val="center"/>
              <w:rPr>
                <w:color w:val="000000"/>
                <w:szCs w:val="22"/>
                <w:lang w:val="sl-SI" w:eastAsia="sl-SI"/>
              </w:rPr>
            </w:pPr>
            <w:r>
              <w:t>Dažnas</w:t>
            </w:r>
          </w:p>
        </w:tc>
      </w:tr>
      <w:tr w:rsidR="00F22FBD" w14:paraId="4526101C" w14:textId="77777777">
        <w:tc>
          <w:tcPr>
            <w:tcW w:w="4542" w:type="dxa"/>
            <w:shd w:val="clear" w:color="auto" w:fill="auto"/>
          </w:tcPr>
          <w:p w14:paraId="0B7D476E" w14:textId="77777777" w:rsidR="00F22FBD" w:rsidRDefault="00D44E4A">
            <w:pPr>
              <w:widowControl w:val="0"/>
              <w:kinsoku w:val="0"/>
              <w:overflowPunct w:val="0"/>
              <w:autoSpaceDE w:val="0"/>
              <w:autoSpaceDN w:val="0"/>
              <w:adjustRightInd w:val="0"/>
              <w:ind w:left="284"/>
              <w:rPr>
                <w:color w:val="000000"/>
                <w:szCs w:val="22"/>
                <w:lang w:val="sl-SI" w:eastAsia="sl-SI"/>
              </w:rPr>
            </w:pPr>
            <w:r>
              <w:t>Skrepliavimas krauju</w:t>
            </w:r>
          </w:p>
        </w:tc>
        <w:tc>
          <w:tcPr>
            <w:tcW w:w="4518" w:type="dxa"/>
            <w:shd w:val="clear" w:color="auto" w:fill="auto"/>
          </w:tcPr>
          <w:p w14:paraId="6029F843"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4D5189E8" w14:textId="77777777">
        <w:tc>
          <w:tcPr>
            <w:tcW w:w="9060" w:type="dxa"/>
            <w:gridSpan w:val="2"/>
            <w:shd w:val="clear" w:color="auto" w:fill="auto"/>
          </w:tcPr>
          <w:p w14:paraId="6044DFFB"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t>Virškinimo trakto sutrikimai</w:t>
            </w:r>
          </w:p>
        </w:tc>
      </w:tr>
      <w:tr w:rsidR="00F22FBD" w14:paraId="163DB8B5" w14:textId="77777777">
        <w:tc>
          <w:tcPr>
            <w:tcW w:w="4542" w:type="dxa"/>
            <w:shd w:val="clear" w:color="auto" w:fill="auto"/>
          </w:tcPr>
          <w:p w14:paraId="4C246E6F" w14:textId="77777777" w:rsidR="00F22FBD" w:rsidRDefault="00D44E4A">
            <w:pPr>
              <w:widowControl w:val="0"/>
              <w:kinsoku w:val="0"/>
              <w:overflowPunct w:val="0"/>
              <w:autoSpaceDE w:val="0"/>
              <w:autoSpaceDN w:val="0"/>
              <w:adjustRightInd w:val="0"/>
              <w:ind w:left="284"/>
              <w:rPr>
                <w:color w:val="000000"/>
                <w:szCs w:val="22"/>
                <w:lang w:val="sl-SI" w:eastAsia="sl-SI"/>
              </w:rPr>
            </w:pPr>
            <w:r>
              <w:t>Kraujavimas iš skrandžio ir žarnyno</w:t>
            </w:r>
          </w:p>
        </w:tc>
        <w:tc>
          <w:tcPr>
            <w:tcW w:w="4518" w:type="dxa"/>
            <w:shd w:val="clear" w:color="auto" w:fill="auto"/>
          </w:tcPr>
          <w:p w14:paraId="2CAD7A68"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0639F395" w14:textId="77777777">
        <w:tc>
          <w:tcPr>
            <w:tcW w:w="4542" w:type="dxa"/>
            <w:shd w:val="clear" w:color="auto" w:fill="auto"/>
          </w:tcPr>
          <w:p w14:paraId="58E3B1D2" w14:textId="77777777" w:rsidR="00F22FBD" w:rsidRDefault="00D44E4A">
            <w:pPr>
              <w:widowControl w:val="0"/>
              <w:kinsoku w:val="0"/>
              <w:overflowPunct w:val="0"/>
              <w:autoSpaceDE w:val="0"/>
              <w:autoSpaceDN w:val="0"/>
              <w:adjustRightInd w:val="0"/>
              <w:ind w:left="284"/>
              <w:rPr>
                <w:color w:val="000000"/>
                <w:szCs w:val="22"/>
                <w:lang w:val="sl-SI" w:eastAsia="sl-SI"/>
              </w:rPr>
            </w:pPr>
            <w:r>
              <w:t>Pilvo skausmas</w:t>
            </w:r>
          </w:p>
        </w:tc>
        <w:tc>
          <w:tcPr>
            <w:tcW w:w="4518" w:type="dxa"/>
            <w:shd w:val="clear" w:color="auto" w:fill="auto"/>
          </w:tcPr>
          <w:p w14:paraId="3229BCBA"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1A21CE78" w14:textId="77777777">
        <w:tc>
          <w:tcPr>
            <w:tcW w:w="4542" w:type="dxa"/>
            <w:shd w:val="clear" w:color="auto" w:fill="auto"/>
          </w:tcPr>
          <w:p w14:paraId="78423D98" w14:textId="77777777" w:rsidR="00F22FBD" w:rsidRDefault="00D44E4A">
            <w:pPr>
              <w:widowControl w:val="0"/>
              <w:kinsoku w:val="0"/>
              <w:overflowPunct w:val="0"/>
              <w:autoSpaceDE w:val="0"/>
              <w:autoSpaceDN w:val="0"/>
              <w:adjustRightInd w:val="0"/>
              <w:ind w:left="284"/>
              <w:rPr>
                <w:color w:val="000000"/>
                <w:szCs w:val="22"/>
                <w:lang w:val="sl-SI" w:eastAsia="sl-SI"/>
              </w:rPr>
            </w:pPr>
            <w:r>
              <w:t>Viduriavimas</w:t>
            </w:r>
          </w:p>
        </w:tc>
        <w:tc>
          <w:tcPr>
            <w:tcW w:w="4518" w:type="dxa"/>
            <w:shd w:val="clear" w:color="auto" w:fill="auto"/>
          </w:tcPr>
          <w:p w14:paraId="2041DF57" w14:textId="77777777" w:rsidR="00F22FBD" w:rsidRDefault="00D44E4A">
            <w:pPr>
              <w:widowControl w:val="0"/>
              <w:kinsoku w:val="0"/>
              <w:overflowPunct w:val="0"/>
              <w:autoSpaceDE w:val="0"/>
              <w:autoSpaceDN w:val="0"/>
              <w:adjustRightInd w:val="0"/>
              <w:jc w:val="center"/>
              <w:rPr>
                <w:color w:val="000000"/>
                <w:szCs w:val="22"/>
                <w:lang w:val="sl-SI" w:eastAsia="sl-SI"/>
              </w:rPr>
            </w:pPr>
            <w:r>
              <w:t>Dažnas</w:t>
            </w:r>
          </w:p>
        </w:tc>
      </w:tr>
      <w:tr w:rsidR="00F22FBD" w14:paraId="7D718AF0" w14:textId="77777777">
        <w:tc>
          <w:tcPr>
            <w:tcW w:w="4542" w:type="dxa"/>
            <w:shd w:val="clear" w:color="auto" w:fill="auto"/>
          </w:tcPr>
          <w:p w14:paraId="1DFA9E79" w14:textId="77777777" w:rsidR="00F22FBD" w:rsidRDefault="00D44E4A">
            <w:pPr>
              <w:widowControl w:val="0"/>
              <w:kinsoku w:val="0"/>
              <w:overflowPunct w:val="0"/>
              <w:autoSpaceDE w:val="0"/>
              <w:autoSpaceDN w:val="0"/>
              <w:adjustRightInd w:val="0"/>
              <w:ind w:left="284"/>
              <w:rPr>
                <w:color w:val="000000"/>
                <w:szCs w:val="22"/>
                <w:lang w:val="sl-SI" w:eastAsia="sl-SI"/>
              </w:rPr>
            </w:pPr>
            <w:r>
              <w:t>Dispepsija</w:t>
            </w:r>
          </w:p>
        </w:tc>
        <w:tc>
          <w:tcPr>
            <w:tcW w:w="4518" w:type="dxa"/>
            <w:shd w:val="clear" w:color="auto" w:fill="auto"/>
          </w:tcPr>
          <w:p w14:paraId="329E495F" w14:textId="77777777" w:rsidR="00F22FBD" w:rsidRDefault="00D44E4A">
            <w:pPr>
              <w:widowControl w:val="0"/>
              <w:kinsoku w:val="0"/>
              <w:overflowPunct w:val="0"/>
              <w:autoSpaceDE w:val="0"/>
              <w:autoSpaceDN w:val="0"/>
              <w:adjustRightInd w:val="0"/>
              <w:jc w:val="center"/>
              <w:rPr>
                <w:color w:val="000000"/>
                <w:szCs w:val="22"/>
                <w:lang w:val="sl-SI" w:eastAsia="sl-SI"/>
              </w:rPr>
            </w:pPr>
            <w:r>
              <w:t>Dažnas</w:t>
            </w:r>
          </w:p>
        </w:tc>
      </w:tr>
      <w:tr w:rsidR="00F22FBD" w14:paraId="7BABD7D2" w14:textId="77777777">
        <w:tc>
          <w:tcPr>
            <w:tcW w:w="4542" w:type="dxa"/>
            <w:shd w:val="clear" w:color="auto" w:fill="auto"/>
          </w:tcPr>
          <w:p w14:paraId="07EC19B1" w14:textId="77777777" w:rsidR="00F22FBD" w:rsidRDefault="00D44E4A">
            <w:pPr>
              <w:widowControl w:val="0"/>
              <w:kinsoku w:val="0"/>
              <w:overflowPunct w:val="0"/>
              <w:autoSpaceDE w:val="0"/>
              <w:autoSpaceDN w:val="0"/>
              <w:adjustRightInd w:val="0"/>
              <w:ind w:left="284"/>
            </w:pPr>
            <w:r>
              <w:t>Pykinimas</w:t>
            </w:r>
          </w:p>
        </w:tc>
        <w:tc>
          <w:tcPr>
            <w:tcW w:w="4518" w:type="dxa"/>
            <w:shd w:val="clear" w:color="auto" w:fill="auto"/>
          </w:tcPr>
          <w:p w14:paraId="07A26290" w14:textId="77777777" w:rsidR="00F22FBD" w:rsidRDefault="00D44E4A">
            <w:pPr>
              <w:widowControl w:val="0"/>
              <w:kinsoku w:val="0"/>
              <w:overflowPunct w:val="0"/>
              <w:autoSpaceDE w:val="0"/>
              <w:autoSpaceDN w:val="0"/>
              <w:adjustRightInd w:val="0"/>
              <w:jc w:val="center"/>
              <w:rPr>
                <w:color w:val="000000"/>
                <w:szCs w:val="22"/>
                <w:lang w:val="sl-SI" w:eastAsia="sl-SI"/>
              </w:rPr>
            </w:pPr>
            <w:r>
              <w:t>Dažnas</w:t>
            </w:r>
          </w:p>
        </w:tc>
      </w:tr>
      <w:tr w:rsidR="00F22FBD" w14:paraId="63C9A972" w14:textId="77777777">
        <w:tc>
          <w:tcPr>
            <w:tcW w:w="4542" w:type="dxa"/>
            <w:shd w:val="clear" w:color="auto" w:fill="auto"/>
          </w:tcPr>
          <w:p w14:paraId="0A838542" w14:textId="77777777" w:rsidR="00F22FBD" w:rsidRDefault="00D44E4A">
            <w:pPr>
              <w:widowControl w:val="0"/>
              <w:kinsoku w:val="0"/>
              <w:overflowPunct w:val="0"/>
              <w:autoSpaceDE w:val="0"/>
              <w:autoSpaceDN w:val="0"/>
              <w:adjustRightInd w:val="0"/>
              <w:ind w:left="284"/>
              <w:rPr>
                <w:color w:val="000000"/>
                <w:szCs w:val="22"/>
                <w:lang w:val="sl-SI" w:eastAsia="sl-SI"/>
              </w:rPr>
            </w:pPr>
            <w:r>
              <w:t>Kraujavimas iš tiesiosios žarnos</w:t>
            </w:r>
          </w:p>
        </w:tc>
        <w:tc>
          <w:tcPr>
            <w:tcW w:w="4518" w:type="dxa"/>
            <w:shd w:val="clear" w:color="auto" w:fill="auto"/>
          </w:tcPr>
          <w:p w14:paraId="729BF317"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41DB37CC" w14:textId="77777777">
        <w:tc>
          <w:tcPr>
            <w:tcW w:w="4542" w:type="dxa"/>
            <w:shd w:val="clear" w:color="auto" w:fill="auto"/>
          </w:tcPr>
          <w:p w14:paraId="4A76706D" w14:textId="77777777" w:rsidR="00F22FBD" w:rsidRDefault="00D44E4A">
            <w:pPr>
              <w:widowControl w:val="0"/>
              <w:kinsoku w:val="0"/>
              <w:overflowPunct w:val="0"/>
              <w:autoSpaceDE w:val="0"/>
              <w:autoSpaceDN w:val="0"/>
              <w:adjustRightInd w:val="0"/>
              <w:ind w:left="284"/>
              <w:rPr>
                <w:color w:val="000000"/>
                <w:szCs w:val="22"/>
                <w:lang w:val="sl-SI" w:eastAsia="sl-SI"/>
              </w:rPr>
            </w:pPr>
            <w:r>
              <w:t>Hemorojinis kraujavimas</w:t>
            </w:r>
          </w:p>
        </w:tc>
        <w:tc>
          <w:tcPr>
            <w:tcW w:w="4518" w:type="dxa"/>
            <w:shd w:val="clear" w:color="auto" w:fill="auto"/>
          </w:tcPr>
          <w:p w14:paraId="3CC3E2A9" w14:textId="77777777" w:rsidR="00F22FBD" w:rsidRDefault="00D44E4A">
            <w:pPr>
              <w:widowControl w:val="0"/>
              <w:kinsoku w:val="0"/>
              <w:overflowPunct w:val="0"/>
              <w:autoSpaceDE w:val="0"/>
              <w:autoSpaceDN w:val="0"/>
              <w:adjustRightInd w:val="0"/>
              <w:jc w:val="center"/>
              <w:rPr>
                <w:color w:val="000000"/>
                <w:szCs w:val="22"/>
                <w:lang w:val="sl-SI" w:eastAsia="sl-SI"/>
              </w:rPr>
            </w:pPr>
            <w:r>
              <w:t>Dažnis nežinomas</w:t>
            </w:r>
          </w:p>
        </w:tc>
      </w:tr>
      <w:tr w:rsidR="00F22FBD" w14:paraId="6E154CAB" w14:textId="77777777">
        <w:trPr>
          <w:trHeight w:val="516"/>
        </w:trPr>
        <w:tc>
          <w:tcPr>
            <w:tcW w:w="4542" w:type="dxa"/>
            <w:shd w:val="clear" w:color="auto" w:fill="auto"/>
          </w:tcPr>
          <w:p w14:paraId="11F8751D" w14:textId="77777777" w:rsidR="00F22FBD" w:rsidRDefault="00D44E4A">
            <w:pPr>
              <w:widowControl w:val="0"/>
              <w:kinsoku w:val="0"/>
              <w:overflowPunct w:val="0"/>
              <w:autoSpaceDE w:val="0"/>
              <w:autoSpaceDN w:val="0"/>
              <w:adjustRightInd w:val="0"/>
              <w:ind w:left="284"/>
              <w:rPr>
                <w:color w:val="000000"/>
                <w:szCs w:val="22"/>
                <w:lang w:val="sl-SI" w:eastAsia="sl-SI"/>
              </w:rPr>
            </w:pPr>
            <w:r>
              <w:t>Skrandžio ar žarnų opa, įskaitant</w:t>
            </w:r>
          </w:p>
          <w:p w14:paraId="03B19183" w14:textId="77777777" w:rsidR="00F22FBD" w:rsidRDefault="00D44E4A">
            <w:pPr>
              <w:widowControl w:val="0"/>
              <w:kinsoku w:val="0"/>
              <w:overflowPunct w:val="0"/>
              <w:autoSpaceDE w:val="0"/>
              <w:autoSpaceDN w:val="0"/>
              <w:adjustRightInd w:val="0"/>
              <w:ind w:left="284"/>
              <w:rPr>
                <w:color w:val="000000"/>
                <w:szCs w:val="22"/>
                <w:lang w:val="sl-SI" w:eastAsia="sl-SI"/>
              </w:rPr>
            </w:pPr>
            <w:r>
              <w:t>stemplės opą</w:t>
            </w:r>
          </w:p>
        </w:tc>
        <w:tc>
          <w:tcPr>
            <w:tcW w:w="4518" w:type="dxa"/>
            <w:shd w:val="clear" w:color="auto" w:fill="auto"/>
          </w:tcPr>
          <w:p w14:paraId="4E27F600" w14:textId="77777777" w:rsidR="00F22FBD" w:rsidRDefault="00D44E4A">
            <w:pPr>
              <w:widowControl w:val="0"/>
              <w:kinsoku w:val="0"/>
              <w:overflowPunct w:val="0"/>
              <w:autoSpaceDE w:val="0"/>
              <w:autoSpaceDN w:val="0"/>
              <w:adjustRightInd w:val="0"/>
              <w:jc w:val="center"/>
              <w:rPr>
                <w:color w:val="000000"/>
                <w:szCs w:val="22"/>
                <w:lang w:val="sl-SI" w:eastAsia="sl-SI"/>
              </w:rPr>
            </w:pPr>
            <w:r>
              <w:t>Dažnis nežinomas</w:t>
            </w:r>
          </w:p>
        </w:tc>
      </w:tr>
      <w:tr w:rsidR="00F22FBD" w14:paraId="3F4B632B" w14:textId="77777777">
        <w:tc>
          <w:tcPr>
            <w:tcW w:w="4542" w:type="dxa"/>
            <w:shd w:val="clear" w:color="auto" w:fill="auto"/>
          </w:tcPr>
          <w:p w14:paraId="422B20D3" w14:textId="77777777" w:rsidR="00F22FBD" w:rsidRDefault="00D44E4A">
            <w:pPr>
              <w:widowControl w:val="0"/>
              <w:kinsoku w:val="0"/>
              <w:overflowPunct w:val="0"/>
              <w:autoSpaceDE w:val="0"/>
              <w:autoSpaceDN w:val="0"/>
              <w:adjustRightInd w:val="0"/>
              <w:ind w:left="284"/>
              <w:rPr>
                <w:color w:val="000000"/>
                <w:szCs w:val="22"/>
                <w:lang w:val="sl-SI" w:eastAsia="sl-SI"/>
              </w:rPr>
            </w:pPr>
            <w:r>
              <w:t>Gastroezofagitas</w:t>
            </w:r>
          </w:p>
        </w:tc>
        <w:tc>
          <w:tcPr>
            <w:tcW w:w="4518" w:type="dxa"/>
            <w:shd w:val="clear" w:color="auto" w:fill="auto"/>
          </w:tcPr>
          <w:p w14:paraId="0B971D4A"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287FD72F" w14:textId="77777777">
        <w:tc>
          <w:tcPr>
            <w:tcW w:w="4542" w:type="dxa"/>
            <w:shd w:val="clear" w:color="auto" w:fill="auto"/>
          </w:tcPr>
          <w:p w14:paraId="4A2846CE" w14:textId="77777777" w:rsidR="00F22FBD" w:rsidRDefault="00D44E4A">
            <w:pPr>
              <w:widowControl w:val="0"/>
              <w:kinsoku w:val="0"/>
              <w:overflowPunct w:val="0"/>
              <w:autoSpaceDE w:val="0"/>
              <w:autoSpaceDN w:val="0"/>
              <w:adjustRightInd w:val="0"/>
              <w:ind w:left="284"/>
              <w:rPr>
                <w:color w:val="000000"/>
                <w:szCs w:val="22"/>
                <w:lang w:val="sl-SI" w:eastAsia="sl-SI"/>
              </w:rPr>
            </w:pPr>
            <w:r>
              <w:t>Gastroezofaginio refliukso liga</w:t>
            </w:r>
          </w:p>
        </w:tc>
        <w:tc>
          <w:tcPr>
            <w:tcW w:w="4518" w:type="dxa"/>
            <w:shd w:val="clear" w:color="auto" w:fill="auto"/>
          </w:tcPr>
          <w:p w14:paraId="0631330B" w14:textId="77777777" w:rsidR="00F22FBD" w:rsidRDefault="00D44E4A">
            <w:pPr>
              <w:widowControl w:val="0"/>
              <w:kinsoku w:val="0"/>
              <w:overflowPunct w:val="0"/>
              <w:autoSpaceDE w:val="0"/>
              <w:autoSpaceDN w:val="0"/>
              <w:adjustRightInd w:val="0"/>
              <w:jc w:val="center"/>
              <w:rPr>
                <w:color w:val="000000"/>
                <w:szCs w:val="22"/>
                <w:lang w:val="sl-SI" w:eastAsia="sl-SI"/>
              </w:rPr>
            </w:pPr>
            <w:r>
              <w:t>Dažnas</w:t>
            </w:r>
          </w:p>
        </w:tc>
      </w:tr>
      <w:tr w:rsidR="00F22FBD" w14:paraId="1ECF4CD3" w14:textId="77777777">
        <w:tc>
          <w:tcPr>
            <w:tcW w:w="4542" w:type="dxa"/>
            <w:shd w:val="clear" w:color="auto" w:fill="auto"/>
          </w:tcPr>
          <w:p w14:paraId="4B6EE3AA" w14:textId="77777777" w:rsidR="00F22FBD" w:rsidRDefault="00D44E4A">
            <w:pPr>
              <w:widowControl w:val="0"/>
              <w:kinsoku w:val="0"/>
              <w:overflowPunct w:val="0"/>
              <w:autoSpaceDE w:val="0"/>
              <w:autoSpaceDN w:val="0"/>
              <w:adjustRightInd w:val="0"/>
              <w:ind w:left="284"/>
            </w:pPr>
            <w:r>
              <w:t>Vėmimas</w:t>
            </w:r>
          </w:p>
        </w:tc>
        <w:tc>
          <w:tcPr>
            <w:tcW w:w="4518" w:type="dxa"/>
            <w:shd w:val="clear" w:color="auto" w:fill="auto"/>
          </w:tcPr>
          <w:p w14:paraId="7820D66F" w14:textId="77777777" w:rsidR="00F22FBD" w:rsidRDefault="00D44E4A">
            <w:pPr>
              <w:widowControl w:val="0"/>
              <w:kinsoku w:val="0"/>
              <w:overflowPunct w:val="0"/>
              <w:autoSpaceDE w:val="0"/>
              <w:autoSpaceDN w:val="0"/>
              <w:adjustRightInd w:val="0"/>
              <w:jc w:val="center"/>
            </w:pPr>
            <w:r>
              <w:t>Dažnas</w:t>
            </w:r>
          </w:p>
        </w:tc>
      </w:tr>
      <w:tr w:rsidR="00F22FBD" w14:paraId="738230E8" w14:textId="77777777">
        <w:tc>
          <w:tcPr>
            <w:tcW w:w="4542" w:type="dxa"/>
            <w:shd w:val="clear" w:color="auto" w:fill="auto"/>
          </w:tcPr>
          <w:p w14:paraId="11C2EEBB" w14:textId="77777777" w:rsidR="00F22FBD" w:rsidRDefault="00D44E4A">
            <w:pPr>
              <w:widowControl w:val="0"/>
              <w:kinsoku w:val="0"/>
              <w:overflowPunct w:val="0"/>
              <w:autoSpaceDE w:val="0"/>
              <w:autoSpaceDN w:val="0"/>
              <w:adjustRightInd w:val="0"/>
              <w:ind w:left="284"/>
            </w:pPr>
            <w:r>
              <w:t>Disfagija</w:t>
            </w:r>
          </w:p>
        </w:tc>
        <w:tc>
          <w:tcPr>
            <w:tcW w:w="4518" w:type="dxa"/>
            <w:shd w:val="clear" w:color="auto" w:fill="auto"/>
          </w:tcPr>
          <w:p w14:paraId="7E4D389F" w14:textId="77777777" w:rsidR="00F22FBD" w:rsidRDefault="00D44E4A">
            <w:pPr>
              <w:widowControl w:val="0"/>
              <w:kinsoku w:val="0"/>
              <w:overflowPunct w:val="0"/>
              <w:autoSpaceDE w:val="0"/>
              <w:autoSpaceDN w:val="0"/>
              <w:adjustRightInd w:val="0"/>
              <w:jc w:val="center"/>
            </w:pPr>
            <w:r>
              <w:t>Nedažnas</w:t>
            </w:r>
          </w:p>
        </w:tc>
      </w:tr>
      <w:tr w:rsidR="00F22FBD" w14:paraId="2FF1998A" w14:textId="77777777">
        <w:tc>
          <w:tcPr>
            <w:tcW w:w="9060" w:type="dxa"/>
            <w:gridSpan w:val="2"/>
            <w:shd w:val="clear" w:color="auto" w:fill="auto"/>
          </w:tcPr>
          <w:p w14:paraId="649B2BF1"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t>Kepenų, tulžies pūslės ir latakų sutrikimai</w:t>
            </w:r>
          </w:p>
        </w:tc>
      </w:tr>
      <w:tr w:rsidR="00F22FBD" w14:paraId="32547412" w14:textId="77777777">
        <w:tc>
          <w:tcPr>
            <w:tcW w:w="4542" w:type="dxa"/>
            <w:shd w:val="clear" w:color="auto" w:fill="auto"/>
          </w:tcPr>
          <w:p w14:paraId="629C0691" w14:textId="77777777" w:rsidR="00F22FBD" w:rsidRDefault="00D44E4A">
            <w:pPr>
              <w:widowControl w:val="0"/>
              <w:kinsoku w:val="0"/>
              <w:overflowPunct w:val="0"/>
              <w:autoSpaceDE w:val="0"/>
              <w:autoSpaceDN w:val="0"/>
              <w:adjustRightInd w:val="0"/>
              <w:ind w:left="284"/>
              <w:rPr>
                <w:color w:val="000000"/>
                <w:szCs w:val="22"/>
                <w:lang w:val="sl-SI" w:eastAsia="sl-SI"/>
              </w:rPr>
            </w:pPr>
            <w:r>
              <w:t>Nenormali kepenų funkcija / nenormalūs kepenų funkcijos tyrimų duomenys</w:t>
            </w:r>
          </w:p>
        </w:tc>
        <w:tc>
          <w:tcPr>
            <w:tcW w:w="4518" w:type="dxa"/>
            <w:shd w:val="clear" w:color="auto" w:fill="auto"/>
          </w:tcPr>
          <w:p w14:paraId="16B4D4CD"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Dažnois nežinomas</w:t>
            </w:r>
          </w:p>
        </w:tc>
      </w:tr>
      <w:tr w:rsidR="00F22FBD" w14:paraId="27F77E80" w14:textId="77777777">
        <w:tc>
          <w:tcPr>
            <w:tcW w:w="4542" w:type="dxa"/>
            <w:shd w:val="clear" w:color="auto" w:fill="auto"/>
          </w:tcPr>
          <w:p w14:paraId="6CF5A7D5" w14:textId="77777777" w:rsidR="00F22FBD" w:rsidRDefault="00D44E4A">
            <w:pPr>
              <w:widowControl w:val="0"/>
              <w:kinsoku w:val="0"/>
              <w:overflowPunct w:val="0"/>
              <w:autoSpaceDE w:val="0"/>
              <w:autoSpaceDN w:val="0"/>
              <w:adjustRightInd w:val="0"/>
              <w:ind w:left="284"/>
              <w:rPr>
                <w:color w:val="000000"/>
                <w:szCs w:val="22"/>
                <w:lang w:val="sl-SI" w:eastAsia="sl-SI"/>
              </w:rPr>
            </w:pPr>
            <w:r>
              <w:t>Alaninaminotransferazės aktyvumo padidėjimas</w:t>
            </w:r>
          </w:p>
        </w:tc>
        <w:tc>
          <w:tcPr>
            <w:tcW w:w="4518" w:type="dxa"/>
            <w:shd w:val="clear" w:color="auto" w:fill="auto"/>
          </w:tcPr>
          <w:p w14:paraId="273499A8"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F22FBD" w14:paraId="0E47801D" w14:textId="77777777">
        <w:tc>
          <w:tcPr>
            <w:tcW w:w="4542" w:type="dxa"/>
            <w:shd w:val="clear" w:color="auto" w:fill="auto"/>
          </w:tcPr>
          <w:p w14:paraId="5CBCBE61" w14:textId="77777777" w:rsidR="00F22FBD" w:rsidRDefault="00D44E4A">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Aspartataminotransferazės aktyvumo</w:t>
            </w:r>
          </w:p>
          <w:p w14:paraId="4FE06CD3" w14:textId="77777777" w:rsidR="00F22FBD" w:rsidRDefault="00D44E4A">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padidėjimas</w:t>
            </w:r>
          </w:p>
        </w:tc>
        <w:tc>
          <w:tcPr>
            <w:tcW w:w="4518" w:type="dxa"/>
            <w:shd w:val="clear" w:color="auto" w:fill="auto"/>
          </w:tcPr>
          <w:p w14:paraId="6FBBAF78"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F22FBD" w14:paraId="2F1F67BC" w14:textId="77777777">
        <w:tc>
          <w:tcPr>
            <w:tcW w:w="4542" w:type="dxa"/>
            <w:shd w:val="clear" w:color="auto" w:fill="auto"/>
          </w:tcPr>
          <w:p w14:paraId="680A9334" w14:textId="77777777" w:rsidR="00F22FBD" w:rsidRDefault="00D44E4A">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Kepenų fermentų aktyvumo padidėjimas</w:t>
            </w:r>
          </w:p>
        </w:tc>
        <w:tc>
          <w:tcPr>
            <w:tcW w:w="4518" w:type="dxa"/>
            <w:shd w:val="clear" w:color="auto" w:fill="auto"/>
          </w:tcPr>
          <w:p w14:paraId="78BE1458"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F22FBD" w14:paraId="6F9B48B0" w14:textId="77777777">
        <w:tc>
          <w:tcPr>
            <w:tcW w:w="4542" w:type="dxa"/>
            <w:shd w:val="clear" w:color="auto" w:fill="auto"/>
          </w:tcPr>
          <w:p w14:paraId="62DB6333" w14:textId="77777777" w:rsidR="00F22FBD" w:rsidRDefault="00D44E4A">
            <w:pPr>
              <w:widowControl w:val="0"/>
              <w:kinsoku w:val="0"/>
              <w:overflowPunct w:val="0"/>
              <w:autoSpaceDE w:val="0"/>
              <w:autoSpaceDN w:val="0"/>
              <w:adjustRightInd w:val="0"/>
              <w:ind w:left="284"/>
              <w:rPr>
                <w:color w:val="000000"/>
                <w:szCs w:val="22"/>
                <w:lang w:val="sl-SI" w:eastAsia="sl-SI"/>
              </w:rPr>
            </w:pPr>
            <w:r>
              <w:t>Hiperbilirubinemija</w:t>
            </w:r>
          </w:p>
        </w:tc>
        <w:tc>
          <w:tcPr>
            <w:tcW w:w="4518" w:type="dxa"/>
            <w:shd w:val="clear" w:color="auto" w:fill="auto"/>
          </w:tcPr>
          <w:p w14:paraId="15797572"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F22FBD" w14:paraId="4D0446CA" w14:textId="77777777">
        <w:tc>
          <w:tcPr>
            <w:tcW w:w="9060" w:type="dxa"/>
            <w:gridSpan w:val="2"/>
            <w:shd w:val="clear" w:color="auto" w:fill="auto"/>
          </w:tcPr>
          <w:p w14:paraId="33408392"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Odos ir poodinio audinio sutrikimai</w:t>
            </w:r>
          </w:p>
        </w:tc>
      </w:tr>
      <w:tr w:rsidR="00F22FBD" w14:paraId="578F3EFC" w14:textId="77777777">
        <w:tc>
          <w:tcPr>
            <w:tcW w:w="4542" w:type="dxa"/>
            <w:shd w:val="clear" w:color="auto" w:fill="auto"/>
          </w:tcPr>
          <w:p w14:paraId="381C898D" w14:textId="77777777" w:rsidR="00F22FBD" w:rsidRDefault="00D44E4A">
            <w:pPr>
              <w:widowControl w:val="0"/>
              <w:kinsoku w:val="0"/>
              <w:overflowPunct w:val="0"/>
              <w:autoSpaceDE w:val="0"/>
              <w:autoSpaceDN w:val="0"/>
              <w:adjustRightInd w:val="0"/>
              <w:ind w:left="284"/>
              <w:rPr>
                <w:color w:val="000000"/>
                <w:szCs w:val="22"/>
                <w:lang w:val="sl-SI" w:eastAsia="sl-SI"/>
              </w:rPr>
            </w:pPr>
            <w:r>
              <w:t>Kraujavimas į odą</w:t>
            </w:r>
          </w:p>
        </w:tc>
        <w:tc>
          <w:tcPr>
            <w:tcW w:w="4518" w:type="dxa"/>
            <w:shd w:val="clear" w:color="auto" w:fill="auto"/>
          </w:tcPr>
          <w:p w14:paraId="39D5BBB7"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61ABC05B" w14:textId="77777777">
        <w:tc>
          <w:tcPr>
            <w:tcW w:w="4542" w:type="dxa"/>
            <w:shd w:val="clear" w:color="auto" w:fill="auto"/>
          </w:tcPr>
          <w:p w14:paraId="2D702BC8" w14:textId="77777777" w:rsidR="00F22FBD" w:rsidRDefault="00D44E4A">
            <w:pPr>
              <w:widowControl w:val="0"/>
              <w:kinsoku w:val="0"/>
              <w:overflowPunct w:val="0"/>
              <w:autoSpaceDE w:val="0"/>
              <w:autoSpaceDN w:val="0"/>
              <w:adjustRightInd w:val="0"/>
              <w:ind w:left="284"/>
              <w:rPr>
                <w:color w:val="000000"/>
                <w:szCs w:val="22"/>
                <w:lang w:val="sl-SI" w:eastAsia="sl-SI"/>
              </w:rPr>
            </w:pPr>
            <w:r>
              <w:t>Alopecija</w:t>
            </w:r>
          </w:p>
        </w:tc>
        <w:tc>
          <w:tcPr>
            <w:tcW w:w="4518" w:type="dxa"/>
            <w:shd w:val="clear" w:color="auto" w:fill="auto"/>
          </w:tcPr>
          <w:p w14:paraId="434C5027" w14:textId="77777777" w:rsidR="00F22FBD" w:rsidRDefault="00D44E4A">
            <w:pPr>
              <w:widowControl w:val="0"/>
              <w:kinsoku w:val="0"/>
              <w:overflowPunct w:val="0"/>
              <w:autoSpaceDE w:val="0"/>
              <w:autoSpaceDN w:val="0"/>
              <w:adjustRightInd w:val="0"/>
              <w:jc w:val="center"/>
              <w:rPr>
                <w:color w:val="000000"/>
                <w:szCs w:val="22"/>
                <w:lang w:val="sl-SI" w:eastAsia="sl-SI"/>
              </w:rPr>
            </w:pPr>
            <w:r>
              <w:t>Dažnas</w:t>
            </w:r>
          </w:p>
        </w:tc>
      </w:tr>
      <w:tr w:rsidR="00F22FBD" w14:paraId="235C40DA" w14:textId="77777777">
        <w:tc>
          <w:tcPr>
            <w:tcW w:w="9060" w:type="dxa"/>
            <w:gridSpan w:val="2"/>
            <w:shd w:val="clear" w:color="auto" w:fill="auto"/>
          </w:tcPr>
          <w:p w14:paraId="14FF5B3F"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Skeleto, raumenų ir jungiamojo audinio sutrikimai</w:t>
            </w:r>
          </w:p>
        </w:tc>
      </w:tr>
      <w:tr w:rsidR="00F22FBD" w14:paraId="126A48EB" w14:textId="77777777">
        <w:tc>
          <w:tcPr>
            <w:tcW w:w="4542" w:type="dxa"/>
            <w:shd w:val="clear" w:color="auto" w:fill="auto"/>
          </w:tcPr>
          <w:p w14:paraId="2530B12E" w14:textId="77777777" w:rsidR="00F22FBD" w:rsidRDefault="00D44E4A">
            <w:pPr>
              <w:widowControl w:val="0"/>
              <w:kinsoku w:val="0"/>
              <w:overflowPunct w:val="0"/>
              <w:autoSpaceDE w:val="0"/>
              <w:autoSpaceDN w:val="0"/>
              <w:adjustRightInd w:val="0"/>
              <w:ind w:left="284"/>
              <w:rPr>
                <w:color w:val="000000"/>
                <w:szCs w:val="22"/>
                <w:lang w:val="sl-SI" w:eastAsia="sl-SI"/>
              </w:rPr>
            </w:pPr>
            <w:r>
              <w:lastRenderedPageBreak/>
              <w:t>Hemartrozė</w:t>
            </w:r>
          </w:p>
        </w:tc>
        <w:tc>
          <w:tcPr>
            <w:tcW w:w="4518" w:type="dxa"/>
            <w:shd w:val="clear" w:color="auto" w:fill="auto"/>
          </w:tcPr>
          <w:p w14:paraId="5809FE36" w14:textId="77777777" w:rsidR="00F22FBD" w:rsidRDefault="00D44E4A">
            <w:pPr>
              <w:widowControl w:val="0"/>
              <w:kinsoku w:val="0"/>
              <w:overflowPunct w:val="0"/>
              <w:autoSpaceDE w:val="0"/>
              <w:autoSpaceDN w:val="0"/>
              <w:adjustRightInd w:val="0"/>
              <w:jc w:val="center"/>
              <w:rPr>
                <w:color w:val="000000"/>
                <w:szCs w:val="22"/>
                <w:lang w:val="sl-SI" w:eastAsia="sl-SI"/>
              </w:rPr>
            </w:pPr>
            <w:r>
              <w:t>Dažnis nežinomas</w:t>
            </w:r>
          </w:p>
        </w:tc>
      </w:tr>
      <w:tr w:rsidR="00F22FBD" w14:paraId="3D8CD943" w14:textId="77777777">
        <w:tc>
          <w:tcPr>
            <w:tcW w:w="9060" w:type="dxa"/>
            <w:gridSpan w:val="2"/>
            <w:shd w:val="clear" w:color="auto" w:fill="auto"/>
          </w:tcPr>
          <w:p w14:paraId="127C170C"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Inkstų ir šlapimo takų sutrikimai</w:t>
            </w:r>
          </w:p>
        </w:tc>
      </w:tr>
      <w:tr w:rsidR="00F22FBD" w14:paraId="56ED66A9" w14:textId="77777777">
        <w:tc>
          <w:tcPr>
            <w:tcW w:w="4542" w:type="dxa"/>
            <w:shd w:val="clear" w:color="auto" w:fill="auto"/>
          </w:tcPr>
          <w:p w14:paraId="5F77B821" w14:textId="77777777" w:rsidR="00F22FBD" w:rsidRDefault="00D44E4A">
            <w:pPr>
              <w:widowControl w:val="0"/>
              <w:kinsoku w:val="0"/>
              <w:overflowPunct w:val="0"/>
              <w:autoSpaceDE w:val="0"/>
              <w:autoSpaceDN w:val="0"/>
              <w:adjustRightInd w:val="0"/>
              <w:spacing w:line="232" w:lineRule="exact"/>
              <w:ind w:left="285"/>
              <w:rPr>
                <w:color w:val="000000"/>
                <w:szCs w:val="22"/>
                <w:lang w:val="sl-SI" w:eastAsia="sl-SI"/>
              </w:rPr>
            </w:pPr>
            <w:r>
              <w:rPr>
                <w:color w:val="000000"/>
                <w:szCs w:val="22"/>
                <w:lang w:val="sl-SI" w:eastAsia="sl-SI"/>
              </w:rPr>
              <w:t>Kraujavimas iš lyties ir šlapimo organų,</w:t>
            </w:r>
          </w:p>
          <w:p w14:paraId="0EDFAD32" w14:textId="77777777" w:rsidR="00F22FBD" w:rsidRDefault="00D44E4A">
            <w:pPr>
              <w:widowControl w:val="0"/>
              <w:kinsoku w:val="0"/>
              <w:overflowPunct w:val="0"/>
              <w:autoSpaceDE w:val="0"/>
              <w:autoSpaceDN w:val="0"/>
              <w:adjustRightInd w:val="0"/>
              <w:spacing w:line="232" w:lineRule="exact"/>
              <w:ind w:left="285"/>
              <w:rPr>
                <w:color w:val="000000"/>
                <w:szCs w:val="22"/>
                <w:lang w:val="sl-SI" w:eastAsia="sl-SI"/>
              </w:rPr>
            </w:pPr>
            <w:r>
              <w:rPr>
                <w:color w:val="000000"/>
                <w:szCs w:val="22"/>
                <w:lang w:val="sl-SI" w:eastAsia="sl-SI"/>
              </w:rPr>
              <w:t>įskaitant hematuriją</w:t>
            </w:r>
          </w:p>
        </w:tc>
        <w:tc>
          <w:tcPr>
            <w:tcW w:w="4518" w:type="dxa"/>
            <w:shd w:val="clear" w:color="auto" w:fill="auto"/>
          </w:tcPr>
          <w:p w14:paraId="36041D86" w14:textId="77777777" w:rsidR="00F22FBD" w:rsidRDefault="00D44E4A">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F22FBD" w14:paraId="40DC83E7" w14:textId="77777777">
        <w:tc>
          <w:tcPr>
            <w:tcW w:w="9060" w:type="dxa"/>
            <w:gridSpan w:val="2"/>
            <w:shd w:val="clear" w:color="auto" w:fill="auto"/>
          </w:tcPr>
          <w:p w14:paraId="6C883816"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t>Bendrieji sutrikimai ir vartojimo vietos pažeidimai</w:t>
            </w:r>
          </w:p>
        </w:tc>
      </w:tr>
      <w:tr w:rsidR="00F22FBD" w14:paraId="1A7E7930" w14:textId="77777777">
        <w:tc>
          <w:tcPr>
            <w:tcW w:w="4542" w:type="dxa"/>
            <w:shd w:val="clear" w:color="auto" w:fill="auto"/>
          </w:tcPr>
          <w:p w14:paraId="66BCFB93" w14:textId="77777777" w:rsidR="00F22FBD" w:rsidRDefault="00D44E4A">
            <w:pPr>
              <w:widowControl w:val="0"/>
              <w:kinsoku w:val="0"/>
              <w:overflowPunct w:val="0"/>
              <w:autoSpaceDE w:val="0"/>
              <w:autoSpaceDN w:val="0"/>
              <w:adjustRightInd w:val="0"/>
              <w:ind w:left="284"/>
              <w:rPr>
                <w:color w:val="000000"/>
                <w:szCs w:val="22"/>
                <w:lang w:val="sl-SI" w:eastAsia="sl-SI"/>
              </w:rPr>
            </w:pPr>
            <w:r>
              <w:t>Kraujavimas iš injekcijos vietos</w:t>
            </w:r>
          </w:p>
        </w:tc>
        <w:tc>
          <w:tcPr>
            <w:tcW w:w="4518" w:type="dxa"/>
            <w:shd w:val="clear" w:color="auto" w:fill="auto"/>
          </w:tcPr>
          <w:p w14:paraId="7B0C1B41" w14:textId="77777777" w:rsidR="00F22FBD" w:rsidRDefault="00D44E4A">
            <w:pPr>
              <w:widowControl w:val="0"/>
              <w:kinsoku w:val="0"/>
              <w:overflowPunct w:val="0"/>
              <w:autoSpaceDE w:val="0"/>
              <w:autoSpaceDN w:val="0"/>
              <w:adjustRightInd w:val="0"/>
              <w:jc w:val="center"/>
              <w:rPr>
                <w:color w:val="000000"/>
                <w:szCs w:val="22"/>
                <w:lang w:val="sl-SI" w:eastAsia="sl-SI"/>
              </w:rPr>
            </w:pPr>
            <w:r>
              <w:t>Dažnis nežinomas</w:t>
            </w:r>
          </w:p>
        </w:tc>
      </w:tr>
      <w:tr w:rsidR="00F22FBD" w14:paraId="23189874" w14:textId="77777777">
        <w:tc>
          <w:tcPr>
            <w:tcW w:w="4542" w:type="dxa"/>
            <w:shd w:val="clear" w:color="auto" w:fill="auto"/>
          </w:tcPr>
          <w:p w14:paraId="00FBE18F" w14:textId="77777777" w:rsidR="00F22FBD" w:rsidRDefault="00D44E4A">
            <w:pPr>
              <w:widowControl w:val="0"/>
              <w:kinsoku w:val="0"/>
              <w:overflowPunct w:val="0"/>
              <w:autoSpaceDE w:val="0"/>
              <w:autoSpaceDN w:val="0"/>
              <w:adjustRightInd w:val="0"/>
              <w:ind w:left="284"/>
              <w:rPr>
                <w:color w:val="000000"/>
                <w:szCs w:val="22"/>
                <w:lang w:val="sl-SI" w:eastAsia="sl-SI"/>
              </w:rPr>
            </w:pPr>
            <w:r>
              <w:t>Kraujavimas iš kateterio vietos</w:t>
            </w:r>
          </w:p>
        </w:tc>
        <w:tc>
          <w:tcPr>
            <w:tcW w:w="4518" w:type="dxa"/>
            <w:shd w:val="clear" w:color="auto" w:fill="auto"/>
          </w:tcPr>
          <w:p w14:paraId="5A08EA7D" w14:textId="77777777" w:rsidR="00F22FBD" w:rsidRDefault="00D44E4A">
            <w:pPr>
              <w:widowControl w:val="0"/>
              <w:kinsoku w:val="0"/>
              <w:overflowPunct w:val="0"/>
              <w:autoSpaceDE w:val="0"/>
              <w:autoSpaceDN w:val="0"/>
              <w:adjustRightInd w:val="0"/>
              <w:jc w:val="center"/>
              <w:rPr>
                <w:color w:val="000000"/>
                <w:szCs w:val="22"/>
                <w:lang w:val="sl-SI" w:eastAsia="sl-SI"/>
              </w:rPr>
            </w:pPr>
            <w:r>
              <w:t>Dažnis nežinomas</w:t>
            </w:r>
          </w:p>
        </w:tc>
      </w:tr>
      <w:tr w:rsidR="00F22FBD" w14:paraId="0AABF897" w14:textId="77777777">
        <w:tc>
          <w:tcPr>
            <w:tcW w:w="9060" w:type="dxa"/>
            <w:gridSpan w:val="2"/>
            <w:shd w:val="clear" w:color="auto" w:fill="auto"/>
          </w:tcPr>
          <w:p w14:paraId="019D4D52"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Sužalojimai, apsinuodijimai ir procedūrų komplikacijos</w:t>
            </w:r>
          </w:p>
        </w:tc>
      </w:tr>
      <w:tr w:rsidR="00F22FBD" w14:paraId="75F11D5D" w14:textId="77777777">
        <w:tc>
          <w:tcPr>
            <w:tcW w:w="4542" w:type="dxa"/>
            <w:shd w:val="clear" w:color="auto" w:fill="auto"/>
          </w:tcPr>
          <w:p w14:paraId="026C7C5F" w14:textId="77777777" w:rsidR="00F22FBD" w:rsidRDefault="00D44E4A">
            <w:pPr>
              <w:widowControl w:val="0"/>
              <w:kinsoku w:val="0"/>
              <w:overflowPunct w:val="0"/>
              <w:autoSpaceDE w:val="0"/>
              <w:autoSpaceDN w:val="0"/>
              <w:adjustRightInd w:val="0"/>
              <w:ind w:left="284"/>
              <w:rPr>
                <w:color w:val="000000"/>
                <w:szCs w:val="22"/>
                <w:lang w:val="sl-SI" w:eastAsia="sl-SI"/>
              </w:rPr>
            </w:pPr>
            <w:r>
              <w:t>Trauminis kraujavimas</w:t>
            </w:r>
          </w:p>
        </w:tc>
        <w:tc>
          <w:tcPr>
            <w:tcW w:w="4518" w:type="dxa"/>
            <w:shd w:val="clear" w:color="auto" w:fill="auto"/>
          </w:tcPr>
          <w:p w14:paraId="16EBFA61" w14:textId="77777777" w:rsidR="00F22FBD" w:rsidRDefault="00D44E4A">
            <w:pPr>
              <w:widowControl w:val="0"/>
              <w:kinsoku w:val="0"/>
              <w:overflowPunct w:val="0"/>
              <w:autoSpaceDE w:val="0"/>
              <w:autoSpaceDN w:val="0"/>
              <w:adjustRightInd w:val="0"/>
              <w:jc w:val="center"/>
              <w:rPr>
                <w:color w:val="000000"/>
                <w:szCs w:val="22"/>
                <w:lang w:val="sl-SI" w:eastAsia="sl-SI"/>
              </w:rPr>
            </w:pPr>
            <w:r>
              <w:t>Nedažnas</w:t>
            </w:r>
          </w:p>
        </w:tc>
      </w:tr>
      <w:tr w:rsidR="00F22FBD" w14:paraId="2F73090E" w14:textId="77777777">
        <w:tc>
          <w:tcPr>
            <w:tcW w:w="4542" w:type="dxa"/>
            <w:shd w:val="clear" w:color="auto" w:fill="auto"/>
          </w:tcPr>
          <w:p w14:paraId="3E0061DF" w14:textId="77777777" w:rsidR="00F22FBD" w:rsidRDefault="00D44E4A">
            <w:pPr>
              <w:widowControl w:val="0"/>
              <w:kinsoku w:val="0"/>
              <w:overflowPunct w:val="0"/>
              <w:autoSpaceDE w:val="0"/>
              <w:autoSpaceDN w:val="0"/>
              <w:adjustRightInd w:val="0"/>
              <w:ind w:left="284"/>
              <w:rPr>
                <w:color w:val="000000"/>
                <w:szCs w:val="22"/>
                <w:lang w:val="sl-SI" w:eastAsia="sl-SI"/>
              </w:rPr>
            </w:pPr>
            <w:r>
              <w:t>Kraujavimas iš pjūvio vietos</w:t>
            </w:r>
          </w:p>
        </w:tc>
        <w:tc>
          <w:tcPr>
            <w:tcW w:w="4518" w:type="dxa"/>
            <w:shd w:val="clear" w:color="auto" w:fill="auto"/>
          </w:tcPr>
          <w:p w14:paraId="2FB78B98" w14:textId="77777777" w:rsidR="00F22FBD" w:rsidRDefault="00D44E4A">
            <w:pPr>
              <w:widowControl w:val="0"/>
              <w:kinsoku w:val="0"/>
              <w:overflowPunct w:val="0"/>
              <w:autoSpaceDE w:val="0"/>
              <w:autoSpaceDN w:val="0"/>
              <w:adjustRightInd w:val="0"/>
              <w:jc w:val="center"/>
              <w:rPr>
                <w:color w:val="000000"/>
                <w:szCs w:val="22"/>
                <w:lang w:val="sl-SI" w:eastAsia="sl-SI"/>
              </w:rPr>
            </w:pPr>
            <w:r>
              <w:t>Dažnis nežinomas</w:t>
            </w:r>
          </w:p>
        </w:tc>
      </w:tr>
    </w:tbl>
    <w:p w14:paraId="6B2F38D2" w14:textId="77777777" w:rsidR="00F22FBD" w:rsidRDefault="00D44E4A">
      <w:pPr>
        <w:rPr>
          <w:u w:val="single"/>
        </w:rPr>
      </w:pPr>
      <w:r>
        <w:rPr>
          <w:u w:val="single"/>
        </w:rPr>
        <w:t>Kraujavimo reakcijos</w:t>
      </w:r>
    </w:p>
    <w:p w14:paraId="0DA3CF39" w14:textId="77777777" w:rsidR="00F22FBD" w:rsidRDefault="00D44E4A">
      <w:r>
        <w:t>Dviejuose III fazės tyrimuose, kurių metų vaistinis preparatas skirtas VTE gydymo ir VTE pasikartojimo profilaktikos indikacijai pacientams vaikams, iš viso 7 pacientai (2,1 %) patyrė didžiojo kraujavimo reiškinį, 5 pacientai (1,5 %) – kliniškai reikšmingo ne didžiojo kraujavimo reiškinį ir 75 pacientai (22,9 %) lengvo kraujavimo reiškinį. Kraujavimo reiškinių dažnis bendrai buvo didesnis vyriausio amžiaus grupėje (nuo 12 iki &lt; 18 metų: 28,6 %) nei jaunesnio amžiaus grupėse (nuo gimimo iki &lt; 2 metų: 23,3 %; nuo 2 iki &lt; 12 metų: 16,2 %). Didysis arba sunkus kraujavimas, nepaisant vietos, gali sukelti neįgalumą, pavojų gyvybei ar mirtį.</w:t>
      </w:r>
    </w:p>
    <w:p w14:paraId="605165CB" w14:textId="77777777" w:rsidR="00F22FBD" w:rsidRDefault="00F22FBD"/>
    <w:p w14:paraId="2DBAFD68" w14:textId="77777777" w:rsidR="00F22FBD" w:rsidRDefault="00D44E4A">
      <w:pPr>
        <w:widowControl w:val="0"/>
        <w:tabs>
          <w:tab w:val="left" w:pos="567"/>
        </w:tabs>
        <w:autoSpaceDE w:val="0"/>
        <w:autoSpaceDN w:val="0"/>
        <w:adjustRightInd w:val="0"/>
        <w:rPr>
          <w:snapToGrid w:val="0"/>
          <w:szCs w:val="22"/>
          <w:u w:val="single"/>
        </w:rPr>
      </w:pPr>
      <w:r>
        <w:rPr>
          <w:snapToGrid w:val="0"/>
          <w:szCs w:val="22"/>
          <w:u w:val="single"/>
        </w:rPr>
        <w:t>Pranešimas apie įtariamas nepageidaujamas reakcijas</w:t>
      </w:r>
    </w:p>
    <w:p w14:paraId="79983E64" w14:textId="77777777" w:rsidR="00F22FBD" w:rsidRDefault="00D44E4A">
      <w:pPr>
        <w:widowControl w:val="0"/>
        <w:tabs>
          <w:tab w:val="left" w:pos="567"/>
        </w:tabs>
        <w:autoSpaceDE w:val="0"/>
        <w:autoSpaceDN w:val="0"/>
        <w:adjustRightInd w:val="0"/>
        <w:rPr>
          <w:snapToGrid w:val="0"/>
          <w:szCs w:val="22"/>
        </w:rPr>
      </w:pPr>
      <w:r>
        <w:rPr>
          <w:snapToGrid w:val="0"/>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Pr>
            <w:snapToGrid w:val="0"/>
            <w:szCs w:val="22"/>
            <w:u w:val="single"/>
            <w:lang w:val="en-US"/>
          </w:rPr>
          <w:t>https://vapris.vvkt.lt/vvkt-web/public/nrvSpecialist</w:t>
        </w:r>
      </w:hyperlink>
      <w:r>
        <w:rPr>
          <w:snapToGrid w:val="0"/>
          <w:szCs w:val="22"/>
        </w:rPr>
        <w:t xml:space="preserve"> arba užpildę Sveikatos priežiūros ar farmacijos specialisto pranešimo apie įtariamą nepageidaujamą reakciją (ĮNR) formą, kuri skelbiama </w:t>
      </w:r>
      <w:hyperlink r:id="rId9" w:history="1">
        <w:r>
          <w:rPr>
            <w:snapToGrid w:val="0"/>
            <w:szCs w:val="22"/>
            <w:u w:val="single"/>
            <w:lang w:val="en-US"/>
          </w:rPr>
          <w:t>https://www.vvkt.lt/index.php?1399030386</w:t>
        </w:r>
      </w:hyperlink>
      <w:r>
        <w:rPr>
          <w:snapToGrid w:val="0"/>
          <w:szCs w:val="22"/>
        </w:rPr>
        <w:t>, ir atsiųsti elektroniniu paštu (adresu NepageidaujamaR@vvkt.lt).</w:t>
      </w:r>
    </w:p>
    <w:p w14:paraId="609E8AB2" w14:textId="77777777" w:rsidR="00F22FBD" w:rsidRDefault="00F22FBD">
      <w:pPr>
        <w:ind w:left="567" w:hanging="567"/>
        <w:rPr>
          <w:b/>
        </w:rPr>
      </w:pPr>
    </w:p>
    <w:p w14:paraId="3D3BBEFB" w14:textId="77777777" w:rsidR="00F22FBD" w:rsidRDefault="00D44E4A">
      <w:pPr>
        <w:ind w:left="567" w:hanging="567"/>
        <w:rPr>
          <w:b/>
        </w:rPr>
      </w:pPr>
      <w:r>
        <w:rPr>
          <w:b/>
        </w:rPr>
        <w:t>4.9</w:t>
      </w:r>
      <w:r>
        <w:rPr>
          <w:b/>
        </w:rPr>
        <w:tab/>
        <w:t>Perdozavimas</w:t>
      </w:r>
    </w:p>
    <w:p w14:paraId="381A87BD" w14:textId="77777777" w:rsidR="00F22FBD" w:rsidRDefault="00F22FBD">
      <w:pPr>
        <w:ind w:left="567" w:hanging="567"/>
      </w:pPr>
    </w:p>
    <w:p w14:paraId="6CD62E5B" w14:textId="77777777" w:rsidR="00F22FBD" w:rsidRDefault="00D44E4A">
      <w:r>
        <w:t>Didesnės už rekomenduojamas dabigatrano eteksilato dozės didina kraujavimo riziką.</w:t>
      </w:r>
    </w:p>
    <w:p w14:paraId="6FBD4AF2" w14:textId="77777777" w:rsidR="00F22FBD" w:rsidRDefault="00F22FBD"/>
    <w:p w14:paraId="4BF129B6" w14:textId="77777777" w:rsidR="00F22FBD" w:rsidRDefault="00D44E4A">
      <w:r>
        <w:t>Įtarus, kad vaistinio preparato perdozuota, kraujavimo riziką nustatyti gali padėti kraujo krešėjimo tyrimai (žr. 4.4 ir 5.1 skyrius). Kalibruotas kiekybinis PTL tyrimas arba kartotinis PTL matavimas leidžia numatyti laiką, kada atsiras tam tikras dabigatrano kiekis (žr. 5.1 skyrių) ir kada būtina imtis papildomų priemonių, pvz., atlikti dializę.</w:t>
      </w:r>
    </w:p>
    <w:p w14:paraId="7DDA186F" w14:textId="77777777" w:rsidR="00F22FBD" w:rsidRDefault="00F22FBD"/>
    <w:p w14:paraId="32E85B0D" w14:textId="77777777" w:rsidR="00F22FBD" w:rsidRDefault="00D44E4A">
      <w:r>
        <w:t>Jeigu antikoaguliacinis poveikis per stiprus, gali reikėti gydymą dabigatrano eteksilatu nutraukti. Kadangi dabigatranas daugiausiai išskiriamas per inkstus, būtina palaikyti pakankamą diurezę. Prie kraujo plazmos baltymų dabigatrano prisijungia mažai, todėl iš organizmo jį galima pašalinti dialize. Klinikinės patirties, įrodančios tokios procedūros naudingumą, klinikinių tyrimų metu sukaupta mažai (žr. 5.2 skyrių).</w:t>
      </w:r>
    </w:p>
    <w:p w14:paraId="16F9DDF6" w14:textId="77777777" w:rsidR="00F22FBD" w:rsidRDefault="00F22FBD"/>
    <w:p w14:paraId="0AC4F0D9" w14:textId="77777777" w:rsidR="00F22FBD" w:rsidRDefault="00D44E4A">
      <w:pPr>
        <w:rPr>
          <w:u w:val="single"/>
        </w:rPr>
      </w:pPr>
      <w:r>
        <w:rPr>
          <w:u w:val="single"/>
        </w:rPr>
        <w:t>Kraujavimo komplikacijų valdymas</w:t>
      </w:r>
    </w:p>
    <w:p w14:paraId="40587D70" w14:textId="77777777" w:rsidR="00F22FBD" w:rsidRDefault="00F22FBD"/>
    <w:p w14:paraId="1DD10BE7" w14:textId="77777777" w:rsidR="00F22FBD" w:rsidRDefault="00D44E4A">
      <w:r>
        <w:t>Atsiradus hemoragijos sukeltų komplikacijų, gydymą dabigatrano eteksilatu būtina nutraukti ir nustatyti kraujavimo vietą. Priklausomai nuo klinikinės situacijos gydytojo nuožiūra reikia taikyti tinkamą palaikomąjį gydymą, pvz., chirurginę hemostazę ir kraujo tūrio didinimą.</w:t>
      </w:r>
    </w:p>
    <w:p w14:paraId="77C26B11" w14:textId="77777777" w:rsidR="00F22FBD" w:rsidRDefault="00F22FBD"/>
    <w:p w14:paraId="78925652" w14:textId="77777777" w:rsidR="00F22FBD" w:rsidRDefault="00D44E4A">
      <w:r>
        <w:t>Tomis aplinkybėmis, kai būtina greitai panaikinti antikoaguliacinį dabigatrano poveikį, suaugusiems pacientams tinka specifinis neutralizuojantis vaistinis preparatas (idarucizumabas), naikinantis farmakodinaminį dabigatrano poveikį. Idarucizumabo veiksmingumas ir saugumas pacientams vaikams neištirti (žr. 4.4 skyrių).</w:t>
      </w:r>
    </w:p>
    <w:p w14:paraId="21067E67" w14:textId="77777777" w:rsidR="00F22FBD" w:rsidRDefault="00F22FBD"/>
    <w:p w14:paraId="112BFD94" w14:textId="77777777" w:rsidR="00F22FBD" w:rsidRDefault="00D44E4A">
      <w:r>
        <w:t xml:space="preserve">Galima svarstyti gydymą krešėjimo faktorių koncentratais (aktyvintais arba neaktyvintais) arba rekombinantiniu VIIa faktoriumi. Yra šiek tiek eksperimentinių duomenų šių vaistinių preparatų </w:t>
      </w:r>
      <w:r>
        <w:lastRenderedPageBreak/>
        <w:t>reikšmei naikinant antikoaguliacinį dabigatrano poveikį paremti, tačiau duomenys apie jų naudingumą klinikinėmis situacijomis bei galimam tromboembolijos atsigavimui yra labai riboti. Po minėtų krešėjimo faktorių koncentratų pavartojimo krešėjimo tyrimai gali tapti nepatikimi. Gautus jų rezultatus reikia vertinti atsargiai. Jeigu yra trombocitopenija arba buvo vartota ilgai veikiančių antitrombocitinių vaistinių preparatų, reikia apsvarstyti gydymą trombocitų koncentratais. Visas simptominis gydymas turi būti taikomas gydytojo sprendimu.</w:t>
      </w:r>
    </w:p>
    <w:p w14:paraId="5FABC72B" w14:textId="77777777" w:rsidR="00F22FBD" w:rsidRDefault="00F22FBD"/>
    <w:p w14:paraId="5C04A37F" w14:textId="77777777" w:rsidR="00F22FBD" w:rsidRDefault="00D44E4A">
      <w:r>
        <w:t>Didžiojo kraujavimo atveju reikėtų pasitarti su koaguliacijos ekspertu, jeigu jis yra pasiekiamas.</w:t>
      </w:r>
    </w:p>
    <w:p w14:paraId="39012809" w14:textId="77777777" w:rsidR="00F22FBD" w:rsidRDefault="00F22FBD">
      <w:pPr>
        <w:ind w:left="567" w:hanging="567"/>
      </w:pPr>
    </w:p>
    <w:p w14:paraId="7C69C67F" w14:textId="77777777" w:rsidR="00F22FBD" w:rsidRDefault="00D44E4A">
      <w:pPr>
        <w:ind w:left="567" w:hanging="567"/>
        <w:rPr>
          <w:b/>
          <w:caps/>
        </w:rPr>
      </w:pPr>
      <w:r>
        <w:rPr>
          <w:b/>
          <w:caps/>
        </w:rPr>
        <w:t>5.</w:t>
      </w:r>
      <w:r>
        <w:rPr>
          <w:b/>
          <w:caps/>
        </w:rPr>
        <w:tab/>
      </w:r>
      <w:r>
        <w:rPr>
          <w:b/>
        </w:rPr>
        <w:t xml:space="preserve">FARMAKOLOGINĖS </w:t>
      </w:r>
      <w:r>
        <w:rPr>
          <w:b/>
          <w:caps/>
        </w:rPr>
        <w:t>savybės</w:t>
      </w:r>
    </w:p>
    <w:p w14:paraId="00F0DF31" w14:textId="77777777" w:rsidR="00F22FBD" w:rsidRDefault="00F22FBD">
      <w:pPr>
        <w:ind w:left="567" w:hanging="567"/>
      </w:pPr>
    </w:p>
    <w:p w14:paraId="33AF0164" w14:textId="77777777" w:rsidR="00F22FBD" w:rsidRDefault="00D44E4A">
      <w:pPr>
        <w:ind w:left="567" w:hanging="567"/>
        <w:rPr>
          <w:b/>
        </w:rPr>
      </w:pPr>
      <w:r>
        <w:rPr>
          <w:b/>
        </w:rPr>
        <w:t>5.1</w:t>
      </w:r>
      <w:r>
        <w:rPr>
          <w:b/>
        </w:rPr>
        <w:tab/>
        <w:t>Farmakodinaminės savybės</w:t>
      </w:r>
    </w:p>
    <w:p w14:paraId="5BD521B5" w14:textId="77777777" w:rsidR="00F22FBD" w:rsidRDefault="00F22FBD">
      <w:pPr>
        <w:ind w:left="567" w:hanging="567"/>
      </w:pPr>
    </w:p>
    <w:p w14:paraId="1A7B13EE" w14:textId="77777777" w:rsidR="00F22FBD" w:rsidRDefault="00D44E4A">
      <w:pPr>
        <w:numPr>
          <w:ilvl w:val="12"/>
          <w:numId w:val="0"/>
        </w:numPr>
        <w:tabs>
          <w:tab w:val="left" w:pos="567"/>
        </w:tabs>
        <w:ind w:right="-2"/>
      </w:pPr>
      <w:r>
        <w:t>Farmakoterapinė grupė – antitrombozinės medžiagos, tiesioginiai trombino inhibitoriai, ATC kodas – B01AE07.</w:t>
      </w:r>
    </w:p>
    <w:p w14:paraId="7EB8544B" w14:textId="77777777" w:rsidR="00F22FBD" w:rsidRDefault="00F22FBD">
      <w:pPr>
        <w:numPr>
          <w:ilvl w:val="12"/>
          <w:numId w:val="0"/>
        </w:numPr>
        <w:tabs>
          <w:tab w:val="left" w:pos="567"/>
        </w:tabs>
        <w:ind w:right="-2"/>
      </w:pPr>
    </w:p>
    <w:p w14:paraId="0086C25A" w14:textId="77777777" w:rsidR="00F22FBD" w:rsidRDefault="00D44E4A">
      <w:pPr>
        <w:numPr>
          <w:ilvl w:val="12"/>
          <w:numId w:val="0"/>
        </w:numPr>
        <w:tabs>
          <w:tab w:val="left" w:pos="567"/>
        </w:tabs>
        <w:ind w:right="-2"/>
        <w:rPr>
          <w:u w:val="single"/>
        </w:rPr>
      </w:pPr>
      <w:r>
        <w:rPr>
          <w:u w:val="single"/>
        </w:rPr>
        <w:t>Veikimo mechanizmas</w:t>
      </w:r>
    </w:p>
    <w:p w14:paraId="4CDAA8F9" w14:textId="77777777" w:rsidR="00F22FBD" w:rsidRDefault="00F22FBD">
      <w:pPr>
        <w:numPr>
          <w:ilvl w:val="12"/>
          <w:numId w:val="0"/>
        </w:numPr>
        <w:tabs>
          <w:tab w:val="left" w:pos="567"/>
        </w:tabs>
        <w:ind w:right="-2"/>
      </w:pPr>
    </w:p>
    <w:p w14:paraId="7B912DB9" w14:textId="77777777" w:rsidR="00F22FBD" w:rsidRDefault="00D44E4A">
      <w:pPr>
        <w:numPr>
          <w:ilvl w:val="12"/>
          <w:numId w:val="0"/>
        </w:numPr>
        <w:tabs>
          <w:tab w:val="left" w:pos="567"/>
        </w:tabs>
        <w:ind w:right="-2"/>
      </w:pPr>
      <w:r>
        <w:t>Dabigatrano eteksilatas yra mažos molekulės provaistas, kuris nėra farmakologiškai aktyvus.</w:t>
      </w:r>
    </w:p>
    <w:p w14:paraId="0B9412A3" w14:textId="77777777" w:rsidR="00F22FBD" w:rsidRDefault="00D44E4A">
      <w:pPr>
        <w:numPr>
          <w:ilvl w:val="12"/>
          <w:numId w:val="0"/>
        </w:numPr>
        <w:tabs>
          <w:tab w:val="left" w:pos="567"/>
        </w:tabs>
        <w:ind w:right="-2"/>
      </w:pPr>
      <w:r>
        <w:t>Išgertas dabigatrano eteksilatas absorbuojamas greitai ir esterazės katalizuojamos hidrolizės būdu kraujo plazmoje bei kepenyse verčiamas dabigatranu. Dabigatranas yra stiprus konkurencinio, tiesioginio, laikino poveikio trombino inhibitorius ir svarbiausias aktyvus komponentas kraujo plazmoje.</w:t>
      </w:r>
    </w:p>
    <w:p w14:paraId="4A9BB794" w14:textId="77777777" w:rsidR="00F22FBD" w:rsidRDefault="00D44E4A">
      <w:pPr>
        <w:numPr>
          <w:ilvl w:val="12"/>
          <w:numId w:val="0"/>
        </w:numPr>
        <w:tabs>
          <w:tab w:val="left" w:pos="567"/>
        </w:tabs>
        <w:ind w:right="-2"/>
      </w:pPr>
      <w:r>
        <w:t>Kadangi kraujo krešėjimo metu trombinas (serino proteazė) fibrinogeną verčia fibrinu, jo aktyvumo slopinimas stabdo trombų formavimąsi. Dabigatranas slopina laisvą trombiną, prie fibrino prisijungusį trombiną bei trombino sukeliamą trombocitų agregaciją.</w:t>
      </w:r>
    </w:p>
    <w:p w14:paraId="52DE83BA" w14:textId="77777777" w:rsidR="00F22FBD" w:rsidRDefault="00F22FBD">
      <w:pPr>
        <w:numPr>
          <w:ilvl w:val="12"/>
          <w:numId w:val="0"/>
        </w:numPr>
        <w:tabs>
          <w:tab w:val="left" w:pos="567"/>
        </w:tabs>
        <w:ind w:right="-2"/>
      </w:pPr>
    </w:p>
    <w:p w14:paraId="3D70640B" w14:textId="77777777" w:rsidR="00F22FBD" w:rsidRDefault="00D44E4A">
      <w:pPr>
        <w:numPr>
          <w:ilvl w:val="12"/>
          <w:numId w:val="0"/>
        </w:numPr>
        <w:tabs>
          <w:tab w:val="left" w:pos="567"/>
        </w:tabs>
        <w:ind w:right="-2"/>
        <w:rPr>
          <w:u w:val="single"/>
        </w:rPr>
      </w:pPr>
      <w:r>
        <w:rPr>
          <w:u w:val="single"/>
        </w:rPr>
        <w:t>Farmakodinaminis poveikis</w:t>
      </w:r>
    </w:p>
    <w:p w14:paraId="1BBABBEF" w14:textId="77777777" w:rsidR="00F22FBD" w:rsidRDefault="00F22FBD">
      <w:pPr>
        <w:numPr>
          <w:ilvl w:val="12"/>
          <w:numId w:val="0"/>
        </w:numPr>
        <w:tabs>
          <w:tab w:val="left" w:pos="567"/>
        </w:tabs>
        <w:ind w:right="-2"/>
      </w:pPr>
    </w:p>
    <w:p w14:paraId="65C893AB" w14:textId="77777777" w:rsidR="00F22FBD" w:rsidRDefault="00D44E4A">
      <w:pPr>
        <w:numPr>
          <w:ilvl w:val="12"/>
          <w:numId w:val="0"/>
        </w:numPr>
        <w:tabs>
          <w:tab w:val="left" w:pos="567"/>
        </w:tabs>
        <w:ind w:right="-2"/>
      </w:pPr>
      <w:r>
        <w:t xml:space="preserve">Į veną suleisto dabigatrano ir išgerto dabigatrano eteksilato antitrombozinis veiksmingumas ir antikoaguliacinis aktyvumas įrodytas tyrimais </w:t>
      </w:r>
      <w:r>
        <w:rPr>
          <w:i/>
          <w:iCs/>
        </w:rPr>
        <w:t>in vivo</w:t>
      </w:r>
      <w:r>
        <w:t xml:space="preserve"> ir </w:t>
      </w:r>
      <w:r>
        <w:rPr>
          <w:i/>
          <w:iCs/>
        </w:rPr>
        <w:t>ex vivo</w:t>
      </w:r>
      <w:r>
        <w:t xml:space="preserve"> su gyvūnais, tiriant įvairius gyvūnų trombozės modelius.</w:t>
      </w:r>
    </w:p>
    <w:p w14:paraId="5AD5EAC6" w14:textId="77777777" w:rsidR="00F22FBD" w:rsidRDefault="00F22FBD">
      <w:pPr>
        <w:numPr>
          <w:ilvl w:val="12"/>
          <w:numId w:val="0"/>
        </w:numPr>
        <w:tabs>
          <w:tab w:val="left" w:pos="567"/>
        </w:tabs>
        <w:ind w:right="-2"/>
      </w:pPr>
    </w:p>
    <w:p w14:paraId="5B9C9E19" w14:textId="77777777" w:rsidR="00F22FBD" w:rsidRDefault="00D44E4A">
      <w:pPr>
        <w:numPr>
          <w:ilvl w:val="12"/>
          <w:numId w:val="0"/>
        </w:numPr>
        <w:tabs>
          <w:tab w:val="left" w:pos="567"/>
        </w:tabs>
        <w:ind w:right="-2"/>
      </w:pPr>
      <w:r>
        <w:t>Remiantis II fazės tyrimais, tarp dabigatrano koncentracijos kraujo plazmoje ir antikoaguliacinio poveikio stiprumo yra aiški koreliacija. Dabigatranas ilgina trombino laiką (TL), EKL ir DATL.</w:t>
      </w:r>
    </w:p>
    <w:p w14:paraId="2269FBB4" w14:textId="77777777" w:rsidR="00F22FBD" w:rsidRDefault="00F22FBD">
      <w:pPr>
        <w:numPr>
          <w:ilvl w:val="12"/>
          <w:numId w:val="0"/>
        </w:numPr>
        <w:tabs>
          <w:tab w:val="left" w:pos="567"/>
        </w:tabs>
        <w:ind w:right="-2"/>
      </w:pPr>
    </w:p>
    <w:p w14:paraId="56E9DAF7" w14:textId="77777777" w:rsidR="00F22FBD" w:rsidRDefault="00D44E4A">
      <w:pPr>
        <w:numPr>
          <w:ilvl w:val="12"/>
          <w:numId w:val="0"/>
        </w:numPr>
        <w:tabs>
          <w:tab w:val="left" w:pos="567"/>
        </w:tabs>
        <w:ind w:right="-2"/>
      </w:pPr>
      <w:r>
        <w:t>Kalibruotas kiekybinis praskiesto TL (PTL) tyrimas rodo apytikrę dabigatrano koncentraciją kraujo plazmoje, kuri gali būti panaši į tikėtiną dabigatrano koncentraciją kraujo plazmoje. Jeigu kalibruotas PTL tyrimas rodo, kad dabigatrano koncentracija kraujo plazmoje yra prie kiekybinio nustatymo ribos arba mažesnė, reikia apsvarstyti papildomo kraujo krešėjimo tyrimo, pvz., TL, EKL, DATL, atlikimo būtinybę.</w:t>
      </w:r>
    </w:p>
    <w:p w14:paraId="648226DF" w14:textId="77777777" w:rsidR="00F22FBD" w:rsidRDefault="00F22FBD">
      <w:pPr>
        <w:numPr>
          <w:ilvl w:val="12"/>
          <w:numId w:val="0"/>
        </w:numPr>
        <w:tabs>
          <w:tab w:val="left" w:pos="567"/>
        </w:tabs>
        <w:ind w:right="-2"/>
      </w:pPr>
    </w:p>
    <w:p w14:paraId="701A1D7D" w14:textId="77777777" w:rsidR="00F22FBD" w:rsidRDefault="00D44E4A">
      <w:pPr>
        <w:numPr>
          <w:ilvl w:val="12"/>
          <w:numId w:val="0"/>
        </w:numPr>
        <w:tabs>
          <w:tab w:val="left" w:pos="567"/>
        </w:tabs>
        <w:ind w:right="-2"/>
      </w:pPr>
      <w:r>
        <w:t>EKL tyrimu galima nustatyti aiškų tiesioginių trombino inhibitorių aktyvumo laipsnį.</w:t>
      </w:r>
    </w:p>
    <w:p w14:paraId="34EA3481" w14:textId="77777777" w:rsidR="00F22FBD" w:rsidRDefault="00F22FBD">
      <w:pPr>
        <w:numPr>
          <w:ilvl w:val="12"/>
          <w:numId w:val="0"/>
        </w:numPr>
        <w:tabs>
          <w:tab w:val="left" w:pos="567"/>
        </w:tabs>
        <w:ind w:right="-2"/>
      </w:pPr>
    </w:p>
    <w:p w14:paraId="17ED0884" w14:textId="77777777" w:rsidR="00F22FBD" w:rsidRDefault="00D44E4A">
      <w:pPr>
        <w:numPr>
          <w:ilvl w:val="12"/>
          <w:numId w:val="0"/>
        </w:numPr>
        <w:tabs>
          <w:tab w:val="left" w:pos="567"/>
        </w:tabs>
        <w:ind w:right="-2"/>
      </w:pPr>
      <w:r>
        <w:t>DATL tyrimas taikomas plačiai ir juo nustatomas apytikslis dabigatrano sukeltos antikoaguliacijos stiprumas. Vis dėlto DATL tyrimas yra riboto jautrumo ir tiksliam kiekybiniam antikoaguliacinio poveikio vertinimui netinka, ypač tuo atveju, jeigu dabigatrano koncentracija kraujo plazmoje yra didelė. Nors dideles DATL reikšmes reikia vertinti atsargiai, tačiau didelė DATL reikšmė rodo, kad pacientui yra sukeltas antikoaguliacinis poveikis.</w:t>
      </w:r>
    </w:p>
    <w:p w14:paraId="7B6C66A6" w14:textId="77777777" w:rsidR="00F22FBD" w:rsidRDefault="00F22FBD">
      <w:pPr>
        <w:numPr>
          <w:ilvl w:val="12"/>
          <w:numId w:val="0"/>
        </w:numPr>
        <w:tabs>
          <w:tab w:val="left" w:pos="567"/>
        </w:tabs>
        <w:ind w:right="-2"/>
      </w:pPr>
    </w:p>
    <w:p w14:paraId="08AADF13" w14:textId="77777777" w:rsidR="00F22FBD" w:rsidRDefault="00D44E4A">
      <w:pPr>
        <w:numPr>
          <w:ilvl w:val="12"/>
          <w:numId w:val="0"/>
        </w:numPr>
        <w:tabs>
          <w:tab w:val="left" w:pos="567"/>
        </w:tabs>
        <w:ind w:right="-2"/>
      </w:pPr>
      <w:r>
        <w:t>Paprastai galima manyti, kad minėti antikoaguliacinio aktyvumo rodikliai gali atspindėti dabigatrano kiekį kraujo plazmoje ir rodyti, jog reikia įvertinti kraujavimo riziką, t. y. mažiausios dabigatrano koncentracijos kraujo plazmoje arba koaguliacijos rodiklio, pvz., DATL, nustatyto tuo metu, kai koncentracija kraujo plazmoje mažiausia (DATL slenksčiai nurodyti 4.4 skyriaus 4-oje lentelėje), 90-ojo procentilio viršijimas yra laikomas susijusiu su kraujavimo rizikos padidėjimu.</w:t>
      </w:r>
    </w:p>
    <w:p w14:paraId="1E3C9D9E" w14:textId="77777777" w:rsidR="00F22FBD" w:rsidRDefault="00F22FBD">
      <w:pPr>
        <w:numPr>
          <w:ilvl w:val="12"/>
          <w:numId w:val="0"/>
        </w:numPr>
        <w:tabs>
          <w:tab w:val="left" w:pos="567"/>
        </w:tabs>
        <w:ind w:right="-2"/>
      </w:pPr>
    </w:p>
    <w:p w14:paraId="16777557" w14:textId="77777777" w:rsidR="00F22FBD" w:rsidRDefault="00D44E4A">
      <w:pPr>
        <w:numPr>
          <w:ilvl w:val="12"/>
          <w:numId w:val="0"/>
        </w:numPr>
        <w:tabs>
          <w:tab w:val="left" w:pos="567"/>
        </w:tabs>
        <w:ind w:right="-2"/>
        <w:rPr>
          <w:i/>
          <w:iCs/>
          <w:u w:val="single"/>
        </w:rPr>
      </w:pPr>
      <w:r>
        <w:rPr>
          <w:i/>
          <w:iCs/>
          <w:u w:val="single"/>
        </w:rPr>
        <w:t>Pirminė VTE profilaktika ortopedinėje chirurgijoje</w:t>
      </w:r>
    </w:p>
    <w:p w14:paraId="7FDD5442" w14:textId="77777777" w:rsidR="00F22FBD" w:rsidRDefault="00F22FBD">
      <w:pPr>
        <w:numPr>
          <w:ilvl w:val="12"/>
          <w:numId w:val="0"/>
        </w:numPr>
        <w:tabs>
          <w:tab w:val="left" w:pos="567"/>
        </w:tabs>
        <w:ind w:right="-2"/>
      </w:pPr>
    </w:p>
    <w:p w14:paraId="68F65705" w14:textId="77777777" w:rsidR="00F22FBD" w:rsidRDefault="00D44E4A">
      <w:pPr>
        <w:numPr>
          <w:ilvl w:val="12"/>
          <w:numId w:val="0"/>
        </w:numPr>
        <w:tabs>
          <w:tab w:val="left" w:pos="567"/>
        </w:tabs>
        <w:ind w:right="-2"/>
      </w:pPr>
      <w:r>
        <w:t>Nusistovėjus pusiausvyrinei koncentracijai (po 3 gydymo parų), didžiausios dabigatrano koncentracijos kraujo plazmoje, išmatuotos praėjus maždaug 2 val. po 220 mg dabigatrano eteksilato dozės pavartojimo, geometrinis vidurkis buvo 70,8 ng/ml, svyravimo ribos – 35,2-162 ng/ml (25-75 procentilių intervale). Mažiausios dabigatrano koncentracijos kraujo plazmoje, išmatuotos intervalo tarp dozių vartojimo pabaigoje (t. y. praėjus 24 val. po 220 mg dabigatrano dozės pavartojimo), geometrinis vidurkis buvo vidutiniškai 22 ng/ml, svyravimo ribos – 13-35,7 ng/ml (25-75 procentilių intervale).</w:t>
      </w:r>
    </w:p>
    <w:p w14:paraId="4D753C26" w14:textId="77777777" w:rsidR="00F22FBD" w:rsidRDefault="00F22FBD">
      <w:pPr>
        <w:numPr>
          <w:ilvl w:val="12"/>
          <w:numId w:val="0"/>
        </w:numPr>
        <w:tabs>
          <w:tab w:val="left" w:pos="567"/>
        </w:tabs>
        <w:ind w:right="-2"/>
      </w:pPr>
    </w:p>
    <w:p w14:paraId="259155C6" w14:textId="77777777" w:rsidR="00F22FBD" w:rsidRDefault="00D44E4A">
      <w:pPr>
        <w:numPr>
          <w:ilvl w:val="12"/>
          <w:numId w:val="0"/>
        </w:numPr>
        <w:tabs>
          <w:tab w:val="left" w:pos="567"/>
        </w:tabs>
        <w:ind w:right="-2"/>
      </w:pPr>
      <w:r>
        <w:t>Dedikuoto tyrimo, kuriame dalyvavo tik vidutinio sunkumo inkstų funkcijos sutrikimą (kreatinino klirensas KrKl 30 - 50 ml/min.) patiriantys pacientai, kasdien vartojantys 150 mg dabigatrano eteksilato dozę, metu mažiausios dabigatrano koncentracijos kraujo plazmoje, išmatuotos intervalo tarp dozių vartojimo pabaigoje, geometrinis vidurkis buvo vidutiniškai 47,5 ng/ml, svyravimo ribos – 29,6-72,2 ng/ml (25-75 procentilių intervale).</w:t>
      </w:r>
    </w:p>
    <w:p w14:paraId="539449D8" w14:textId="77777777" w:rsidR="00F22FBD" w:rsidRDefault="00F22FBD">
      <w:pPr>
        <w:numPr>
          <w:ilvl w:val="12"/>
          <w:numId w:val="0"/>
        </w:numPr>
        <w:tabs>
          <w:tab w:val="left" w:pos="567"/>
        </w:tabs>
        <w:ind w:right="-2"/>
      </w:pPr>
    </w:p>
    <w:p w14:paraId="7AE1D728" w14:textId="77777777" w:rsidR="00F22FBD" w:rsidRDefault="00D44E4A">
      <w:pPr>
        <w:numPr>
          <w:ilvl w:val="12"/>
          <w:numId w:val="0"/>
        </w:numPr>
        <w:tabs>
          <w:tab w:val="left" w:pos="567"/>
        </w:tabs>
        <w:ind w:right="-2"/>
      </w:pPr>
      <w:r>
        <w:t>Pacientams, kartą per parą vartojantiems 220 mg dabigatrano eteksilato dozę VTE profilaktikai po klubo arba kelio sąnario keitimo operacijos:</w:t>
      </w:r>
    </w:p>
    <w:p w14:paraId="450804C1" w14:textId="77777777" w:rsidR="00F22FBD" w:rsidRDefault="00D44E4A">
      <w:pPr>
        <w:widowControl w:val="0"/>
        <w:numPr>
          <w:ilvl w:val="0"/>
          <w:numId w:val="5"/>
        </w:numPr>
        <w:autoSpaceDE w:val="0"/>
        <w:autoSpaceDN w:val="0"/>
        <w:ind w:left="567" w:hanging="567"/>
        <w:rPr>
          <w:color w:val="000000"/>
          <w:szCs w:val="22"/>
          <w:lang w:val="en-US"/>
        </w:rPr>
      </w:pPr>
      <w:r>
        <w:t>dabigatrano koncentracijos kraujo plazmoje, išmatuotos tuo metu, kai ji mažiausia (praėjus 20-28 val. po ankstesnės dozės pavartojimo), 90-asis procentilis buvo 67 ng/ml (žr. 4.4 ir 4.9 skyrius);</w:t>
      </w:r>
    </w:p>
    <w:p w14:paraId="5FAB3741" w14:textId="77777777" w:rsidR="00F22FBD" w:rsidRDefault="00D44E4A">
      <w:pPr>
        <w:widowControl w:val="0"/>
        <w:numPr>
          <w:ilvl w:val="0"/>
          <w:numId w:val="5"/>
        </w:numPr>
        <w:autoSpaceDE w:val="0"/>
        <w:autoSpaceDN w:val="0"/>
        <w:ind w:left="567" w:hanging="567"/>
        <w:rPr>
          <w:color w:val="000000"/>
          <w:szCs w:val="22"/>
          <w:lang w:val="en-US"/>
        </w:rPr>
      </w:pPr>
      <w:r>
        <w:t>DATL tuo metu, kai koncentracija mažiausia (praėjus 20-28 val. po ankstesnės dozės pavartojimo), 90-asis procentilis buvo 51 sekundė ir jis galėtų būti 1,3 karto didesnis už viršutinę normos reikšmę.</w:t>
      </w:r>
    </w:p>
    <w:p w14:paraId="46739BF8" w14:textId="77777777" w:rsidR="00F22FBD" w:rsidRDefault="00F22FBD">
      <w:pPr>
        <w:widowControl w:val="0"/>
        <w:autoSpaceDE w:val="0"/>
        <w:autoSpaceDN w:val="0"/>
        <w:rPr>
          <w:color w:val="000000"/>
          <w:szCs w:val="22"/>
          <w:lang w:val="en-US"/>
        </w:rPr>
      </w:pPr>
    </w:p>
    <w:p w14:paraId="5C334D63" w14:textId="77777777" w:rsidR="00F22FBD" w:rsidRDefault="00D44E4A">
      <w:pPr>
        <w:widowControl w:val="0"/>
        <w:autoSpaceDE w:val="0"/>
        <w:autoSpaceDN w:val="0"/>
      </w:pPr>
      <w:r>
        <w:t>Pacientams, kartą per parą vartojantiems 220 mg dabigatrano eteksilato dozę VTE profilaktikai po klubo arba kelio sąnario keitimo operacijos, EKL netirtas.</w:t>
      </w:r>
    </w:p>
    <w:p w14:paraId="372CB611" w14:textId="77777777" w:rsidR="00F22FBD" w:rsidRDefault="00F22FBD">
      <w:pPr>
        <w:widowControl w:val="0"/>
        <w:autoSpaceDE w:val="0"/>
        <w:autoSpaceDN w:val="0"/>
      </w:pPr>
    </w:p>
    <w:p w14:paraId="4951819E" w14:textId="77777777" w:rsidR="00F22FBD" w:rsidRDefault="00D44E4A">
      <w:pPr>
        <w:widowControl w:val="0"/>
        <w:autoSpaceDE w:val="0"/>
        <w:autoSpaceDN w:val="0"/>
        <w:rPr>
          <w:u w:val="single"/>
        </w:rPr>
      </w:pPr>
      <w:r>
        <w:rPr>
          <w:u w:val="single"/>
        </w:rPr>
        <w:t>Klinikinis veiksmingumas ir saugumas</w:t>
      </w:r>
    </w:p>
    <w:p w14:paraId="56E66343" w14:textId="77777777" w:rsidR="00F22FBD" w:rsidRDefault="00F22FBD">
      <w:pPr>
        <w:widowControl w:val="0"/>
        <w:autoSpaceDE w:val="0"/>
        <w:autoSpaceDN w:val="0"/>
      </w:pPr>
    </w:p>
    <w:p w14:paraId="5F7AEB83" w14:textId="77777777" w:rsidR="00F22FBD" w:rsidRDefault="00D44E4A">
      <w:pPr>
        <w:widowControl w:val="0"/>
        <w:autoSpaceDE w:val="0"/>
        <w:autoSpaceDN w:val="0"/>
        <w:rPr>
          <w:i/>
          <w:iCs/>
        </w:rPr>
      </w:pPr>
      <w:r>
        <w:rPr>
          <w:i/>
          <w:iCs/>
        </w:rPr>
        <w:t>Etninė grupė</w:t>
      </w:r>
    </w:p>
    <w:p w14:paraId="09A9E932" w14:textId="77777777" w:rsidR="00F22FBD" w:rsidRDefault="00F22FBD">
      <w:pPr>
        <w:widowControl w:val="0"/>
        <w:autoSpaceDE w:val="0"/>
        <w:autoSpaceDN w:val="0"/>
      </w:pPr>
    </w:p>
    <w:p w14:paraId="5663C628" w14:textId="77777777" w:rsidR="00F22FBD" w:rsidRDefault="00D44E4A">
      <w:pPr>
        <w:widowControl w:val="0"/>
        <w:autoSpaceDE w:val="0"/>
        <w:autoSpaceDN w:val="0"/>
      </w:pPr>
      <w:r>
        <w:t>Priklausomai nuo etninės grupės kliniškai reikšmingų poveikio skirtumų europidams, afroamerikiečiams, ispanams, japonams ar kinams nepastebėta.</w:t>
      </w:r>
    </w:p>
    <w:p w14:paraId="4CB5BFB4" w14:textId="77777777" w:rsidR="00F22FBD" w:rsidRDefault="00F22FBD">
      <w:pPr>
        <w:widowControl w:val="0"/>
        <w:autoSpaceDE w:val="0"/>
        <w:autoSpaceDN w:val="0"/>
      </w:pPr>
    </w:p>
    <w:p w14:paraId="738827B1" w14:textId="77777777" w:rsidR="00F22FBD" w:rsidRDefault="00D44E4A">
      <w:pPr>
        <w:widowControl w:val="0"/>
        <w:autoSpaceDE w:val="0"/>
        <w:autoSpaceDN w:val="0"/>
        <w:rPr>
          <w:i/>
          <w:iCs/>
          <w:u w:val="single"/>
        </w:rPr>
      </w:pPr>
      <w:r>
        <w:rPr>
          <w:i/>
          <w:iCs/>
          <w:u w:val="single"/>
        </w:rPr>
        <w:t>VTE profilaktikos po didžiosios sąnario keitimo operacijos klinikiniai tyrimai</w:t>
      </w:r>
    </w:p>
    <w:p w14:paraId="4967A032" w14:textId="77777777" w:rsidR="00F22FBD" w:rsidRDefault="00F22FBD">
      <w:pPr>
        <w:widowControl w:val="0"/>
        <w:autoSpaceDE w:val="0"/>
        <w:autoSpaceDN w:val="0"/>
      </w:pPr>
    </w:p>
    <w:p w14:paraId="27797169" w14:textId="77777777" w:rsidR="00F22FBD" w:rsidRDefault="00D44E4A">
      <w:pPr>
        <w:widowControl w:val="0"/>
        <w:autoSpaceDE w:val="0"/>
        <w:autoSpaceDN w:val="0"/>
      </w:pPr>
      <w:r>
        <w:t>Dviejų didelių atsitiktinių imčių, paralelinių grupių, dvigubai koduotų dozės patvirtinimo tyrimų metu pacientai, kuriems buvo atliekama didesnė planinė ortopedinė operacija (vieno tyrimo metu kelio sąnario, kito – klubo sąnario keitimo operacija), per 1-4 val. nuo jos pabaigos išgėrė 75 mg arba 110 mg dabigatrano eteksilato dozę, o po to kartą per parą vartojo 150 mg arba 220 mg dozę, užtikrinus hemostazę, arba prieš operaciją ir kasdien po jos gėrė 40 mg enoksaparino.</w:t>
      </w:r>
    </w:p>
    <w:p w14:paraId="79009B6A" w14:textId="77777777" w:rsidR="00F22FBD" w:rsidRDefault="00D44E4A">
      <w:pPr>
        <w:widowControl w:val="0"/>
        <w:autoSpaceDE w:val="0"/>
        <w:autoSpaceDN w:val="0"/>
      </w:pPr>
      <w:r>
        <w:t>RE-MODEL tyrimo (po kelio sąnario keitimo operacijos) metu buvo gydyta 6-10 parų, RE-NOVATE tyrimo (po klubo sąnario keitimo operacijos) metu – 28-35 paras. Iš viso buvo gydyti 2 076 pacientai po kelio sąnario keitimo operacijos ir 3 494 pacientai po klubo sąnario keitimo operacijos.</w:t>
      </w:r>
    </w:p>
    <w:p w14:paraId="27571C48" w14:textId="77777777" w:rsidR="00F22FBD" w:rsidRDefault="00F22FBD">
      <w:pPr>
        <w:widowControl w:val="0"/>
        <w:autoSpaceDE w:val="0"/>
        <w:autoSpaceDN w:val="0"/>
      </w:pPr>
    </w:p>
    <w:p w14:paraId="53E4C9DA" w14:textId="77777777" w:rsidR="00F22FBD" w:rsidRDefault="00D44E4A">
      <w:pPr>
        <w:widowControl w:val="0"/>
        <w:autoSpaceDE w:val="0"/>
        <w:autoSpaceDN w:val="0"/>
      </w:pPr>
      <w:r>
        <w:t>Abiejų tyrimų metu pirminė vertinamoji baigtis buvo sudėtinis bendros VTE (įskaitant įprastine venografija nustatytą plaučių emboliją (PE) ir proksimalinę bei distalinę giliųjų venų trombozę (GVT), nepaisant, ar ji simptominė, ar besimptomė) ir mirštamumo nuo visų priežasčių dažnis. Antrinė vertinamoji baigtis buvo sudėtinis didesnės VTE (įskaitant įprastine venografija nustatytą plaučių emboliją ir proksimalinę giliųjų venų trombozę, nepaisant, ar ji simptominė, ar besimptomė) ir nuo VTE priklausomo mirštamumo dažnis ir manoma, kad jis turi didesnę klinikinę reikšmę.</w:t>
      </w:r>
    </w:p>
    <w:p w14:paraId="0B2085EB" w14:textId="77777777" w:rsidR="00F22FBD" w:rsidRDefault="00D44E4A">
      <w:pPr>
        <w:widowControl w:val="0"/>
        <w:autoSpaceDE w:val="0"/>
        <w:autoSpaceDN w:val="0"/>
      </w:pPr>
      <w:r>
        <w:t>Abiejų tyrimų rezultatai rodo, kad antitrombinis 220 mg arba 150 mg dabigatrano eteksilato dozės poveikis bendros VTE ir mirštamumo nuo visų priežasčių dažniui statistiškai nėra blogesnis už enoksaparino. Sergamumo pagrindine VTE ir nuo VTE priklausomo mirštamumo taškinis įvertis buvo šiek tiek blogesnis gydant 150 mg doze negu enoksaparinu (žr. 13-ąją lentelę). Geresni rezultatai gauti gydant 220 mg doze: pagrindinės VTE dažnio taškinis įvertis buvo šiek tiek geresnis negu enoksaparino grupėje (žr. 13-ąją lentelę).</w:t>
      </w:r>
    </w:p>
    <w:p w14:paraId="79BE340D" w14:textId="77777777" w:rsidR="00F22FBD" w:rsidRDefault="00F22FBD">
      <w:pPr>
        <w:widowControl w:val="0"/>
        <w:autoSpaceDE w:val="0"/>
        <w:autoSpaceDN w:val="0"/>
      </w:pPr>
    </w:p>
    <w:p w14:paraId="10DFD2F5" w14:textId="77777777" w:rsidR="00F22FBD" w:rsidRDefault="00D44E4A">
      <w:pPr>
        <w:widowControl w:val="0"/>
        <w:autoSpaceDE w:val="0"/>
        <w:autoSpaceDN w:val="0"/>
      </w:pPr>
      <w:r>
        <w:t>Klinikiniuose tyrimuose dalyvavusių pacientų vidutinis amžius buvo &gt; 65 metai.</w:t>
      </w:r>
    </w:p>
    <w:p w14:paraId="75ACBAC5" w14:textId="77777777" w:rsidR="00F22FBD" w:rsidRDefault="00F22FBD">
      <w:pPr>
        <w:widowControl w:val="0"/>
        <w:autoSpaceDE w:val="0"/>
        <w:autoSpaceDN w:val="0"/>
      </w:pPr>
    </w:p>
    <w:p w14:paraId="7E86197D" w14:textId="77777777" w:rsidR="00F22FBD" w:rsidRDefault="00D44E4A">
      <w:pPr>
        <w:widowControl w:val="0"/>
        <w:autoSpaceDE w:val="0"/>
        <w:autoSpaceDN w:val="0"/>
      </w:pPr>
      <w:r>
        <w:t>III fazės klinikinių tyrimų metu veiksmingumo ir saugumo tyrimų duomenys vyrams ir moterims nesiskyrė.</w:t>
      </w:r>
    </w:p>
    <w:p w14:paraId="798CCF69" w14:textId="77777777" w:rsidR="00F22FBD" w:rsidRDefault="00F22FBD">
      <w:pPr>
        <w:widowControl w:val="0"/>
        <w:autoSpaceDE w:val="0"/>
        <w:autoSpaceDN w:val="0"/>
      </w:pPr>
    </w:p>
    <w:p w14:paraId="29FDEADA" w14:textId="77777777" w:rsidR="00F22FBD" w:rsidRDefault="00D44E4A">
      <w:pPr>
        <w:widowControl w:val="0"/>
        <w:autoSpaceDE w:val="0"/>
        <w:autoSpaceDN w:val="0"/>
      </w:pPr>
      <w:r>
        <w:t>Iš RE-MODEL ir RE-NOVATE tyrimuose dalyvavusių pacientų (buvo gydyti 5 539 pacientai) 51 % sirgo ir hipertenzija, 9 % – ir cukriniu diabetu, 9 % – ir vainikinių arterijų liga bei 20 % buvo sirgę venų nepakankamumu. Nė viena iš šių ligų nedarė įtakos dabigatrano sukeliamam poveikiui VTE profilaktikai arba kraujavimo dažniui.</w:t>
      </w:r>
    </w:p>
    <w:p w14:paraId="0D2782D7" w14:textId="77777777" w:rsidR="00F22FBD" w:rsidRDefault="00F22FBD">
      <w:pPr>
        <w:widowControl w:val="0"/>
        <w:autoSpaceDE w:val="0"/>
        <w:autoSpaceDN w:val="0"/>
      </w:pPr>
    </w:p>
    <w:p w14:paraId="3FD33D2F" w14:textId="77777777" w:rsidR="00F22FBD" w:rsidRDefault="00D44E4A">
      <w:pPr>
        <w:widowControl w:val="0"/>
        <w:autoSpaceDE w:val="0"/>
        <w:autoSpaceDN w:val="0"/>
      </w:pPr>
      <w:r>
        <w:t>Didžiosios VTE ir nuo VTE priklausomo mirštamumo vertinamosios baigties rodiklių duomenys buvo homogeniniai, palyginti su pirmine vertinamąja veiksmingumo baigtimi, ir jie pateikti 13-oje lentelėje.</w:t>
      </w:r>
    </w:p>
    <w:p w14:paraId="25DF0E11" w14:textId="77777777" w:rsidR="00F22FBD" w:rsidRDefault="00F22FBD">
      <w:pPr>
        <w:widowControl w:val="0"/>
        <w:autoSpaceDE w:val="0"/>
        <w:autoSpaceDN w:val="0"/>
      </w:pPr>
    </w:p>
    <w:p w14:paraId="792B5B6B" w14:textId="77777777" w:rsidR="00F22FBD" w:rsidRDefault="00D44E4A">
      <w:pPr>
        <w:widowControl w:val="0"/>
        <w:autoSpaceDE w:val="0"/>
        <w:autoSpaceDN w:val="0"/>
      </w:pPr>
      <w:r>
        <w:t>Bendros VTE ir mirštamumo nuo visų priežasčių vertinamosios baigties rodiklio duomenys pateikti 14-oje lentelėje.</w:t>
      </w:r>
    </w:p>
    <w:p w14:paraId="0F5F0F63" w14:textId="77777777" w:rsidR="00F22FBD" w:rsidRDefault="00F22FBD">
      <w:pPr>
        <w:widowControl w:val="0"/>
        <w:autoSpaceDE w:val="0"/>
        <w:autoSpaceDN w:val="0"/>
      </w:pPr>
    </w:p>
    <w:p w14:paraId="4CDDF1A7" w14:textId="77777777" w:rsidR="00F22FBD" w:rsidRDefault="00D44E4A">
      <w:pPr>
        <w:widowControl w:val="0"/>
        <w:autoSpaceDE w:val="0"/>
        <w:autoSpaceDN w:val="0"/>
      </w:pPr>
      <w:r>
        <w:t>Nepriklausomai išnagrinėtų ir įvertintų didžiojo kraujavimo vertinamųjų baigčių duomenys pateikti 15-oje lentelėje toliau.</w:t>
      </w:r>
    </w:p>
    <w:p w14:paraId="798C5F58" w14:textId="77777777" w:rsidR="00F22FBD" w:rsidRDefault="00F22FBD">
      <w:pPr>
        <w:widowControl w:val="0"/>
        <w:autoSpaceDE w:val="0"/>
        <w:autoSpaceDN w:val="0"/>
      </w:pPr>
    </w:p>
    <w:p w14:paraId="19329E58" w14:textId="77777777" w:rsidR="00F22FBD" w:rsidRDefault="00D44E4A">
      <w:pPr>
        <w:widowControl w:val="0"/>
        <w:kinsoku w:val="0"/>
        <w:overflowPunct w:val="0"/>
        <w:autoSpaceDE w:val="0"/>
        <w:autoSpaceDN w:val="0"/>
        <w:adjustRightInd w:val="0"/>
        <w:ind w:left="993" w:hanging="993"/>
        <w:rPr>
          <w:b/>
          <w:bCs/>
          <w:color w:val="000000"/>
          <w:szCs w:val="22"/>
          <w:lang w:val="sl-SI" w:eastAsia="sl-SI"/>
        </w:rPr>
      </w:pPr>
      <w:r>
        <w:rPr>
          <w:b/>
          <w:bCs/>
          <w:color w:val="000000"/>
          <w:szCs w:val="22"/>
          <w:lang w:val="sl-SI" w:eastAsia="sl-SI"/>
        </w:rPr>
        <w:t>13 lentelė:</w:t>
      </w:r>
      <w:r>
        <w:rPr>
          <w:b/>
          <w:bCs/>
          <w:color w:val="000000"/>
          <w:szCs w:val="22"/>
          <w:lang w:val="sl-SI" w:eastAsia="sl-SI"/>
        </w:rPr>
        <w:tab/>
      </w:r>
      <w:r>
        <w:rPr>
          <w:b/>
          <w:bCs/>
        </w:rPr>
        <w:t>Pagrindinės VTE ir nuo VTE priklausomo mirštamumo dažnio RE-MODEL ir RENOVATE ortopedinės operacijos tyrimų metu analizės duomenys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7"/>
        <w:gridCol w:w="2237"/>
        <w:gridCol w:w="2400"/>
        <w:gridCol w:w="2268"/>
      </w:tblGrid>
      <w:tr w:rsidR="00F22FBD" w14:paraId="1913DF83" w14:textId="77777777">
        <w:trPr>
          <w:trHeight w:val="505"/>
        </w:trPr>
        <w:tc>
          <w:tcPr>
            <w:tcW w:w="2167" w:type="dxa"/>
            <w:shd w:val="clear" w:color="auto" w:fill="auto"/>
          </w:tcPr>
          <w:p w14:paraId="45F154AF" w14:textId="77777777" w:rsidR="00F22FBD" w:rsidRDefault="00D44E4A">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Tyrimas</w:t>
            </w:r>
          </w:p>
        </w:tc>
        <w:tc>
          <w:tcPr>
            <w:tcW w:w="2237" w:type="dxa"/>
            <w:shd w:val="clear" w:color="auto" w:fill="auto"/>
          </w:tcPr>
          <w:p w14:paraId="564A98B0" w14:textId="77777777" w:rsidR="00F22FBD" w:rsidRDefault="00D44E4A">
            <w:pPr>
              <w:widowControl w:val="0"/>
              <w:kinsoku w:val="0"/>
              <w:overflowPunct w:val="0"/>
              <w:autoSpaceDE w:val="0"/>
              <w:autoSpaceDN w:val="0"/>
              <w:adjustRightInd w:val="0"/>
              <w:spacing w:line="246" w:lineRule="exact"/>
              <w:ind w:left="69"/>
              <w:rPr>
                <w:color w:val="000000"/>
                <w:szCs w:val="22"/>
                <w:lang w:val="sl-SI" w:eastAsia="sl-SI"/>
              </w:rPr>
            </w:pPr>
            <w:r>
              <w:rPr>
                <w:color w:val="000000"/>
                <w:szCs w:val="22"/>
                <w:lang w:val="sl-SI" w:eastAsia="sl-SI"/>
              </w:rPr>
              <w:t>Dabigatrano eteksilatas 220 mg</w:t>
            </w:r>
          </w:p>
        </w:tc>
        <w:tc>
          <w:tcPr>
            <w:tcW w:w="2400" w:type="dxa"/>
            <w:shd w:val="clear" w:color="auto" w:fill="auto"/>
          </w:tcPr>
          <w:p w14:paraId="06D06CFC" w14:textId="77777777" w:rsidR="00F22FBD" w:rsidRDefault="00D44E4A">
            <w:pPr>
              <w:widowControl w:val="0"/>
              <w:kinsoku w:val="0"/>
              <w:overflowPunct w:val="0"/>
              <w:autoSpaceDE w:val="0"/>
              <w:autoSpaceDN w:val="0"/>
              <w:adjustRightInd w:val="0"/>
              <w:spacing w:line="246" w:lineRule="exact"/>
              <w:ind w:left="69"/>
              <w:rPr>
                <w:color w:val="000000"/>
                <w:szCs w:val="22"/>
                <w:lang w:val="sl-SI" w:eastAsia="sl-SI"/>
              </w:rPr>
            </w:pPr>
            <w:r>
              <w:rPr>
                <w:color w:val="000000"/>
                <w:szCs w:val="22"/>
                <w:lang w:val="sl-SI" w:eastAsia="sl-SI"/>
              </w:rPr>
              <w:t>Dabigatrano eteksilatas 150 mg</w:t>
            </w:r>
          </w:p>
        </w:tc>
        <w:tc>
          <w:tcPr>
            <w:tcW w:w="2268" w:type="dxa"/>
            <w:shd w:val="clear" w:color="auto" w:fill="auto"/>
          </w:tcPr>
          <w:p w14:paraId="04F1B93F" w14:textId="77777777" w:rsidR="00F22FBD" w:rsidRDefault="00D44E4A">
            <w:pPr>
              <w:widowControl w:val="0"/>
              <w:kinsoku w:val="0"/>
              <w:overflowPunct w:val="0"/>
              <w:autoSpaceDE w:val="0"/>
              <w:autoSpaceDN w:val="0"/>
              <w:adjustRightInd w:val="0"/>
              <w:spacing w:line="246" w:lineRule="exact"/>
              <w:ind w:left="69"/>
              <w:jc w:val="center"/>
              <w:rPr>
                <w:color w:val="000000"/>
                <w:szCs w:val="22"/>
                <w:lang w:val="sl-SI" w:eastAsia="sl-SI"/>
              </w:rPr>
            </w:pPr>
            <w:r>
              <w:rPr>
                <w:color w:val="000000"/>
                <w:szCs w:val="22"/>
                <w:lang w:val="sl-SI" w:eastAsia="sl-SI"/>
              </w:rPr>
              <w:t>Enoksaparinas</w:t>
            </w:r>
          </w:p>
          <w:p w14:paraId="485C541E" w14:textId="77777777" w:rsidR="00F22FBD" w:rsidRDefault="00D44E4A">
            <w:pPr>
              <w:widowControl w:val="0"/>
              <w:kinsoku w:val="0"/>
              <w:overflowPunct w:val="0"/>
              <w:autoSpaceDE w:val="0"/>
              <w:autoSpaceDN w:val="0"/>
              <w:adjustRightInd w:val="0"/>
              <w:spacing w:line="240" w:lineRule="exact"/>
              <w:ind w:left="69"/>
              <w:jc w:val="center"/>
              <w:rPr>
                <w:color w:val="000000"/>
                <w:szCs w:val="22"/>
                <w:lang w:val="sl-SI" w:eastAsia="sl-SI"/>
              </w:rPr>
            </w:pPr>
            <w:r>
              <w:rPr>
                <w:color w:val="000000"/>
                <w:szCs w:val="22"/>
                <w:lang w:val="sl-SI" w:eastAsia="sl-SI"/>
              </w:rPr>
              <w:t>40 mg</w:t>
            </w:r>
          </w:p>
        </w:tc>
      </w:tr>
      <w:tr w:rsidR="00F22FBD" w14:paraId="0294B43A" w14:textId="77777777">
        <w:trPr>
          <w:trHeight w:val="251"/>
        </w:trPr>
        <w:tc>
          <w:tcPr>
            <w:tcW w:w="9072" w:type="dxa"/>
            <w:gridSpan w:val="4"/>
            <w:shd w:val="clear" w:color="auto" w:fill="auto"/>
          </w:tcPr>
          <w:p w14:paraId="2A726B8C" w14:textId="77777777" w:rsidR="00F22FBD" w:rsidRDefault="00D44E4A">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RE-NOVATE (klubo sąnarys)</w:t>
            </w:r>
          </w:p>
        </w:tc>
      </w:tr>
      <w:tr w:rsidR="00F22FBD" w14:paraId="44E49680" w14:textId="77777777">
        <w:trPr>
          <w:trHeight w:val="254"/>
        </w:trPr>
        <w:tc>
          <w:tcPr>
            <w:tcW w:w="2167" w:type="dxa"/>
            <w:shd w:val="clear" w:color="auto" w:fill="auto"/>
          </w:tcPr>
          <w:p w14:paraId="1DD2CACC" w14:textId="77777777" w:rsidR="00F22FBD" w:rsidRDefault="00D44E4A">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N</w:t>
            </w:r>
          </w:p>
        </w:tc>
        <w:tc>
          <w:tcPr>
            <w:tcW w:w="2237" w:type="dxa"/>
            <w:shd w:val="clear" w:color="auto" w:fill="auto"/>
          </w:tcPr>
          <w:p w14:paraId="3ABAB0A8"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909</w:t>
            </w:r>
          </w:p>
        </w:tc>
        <w:tc>
          <w:tcPr>
            <w:tcW w:w="2400" w:type="dxa"/>
            <w:shd w:val="clear" w:color="auto" w:fill="auto"/>
          </w:tcPr>
          <w:p w14:paraId="2717DE85"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888</w:t>
            </w:r>
          </w:p>
        </w:tc>
        <w:tc>
          <w:tcPr>
            <w:tcW w:w="2268" w:type="dxa"/>
            <w:shd w:val="clear" w:color="auto" w:fill="auto"/>
          </w:tcPr>
          <w:p w14:paraId="59C064B7"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917</w:t>
            </w:r>
          </w:p>
        </w:tc>
      </w:tr>
      <w:tr w:rsidR="00F22FBD" w14:paraId="4FB2968F" w14:textId="77777777">
        <w:trPr>
          <w:trHeight w:val="251"/>
        </w:trPr>
        <w:tc>
          <w:tcPr>
            <w:tcW w:w="2167" w:type="dxa"/>
            <w:shd w:val="clear" w:color="auto" w:fill="auto"/>
          </w:tcPr>
          <w:p w14:paraId="106E740F" w14:textId="77777777" w:rsidR="00F22FBD" w:rsidRDefault="00D44E4A">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Reiškinių dažnis (%)</w:t>
            </w:r>
          </w:p>
        </w:tc>
        <w:tc>
          <w:tcPr>
            <w:tcW w:w="2237" w:type="dxa"/>
            <w:shd w:val="clear" w:color="auto" w:fill="auto"/>
          </w:tcPr>
          <w:p w14:paraId="786728D4"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28 (3,1)</w:t>
            </w:r>
          </w:p>
        </w:tc>
        <w:tc>
          <w:tcPr>
            <w:tcW w:w="2400" w:type="dxa"/>
            <w:shd w:val="clear" w:color="auto" w:fill="auto"/>
          </w:tcPr>
          <w:p w14:paraId="289654DD"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38 (4,3)</w:t>
            </w:r>
          </w:p>
        </w:tc>
        <w:tc>
          <w:tcPr>
            <w:tcW w:w="2268" w:type="dxa"/>
            <w:shd w:val="clear" w:color="auto" w:fill="auto"/>
          </w:tcPr>
          <w:p w14:paraId="2A4261E7"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36 (3,9)</w:t>
            </w:r>
          </w:p>
        </w:tc>
      </w:tr>
      <w:tr w:rsidR="00F22FBD" w14:paraId="076C7150" w14:textId="77777777">
        <w:trPr>
          <w:trHeight w:val="506"/>
        </w:trPr>
        <w:tc>
          <w:tcPr>
            <w:tcW w:w="2167" w:type="dxa"/>
            <w:shd w:val="clear" w:color="auto" w:fill="auto"/>
          </w:tcPr>
          <w:p w14:paraId="1146DC45" w14:textId="77777777" w:rsidR="00F22FBD" w:rsidRDefault="00D44E4A">
            <w:pPr>
              <w:widowControl w:val="0"/>
              <w:kinsoku w:val="0"/>
              <w:overflowPunct w:val="0"/>
              <w:autoSpaceDE w:val="0"/>
              <w:autoSpaceDN w:val="0"/>
              <w:adjustRightInd w:val="0"/>
              <w:spacing w:line="238" w:lineRule="exact"/>
              <w:ind w:left="69"/>
              <w:rPr>
                <w:color w:val="000000"/>
                <w:szCs w:val="22"/>
                <w:lang w:val="sl-SI" w:eastAsia="sl-SI"/>
              </w:rPr>
            </w:pPr>
            <w:r>
              <w:t>Rizikos santykis, palyginti su enoksaparinu</w:t>
            </w:r>
          </w:p>
        </w:tc>
        <w:tc>
          <w:tcPr>
            <w:tcW w:w="2237" w:type="dxa"/>
            <w:shd w:val="clear" w:color="auto" w:fill="auto"/>
          </w:tcPr>
          <w:p w14:paraId="667D0141" w14:textId="77777777" w:rsidR="00F22FBD" w:rsidRDefault="00D44E4A">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0,78</w:t>
            </w:r>
          </w:p>
        </w:tc>
        <w:tc>
          <w:tcPr>
            <w:tcW w:w="2400" w:type="dxa"/>
            <w:shd w:val="clear" w:color="auto" w:fill="auto"/>
          </w:tcPr>
          <w:p w14:paraId="64A611AC" w14:textId="77777777" w:rsidR="00F22FBD" w:rsidRDefault="00D44E4A">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1,09</w:t>
            </w:r>
          </w:p>
        </w:tc>
        <w:tc>
          <w:tcPr>
            <w:tcW w:w="2268" w:type="dxa"/>
            <w:shd w:val="clear" w:color="auto" w:fill="auto"/>
          </w:tcPr>
          <w:p w14:paraId="5200E560" w14:textId="77777777" w:rsidR="00F22FBD" w:rsidRDefault="00F22FBD">
            <w:pPr>
              <w:widowControl w:val="0"/>
              <w:kinsoku w:val="0"/>
              <w:overflowPunct w:val="0"/>
              <w:autoSpaceDE w:val="0"/>
              <w:autoSpaceDN w:val="0"/>
              <w:adjustRightInd w:val="0"/>
              <w:jc w:val="center"/>
              <w:rPr>
                <w:color w:val="000000"/>
                <w:szCs w:val="22"/>
                <w:lang w:val="sl-SI" w:eastAsia="sl-SI"/>
              </w:rPr>
            </w:pPr>
          </w:p>
        </w:tc>
      </w:tr>
      <w:tr w:rsidR="00F22FBD" w14:paraId="79DE76EE" w14:textId="77777777">
        <w:trPr>
          <w:trHeight w:val="253"/>
        </w:trPr>
        <w:tc>
          <w:tcPr>
            <w:tcW w:w="2167" w:type="dxa"/>
            <w:shd w:val="clear" w:color="auto" w:fill="auto"/>
          </w:tcPr>
          <w:p w14:paraId="6643D0F1" w14:textId="77777777" w:rsidR="00F22FBD" w:rsidRDefault="00D44E4A">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 PI</w:t>
            </w:r>
          </w:p>
        </w:tc>
        <w:tc>
          <w:tcPr>
            <w:tcW w:w="2237" w:type="dxa"/>
            <w:shd w:val="clear" w:color="auto" w:fill="auto"/>
          </w:tcPr>
          <w:p w14:paraId="52B3A74F"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0,48; 1,27</w:t>
            </w:r>
          </w:p>
        </w:tc>
        <w:tc>
          <w:tcPr>
            <w:tcW w:w="2400" w:type="dxa"/>
            <w:shd w:val="clear" w:color="auto" w:fill="auto"/>
          </w:tcPr>
          <w:p w14:paraId="512661E8"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0,70; 1,70</w:t>
            </w:r>
          </w:p>
        </w:tc>
        <w:tc>
          <w:tcPr>
            <w:tcW w:w="2268" w:type="dxa"/>
            <w:shd w:val="clear" w:color="auto" w:fill="auto"/>
          </w:tcPr>
          <w:p w14:paraId="4886E3D0" w14:textId="77777777" w:rsidR="00F22FBD" w:rsidRDefault="00F22FBD">
            <w:pPr>
              <w:widowControl w:val="0"/>
              <w:kinsoku w:val="0"/>
              <w:overflowPunct w:val="0"/>
              <w:autoSpaceDE w:val="0"/>
              <w:autoSpaceDN w:val="0"/>
              <w:adjustRightInd w:val="0"/>
              <w:jc w:val="center"/>
              <w:rPr>
                <w:color w:val="000000"/>
                <w:szCs w:val="22"/>
                <w:lang w:val="sl-SI" w:eastAsia="sl-SI"/>
              </w:rPr>
            </w:pPr>
          </w:p>
        </w:tc>
      </w:tr>
      <w:tr w:rsidR="00F22FBD" w14:paraId="292112CE" w14:textId="77777777">
        <w:trPr>
          <w:trHeight w:val="254"/>
        </w:trPr>
        <w:tc>
          <w:tcPr>
            <w:tcW w:w="9072" w:type="dxa"/>
            <w:gridSpan w:val="4"/>
            <w:shd w:val="clear" w:color="auto" w:fill="auto"/>
          </w:tcPr>
          <w:p w14:paraId="66857687" w14:textId="77777777" w:rsidR="00F22FBD" w:rsidRDefault="00D44E4A">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RE-MODEL (kelio sąnarys)</w:t>
            </w:r>
          </w:p>
        </w:tc>
      </w:tr>
      <w:tr w:rsidR="00F22FBD" w14:paraId="03488845" w14:textId="77777777">
        <w:trPr>
          <w:trHeight w:val="251"/>
        </w:trPr>
        <w:tc>
          <w:tcPr>
            <w:tcW w:w="2167" w:type="dxa"/>
            <w:shd w:val="clear" w:color="auto" w:fill="auto"/>
          </w:tcPr>
          <w:p w14:paraId="74DB22AD" w14:textId="77777777" w:rsidR="00F22FBD" w:rsidRDefault="00D44E4A">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N</w:t>
            </w:r>
          </w:p>
        </w:tc>
        <w:tc>
          <w:tcPr>
            <w:tcW w:w="2237" w:type="dxa"/>
            <w:shd w:val="clear" w:color="auto" w:fill="auto"/>
          </w:tcPr>
          <w:p w14:paraId="15CE4FBF"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506</w:t>
            </w:r>
          </w:p>
        </w:tc>
        <w:tc>
          <w:tcPr>
            <w:tcW w:w="2400" w:type="dxa"/>
            <w:shd w:val="clear" w:color="auto" w:fill="auto"/>
          </w:tcPr>
          <w:p w14:paraId="26D60078"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527</w:t>
            </w:r>
          </w:p>
        </w:tc>
        <w:tc>
          <w:tcPr>
            <w:tcW w:w="2268" w:type="dxa"/>
            <w:shd w:val="clear" w:color="auto" w:fill="auto"/>
          </w:tcPr>
          <w:p w14:paraId="7ADCCA44"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511</w:t>
            </w:r>
          </w:p>
        </w:tc>
      </w:tr>
      <w:tr w:rsidR="00F22FBD" w14:paraId="117CCC9E" w14:textId="77777777">
        <w:trPr>
          <w:trHeight w:val="253"/>
        </w:trPr>
        <w:tc>
          <w:tcPr>
            <w:tcW w:w="2167" w:type="dxa"/>
            <w:shd w:val="clear" w:color="auto" w:fill="auto"/>
          </w:tcPr>
          <w:p w14:paraId="10A07265" w14:textId="77777777" w:rsidR="00F22FBD" w:rsidRDefault="00D44E4A">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Reiškinių dažnis (%)</w:t>
            </w:r>
          </w:p>
        </w:tc>
        <w:tc>
          <w:tcPr>
            <w:tcW w:w="2237" w:type="dxa"/>
            <w:shd w:val="clear" w:color="auto" w:fill="auto"/>
          </w:tcPr>
          <w:p w14:paraId="7651506D"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 (2,6)</w:t>
            </w:r>
          </w:p>
        </w:tc>
        <w:tc>
          <w:tcPr>
            <w:tcW w:w="2400" w:type="dxa"/>
            <w:shd w:val="clear" w:color="auto" w:fill="auto"/>
          </w:tcPr>
          <w:p w14:paraId="28875E3C"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20 (3,8)</w:t>
            </w:r>
          </w:p>
        </w:tc>
        <w:tc>
          <w:tcPr>
            <w:tcW w:w="2268" w:type="dxa"/>
            <w:shd w:val="clear" w:color="auto" w:fill="auto"/>
          </w:tcPr>
          <w:p w14:paraId="6C36E85B"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 (3,5)</w:t>
            </w:r>
          </w:p>
        </w:tc>
      </w:tr>
      <w:tr w:rsidR="00F22FBD" w14:paraId="73C173AF" w14:textId="77777777">
        <w:trPr>
          <w:trHeight w:val="506"/>
        </w:trPr>
        <w:tc>
          <w:tcPr>
            <w:tcW w:w="2167" w:type="dxa"/>
            <w:shd w:val="clear" w:color="auto" w:fill="auto"/>
          </w:tcPr>
          <w:p w14:paraId="7BC2900D" w14:textId="77777777" w:rsidR="00F22FBD" w:rsidRDefault="00D44E4A">
            <w:pPr>
              <w:widowControl w:val="0"/>
              <w:kinsoku w:val="0"/>
              <w:overflowPunct w:val="0"/>
              <w:autoSpaceDE w:val="0"/>
              <w:autoSpaceDN w:val="0"/>
              <w:adjustRightInd w:val="0"/>
              <w:spacing w:line="240" w:lineRule="exact"/>
              <w:ind w:left="69"/>
              <w:rPr>
                <w:color w:val="000000"/>
                <w:szCs w:val="22"/>
                <w:lang w:val="sl-SI" w:eastAsia="sl-SI"/>
              </w:rPr>
            </w:pPr>
            <w:r>
              <w:t>Rizikos santykis, palyginti su enoksaparinu</w:t>
            </w:r>
          </w:p>
        </w:tc>
        <w:tc>
          <w:tcPr>
            <w:tcW w:w="2237" w:type="dxa"/>
            <w:shd w:val="clear" w:color="auto" w:fill="auto"/>
          </w:tcPr>
          <w:p w14:paraId="721D4DF0" w14:textId="77777777" w:rsidR="00F22FBD" w:rsidRDefault="00D44E4A">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0,73</w:t>
            </w:r>
          </w:p>
        </w:tc>
        <w:tc>
          <w:tcPr>
            <w:tcW w:w="2400" w:type="dxa"/>
            <w:shd w:val="clear" w:color="auto" w:fill="auto"/>
          </w:tcPr>
          <w:p w14:paraId="6943DCE8" w14:textId="77777777" w:rsidR="00F22FBD" w:rsidRDefault="00D44E4A">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1,08</w:t>
            </w:r>
          </w:p>
        </w:tc>
        <w:tc>
          <w:tcPr>
            <w:tcW w:w="2268" w:type="dxa"/>
            <w:shd w:val="clear" w:color="auto" w:fill="auto"/>
          </w:tcPr>
          <w:p w14:paraId="6B7E9FB3" w14:textId="77777777" w:rsidR="00F22FBD" w:rsidRDefault="00F22FBD">
            <w:pPr>
              <w:widowControl w:val="0"/>
              <w:kinsoku w:val="0"/>
              <w:overflowPunct w:val="0"/>
              <w:autoSpaceDE w:val="0"/>
              <w:autoSpaceDN w:val="0"/>
              <w:adjustRightInd w:val="0"/>
              <w:jc w:val="center"/>
              <w:rPr>
                <w:color w:val="000000"/>
                <w:szCs w:val="22"/>
                <w:lang w:val="sl-SI" w:eastAsia="sl-SI"/>
              </w:rPr>
            </w:pPr>
          </w:p>
        </w:tc>
      </w:tr>
      <w:tr w:rsidR="00F22FBD" w14:paraId="7968E0B2" w14:textId="77777777">
        <w:trPr>
          <w:trHeight w:val="251"/>
        </w:trPr>
        <w:tc>
          <w:tcPr>
            <w:tcW w:w="2167" w:type="dxa"/>
            <w:shd w:val="clear" w:color="auto" w:fill="auto"/>
          </w:tcPr>
          <w:p w14:paraId="5F8002DF" w14:textId="77777777" w:rsidR="00F22FBD" w:rsidRDefault="00D44E4A">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 PI</w:t>
            </w:r>
          </w:p>
        </w:tc>
        <w:tc>
          <w:tcPr>
            <w:tcW w:w="2237" w:type="dxa"/>
            <w:shd w:val="clear" w:color="auto" w:fill="auto"/>
          </w:tcPr>
          <w:p w14:paraId="4CFB206B"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0,36; 1,47</w:t>
            </w:r>
          </w:p>
        </w:tc>
        <w:tc>
          <w:tcPr>
            <w:tcW w:w="2400" w:type="dxa"/>
            <w:shd w:val="clear" w:color="auto" w:fill="auto"/>
          </w:tcPr>
          <w:p w14:paraId="591788EE"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0,58; 2,01</w:t>
            </w:r>
          </w:p>
        </w:tc>
        <w:tc>
          <w:tcPr>
            <w:tcW w:w="2268" w:type="dxa"/>
            <w:shd w:val="clear" w:color="auto" w:fill="auto"/>
          </w:tcPr>
          <w:p w14:paraId="76ECE70D" w14:textId="77777777" w:rsidR="00F22FBD" w:rsidRDefault="00F22FBD">
            <w:pPr>
              <w:widowControl w:val="0"/>
              <w:kinsoku w:val="0"/>
              <w:overflowPunct w:val="0"/>
              <w:autoSpaceDE w:val="0"/>
              <w:autoSpaceDN w:val="0"/>
              <w:adjustRightInd w:val="0"/>
              <w:jc w:val="center"/>
              <w:rPr>
                <w:color w:val="000000"/>
                <w:szCs w:val="22"/>
                <w:lang w:val="sl-SI" w:eastAsia="sl-SI"/>
              </w:rPr>
            </w:pPr>
          </w:p>
        </w:tc>
      </w:tr>
    </w:tbl>
    <w:p w14:paraId="4780F9FC" w14:textId="77777777" w:rsidR="00F22FBD" w:rsidRDefault="00F22FBD">
      <w:pPr>
        <w:widowControl w:val="0"/>
        <w:autoSpaceDE w:val="0"/>
        <w:autoSpaceDN w:val="0"/>
      </w:pPr>
    </w:p>
    <w:p w14:paraId="3A0312FC" w14:textId="77777777" w:rsidR="00F22FBD" w:rsidRDefault="00D44E4A">
      <w:pPr>
        <w:widowControl w:val="0"/>
        <w:kinsoku w:val="0"/>
        <w:overflowPunct w:val="0"/>
        <w:autoSpaceDE w:val="0"/>
        <w:autoSpaceDN w:val="0"/>
        <w:adjustRightInd w:val="0"/>
        <w:ind w:left="993" w:hanging="993"/>
        <w:rPr>
          <w:b/>
          <w:bCs/>
        </w:rPr>
      </w:pPr>
      <w:r>
        <w:rPr>
          <w:b/>
          <w:bCs/>
          <w:color w:val="000000"/>
          <w:szCs w:val="22"/>
          <w:lang w:val="sl-SI" w:eastAsia="sl-SI"/>
        </w:rPr>
        <w:t>14 lentelė:</w:t>
      </w:r>
      <w:r>
        <w:rPr>
          <w:b/>
          <w:bCs/>
          <w:color w:val="000000"/>
          <w:szCs w:val="22"/>
          <w:lang w:val="sl-SI" w:eastAsia="sl-SI"/>
        </w:rPr>
        <w:tab/>
      </w:r>
      <w:r>
        <w:rPr>
          <w:b/>
          <w:bCs/>
        </w:rPr>
        <w:t>Bendros VTE ir mirštamumo nuo visų priežasčių dažnio RE-NOVATE ir RE-MODEL ortopedinės operacijos tyrimų metu analizės duomenys</w:t>
      </w:r>
    </w:p>
    <w:p w14:paraId="22FC309B" w14:textId="77777777" w:rsidR="00F22FBD" w:rsidRDefault="00F22FBD">
      <w:pPr>
        <w:widowControl w:val="0"/>
        <w:kinsoku w:val="0"/>
        <w:overflowPunct w:val="0"/>
        <w:autoSpaceDE w:val="0"/>
        <w:autoSpaceDN w:val="0"/>
        <w:adjustRightInd w:val="0"/>
        <w:ind w:left="993" w:hanging="993"/>
        <w:rPr>
          <w:b/>
          <w:bCs/>
          <w:color w:val="000000"/>
          <w:szCs w:val="22"/>
          <w:lang w:val="sl-SI" w:eastAsia="sl-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55"/>
        <w:gridCol w:w="2251"/>
        <w:gridCol w:w="2381"/>
        <w:gridCol w:w="2285"/>
      </w:tblGrid>
      <w:tr w:rsidR="00F22FBD" w14:paraId="73DAA3E9" w14:textId="77777777">
        <w:trPr>
          <w:trHeight w:val="506"/>
        </w:trPr>
        <w:tc>
          <w:tcPr>
            <w:tcW w:w="2155" w:type="dxa"/>
            <w:shd w:val="clear" w:color="auto" w:fill="auto"/>
          </w:tcPr>
          <w:p w14:paraId="3FE162BB" w14:textId="77777777" w:rsidR="00F22FBD" w:rsidRDefault="00D44E4A">
            <w:pPr>
              <w:widowControl w:val="0"/>
              <w:kinsoku w:val="0"/>
              <w:overflowPunct w:val="0"/>
              <w:autoSpaceDE w:val="0"/>
              <w:autoSpaceDN w:val="0"/>
              <w:adjustRightInd w:val="0"/>
              <w:spacing w:line="247" w:lineRule="exact"/>
              <w:ind w:left="105"/>
              <w:rPr>
                <w:color w:val="000000"/>
                <w:szCs w:val="22"/>
                <w:lang w:val="sl-SI" w:eastAsia="sl-SI"/>
              </w:rPr>
            </w:pPr>
            <w:r>
              <w:rPr>
                <w:color w:val="000000"/>
                <w:szCs w:val="22"/>
                <w:lang w:val="sl-SI" w:eastAsia="sl-SI"/>
              </w:rPr>
              <w:t>Tyrimas</w:t>
            </w:r>
          </w:p>
        </w:tc>
        <w:tc>
          <w:tcPr>
            <w:tcW w:w="2251" w:type="dxa"/>
            <w:shd w:val="clear" w:color="auto" w:fill="auto"/>
          </w:tcPr>
          <w:p w14:paraId="44957128" w14:textId="77777777" w:rsidR="00F22FBD" w:rsidRDefault="00D44E4A">
            <w:pPr>
              <w:widowControl w:val="0"/>
              <w:kinsoku w:val="0"/>
              <w:overflowPunct w:val="0"/>
              <w:autoSpaceDE w:val="0"/>
              <w:autoSpaceDN w:val="0"/>
              <w:adjustRightInd w:val="0"/>
              <w:spacing w:line="247" w:lineRule="exact"/>
              <w:ind w:left="105"/>
              <w:rPr>
                <w:color w:val="000000"/>
                <w:szCs w:val="22"/>
                <w:lang w:val="sl-SI" w:eastAsia="sl-SI"/>
              </w:rPr>
            </w:pPr>
            <w:r>
              <w:rPr>
                <w:color w:val="000000"/>
                <w:szCs w:val="22"/>
                <w:lang w:val="sl-SI" w:eastAsia="sl-SI"/>
              </w:rPr>
              <w:t>Dabigatrano eteksilatas 220 mg</w:t>
            </w:r>
          </w:p>
        </w:tc>
        <w:tc>
          <w:tcPr>
            <w:tcW w:w="2381" w:type="dxa"/>
            <w:shd w:val="clear" w:color="auto" w:fill="auto"/>
          </w:tcPr>
          <w:p w14:paraId="3422E17A" w14:textId="77777777" w:rsidR="00F22FBD" w:rsidRDefault="00D44E4A">
            <w:pPr>
              <w:widowControl w:val="0"/>
              <w:kinsoku w:val="0"/>
              <w:overflowPunct w:val="0"/>
              <w:autoSpaceDE w:val="0"/>
              <w:autoSpaceDN w:val="0"/>
              <w:adjustRightInd w:val="0"/>
              <w:spacing w:line="247" w:lineRule="exact"/>
              <w:ind w:left="108"/>
              <w:rPr>
                <w:color w:val="000000"/>
                <w:szCs w:val="22"/>
                <w:lang w:val="sl-SI" w:eastAsia="sl-SI"/>
              </w:rPr>
            </w:pPr>
            <w:r>
              <w:rPr>
                <w:color w:val="000000"/>
                <w:szCs w:val="22"/>
                <w:lang w:val="sl-SI" w:eastAsia="sl-SI"/>
              </w:rPr>
              <w:t>Dabigatrano eteksilatas 150 mg</w:t>
            </w:r>
          </w:p>
        </w:tc>
        <w:tc>
          <w:tcPr>
            <w:tcW w:w="2285" w:type="dxa"/>
            <w:shd w:val="clear" w:color="auto" w:fill="auto"/>
          </w:tcPr>
          <w:p w14:paraId="3930C5E9" w14:textId="77777777" w:rsidR="00F22FBD" w:rsidRDefault="00D44E4A">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Enoksaparinas</w:t>
            </w:r>
          </w:p>
          <w:p w14:paraId="1F254527" w14:textId="77777777" w:rsidR="00F22FBD" w:rsidRDefault="00D44E4A">
            <w:pPr>
              <w:widowControl w:val="0"/>
              <w:kinsoku w:val="0"/>
              <w:overflowPunct w:val="0"/>
              <w:autoSpaceDE w:val="0"/>
              <w:autoSpaceDN w:val="0"/>
              <w:adjustRightInd w:val="0"/>
              <w:spacing w:before="1" w:line="238" w:lineRule="exact"/>
              <w:jc w:val="center"/>
              <w:rPr>
                <w:color w:val="000000"/>
                <w:szCs w:val="22"/>
                <w:lang w:val="sl-SI" w:eastAsia="sl-SI"/>
              </w:rPr>
            </w:pPr>
            <w:r>
              <w:rPr>
                <w:color w:val="000000"/>
                <w:szCs w:val="22"/>
                <w:lang w:val="sl-SI" w:eastAsia="sl-SI"/>
              </w:rPr>
              <w:t>40 mg</w:t>
            </w:r>
          </w:p>
        </w:tc>
      </w:tr>
      <w:tr w:rsidR="00F22FBD" w14:paraId="12E87AE6" w14:textId="77777777">
        <w:trPr>
          <w:trHeight w:val="253"/>
        </w:trPr>
        <w:tc>
          <w:tcPr>
            <w:tcW w:w="9072" w:type="dxa"/>
            <w:gridSpan w:val="4"/>
            <w:shd w:val="clear" w:color="auto" w:fill="auto"/>
          </w:tcPr>
          <w:p w14:paraId="25CF0B12"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RE-NOVATE (klubo sąnarys)</w:t>
            </w:r>
          </w:p>
        </w:tc>
      </w:tr>
      <w:tr w:rsidR="00F22FBD" w14:paraId="3856043A" w14:textId="77777777">
        <w:trPr>
          <w:trHeight w:val="251"/>
        </w:trPr>
        <w:tc>
          <w:tcPr>
            <w:tcW w:w="2155" w:type="dxa"/>
            <w:shd w:val="clear" w:color="auto" w:fill="auto"/>
          </w:tcPr>
          <w:p w14:paraId="7BBF765C" w14:textId="77777777" w:rsidR="00F22FBD" w:rsidRDefault="00D44E4A">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N</w:t>
            </w:r>
          </w:p>
        </w:tc>
        <w:tc>
          <w:tcPr>
            <w:tcW w:w="2251" w:type="dxa"/>
            <w:shd w:val="clear" w:color="auto" w:fill="auto"/>
          </w:tcPr>
          <w:p w14:paraId="7B2C9916"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880</w:t>
            </w:r>
          </w:p>
        </w:tc>
        <w:tc>
          <w:tcPr>
            <w:tcW w:w="2381" w:type="dxa"/>
            <w:shd w:val="clear" w:color="auto" w:fill="auto"/>
          </w:tcPr>
          <w:p w14:paraId="78F9CFF5"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874</w:t>
            </w:r>
          </w:p>
        </w:tc>
        <w:tc>
          <w:tcPr>
            <w:tcW w:w="2285" w:type="dxa"/>
            <w:shd w:val="clear" w:color="auto" w:fill="auto"/>
          </w:tcPr>
          <w:p w14:paraId="22ABEAA8"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897</w:t>
            </w:r>
          </w:p>
        </w:tc>
      </w:tr>
      <w:tr w:rsidR="00F22FBD" w14:paraId="5153BB41" w14:textId="77777777">
        <w:trPr>
          <w:trHeight w:val="253"/>
        </w:trPr>
        <w:tc>
          <w:tcPr>
            <w:tcW w:w="2155" w:type="dxa"/>
            <w:shd w:val="clear" w:color="auto" w:fill="auto"/>
          </w:tcPr>
          <w:p w14:paraId="56ECECB3"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Reiškinių dažnis (%)</w:t>
            </w:r>
          </w:p>
        </w:tc>
        <w:tc>
          <w:tcPr>
            <w:tcW w:w="2251" w:type="dxa"/>
            <w:shd w:val="clear" w:color="auto" w:fill="auto"/>
          </w:tcPr>
          <w:p w14:paraId="5A4181BE"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53 (6,0)</w:t>
            </w:r>
          </w:p>
        </w:tc>
        <w:tc>
          <w:tcPr>
            <w:tcW w:w="2381" w:type="dxa"/>
            <w:shd w:val="clear" w:color="auto" w:fill="auto"/>
          </w:tcPr>
          <w:p w14:paraId="1E1B3363"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75 (8,6)</w:t>
            </w:r>
          </w:p>
        </w:tc>
        <w:tc>
          <w:tcPr>
            <w:tcW w:w="2285" w:type="dxa"/>
            <w:shd w:val="clear" w:color="auto" w:fill="auto"/>
          </w:tcPr>
          <w:p w14:paraId="148F1CE2"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60 (6,7)</w:t>
            </w:r>
          </w:p>
        </w:tc>
      </w:tr>
      <w:tr w:rsidR="00F22FBD" w14:paraId="5153ECCA" w14:textId="77777777">
        <w:trPr>
          <w:trHeight w:val="506"/>
        </w:trPr>
        <w:tc>
          <w:tcPr>
            <w:tcW w:w="2155" w:type="dxa"/>
            <w:shd w:val="clear" w:color="auto" w:fill="auto"/>
          </w:tcPr>
          <w:p w14:paraId="14438C73" w14:textId="77777777" w:rsidR="00F22FBD" w:rsidRDefault="00D44E4A">
            <w:pPr>
              <w:widowControl w:val="0"/>
              <w:kinsoku w:val="0"/>
              <w:overflowPunct w:val="0"/>
              <w:autoSpaceDE w:val="0"/>
              <w:autoSpaceDN w:val="0"/>
              <w:adjustRightInd w:val="0"/>
              <w:spacing w:line="240" w:lineRule="exact"/>
              <w:ind w:left="105"/>
              <w:rPr>
                <w:color w:val="000000"/>
                <w:szCs w:val="22"/>
                <w:lang w:val="sl-SI" w:eastAsia="sl-SI"/>
              </w:rPr>
            </w:pPr>
            <w:r>
              <w:t>Rizikos santykis, palyginti su enoksaparinu</w:t>
            </w:r>
          </w:p>
        </w:tc>
        <w:tc>
          <w:tcPr>
            <w:tcW w:w="2251" w:type="dxa"/>
            <w:shd w:val="clear" w:color="auto" w:fill="auto"/>
          </w:tcPr>
          <w:p w14:paraId="7E6FD777" w14:textId="77777777" w:rsidR="00F22FBD" w:rsidRDefault="00D44E4A">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0,9</w:t>
            </w:r>
          </w:p>
        </w:tc>
        <w:tc>
          <w:tcPr>
            <w:tcW w:w="2381" w:type="dxa"/>
            <w:shd w:val="clear" w:color="auto" w:fill="auto"/>
          </w:tcPr>
          <w:p w14:paraId="23A9D935" w14:textId="77777777" w:rsidR="00F22FBD" w:rsidRDefault="00D44E4A">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1,28</w:t>
            </w:r>
          </w:p>
        </w:tc>
        <w:tc>
          <w:tcPr>
            <w:tcW w:w="2285" w:type="dxa"/>
            <w:shd w:val="clear" w:color="auto" w:fill="auto"/>
          </w:tcPr>
          <w:p w14:paraId="45FE8C29" w14:textId="77777777" w:rsidR="00F22FBD" w:rsidRDefault="00F22FBD">
            <w:pPr>
              <w:widowControl w:val="0"/>
              <w:kinsoku w:val="0"/>
              <w:overflowPunct w:val="0"/>
              <w:autoSpaceDE w:val="0"/>
              <w:autoSpaceDN w:val="0"/>
              <w:adjustRightInd w:val="0"/>
              <w:jc w:val="center"/>
              <w:rPr>
                <w:color w:val="000000"/>
                <w:szCs w:val="22"/>
                <w:lang w:val="sl-SI" w:eastAsia="sl-SI"/>
              </w:rPr>
            </w:pPr>
          </w:p>
        </w:tc>
      </w:tr>
      <w:tr w:rsidR="00F22FBD" w14:paraId="4CAC8181" w14:textId="77777777">
        <w:trPr>
          <w:trHeight w:val="251"/>
        </w:trPr>
        <w:tc>
          <w:tcPr>
            <w:tcW w:w="2155" w:type="dxa"/>
            <w:shd w:val="clear" w:color="auto" w:fill="auto"/>
          </w:tcPr>
          <w:p w14:paraId="1BAFF0CE" w14:textId="77777777" w:rsidR="00F22FBD" w:rsidRDefault="00D44E4A">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95 % PI</w:t>
            </w:r>
          </w:p>
        </w:tc>
        <w:tc>
          <w:tcPr>
            <w:tcW w:w="2251" w:type="dxa"/>
            <w:shd w:val="clear" w:color="auto" w:fill="auto"/>
          </w:tcPr>
          <w:p w14:paraId="47B5C622"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(0,63; 1,29)</w:t>
            </w:r>
          </w:p>
        </w:tc>
        <w:tc>
          <w:tcPr>
            <w:tcW w:w="2381" w:type="dxa"/>
            <w:shd w:val="clear" w:color="auto" w:fill="auto"/>
          </w:tcPr>
          <w:p w14:paraId="237EE224"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(0,93; 1,78)</w:t>
            </w:r>
          </w:p>
        </w:tc>
        <w:tc>
          <w:tcPr>
            <w:tcW w:w="2285" w:type="dxa"/>
            <w:shd w:val="clear" w:color="auto" w:fill="auto"/>
          </w:tcPr>
          <w:p w14:paraId="55B6461C" w14:textId="77777777" w:rsidR="00F22FBD" w:rsidRDefault="00F22FBD">
            <w:pPr>
              <w:widowControl w:val="0"/>
              <w:kinsoku w:val="0"/>
              <w:overflowPunct w:val="0"/>
              <w:autoSpaceDE w:val="0"/>
              <w:autoSpaceDN w:val="0"/>
              <w:adjustRightInd w:val="0"/>
              <w:jc w:val="center"/>
              <w:rPr>
                <w:color w:val="000000"/>
                <w:szCs w:val="22"/>
                <w:lang w:val="sl-SI" w:eastAsia="sl-SI"/>
              </w:rPr>
            </w:pPr>
          </w:p>
        </w:tc>
      </w:tr>
      <w:tr w:rsidR="00F22FBD" w14:paraId="0A12ED4D" w14:textId="77777777">
        <w:trPr>
          <w:trHeight w:val="253"/>
        </w:trPr>
        <w:tc>
          <w:tcPr>
            <w:tcW w:w="9072" w:type="dxa"/>
            <w:gridSpan w:val="4"/>
            <w:shd w:val="clear" w:color="auto" w:fill="auto"/>
          </w:tcPr>
          <w:p w14:paraId="10F109D5"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RE-MODEL (kelio sąnarys)</w:t>
            </w:r>
          </w:p>
        </w:tc>
      </w:tr>
      <w:tr w:rsidR="00F22FBD" w14:paraId="2C5CA90A" w14:textId="77777777">
        <w:trPr>
          <w:trHeight w:val="251"/>
        </w:trPr>
        <w:tc>
          <w:tcPr>
            <w:tcW w:w="2155" w:type="dxa"/>
            <w:shd w:val="clear" w:color="auto" w:fill="auto"/>
          </w:tcPr>
          <w:p w14:paraId="132649F0" w14:textId="77777777" w:rsidR="00F22FBD" w:rsidRDefault="00D44E4A">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N</w:t>
            </w:r>
          </w:p>
        </w:tc>
        <w:tc>
          <w:tcPr>
            <w:tcW w:w="2251" w:type="dxa"/>
            <w:shd w:val="clear" w:color="auto" w:fill="auto"/>
          </w:tcPr>
          <w:p w14:paraId="3EEF410C"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503</w:t>
            </w:r>
          </w:p>
        </w:tc>
        <w:tc>
          <w:tcPr>
            <w:tcW w:w="2381" w:type="dxa"/>
            <w:shd w:val="clear" w:color="auto" w:fill="auto"/>
          </w:tcPr>
          <w:p w14:paraId="7B9F406C"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526</w:t>
            </w:r>
          </w:p>
        </w:tc>
        <w:tc>
          <w:tcPr>
            <w:tcW w:w="2285" w:type="dxa"/>
            <w:shd w:val="clear" w:color="auto" w:fill="auto"/>
          </w:tcPr>
          <w:p w14:paraId="277771FC" w14:textId="77777777" w:rsidR="00F22FBD" w:rsidRDefault="00D44E4A">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512</w:t>
            </w:r>
          </w:p>
        </w:tc>
      </w:tr>
      <w:tr w:rsidR="00F22FBD" w14:paraId="45A61C62" w14:textId="77777777">
        <w:trPr>
          <w:trHeight w:val="254"/>
        </w:trPr>
        <w:tc>
          <w:tcPr>
            <w:tcW w:w="2155" w:type="dxa"/>
            <w:shd w:val="clear" w:color="auto" w:fill="auto"/>
          </w:tcPr>
          <w:p w14:paraId="79CDABF6"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Reiškinių dažnis (%)</w:t>
            </w:r>
          </w:p>
        </w:tc>
        <w:tc>
          <w:tcPr>
            <w:tcW w:w="2251" w:type="dxa"/>
            <w:shd w:val="clear" w:color="auto" w:fill="auto"/>
          </w:tcPr>
          <w:p w14:paraId="624AF992"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183 (36,4)</w:t>
            </w:r>
          </w:p>
        </w:tc>
        <w:tc>
          <w:tcPr>
            <w:tcW w:w="2381" w:type="dxa"/>
            <w:shd w:val="clear" w:color="auto" w:fill="auto"/>
          </w:tcPr>
          <w:p w14:paraId="715543F5"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213 (40,5)</w:t>
            </w:r>
          </w:p>
        </w:tc>
        <w:tc>
          <w:tcPr>
            <w:tcW w:w="2285" w:type="dxa"/>
            <w:shd w:val="clear" w:color="auto" w:fill="auto"/>
          </w:tcPr>
          <w:p w14:paraId="6F1CF9C0"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193 (37,7)</w:t>
            </w:r>
          </w:p>
        </w:tc>
      </w:tr>
      <w:tr w:rsidR="00F22FBD" w14:paraId="1509EE70" w14:textId="77777777">
        <w:trPr>
          <w:trHeight w:val="505"/>
        </w:trPr>
        <w:tc>
          <w:tcPr>
            <w:tcW w:w="2155" w:type="dxa"/>
            <w:shd w:val="clear" w:color="auto" w:fill="auto"/>
          </w:tcPr>
          <w:p w14:paraId="109BA928" w14:textId="77777777" w:rsidR="00F22FBD" w:rsidRDefault="00D44E4A">
            <w:pPr>
              <w:widowControl w:val="0"/>
              <w:kinsoku w:val="0"/>
              <w:overflowPunct w:val="0"/>
              <w:autoSpaceDE w:val="0"/>
              <w:autoSpaceDN w:val="0"/>
              <w:adjustRightInd w:val="0"/>
              <w:spacing w:before="1" w:line="238" w:lineRule="exact"/>
              <w:ind w:left="105"/>
              <w:rPr>
                <w:color w:val="000000"/>
                <w:szCs w:val="22"/>
                <w:lang w:val="sl-SI" w:eastAsia="sl-SI"/>
              </w:rPr>
            </w:pPr>
            <w:r>
              <w:lastRenderedPageBreak/>
              <w:t>Rizikos santykis, palyginti su enoksaparinu</w:t>
            </w:r>
          </w:p>
        </w:tc>
        <w:tc>
          <w:tcPr>
            <w:tcW w:w="2251" w:type="dxa"/>
            <w:shd w:val="clear" w:color="auto" w:fill="auto"/>
          </w:tcPr>
          <w:p w14:paraId="3EB516EF" w14:textId="77777777" w:rsidR="00F22FBD" w:rsidRDefault="00D44E4A">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0,97</w:t>
            </w:r>
          </w:p>
        </w:tc>
        <w:tc>
          <w:tcPr>
            <w:tcW w:w="2381" w:type="dxa"/>
            <w:shd w:val="clear" w:color="auto" w:fill="auto"/>
          </w:tcPr>
          <w:p w14:paraId="443D9987" w14:textId="77777777" w:rsidR="00F22FBD" w:rsidRDefault="00D44E4A">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1,07</w:t>
            </w:r>
          </w:p>
        </w:tc>
        <w:tc>
          <w:tcPr>
            <w:tcW w:w="2285" w:type="dxa"/>
            <w:shd w:val="clear" w:color="auto" w:fill="auto"/>
          </w:tcPr>
          <w:p w14:paraId="0A37AD8F" w14:textId="77777777" w:rsidR="00F22FBD" w:rsidRDefault="00F22FBD">
            <w:pPr>
              <w:widowControl w:val="0"/>
              <w:kinsoku w:val="0"/>
              <w:overflowPunct w:val="0"/>
              <w:autoSpaceDE w:val="0"/>
              <w:autoSpaceDN w:val="0"/>
              <w:adjustRightInd w:val="0"/>
              <w:jc w:val="center"/>
              <w:rPr>
                <w:color w:val="000000"/>
                <w:szCs w:val="22"/>
                <w:lang w:val="sl-SI" w:eastAsia="sl-SI"/>
              </w:rPr>
            </w:pPr>
          </w:p>
        </w:tc>
      </w:tr>
      <w:tr w:rsidR="00F22FBD" w14:paraId="4EAD06F5" w14:textId="77777777">
        <w:trPr>
          <w:trHeight w:val="254"/>
        </w:trPr>
        <w:tc>
          <w:tcPr>
            <w:tcW w:w="2155" w:type="dxa"/>
            <w:shd w:val="clear" w:color="auto" w:fill="auto"/>
          </w:tcPr>
          <w:p w14:paraId="390D0DF6" w14:textId="77777777" w:rsidR="00F22FBD" w:rsidRDefault="00D44E4A">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95 % PI</w:t>
            </w:r>
          </w:p>
        </w:tc>
        <w:tc>
          <w:tcPr>
            <w:tcW w:w="2251" w:type="dxa"/>
            <w:shd w:val="clear" w:color="auto" w:fill="auto"/>
          </w:tcPr>
          <w:p w14:paraId="44DD76F3"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(0,82; 1,13)</w:t>
            </w:r>
          </w:p>
        </w:tc>
        <w:tc>
          <w:tcPr>
            <w:tcW w:w="2381" w:type="dxa"/>
            <w:shd w:val="clear" w:color="auto" w:fill="auto"/>
          </w:tcPr>
          <w:p w14:paraId="7F292748"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(0,92; 1,25)</w:t>
            </w:r>
          </w:p>
        </w:tc>
        <w:tc>
          <w:tcPr>
            <w:tcW w:w="2285" w:type="dxa"/>
            <w:shd w:val="clear" w:color="auto" w:fill="auto"/>
          </w:tcPr>
          <w:p w14:paraId="68D501A5" w14:textId="77777777" w:rsidR="00F22FBD" w:rsidRDefault="00F22FBD">
            <w:pPr>
              <w:widowControl w:val="0"/>
              <w:kinsoku w:val="0"/>
              <w:overflowPunct w:val="0"/>
              <w:autoSpaceDE w:val="0"/>
              <w:autoSpaceDN w:val="0"/>
              <w:adjustRightInd w:val="0"/>
              <w:jc w:val="center"/>
              <w:rPr>
                <w:color w:val="000000"/>
                <w:szCs w:val="22"/>
                <w:lang w:val="sl-SI" w:eastAsia="sl-SI"/>
              </w:rPr>
            </w:pPr>
          </w:p>
        </w:tc>
      </w:tr>
    </w:tbl>
    <w:p w14:paraId="5EF0D40C" w14:textId="77777777" w:rsidR="00F22FBD" w:rsidRDefault="00F22FBD">
      <w:pPr>
        <w:widowControl w:val="0"/>
        <w:autoSpaceDE w:val="0"/>
        <w:autoSpaceDN w:val="0"/>
      </w:pPr>
    </w:p>
    <w:p w14:paraId="5803B18A" w14:textId="77777777" w:rsidR="00F22FBD" w:rsidRDefault="00D44E4A">
      <w:pPr>
        <w:widowControl w:val="0"/>
        <w:kinsoku w:val="0"/>
        <w:overflowPunct w:val="0"/>
        <w:autoSpaceDE w:val="0"/>
        <w:autoSpaceDN w:val="0"/>
        <w:adjustRightInd w:val="0"/>
        <w:ind w:left="993" w:hanging="993"/>
        <w:rPr>
          <w:b/>
          <w:bCs/>
        </w:rPr>
      </w:pPr>
      <w:r>
        <w:rPr>
          <w:b/>
          <w:bCs/>
          <w:color w:val="000000"/>
          <w:szCs w:val="22"/>
          <w:lang w:val="sl-SI" w:eastAsia="sl-SI"/>
        </w:rPr>
        <w:t>15 lentelė:</w:t>
      </w:r>
      <w:r>
        <w:rPr>
          <w:b/>
          <w:bCs/>
          <w:color w:val="000000"/>
          <w:szCs w:val="22"/>
          <w:lang w:val="sl-SI" w:eastAsia="sl-SI"/>
        </w:rPr>
        <w:tab/>
      </w:r>
      <w:r>
        <w:rPr>
          <w:b/>
          <w:bCs/>
        </w:rPr>
        <w:t>Didžiojo kraujavimo reiškiniai, pasireiškę RE-MODEL ir RE-NOVATE tyrimų metu</w:t>
      </w:r>
    </w:p>
    <w:p w14:paraId="20BEEB87" w14:textId="77777777" w:rsidR="00F22FBD" w:rsidRDefault="00F22FBD">
      <w:pPr>
        <w:widowControl w:val="0"/>
        <w:kinsoku w:val="0"/>
        <w:overflowPunct w:val="0"/>
        <w:autoSpaceDE w:val="0"/>
        <w:autoSpaceDN w:val="0"/>
        <w:adjustRightInd w:val="0"/>
        <w:ind w:left="993" w:hanging="993"/>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36"/>
        <w:gridCol w:w="2268"/>
        <w:gridCol w:w="2400"/>
        <w:gridCol w:w="2268"/>
      </w:tblGrid>
      <w:tr w:rsidR="00F22FBD" w14:paraId="3443130E" w14:textId="77777777">
        <w:trPr>
          <w:trHeight w:val="505"/>
        </w:trPr>
        <w:tc>
          <w:tcPr>
            <w:tcW w:w="2136" w:type="dxa"/>
            <w:shd w:val="clear" w:color="auto" w:fill="auto"/>
          </w:tcPr>
          <w:p w14:paraId="575E5F33" w14:textId="77777777" w:rsidR="00F22FBD" w:rsidRDefault="00D44E4A">
            <w:pPr>
              <w:widowControl w:val="0"/>
              <w:kinsoku w:val="0"/>
              <w:overflowPunct w:val="0"/>
              <w:autoSpaceDE w:val="0"/>
              <w:autoSpaceDN w:val="0"/>
              <w:adjustRightInd w:val="0"/>
              <w:spacing w:line="249" w:lineRule="exact"/>
              <w:ind w:left="69"/>
              <w:rPr>
                <w:color w:val="000000"/>
                <w:szCs w:val="22"/>
                <w:lang w:val="sl-SI" w:eastAsia="sl-SI"/>
              </w:rPr>
            </w:pPr>
            <w:r>
              <w:rPr>
                <w:color w:val="000000"/>
                <w:szCs w:val="22"/>
                <w:lang w:val="sl-SI" w:eastAsia="sl-SI"/>
              </w:rPr>
              <w:t>Tyrimas</w:t>
            </w:r>
          </w:p>
        </w:tc>
        <w:tc>
          <w:tcPr>
            <w:tcW w:w="2268" w:type="dxa"/>
            <w:shd w:val="clear" w:color="auto" w:fill="auto"/>
          </w:tcPr>
          <w:p w14:paraId="5A771A77" w14:textId="77777777" w:rsidR="00F22FBD" w:rsidRDefault="00D44E4A">
            <w:pPr>
              <w:widowControl w:val="0"/>
              <w:kinsoku w:val="0"/>
              <w:overflowPunct w:val="0"/>
              <w:autoSpaceDE w:val="0"/>
              <w:autoSpaceDN w:val="0"/>
              <w:adjustRightInd w:val="0"/>
              <w:spacing w:line="248" w:lineRule="exact"/>
              <w:ind w:left="69"/>
              <w:rPr>
                <w:color w:val="000000"/>
                <w:szCs w:val="22"/>
                <w:lang w:val="sl-SI" w:eastAsia="sl-SI"/>
              </w:rPr>
            </w:pPr>
            <w:r>
              <w:rPr>
                <w:color w:val="000000"/>
                <w:szCs w:val="22"/>
                <w:lang w:val="sl-SI" w:eastAsia="sl-SI"/>
              </w:rPr>
              <w:t>Dabigatrano eteksilatas 220 mg</w:t>
            </w:r>
          </w:p>
        </w:tc>
        <w:tc>
          <w:tcPr>
            <w:tcW w:w="2400" w:type="dxa"/>
            <w:shd w:val="clear" w:color="auto" w:fill="auto"/>
          </w:tcPr>
          <w:p w14:paraId="263F397F" w14:textId="77777777" w:rsidR="00F22FBD" w:rsidRDefault="00D44E4A">
            <w:pPr>
              <w:widowControl w:val="0"/>
              <w:kinsoku w:val="0"/>
              <w:overflowPunct w:val="0"/>
              <w:autoSpaceDE w:val="0"/>
              <w:autoSpaceDN w:val="0"/>
              <w:adjustRightInd w:val="0"/>
              <w:spacing w:line="248" w:lineRule="exact"/>
              <w:ind w:left="69"/>
              <w:rPr>
                <w:color w:val="000000"/>
                <w:szCs w:val="22"/>
                <w:lang w:val="sl-SI" w:eastAsia="sl-SI"/>
              </w:rPr>
            </w:pPr>
            <w:r>
              <w:rPr>
                <w:color w:val="000000"/>
                <w:szCs w:val="22"/>
                <w:lang w:val="sl-SI" w:eastAsia="sl-SI"/>
              </w:rPr>
              <w:t>Dabigatrano eteksilatas 150 mg</w:t>
            </w:r>
          </w:p>
        </w:tc>
        <w:tc>
          <w:tcPr>
            <w:tcW w:w="2268" w:type="dxa"/>
            <w:shd w:val="clear" w:color="auto" w:fill="auto"/>
          </w:tcPr>
          <w:p w14:paraId="628D970D" w14:textId="77777777" w:rsidR="00F22FBD" w:rsidRDefault="00D44E4A">
            <w:pPr>
              <w:widowControl w:val="0"/>
              <w:kinsoku w:val="0"/>
              <w:overflowPunct w:val="0"/>
              <w:autoSpaceDE w:val="0"/>
              <w:autoSpaceDN w:val="0"/>
              <w:adjustRightInd w:val="0"/>
              <w:spacing w:line="248" w:lineRule="exact"/>
              <w:jc w:val="center"/>
              <w:rPr>
                <w:color w:val="000000"/>
                <w:szCs w:val="22"/>
                <w:lang w:val="sl-SI" w:eastAsia="sl-SI"/>
              </w:rPr>
            </w:pPr>
            <w:r>
              <w:rPr>
                <w:color w:val="000000"/>
                <w:szCs w:val="22"/>
                <w:lang w:val="sl-SI" w:eastAsia="sl-SI"/>
              </w:rPr>
              <w:t>Enoksaparinas</w:t>
            </w:r>
          </w:p>
          <w:p w14:paraId="6CE8A65C" w14:textId="77777777" w:rsidR="00F22FBD" w:rsidRDefault="00D44E4A">
            <w:pPr>
              <w:widowControl w:val="0"/>
              <w:kinsoku w:val="0"/>
              <w:overflowPunct w:val="0"/>
              <w:autoSpaceDE w:val="0"/>
              <w:autoSpaceDN w:val="0"/>
              <w:adjustRightInd w:val="0"/>
              <w:spacing w:line="238" w:lineRule="exact"/>
              <w:jc w:val="center"/>
              <w:rPr>
                <w:color w:val="000000"/>
                <w:szCs w:val="22"/>
                <w:lang w:val="sl-SI" w:eastAsia="sl-SI"/>
              </w:rPr>
            </w:pPr>
            <w:r>
              <w:rPr>
                <w:color w:val="000000"/>
                <w:szCs w:val="22"/>
                <w:lang w:val="sl-SI" w:eastAsia="sl-SI"/>
              </w:rPr>
              <w:t>40 mg</w:t>
            </w:r>
          </w:p>
        </w:tc>
      </w:tr>
      <w:tr w:rsidR="00F22FBD" w14:paraId="6091BDE8" w14:textId="77777777">
        <w:trPr>
          <w:trHeight w:val="253"/>
        </w:trPr>
        <w:tc>
          <w:tcPr>
            <w:tcW w:w="9072" w:type="dxa"/>
            <w:gridSpan w:val="4"/>
            <w:shd w:val="clear" w:color="auto" w:fill="auto"/>
          </w:tcPr>
          <w:p w14:paraId="0C3ECED7" w14:textId="77777777" w:rsidR="00F22FBD" w:rsidRDefault="00D44E4A">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RE-NOVATE (klubo sąnarys)</w:t>
            </w:r>
          </w:p>
        </w:tc>
      </w:tr>
      <w:tr w:rsidR="00F22FBD" w14:paraId="5B2BA967" w14:textId="77777777">
        <w:trPr>
          <w:trHeight w:val="254"/>
        </w:trPr>
        <w:tc>
          <w:tcPr>
            <w:tcW w:w="2136" w:type="dxa"/>
            <w:shd w:val="clear" w:color="auto" w:fill="auto"/>
          </w:tcPr>
          <w:p w14:paraId="522F6923" w14:textId="77777777" w:rsidR="00F22FBD" w:rsidRDefault="00D44E4A">
            <w:pPr>
              <w:widowControl w:val="0"/>
              <w:kinsoku w:val="0"/>
              <w:overflowPunct w:val="0"/>
              <w:autoSpaceDE w:val="0"/>
              <w:autoSpaceDN w:val="0"/>
              <w:adjustRightInd w:val="0"/>
              <w:spacing w:line="234" w:lineRule="exact"/>
              <w:ind w:left="69"/>
              <w:rPr>
                <w:color w:val="000000"/>
                <w:szCs w:val="22"/>
                <w:lang w:val="sl-SI" w:eastAsia="sl-SI"/>
              </w:rPr>
            </w:pPr>
            <w:r>
              <w:t>Gydytų pacientų skaičius</w:t>
            </w:r>
            <w:r>
              <w:rPr>
                <w:color w:val="000000"/>
                <w:szCs w:val="22"/>
                <w:lang w:val="sl-SI" w:eastAsia="sl-SI"/>
              </w:rPr>
              <w:t xml:space="preserve"> N</w:t>
            </w:r>
          </w:p>
        </w:tc>
        <w:tc>
          <w:tcPr>
            <w:tcW w:w="2268" w:type="dxa"/>
            <w:shd w:val="clear" w:color="auto" w:fill="auto"/>
          </w:tcPr>
          <w:p w14:paraId="7FE14737"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1,146</w:t>
            </w:r>
          </w:p>
        </w:tc>
        <w:tc>
          <w:tcPr>
            <w:tcW w:w="2400" w:type="dxa"/>
            <w:shd w:val="clear" w:color="auto" w:fill="auto"/>
          </w:tcPr>
          <w:p w14:paraId="00761194"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1,163</w:t>
            </w:r>
          </w:p>
        </w:tc>
        <w:tc>
          <w:tcPr>
            <w:tcW w:w="2268" w:type="dxa"/>
            <w:shd w:val="clear" w:color="auto" w:fill="auto"/>
          </w:tcPr>
          <w:p w14:paraId="4C8D1356"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1,154</w:t>
            </w:r>
          </w:p>
        </w:tc>
      </w:tr>
      <w:tr w:rsidR="00F22FBD" w14:paraId="6B2F6619" w14:textId="77777777">
        <w:trPr>
          <w:trHeight w:val="505"/>
        </w:trPr>
        <w:tc>
          <w:tcPr>
            <w:tcW w:w="2136" w:type="dxa"/>
            <w:shd w:val="clear" w:color="auto" w:fill="auto"/>
          </w:tcPr>
          <w:p w14:paraId="350EAD95" w14:textId="77777777" w:rsidR="00F22FBD" w:rsidRDefault="00D44E4A">
            <w:pPr>
              <w:widowControl w:val="0"/>
              <w:kinsoku w:val="0"/>
              <w:overflowPunct w:val="0"/>
              <w:autoSpaceDE w:val="0"/>
              <w:autoSpaceDN w:val="0"/>
              <w:adjustRightInd w:val="0"/>
              <w:spacing w:line="246" w:lineRule="exact"/>
              <w:ind w:left="69"/>
              <w:rPr>
                <w:color w:val="000000"/>
                <w:szCs w:val="22"/>
                <w:lang w:val="sl-SI" w:eastAsia="sl-SI"/>
              </w:rPr>
            </w:pPr>
            <w:r>
              <w:t>Didžiojo kraujavimo reiškinių skaičius</w:t>
            </w:r>
          </w:p>
          <w:p w14:paraId="0F260CD1" w14:textId="77777777" w:rsidR="00F22FBD" w:rsidRDefault="00D44E4A">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N(%)</w:t>
            </w:r>
          </w:p>
        </w:tc>
        <w:tc>
          <w:tcPr>
            <w:tcW w:w="2268" w:type="dxa"/>
            <w:shd w:val="clear" w:color="auto" w:fill="auto"/>
          </w:tcPr>
          <w:p w14:paraId="41C65FAE" w14:textId="77777777" w:rsidR="00F22FBD" w:rsidRDefault="00D44E4A">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23 (2,0)</w:t>
            </w:r>
          </w:p>
        </w:tc>
        <w:tc>
          <w:tcPr>
            <w:tcW w:w="2400" w:type="dxa"/>
            <w:shd w:val="clear" w:color="auto" w:fill="auto"/>
          </w:tcPr>
          <w:p w14:paraId="72516110" w14:textId="77777777" w:rsidR="00F22FBD" w:rsidRDefault="00D44E4A">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15 (1,3)</w:t>
            </w:r>
          </w:p>
        </w:tc>
        <w:tc>
          <w:tcPr>
            <w:tcW w:w="2268" w:type="dxa"/>
            <w:shd w:val="clear" w:color="auto" w:fill="auto"/>
          </w:tcPr>
          <w:p w14:paraId="37058E43" w14:textId="77777777" w:rsidR="00F22FBD" w:rsidRDefault="00D44E4A">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18 (1,6)</w:t>
            </w:r>
          </w:p>
        </w:tc>
      </w:tr>
      <w:tr w:rsidR="00F22FBD" w14:paraId="27EA9672" w14:textId="77777777">
        <w:trPr>
          <w:trHeight w:val="251"/>
        </w:trPr>
        <w:tc>
          <w:tcPr>
            <w:tcW w:w="9072" w:type="dxa"/>
            <w:gridSpan w:val="4"/>
            <w:shd w:val="clear" w:color="auto" w:fill="auto"/>
          </w:tcPr>
          <w:p w14:paraId="146CAB0C" w14:textId="77777777" w:rsidR="00F22FBD" w:rsidRDefault="00D44E4A">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RE-MODEL (kelio sąnarys)</w:t>
            </w:r>
          </w:p>
        </w:tc>
      </w:tr>
      <w:tr w:rsidR="00F22FBD" w14:paraId="2B334D7E" w14:textId="77777777">
        <w:trPr>
          <w:trHeight w:val="253"/>
        </w:trPr>
        <w:tc>
          <w:tcPr>
            <w:tcW w:w="2136" w:type="dxa"/>
            <w:shd w:val="clear" w:color="auto" w:fill="auto"/>
          </w:tcPr>
          <w:p w14:paraId="6D9A57E5" w14:textId="77777777" w:rsidR="00F22FBD" w:rsidRDefault="00D44E4A">
            <w:pPr>
              <w:widowControl w:val="0"/>
              <w:kinsoku w:val="0"/>
              <w:overflowPunct w:val="0"/>
              <w:autoSpaceDE w:val="0"/>
              <w:autoSpaceDN w:val="0"/>
              <w:adjustRightInd w:val="0"/>
              <w:spacing w:line="234" w:lineRule="exact"/>
              <w:ind w:left="69"/>
              <w:rPr>
                <w:color w:val="000000"/>
                <w:szCs w:val="22"/>
                <w:lang w:val="sl-SI" w:eastAsia="sl-SI"/>
              </w:rPr>
            </w:pPr>
            <w:r>
              <w:t>Gydytų pacientų skaičius</w:t>
            </w:r>
            <w:r>
              <w:rPr>
                <w:color w:val="000000"/>
                <w:szCs w:val="22"/>
                <w:lang w:val="sl-SI" w:eastAsia="sl-SI"/>
              </w:rPr>
              <w:t xml:space="preserve"> N</w:t>
            </w:r>
          </w:p>
        </w:tc>
        <w:tc>
          <w:tcPr>
            <w:tcW w:w="2268" w:type="dxa"/>
            <w:shd w:val="clear" w:color="auto" w:fill="auto"/>
          </w:tcPr>
          <w:p w14:paraId="552AED24"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679</w:t>
            </w:r>
          </w:p>
        </w:tc>
        <w:tc>
          <w:tcPr>
            <w:tcW w:w="2400" w:type="dxa"/>
            <w:shd w:val="clear" w:color="auto" w:fill="auto"/>
          </w:tcPr>
          <w:p w14:paraId="6AD86F25"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703</w:t>
            </w:r>
          </w:p>
        </w:tc>
        <w:tc>
          <w:tcPr>
            <w:tcW w:w="2268" w:type="dxa"/>
            <w:shd w:val="clear" w:color="auto" w:fill="auto"/>
          </w:tcPr>
          <w:p w14:paraId="0C2CBBF5"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694</w:t>
            </w:r>
          </w:p>
        </w:tc>
      </w:tr>
      <w:tr w:rsidR="00F22FBD" w14:paraId="30799C8C" w14:textId="77777777">
        <w:trPr>
          <w:trHeight w:val="506"/>
        </w:trPr>
        <w:tc>
          <w:tcPr>
            <w:tcW w:w="2136" w:type="dxa"/>
            <w:shd w:val="clear" w:color="auto" w:fill="auto"/>
          </w:tcPr>
          <w:p w14:paraId="6A30AA0C" w14:textId="77777777" w:rsidR="00F22FBD" w:rsidRDefault="00D44E4A">
            <w:pPr>
              <w:widowControl w:val="0"/>
              <w:kinsoku w:val="0"/>
              <w:overflowPunct w:val="0"/>
              <w:autoSpaceDE w:val="0"/>
              <w:autoSpaceDN w:val="0"/>
              <w:adjustRightInd w:val="0"/>
              <w:spacing w:line="246" w:lineRule="exact"/>
              <w:ind w:left="69"/>
              <w:rPr>
                <w:color w:val="000000"/>
                <w:szCs w:val="22"/>
                <w:lang w:val="sl-SI" w:eastAsia="sl-SI"/>
              </w:rPr>
            </w:pPr>
            <w:r>
              <w:t>Didžiojo kraujavimo reiškinių skaičius</w:t>
            </w:r>
          </w:p>
          <w:p w14:paraId="67F86EF1" w14:textId="77777777" w:rsidR="00F22FBD" w:rsidRDefault="00D44E4A">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N(%)</w:t>
            </w:r>
          </w:p>
        </w:tc>
        <w:tc>
          <w:tcPr>
            <w:tcW w:w="2268" w:type="dxa"/>
            <w:shd w:val="clear" w:color="auto" w:fill="auto"/>
          </w:tcPr>
          <w:p w14:paraId="40C4F28F" w14:textId="77777777" w:rsidR="00F22FBD" w:rsidRDefault="00D44E4A">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 (1,5)</w:t>
            </w:r>
          </w:p>
        </w:tc>
        <w:tc>
          <w:tcPr>
            <w:tcW w:w="2400" w:type="dxa"/>
            <w:shd w:val="clear" w:color="auto" w:fill="auto"/>
          </w:tcPr>
          <w:p w14:paraId="5E9A3E13" w14:textId="77777777" w:rsidR="00F22FBD" w:rsidRDefault="00D44E4A">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9 (1,3)</w:t>
            </w:r>
          </w:p>
        </w:tc>
        <w:tc>
          <w:tcPr>
            <w:tcW w:w="2268" w:type="dxa"/>
            <w:shd w:val="clear" w:color="auto" w:fill="auto"/>
          </w:tcPr>
          <w:p w14:paraId="5E4C4ED8" w14:textId="77777777" w:rsidR="00F22FBD" w:rsidRDefault="00D44E4A">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9 (1,3)</w:t>
            </w:r>
          </w:p>
        </w:tc>
      </w:tr>
    </w:tbl>
    <w:p w14:paraId="447765CD" w14:textId="77777777" w:rsidR="00F22FBD" w:rsidRDefault="00F22FBD">
      <w:pPr>
        <w:widowControl w:val="0"/>
        <w:autoSpaceDE w:val="0"/>
        <w:autoSpaceDN w:val="0"/>
      </w:pPr>
    </w:p>
    <w:p w14:paraId="33893321" w14:textId="77777777" w:rsidR="00F22FBD" w:rsidRDefault="00D44E4A">
      <w:pPr>
        <w:widowControl w:val="0"/>
        <w:autoSpaceDE w:val="0"/>
        <w:autoSpaceDN w:val="0"/>
        <w:rPr>
          <w:u w:val="single"/>
        </w:rPr>
      </w:pPr>
      <w:r>
        <w:rPr>
          <w:u w:val="single"/>
        </w:rPr>
        <w:t>Tromboembolijos profilaktikos pacientams, kuriems implantuoti širdies vožtuvų protezai, klinikiniai tyrimai</w:t>
      </w:r>
    </w:p>
    <w:p w14:paraId="317B41AC" w14:textId="77777777" w:rsidR="00F22FBD" w:rsidRDefault="00F22FBD">
      <w:pPr>
        <w:widowControl w:val="0"/>
        <w:autoSpaceDE w:val="0"/>
        <w:autoSpaceDN w:val="0"/>
      </w:pPr>
    </w:p>
    <w:p w14:paraId="60931E4D" w14:textId="77777777" w:rsidR="00F22FBD" w:rsidRDefault="00D44E4A">
      <w:pPr>
        <w:widowControl w:val="0"/>
        <w:autoSpaceDE w:val="0"/>
        <w:autoSpaceDN w:val="0"/>
      </w:pPr>
      <w:r>
        <w:t>II fazės tyrimu buvo tirtas dabigatrano eteksilato ir varfarino poveikis iš viso 252 pacientams, kuriems neseniai (t. y. šio buvimo ligoninėje laikotarpiu) buvo atlikta mechaninio širdies vožtuvo implantavimo operacija arba kuriems mechaninio širdies vožtuvo operacija buvo atlikta daugiau negu prieš 3 mėnesius. Gydant dabigatrano eteksilatu, tromboembolijos reiškinių (daugiausia insulto ir simptominės ar besimptomės vožtuvo protezo trombozės) bei kraujavimo reiškinių buvo daugiau, negu gydant varfarinu. Ankstyvuoju pooperaciniu laikotarpiu didysis kraujavimas, daugiausia hemoraginė perikardo eksudacija, pasireiškė ypač pacientams, kurie po širdies vožtuvo implantavimo operacijos dabigatrano eteksilato pradėjo vartoti anksti (t. y. trečią parą) (žr. 4.3 skyrių).</w:t>
      </w:r>
    </w:p>
    <w:p w14:paraId="06FE605E" w14:textId="77777777" w:rsidR="00F22FBD" w:rsidRDefault="00F22FBD">
      <w:pPr>
        <w:widowControl w:val="0"/>
        <w:autoSpaceDE w:val="0"/>
        <w:autoSpaceDN w:val="0"/>
      </w:pPr>
    </w:p>
    <w:p w14:paraId="67C3BB4E" w14:textId="77777777" w:rsidR="00F22FBD" w:rsidRDefault="00D44E4A">
      <w:pPr>
        <w:widowControl w:val="0"/>
        <w:autoSpaceDE w:val="0"/>
        <w:autoSpaceDN w:val="0"/>
        <w:rPr>
          <w:u w:val="single"/>
        </w:rPr>
      </w:pPr>
      <w:r>
        <w:rPr>
          <w:u w:val="single"/>
        </w:rPr>
        <w:t>Vaikų populiacija</w:t>
      </w:r>
    </w:p>
    <w:p w14:paraId="5AF59246" w14:textId="77777777" w:rsidR="00F22FBD" w:rsidRDefault="00F22FBD">
      <w:pPr>
        <w:widowControl w:val="0"/>
        <w:autoSpaceDE w:val="0"/>
        <w:autoSpaceDN w:val="0"/>
        <w:rPr>
          <w:u w:val="single"/>
        </w:rPr>
      </w:pPr>
    </w:p>
    <w:p w14:paraId="19F979B3" w14:textId="77777777" w:rsidR="00F22FBD" w:rsidRDefault="00D44E4A">
      <w:pPr>
        <w:widowControl w:val="0"/>
        <w:autoSpaceDE w:val="0"/>
        <w:autoSpaceDN w:val="0"/>
        <w:rPr>
          <w:i/>
          <w:iCs/>
          <w:u w:val="single"/>
        </w:rPr>
      </w:pPr>
      <w:r>
        <w:rPr>
          <w:i/>
          <w:iCs/>
          <w:u w:val="single"/>
        </w:rPr>
        <w:t>VTE profilaktikos po didžiosios sąnario keitimo operacijos klinikiniai tyrimai</w:t>
      </w:r>
    </w:p>
    <w:p w14:paraId="12BE7B95" w14:textId="77777777" w:rsidR="00F22FBD" w:rsidRDefault="00F22FBD">
      <w:pPr>
        <w:widowControl w:val="0"/>
        <w:autoSpaceDE w:val="0"/>
        <w:autoSpaceDN w:val="0"/>
      </w:pPr>
    </w:p>
    <w:p w14:paraId="3097B568" w14:textId="77777777" w:rsidR="00F22FBD" w:rsidRDefault="00D44E4A">
      <w:pPr>
        <w:widowControl w:val="0"/>
        <w:autoSpaceDE w:val="0"/>
        <w:autoSpaceDN w:val="0"/>
      </w:pPr>
      <w:r>
        <w:t>Europos vaistų agentūra atleido nuo įpareigojimo pateikti dabigatrano tyrimų su visais vaikų populiacijos pogrupiais duomenis pirminės VTE profilaktikos indikacijai pacientams, kuriems atlikta planinė viso klubo sąnario arba viso kelio sąnario keitimo operacija (vartojimo vaikams informacija pateikiama 4.2 skyriuje).</w:t>
      </w:r>
    </w:p>
    <w:p w14:paraId="47172C0D" w14:textId="77777777" w:rsidR="00F22FBD" w:rsidRDefault="00F22FBD">
      <w:pPr>
        <w:widowControl w:val="0"/>
        <w:autoSpaceDE w:val="0"/>
        <w:autoSpaceDN w:val="0"/>
      </w:pPr>
    </w:p>
    <w:p w14:paraId="5F01BD52" w14:textId="77777777" w:rsidR="00F22FBD" w:rsidRDefault="00D44E4A">
      <w:pPr>
        <w:widowControl w:val="0"/>
        <w:autoSpaceDE w:val="0"/>
        <w:autoSpaceDN w:val="0"/>
        <w:rPr>
          <w:i/>
          <w:iCs/>
          <w:u w:val="single"/>
        </w:rPr>
      </w:pPr>
      <w:r>
        <w:rPr>
          <w:i/>
          <w:iCs/>
          <w:u w:val="single"/>
        </w:rPr>
        <w:t>VTE gydymas ir VTE pasikartojimo profilaktika pacientams vaikams</w:t>
      </w:r>
    </w:p>
    <w:p w14:paraId="60C8E162" w14:textId="77777777" w:rsidR="00F22FBD" w:rsidRDefault="00F22FBD">
      <w:pPr>
        <w:widowControl w:val="0"/>
        <w:autoSpaceDE w:val="0"/>
        <w:autoSpaceDN w:val="0"/>
      </w:pPr>
    </w:p>
    <w:p w14:paraId="157B4A57" w14:textId="77777777" w:rsidR="00F22FBD" w:rsidRDefault="00D44E4A">
      <w:pPr>
        <w:widowControl w:val="0"/>
        <w:autoSpaceDE w:val="0"/>
        <w:autoSpaceDN w:val="0"/>
      </w:pPr>
      <w:r>
        <w:t>Tyrimas DIVERSITY atliktas, siekiant parodyti dabigatrano eteksilato veiksmingumą ir saugumą, palyginti su standartiniu gydymu (SG), taikomu gydant VTE pacientams vaikams nuo gimimo iki jaunesni kaip 18 metų. Tyrimo dizainas - atvirasis, atsitiktinių imčių, paralelinių grupių tyrimas, kuriuo siekta nustatyti ne prastesnį vaistinio preparato poveikį. Dalyvavę pacientai atsitiktinių imčių būdu santykiu 2:1 buvo atrinkti į amžiui tinkančios dabigatrano eteksilato farmacinės formos (kapsulių, dengtų granulių arba geriamojo tirpalo) grupę (dozę parenkant atsižvelgiant į amžių ir kūno svorį) arba SG grupę, vartojusią mažos molekulinės masės heparinus (MMMH) arba vitamino K antagonistus (VKA), arba fondaparinuksą (vienas 12 metų pacientas). Pirminė vertinamoji baigtis buvo sudėtinė, apimanti pacientus, kuriems visiškai ištirpo trombai, nepasikartojo VTE ir nenustatyta mirties dėl VTE. Neįtraukimo kriterijai apėmė aktyvų meningitą, encefalitą ir intrakranijinį abscesą.</w:t>
      </w:r>
    </w:p>
    <w:p w14:paraId="35DFA800" w14:textId="77777777" w:rsidR="00F22FBD" w:rsidRDefault="00D44E4A">
      <w:pPr>
        <w:widowControl w:val="0"/>
        <w:autoSpaceDE w:val="0"/>
        <w:autoSpaceDN w:val="0"/>
      </w:pPr>
      <w:r>
        <w:t xml:space="preserve">Atsitiktinių imčių būdu atrinkti iš viso 267 pacientai. 176 pacientai iš jų gydyti dabigatrano eteksilatu, o 90 pacientų taikytas SG (1 atsitiktinių imčių būdu atrinktas pacientas nebuvo gydomas). 168 </w:t>
      </w:r>
      <w:r>
        <w:lastRenderedPageBreak/>
        <w:t>pacientai buvo nuo 12 iki jaunesni kaip 18 metų amžiaus, 64 pacientai – nuo 2 iki jaunesni kaip 12 metų amžiaus, o 35 pacientai – jaunesni kaip 2 metų amžiaus.</w:t>
      </w:r>
    </w:p>
    <w:p w14:paraId="603CCAE9" w14:textId="77777777" w:rsidR="00F22FBD" w:rsidRDefault="00D44E4A">
      <w:pPr>
        <w:widowControl w:val="0"/>
        <w:autoSpaceDE w:val="0"/>
        <w:autoSpaceDN w:val="0"/>
      </w:pPr>
      <w:r>
        <w:t>Iš 267 atsitiktinių imčių būdu suskirstytų pacientų, 81 pacientas (45,8 %) dabigatrano eteksilato grupėje ir 38 pacientai (42,2 %) SG grupėje atitiko sudėtinės pirminės vertinamosios baigties kriterijus (visiškas trombų ištirpimas, VTE pasikartojimo nebuvimas ir mirties dėl VTE nebuvimas).</w:t>
      </w:r>
    </w:p>
    <w:p w14:paraId="17412E5B" w14:textId="77777777" w:rsidR="00F22FBD" w:rsidRDefault="00D44E4A">
      <w:pPr>
        <w:widowControl w:val="0"/>
        <w:autoSpaceDE w:val="0"/>
        <w:autoSpaceDN w:val="0"/>
      </w:pPr>
      <w:r>
        <w:t>Atitinkamas dažnio skirtumas parodė, kad gydymo dabigatrano eteksilatu poveikis ne prastesnis nei SG. Apskritai, nuoseklūs rezultatai stebėti ir visuose pogrupiuose: pogrupiuose pagal amžių, lytį, regioną ir tam tikrų rizikos faktorių buvimą reikšmingų gydymo poveikio skirtumų nenustatyta. Tiriant 3 skirtingo amžiaus sluoksnius, pacientų, atitikusių pirminės vertinamosios baigties kriterijus dabigatrano eteksilato ir SG grupėse atitinkamai buvo 13 iš 22 (59,1 %) bei 7 iš 13 (53,8 %) pacientų nuo gimimo iki &lt; 2 metų amžiaus grupėje, 21 iš 43 (48,8 %) bei 12 iš 21 (57,1 %) pacientų nuo 2 iki &lt; 12 metų amžiaus grupėje ir 47 iš 112 (42,0 %) bei 19 iš 56 (33,9 %) pacientų nuo 12 iki &lt; 18 metų amžiaus grupėje.</w:t>
      </w:r>
    </w:p>
    <w:p w14:paraId="3A9C0724" w14:textId="77777777" w:rsidR="00F22FBD" w:rsidRDefault="00D44E4A">
      <w:pPr>
        <w:widowControl w:val="0"/>
        <w:autoSpaceDE w:val="0"/>
        <w:autoSpaceDN w:val="0"/>
      </w:pPr>
      <w:r>
        <w:t>Pagal pranešimus, nepriklausomo vertinimo komiteto išnagrinėti ir įvertinti didžiojo kraujavimo atvejai nustatyti 4 pacientams (2,3 %) dabigatrano eteksilato grupėje ir 2 pacientams (2,2 %) SG grupėje. Statistiškai reikšmingo laiko iki pirmojo didžiojo kraujavimo reiškinio skirtumo nenustatyta. Trisdešimt aštuoniems pacientams (21,6 %) dabigatrano eteksilato grupėje ir 22 pacientams (24,4 %) SG grupėje nustatyta nepriklausomai išnagrinėtų ir įvertintų įvairaus pobūdžio kraujavimo reiškinių, kurių dauguma priskirti lengvų kategorijai. Sudėtinė nepriklausomai išnagrinėto ir įvertinto didžiojo kraujavimo reiškinio (DKR) arba kliniškai reikšmingo ne didžiojo (KRND) kraujavimo vertinamoji baigtis (taikant gydymą) nustatyta 6 (3,4 %) dabigatrano eteksilato grupės pacientams ir 3 (3,3 %) SG grupės pacientams.</w:t>
      </w:r>
    </w:p>
    <w:p w14:paraId="0ECABEC2" w14:textId="77777777" w:rsidR="00F22FBD" w:rsidRDefault="00F22FBD">
      <w:pPr>
        <w:widowControl w:val="0"/>
        <w:autoSpaceDE w:val="0"/>
        <w:autoSpaceDN w:val="0"/>
      </w:pPr>
    </w:p>
    <w:p w14:paraId="1304C151" w14:textId="77777777" w:rsidR="00F22FBD" w:rsidRDefault="00D44E4A">
      <w:pPr>
        <w:widowControl w:val="0"/>
        <w:autoSpaceDE w:val="0"/>
        <w:autoSpaceDN w:val="0"/>
      </w:pPr>
      <w:r>
        <w:t>Atvirasis, vienos grupės perspektyvinis saugumo kohortos, daugiacentris III fazės tyrimas (1160.108) atliktas siekiant įvertinti dabigatrano eteksilato, skiriamo VTE pasikartojimo profilaktikai pacientams vaikams nuo gimimo iki jaunesniems kaip 18 metų. Į šį tyrimą buvo galima įtraukti pacientus, kuriems reikėjo papildomos antikoaguliacinės terapijos dėl išlikusių klinikinių rizikos veiksnių po pradinio patvirtintos VTE gydymo (ne trumpesnio kaip 3 mėnesių) arba po DIVERSITY tyrimo. Tinkami dalyvauti pacientai gavo pagal amžių ir kūno svorį nustatytas amžiui tinkamos farmacinės formos (kapsules, dengtas granules arba geriamąjį tirpalą) dabigatrano eteksilato dozes, kurias vartojo iki išnyks klinikinės rizikos veiksniai arba ne ilgiau kaip 12 mėnesių. Pirminės tyrimo vertinamosios baigtys apėmė VTE pasikartojimą, didžiojo ir lengvo kraujavimo reiškinius ir mirštamumą (bendrąjį ir susijusį su trombozės arba tromboembolijos reiškiniais) 6-ąjį ir 12-ąjį mėnesiais. Su reiškiniais susijusius padarinius koduotu būdu nagrinėjo nepriklausomas vertinimo komitetas.</w:t>
      </w:r>
    </w:p>
    <w:p w14:paraId="3878F3AD" w14:textId="77777777" w:rsidR="00F22FBD" w:rsidRDefault="00D44E4A">
      <w:pPr>
        <w:widowControl w:val="0"/>
        <w:autoSpaceDE w:val="0"/>
        <w:autoSpaceDN w:val="0"/>
      </w:pPr>
      <w:r>
        <w:t>Tyrimą pradėjo iš viso 214 pacientų; iš jų 162 pacientai buvo 1-ajame amžiaus sluoksnyje (nuo 12 iki jaunesni kaip 18 metų), 43 pacientai – 2-ajame amžiaus sluoksnyje (nuo 2 iki jaunesni kaip 12 metų) ir 9 pacientai – 3-iajame amžiaus sluoksnyje (nuo gimimo iki jaunesni kaip 2 metų). Gydymo laikotarpiu 3 pacientai (1,4 %) patyrė nepriklausomo komiteto išnagrinėtą ir patvirtintą VTE pasikartojimą per pirmuosius 12 mėnesių po gydymo pradžios. Per pirmuosius 12 gydymo mėnesių apie kraujavimo reiškinius, kuriuos išnagrinėjo ir patvirtino nepriklausomas komitetas, pranešė 48 pacientai (22,5 %). Didžioji dalis kraujavimo reiškinių buvo lengvi. 3 pacientams (1,4 %) nepriklausomai išnagrinėtas ir patvirtintas didžiojo kraujavimo reiškinys pasireiškė per pirmuosius 12 mėnesių. Pagal pranešimus, 3 pacientams (1,4 %) nepriklausomo komiteto išnagrinėtas ir patvirtintas KRND kraujavimas pasireiškė per pirmuosius 12 mėnesių. Su gydymu susijusių mirčių nenustatyta. Gydymo laikotarpiu 3 pacientams (1,4 %) pasireiškė potrombozinis sindromas (PTS) arba PTS pasunkėjo per pirmuosius 12 mėnesių.</w:t>
      </w:r>
    </w:p>
    <w:p w14:paraId="132916FB" w14:textId="77777777" w:rsidR="00F22FBD" w:rsidRDefault="00F22FBD">
      <w:pPr>
        <w:widowControl w:val="0"/>
        <w:autoSpaceDE w:val="0"/>
        <w:autoSpaceDN w:val="0"/>
      </w:pPr>
    </w:p>
    <w:p w14:paraId="2A635A93" w14:textId="77777777" w:rsidR="00F22FBD" w:rsidRDefault="00D44E4A">
      <w:pPr>
        <w:ind w:left="567" w:hanging="567"/>
        <w:rPr>
          <w:b/>
        </w:rPr>
      </w:pPr>
      <w:r>
        <w:rPr>
          <w:b/>
        </w:rPr>
        <w:t>5.2</w:t>
      </w:r>
      <w:r>
        <w:rPr>
          <w:b/>
        </w:rPr>
        <w:tab/>
        <w:t>Farmakokinetinės savybės</w:t>
      </w:r>
    </w:p>
    <w:p w14:paraId="40968681" w14:textId="77777777" w:rsidR="00F22FBD" w:rsidRDefault="00F22FBD">
      <w:pPr>
        <w:rPr>
          <w:b/>
        </w:rPr>
      </w:pPr>
    </w:p>
    <w:p w14:paraId="69B2D92E" w14:textId="77777777" w:rsidR="00F22FBD" w:rsidRDefault="00D44E4A">
      <w:r>
        <w:t>Išgertas dabigatrano eteksilatas greitai ir visas verčiamas dabigatranu, kuris yra aktyvi forma kraujo plazmoje. Provaisto dabigatrano eteksilato skaldymas esterazės katalizuojama hidrolize į aktyvią medžiagą dabigatraną yra vyraujanti metabolizmo reakcija. Dabigatrano išgėrus, absoliutus biologinis dabigatrano prieinamumas yra maždaug 6,5 %.</w:t>
      </w:r>
    </w:p>
    <w:p w14:paraId="0D429D25" w14:textId="77777777" w:rsidR="00F22FBD" w:rsidRDefault="00D44E4A">
      <w:r>
        <w:t>Dabigatrano išgėrusių sveikų savanorių kraujo plazmoje dabigatrano farmakokinetikai būdinga tai, kad jo koncentracija kraujo plazmoje didėja greitai ir didžiausia (C</w:t>
      </w:r>
      <w:r>
        <w:rPr>
          <w:szCs w:val="22"/>
          <w:vertAlign w:val="subscript"/>
        </w:rPr>
        <w:t>max</w:t>
      </w:r>
      <w:r>
        <w:t>) tampa per 0,5-2 val. po pavartojimo.</w:t>
      </w:r>
    </w:p>
    <w:p w14:paraId="4F934957" w14:textId="77777777" w:rsidR="00F22FBD" w:rsidRDefault="00F22FBD"/>
    <w:p w14:paraId="60717196" w14:textId="77777777" w:rsidR="00F22FBD" w:rsidRDefault="00D44E4A">
      <w:pPr>
        <w:rPr>
          <w:u w:val="single"/>
        </w:rPr>
      </w:pPr>
      <w:r>
        <w:rPr>
          <w:u w:val="single"/>
        </w:rPr>
        <w:lastRenderedPageBreak/>
        <w:t>Absorbcija</w:t>
      </w:r>
    </w:p>
    <w:p w14:paraId="7B1F5F4E" w14:textId="77777777" w:rsidR="00F22FBD" w:rsidRDefault="00F22FBD"/>
    <w:p w14:paraId="7D982F0A" w14:textId="77777777" w:rsidR="00F22FBD" w:rsidRDefault="00D44E4A">
      <w:r>
        <w:t>Tyrimo, kuriuo buvo nustatoma 1-3 val. laikotarpiu po operacijos pavartoto dabigatrano eteksilato absorbcija, rezultatai rodo, kad absorbcija, palyginti su vykstančia sveikų savanorių organizme, santykinai yra lėta, koncentracijos kitimas kraujo plazmoje priklausomai nuo laiko yra lygus, be didelio didžiausios koncentracijos padidėjimo. Preparato išgėrus pooperaciniu laikotarpiu, didžiausia koncentracija kraujo plazmoje atsiranda po 6 val., kadangi įtaką absorbcijai daro kai kurie veiksniai, pvz., anestezija, virškinimo trakto parezė ir operacija, nepriklausomai nuo geriamosios vaistinio preparato farmacinės formos. Tolesnio tyrimo metu buvo įrodyta, kad lėta ir uždelsta absorbcija paprastai būna tik operacijos dieną. Kitomis dienomis dabigatranas absorbuojamas greitai, didžiausia koncentracija kraujo plazmoje atsiranda po 2 val.</w:t>
      </w:r>
    </w:p>
    <w:p w14:paraId="52518EA3" w14:textId="77777777" w:rsidR="00F22FBD" w:rsidRDefault="00F22FBD"/>
    <w:p w14:paraId="1DD9F4BC" w14:textId="77777777" w:rsidR="00F22FBD" w:rsidRDefault="00D44E4A">
      <w:r>
        <w:t>Maistas biologiniam dabigatrano eteksilato prieinamumui įtakos nedaro, tačiau laiką, per kurį koncentracija kraujo plazmoje tampa didžiausia, pailgina 2 val.</w:t>
      </w:r>
    </w:p>
    <w:p w14:paraId="4D8E8AE4" w14:textId="77777777" w:rsidR="00F22FBD" w:rsidRDefault="00F22FBD"/>
    <w:p w14:paraId="70732850" w14:textId="77777777" w:rsidR="00F22FBD" w:rsidRDefault="00D44E4A">
      <w:r>
        <w:t>C</w:t>
      </w:r>
      <w:r>
        <w:rPr>
          <w:vertAlign w:val="subscript"/>
        </w:rPr>
        <w:t>max</w:t>
      </w:r>
      <w:r>
        <w:t xml:space="preserve"> ir AUC buvo proporcingi dozei.</w:t>
      </w:r>
    </w:p>
    <w:p w14:paraId="0CDE7CF4" w14:textId="77777777" w:rsidR="00F22FBD" w:rsidRDefault="00F22FBD"/>
    <w:p w14:paraId="4E6C41BB" w14:textId="77777777" w:rsidR="00F22FBD" w:rsidRDefault="00D44E4A">
      <w:r>
        <w:t>Per burną pavartoto vaistinio preparato biologinis prieinamumas po vienkartinės dozės pavartojimo gali padidėti 75 %, nusistovėjus pusiausvyrinei koncentracijai – 37 %, palyginti su referencinės kapsulės, kai granulės geriamos nesupiltos į kapsulės apvalkalą, kuriame yra hidroksipropilmetilceliuliozės (HPMC). Taigi klinikinio vartojimo metu visada būtina išsaugoti kapsulių, kuriose yra HPMC, vientisumą, kad netyčia nepadidėtų biologinis dabigatrano eteksilato prieinamumas (žr. 4.2 skyrių).</w:t>
      </w:r>
    </w:p>
    <w:p w14:paraId="2A227967" w14:textId="77777777" w:rsidR="00F22FBD" w:rsidRDefault="00F22FBD"/>
    <w:p w14:paraId="07982F6D" w14:textId="77777777" w:rsidR="00F22FBD" w:rsidRDefault="00D44E4A">
      <w:pPr>
        <w:rPr>
          <w:u w:val="single"/>
        </w:rPr>
      </w:pPr>
      <w:r>
        <w:rPr>
          <w:u w:val="single"/>
        </w:rPr>
        <w:t>Pasiskirstymas</w:t>
      </w:r>
    </w:p>
    <w:p w14:paraId="74601541" w14:textId="77777777" w:rsidR="00F22FBD" w:rsidRDefault="00F22FBD"/>
    <w:p w14:paraId="251C4258" w14:textId="77777777" w:rsidR="00F22FBD" w:rsidRDefault="00D44E4A">
      <w:r>
        <w:t>Nustatyta, kad nepriklausomai nuo koncentracijos dydžio prie žmogaus kraujo plazmos baltymų dabigatrano prisijungia mažai (34 - 35 %). Dabigatrano pasiskirstymo tūris, t. y. 60-70 l, viršija bendrą organizmo vandens tūrį, vadinasi, audiniuose medikamento pasiskirstymas yra saikingas.</w:t>
      </w:r>
    </w:p>
    <w:p w14:paraId="4829FAD1" w14:textId="77777777" w:rsidR="00F22FBD" w:rsidRDefault="00F22FBD"/>
    <w:p w14:paraId="0D87FD65" w14:textId="77777777" w:rsidR="00F22FBD" w:rsidRDefault="00D44E4A">
      <w:pPr>
        <w:rPr>
          <w:u w:val="single"/>
        </w:rPr>
      </w:pPr>
      <w:r>
        <w:rPr>
          <w:u w:val="single"/>
        </w:rPr>
        <w:t>Biotransformacija</w:t>
      </w:r>
    </w:p>
    <w:p w14:paraId="3510BA86" w14:textId="77777777" w:rsidR="00F22FBD" w:rsidRDefault="00F22FBD"/>
    <w:p w14:paraId="5DD06E4F" w14:textId="77777777" w:rsidR="00F22FBD" w:rsidRDefault="00D44E4A">
      <w:r>
        <w:t>Dabigatrano metabolizmas ir išsiskyrimas buvo tirti sveikų vyrų, kuriems viena radioaktyviaisiais izotopais žymėto preparato dozė buvo suleista į veną, organizme. Dozę suleidus į veną, daugiausiai (85 %) su dabigatranu susijusio radioaktyvumo buvo pašalinta su šlapimu. Su išmatomis išsiskyrė 6 % dozės. Per pirmas 168 val. po dozės suleidimo išsiskyrė 88-94 % bendro radioaktyvumo.</w:t>
      </w:r>
    </w:p>
    <w:p w14:paraId="2024BF6B" w14:textId="77777777" w:rsidR="00F22FBD" w:rsidRDefault="00F22FBD"/>
    <w:p w14:paraId="3CD022DE" w14:textId="77777777" w:rsidR="00F22FBD" w:rsidRDefault="00D44E4A">
      <w:r>
        <w:t>Dabigatranas yra konjugacijos, kurios metu susidaro farmakologiškai aktyvūs acilgliukuronidai, substratas. Yra 4 padėčių izomerai: 1-O, 2-O, 3-O, 4-O, kurių kiekvienas sudaro mažiau kaip 10 % bendro dabigatrano kiekio kraujo plazmoje. Labai mažas kitokių metabolitų kiekis buvo nustatytas tik labai jautriu analizės metodu. Daugiausiai dabigatrano išsiskiria nepakitusio su šlapimu, išsiskyrimo greitis – maždaug 100 ml/min. (atitinka glomerulų filtracijos greitį).</w:t>
      </w:r>
    </w:p>
    <w:p w14:paraId="17D684EE" w14:textId="77777777" w:rsidR="00F22FBD" w:rsidRDefault="00F22FBD"/>
    <w:p w14:paraId="1BB64F9E" w14:textId="77777777" w:rsidR="00F22FBD" w:rsidRDefault="00D44E4A">
      <w:pPr>
        <w:rPr>
          <w:u w:val="single"/>
        </w:rPr>
      </w:pPr>
      <w:r>
        <w:rPr>
          <w:u w:val="single"/>
        </w:rPr>
        <w:t>Eliminacija</w:t>
      </w:r>
    </w:p>
    <w:p w14:paraId="3C1919DE" w14:textId="77777777" w:rsidR="00F22FBD" w:rsidRDefault="00F22FBD"/>
    <w:p w14:paraId="2A023FB4" w14:textId="77777777" w:rsidR="00F22FBD" w:rsidRDefault="00D44E4A">
      <w:r>
        <w:t>Dabigatrano koncentracijos mažėjimas kraujo plazmoje yra bieksponentinis, o vidutinis galutinės pusinės eliminacijos laikas yra 11 val. Po daugkartinių dozių vartojimo galutinės pusinės eliminacijos laikas buvo 12 – 14 val. Pusinės eliminacijos iš kraujo plazmos laikas nuo dozės dydžio nepriklauso. Jeigu inkstų funkcija sutrikusi, pusinės eliminacijos iš kraujo plazmos laikas pailgėja (žr. 16 lentelę).</w:t>
      </w:r>
    </w:p>
    <w:p w14:paraId="33529F01" w14:textId="77777777" w:rsidR="00F22FBD" w:rsidRDefault="00F22FBD"/>
    <w:p w14:paraId="03AAAF33" w14:textId="77777777" w:rsidR="00F22FBD" w:rsidRDefault="00D44E4A">
      <w:pPr>
        <w:rPr>
          <w:u w:val="single"/>
        </w:rPr>
      </w:pPr>
      <w:r>
        <w:rPr>
          <w:u w:val="single"/>
        </w:rPr>
        <w:t>Ypatingos populiacijos</w:t>
      </w:r>
    </w:p>
    <w:p w14:paraId="460FF618" w14:textId="77777777" w:rsidR="00F22FBD" w:rsidRDefault="00F22FBD"/>
    <w:p w14:paraId="6D60C3E4" w14:textId="77777777" w:rsidR="00F22FBD" w:rsidRDefault="00D44E4A">
      <w:pPr>
        <w:rPr>
          <w:i/>
          <w:iCs/>
          <w:u w:val="single"/>
        </w:rPr>
      </w:pPr>
      <w:r>
        <w:rPr>
          <w:i/>
          <w:iCs/>
          <w:u w:val="single"/>
        </w:rPr>
        <w:t>Inkstų funkcijos sutrikimas</w:t>
      </w:r>
    </w:p>
    <w:p w14:paraId="3448057A" w14:textId="77777777" w:rsidR="00F22FBD" w:rsidRDefault="00D44E4A">
      <w:r>
        <w:t>I fazės tyrimų metu dabigatrano eteksilato išgėrusių suaugusių savanorių, sergančių vidutinio sunkumo inkstų nepakankamumu (KrKl 30 – 50 ml/min.), organizme dabigatrano ekspozicija (AUC) buvo maždaug 2,7 karto didesnė negu inkstų nepakankamumu nesergančių tiriamųjų.</w:t>
      </w:r>
    </w:p>
    <w:p w14:paraId="4A06F8B4" w14:textId="77777777" w:rsidR="00F22FBD" w:rsidRDefault="00F22FBD"/>
    <w:p w14:paraId="087FF400" w14:textId="77777777" w:rsidR="00F22FBD" w:rsidRDefault="00D44E4A">
      <w:r>
        <w:lastRenderedPageBreak/>
        <w:t>Mažo skaičiaus suaugusių savanorių, sergančių sunkiu inkstų nepakankamumu (KrKl 10 - 30 ml/min.), organizme dabigatrano ekspozicija (AUC) buvo apie 6 kartus didesnė, o pusinė eliminacija maždaug 2 kartus ilgesnė, negu inkstų nepakankamumu nesergančios populiacijos žmonių (žr. 4.2, 4.3 ir 4.4 skyrius).</w:t>
      </w:r>
    </w:p>
    <w:p w14:paraId="2FC058FA" w14:textId="77777777" w:rsidR="00F22FBD" w:rsidRDefault="00F22FBD">
      <w:pPr>
        <w:widowControl w:val="0"/>
        <w:kinsoku w:val="0"/>
        <w:overflowPunct w:val="0"/>
        <w:autoSpaceDE w:val="0"/>
        <w:autoSpaceDN w:val="0"/>
        <w:adjustRightInd w:val="0"/>
        <w:ind w:left="993" w:hanging="993"/>
        <w:rPr>
          <w:b/>
          <w:bCs/>
          <w:color w:val="000000"/>
          <w:szCs w:val="22"/>
          <w:lang w:val="sl-SI" w:eastAsia="sl-SI"/>
        </w:rPr>
      </w:pPr>
    </w:p>
    <w:p w14:paraId="01223269" w14:textId="77777777" w:rsidR="00F22FBD" w:rsidRDefault="00D44E4A">
      <w:pPr>
        <w:widowControl w:val="0"/>
        <w:kinsoku w:val="0"/>
        <w:overflowPunct w:val="0"/>
        <w:autoSpaceDE w:val="0"/>
        <w:autoSpaceDN w:val="0"/>
        <w:adjustRightInd w:val="0"/>
        <w:ind w:left="993" w:hanging="993"/>
        <w:rPr>
          <w:b/>
          <w:bCs/>
          <w:color w:val="000000"/>
          <w:szCs w:val="22"/>
          <w:lang w:val="sl-SI" w:eastAsia="sl-SI"/>
        </w:rPr>
      </w:pPr>
      <w:r>
        <w:rPr>
          <w:b/>
          <w:bCs/>
          <w:color w:val="000000"/>
          <w:szCs w:val="22"/>
          <w:lang w:val="sl-SI" w:eastAsia="sl-SI"/>
        </w:rPr>
        <w:t xml:space="preserve">16 lentelė: </w:t>
      </w:r>
      <w:r>
        <w:rPr>
          <w:b/>
          <w:bCs/>
          <w:color w:val="000000"/>
          <w:szCs w:val="22"/>
          <w:lang w:val="sl-SI" w:eastAsia="sl-SI"/>
        </w:rPr>
        <w:tab/>
      </w:r>
      <w:r>
        <w:rPr>
          <w:b/>
          <w:bCs/>
        </w:rPr>
        <w:t>Bendro dabigatrano pusinė eliminacija sveikų tiriamųjų ir tiriamųjų, kurių inkstų funkcija sutrikusi, organizme</w:t>
      </w:r>
    </w:p>
    <w:tbl>
      <w:tblPr>
        <w:tblW w:w="9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4"/>
        <w:gridCol w:w="6339"/>
      </w:tblGrid>
      <w:tr w:rsidR="00F22FBD" w14:paraId="03E83478" w14:textId="77777777">
        <w:trPr>
          <w:trHeight w:val="760"/>
        </w:trPr>
        <w:tc>
          <w:tcPr>
            <w:tcW w:w="2734" w:type="dxa"/>
            <w:shd w:val="clear" w:color="auto" w:fill="auto"/>
          </w:tcPr>
          <w:p w14:paraId="17F4937B" w14:textId="77777777" w:rsidR="00F22FBD" w:rsidRDefault="00D44E4A">
            <w:pPr>
              <w:widowControl w:val="0"/>
              <w:kinsoku w:val="0"/>
              <w:overflowPunct w:val="0"/>
              <w:autoSpaceDE w:val="0"/>
              <w:autoSpaceDN w:val="0"/>
              <w:adjustRightInd w:val="0"/>
              <w:spacing w:line="236" w:lineRule="exact"/>
              <w:jc w:val="center"/>
            </w:pPr>
            <w:r>
              <w:t>Glomerulų filtracijos greitis (KrKl)</w:t>
            </w:r>
          </w:p>
          <w:p w14:paraId="1CCA850B" w14:textId="77777777" w:rsidR="00F22FBD" w:rsidRDefault="00D44E4A">
            <w:pPr>
              <w:widowControl w:val="0"/>
              <w:kinsoku w:val="0"/>
              <w:overflowPunct w:val="0"/>
              <w:autoSpaceDE w:val="0"/>
              <w:autoSpaceDN w:val="0"/>
              <w:adjustRightInd w:val="0"/>
              <w:spacing w:line="236" w:lineRule="exact"/>
              <w:jc w:val="center"/>
              <w:rPr>
                <w:color w:val="000000"/>
                <w:szCs w:val="22"/>
                <w:lang w:val="sl-SI" w:eastAsia="sl-SI"/>
              </w:rPr>
            </w:pPr>
            <w:r>
              <w:t>[ml/min.]</w:t>
            </w:r>
          </w:p>
        </w:tc>
        <w:tc>
          <w:tcPr>
            <w:tcW w:w="6339" w:type="dxa"/>
            <w:shd w:val="clear" w:color="auto" w:fill="auto"/>
          </w:tcPr>
          <w:p w14:paraId="205EAE2F" w14:textId="77777777" w:rsidR="00F22FBD" w:rsidRDefault="00D44E4A">
            <w:pPr>
              <w:widowControl w:val="0"/>
              <w:kinsoku w:val="0"/>
              <w:overflowPunct w:val="0"/>
              <w:autoSpaceDE w:val="0"/>
              <w:autoSpaceDN w:val="0"/>
              <w:adjustRightInd w:val="0"/>
              <w:spacing w:line="236" w:lineRule="exact"/>
              <w:jc w:val="center"/>
            </w:pPr>
            <w:r>
              <w:t>Geometrinis pusinės eliminacijos laiko vidurkis (geometrinis variacijos koeficientas (gVK) %;svyravimo ribos)</w:t>
            </w:r>
          </w:p>
          <w:p w14:paraId="6B4CFF3A" w14:textId="77777777" w:rsidR="00F22FBD" w:rsidRDefault="00D44E4A">
            <w:pPr>
              <w:widowControl w:val="0"/>
              <w:kinsoku w:val="0"/>
              <w:overflowPunct w:val="0"/>
              <w:autoSpaceDE w:val="0"/>
              <w:autoSpaceDN w:val="0"/>
              <w:adjustRightInd w:val="0"/>
              <w:spacing w:line="236" w:lineRule="exact"/>
              <w:jc w:val="center"/>
              <w:rPr>
                <w:color w:val="000000"/>
                <w:szCs w:val="22"/>
                <w:lang w:val="sl-SI" w:eastAsia="sl-SI"/>
              </w:rPr>
            </w:pPr>
            <w:r>
              <w:t>[val.]</w:t>
            </w:r>
          </w:p>
        </w:tc>
      </w:tr>
      <w:tr w:rsidR="00F22FBD" w14:paraId="169E31BB" w14:textId="77777777">
        <w:trPr>
          <w:trHeight w:val="251"/>
        </w:trPr>
        <w:tc>
          <w:tcPr>
            <w:tcW w:w="2734" w:type="dxa"/>
            <w:shd w:val="clear" w:color="auto" w:fill="auto"/>
          </w:tcPr>
          <w:p w14:paraId="7E319A1C" w14:textId="77777777" w:rsidR="00F22FBD" w:rsidRDefault="00D44E4A">
            <w:pPr>
              <w:widowControl w:val="0"/>
              <w:kinsoku w:val="0"/>
              <w:overflowPunct w:val="0"/>
              <w:autoSpaceDE w:val="0"/>
              <w:autoSpaceDN w:val="0"/>
              <w:adjustRightInd w:val="0"/>
              <w:spacing w:line="231" w:lineRule="exact"/>
              <w:jc w:val="center"/>
              <w:rPr>
                <w:color w:val="000000"/>
                <w:szCs w:val="22"/>
                <w:lang w:val="sl-SI" w:eastAsia="sl-SI"/>
              </w:rPr>
            </w:pPr>
            <w:r>
              <w:rPr>
                <w:color w:val="000000"/>
                <w:szCs w:val="22"/>
                <w:lang w:val="sl-SI" w:eastAsia="sl-SI"/>
              </w:rPr>
              <w:t>≥ 80</w:t>
            </w:r>
          </w:p>
        </w:tc>
        <w:tc>
          <w:tcPr>
            <w:tcW w:w="6339" w:type="dxa"/>
            <w:shd w:val="clear" w:color="auto" w:fill="auto"/>
          </w:tcPr>
          <w:p w14:paraId="4FF21F0E" w14:textId="77777777" w:rsidR="00F22FBD" w:rsidRDefault="00D44E4A">
            <w:pPr>
              <w:widowControl w:val="0"/>
              <w:kinsoku w:val="0"/>
              <w:overflowPunct w:val="0"/>
              <w:autoSpaceDE w:val="0"/>
              <w:autoSpaceDN w:val="0"/>
              <w:adjustRightInd w:val="0"/>
              <w:spacing w:line="231" w:lineRule="exact"/>
              <w:jc w:val="center"/>
              <w:rPr>
                <w:color w:val="000000"/>
                <w:szCs w:val="22"/>
                <w:lang w:val="sl-SI" w:eastAsia="sl-SI"/>
              </w:rPr>
            </w:pPr>
            <w:r>
              <w:rPr>
                <w:color w:val="000000"/>
                <w:szCs w:val="22"/>
                <w:lang w:val="sl-SI" w:eastAsia="sl-SI"/>
              </w:rPr>
              <w:t>13,4 (25,7%; 11,0-21,6)</w:t>
            </w:r>
          </w:p>
        </w:tc>
      </w:tr>
      <w:tr w:rsidR="00F22FBD" w14:paraId="370AE5E0" w14:textId="77777777">
        <w:trPr>
          <w:trHeight w:val="292"/>
        </w:trPr>
        <w:tc>
          <w:tcPr>
            <w:tcW w:w="2734" w:type="dxa"/>
            <w:shd w:val="clear" w:color="auto" w:fill="auto"/>
          </w:tcPr>
          <w:p w14:paraId="4DE69E03" w14:textId="77777777" w:rsidR="00F22FBD" w:rsidRDefault="00D44E4A">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t>≥ 50-&lt; 80</w:t>
            </w:r>
          </w:p>
        </w:tc>
        <w:tc>
          <w:tcPr>
            <w:tcW w:w="6339" w:type="dxa"/>
            <w:shd w:val="clear" w:color="auto" w:fill="auto"/>
          </w:tcPr>
          <w:p w14:paraId="2348B315" w14:textId="77777777" w:rsidR="00F22FBD" w:rsidRDefault="00D44E4A">
            <w:pPr>
              <w:widowControl w:val="0"/>
              <w:kinsoku w:val="0"/>
              <w:overflowPunct w:val="0"/>
              <w:autoSpaceDE w:val="0"/>
              <w:autoSpaceDN w:val="0"/>
              <w:adjustRightInd w:val="0"/>
              <w:spacing w:before="15"/>
              <w:jc w:val="center"/>
              <w:rPr>
                <w:color w:val="000000"/>
                <w:szCs w:val="22"/>
                <w:lang w:val="sl-SI" w:eastAsia="sl-SI"/>
              </w:rPr>
            </w:pPr>
            <w:r>
              <w:rPr>
                <w:color w:val="000000"/>
                <w:szCs w:val="22"/>
                <w:lang w:val="sl-SI" w:eastAsia="sl-SI"/>
              </w:rPr>
              <w:t>15,3 (42,7%;11,7-34,1)</w:t>
            </w:r>
          </w:p>
        </w:tc>
      </w:tr>
      <w:tr w:rsidR="00F22FBD" w14:paraId="60ADD3BD" w14:textId="77777777">
        <w:trPr>
          <w:trHeight w:val="253"/>
        </w:trPr>
        <w:tc>
          <w:tcPr>
            <w:tcW w:w="2734" w:type="dxa"/>
            <w:shd w:val="clear" w:color="auto" w:fill="auto"/>
          </w:tcPr>
          <w:p w14:paraId="38219386"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 30-&lt; 50</w:t>
            </w:r>
          </w:p>
        </w:tc>
        <w:tc>
          <w:tcPr>
            <w:tcW w:w="6339" w:type="dxa"/>
            <w:shd w:val="clear" w:color="auto" w:fill="auto"/>
          </w:tcPr>
          <w:p w14:paraId="7B254AA7"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18,4 (18,5%;13,3-23,0)</w:t>
            </w:r>
          </w:p>
        </w:tc>
      </w:tr>
      <w:tr w:rsidR="00F22FBD" w14:paraId="478410AA" w14:textId="77777777">
        <w:trPr>
          <w:trHeight w:val="253"/>
        </w:trPr>
        <w:tc>
          <w:tcPr>
            <w:tcW w:w="2734" w:type="dxa"/>
            <w:shd w:val="clear" w:color="auto" w:fill="auto"/>
          </w:tcPr>
          <w:p w14:paraId="07A0E93B"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30</w:t>
            </w:r>
          </w:p>
        </w:tc>
        <w:tc>
          <w:tcPr>
            <w:tcW w:w="6339" w:type="dxa"/>
            <w:shd w:val="clear" w:color="auto" w:fill="auto"/>
          </w:tcPr>
          <w:p w14:paraId="432041AB" w14:textId="77777777" w:rsidR="00F22FBD" w:rsidRDefault="00D44E4A">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27,2 (15,3%; 21,6-35,0)</w:t>
            </w:r>
          </w:p>
        </w:tc>
      </w:tr>
    </w:tbl>
    <w:p w14:paraId="308037E7" w14:textId="77777777" w:rsidR="00F22FBD" w:rsidRDefault="00F22FBD"/>
    <w:p w14:paraId="41ED7335" w14:textId="77777777" w:rsidR="00F22FBD" w:rsidRDefault="00D44E4A">
      <w:r>
        <w:t>Be to, dabigatrano ekspozicija (esant mažiausiai ir didžiausiai koncentracijai) buvo įvertinta perspektyviniu, atviru atsitiktinių imčių farmakokinetikos tyrimu, dalyvaujant nevožtuviniu prieširdžių virpėjimu (NVPV) sergantiems pacientams, kuriems buvo sunkus inkstų funkcijos sutrikimas (apibrėžtas kaip 15-30 ml/min. kreatinino klirensas [KrKl]) ir buvo skiriama po 75 mg dabigatrano eteksilato du kartus per parą.</w:t>
      </w:r>
    </w:p>
    <w:p w14:paraId="4D698D5F" w14:textId="77777777" w:rsidR="00F22FBD" w:rsidRDefault="00D44E4A">
      <w:r>
        <w:t>Taikant šį dozavimo režimą, geometrinis mažiausios koncentracijos vidurkis, išmatuotas prieš pat vartojant kitą dozę, buvo 155 ng/ml (geometrinis variacijos koeficientas (gVK) – 76,9 %), o geometrinis didžiausios koncentracijos vidurkis, išmatuotas praėjus dviem valandoms po paskutinės dozės pavartojimo, buvo 202 ng/ml (gVK – 70,6 %).</w:t>
      </w:r>
    </w:p>
    <w:p w14:paraId="65615C89" w14:textId="77777777" w:rsidR="00F22FBD" w:rsidRDefault="00F22FBD"/>
    <w:p w14:paraId="6327EA9B" w14:textId="77777777" w:rsidR="00F22FBD" w:rsidRDefault="00D44E4A">
      <w:r>
        <w:t>Dabigatrano klirensas hemodializės metu buvo tirtas galutinės stadijos inkstų liga (GSIL) sergančių 7 suaugusių pacientų, nepatiriančių prieširdžių virpėjimo, organizme. Dializė buvo daroma 700 ml/min. dializato srovės greičiu 4 valandas ir kraujo srovės greitis buvo 200 ml/min. arba 350-390 ml/min. Tai lėmė dabigatrano koncentracijos pašalinimą atitinkamai nuo 50 % iki 60 %. Dialize pašalinamos medžiagos kiekis yra proporcingas kraujo srovės greičiui, kuris siekia iki 300 ml/min. Antikoaguliacinis dabigatrano poveikis silpnėjo su koncentracijos kraujyje mažėjimu. Santykiui tarp farmakokinetikos ir farmakodinamikos ši procedūra poveikio nedarė.</w:t>
      </w:r>
    </w:p>
    <w:p w14:paraId="0D60194C" w14:textId="77777777" w:rsidR="00F22FBD" w:rsidRDefault="00F22FBD"/>
    <w:p w14:paraId="3AB73C0C" w14:textId="77777777" w:rsidR="00F22FBD" w:rsidRDefault="00D44E4A">
      <w:pPr>
        <w:rPr>
          <w:i/>
          <w:iCs/>
          <w:u w:val="single"/>
        </w:rPr>
      </w:pPr>
      <w:r>
        <w:rPr>
          <w:i/>
          <w:iCs/>
          <w:u w:val="single"/>
        </w:rPr>
        <w:t>Senyvi pacientai</w:t>
      </w:r>
    </w:p>
    <w:p w14:paraId="22875E1F" w14:textId="77777777" w:rsidR="00F22FBD" w:rsidRDefault="00D44E4A">
      <w:r>
        <w:t>I fazės specifiniais farmakokinetikos tyrimais nustatyta, kad senyvų žmonių organizme AUC yra 40-60 % didesnis, o C</w:t>
      </w:r>
      <w:r>
        <w:rPr>
          <w:vertAlign w:val="subscript"/>
        </w:rPr>
        <w:t>max</w:t>
      </w:r>
      <w:r>
        <w:t xml:space="preserve"> daugiau negu 25 % didesnė negu jaunų žmonių.</w:t>
      </w:r>
    </w:p>
    <w:p w14:paraId="3E3282DC" w14:textId="77777777" w:rsidR="00F22FBD" w:rsidRDefault="00F22FBD"/>
    <w:p w14:paraId="32D30338" w14:textId="77777777" w:rsidR="00F22FBD" w:rsidRDefault="00D44E4A">
      <w:r>
        <w:t>Amžiaus įtaka dabigatrano ekspozicijai buvo patvirtinta tyrimu RE-LY, kurio metu mažiausia dabigatrano koncentracija ≥ 75 metų žmonių organizme buvo maždaug 31 %, &lt; 65 metų žmonių organizme – maždaug 22 % mažesnė, negu žmonių, kurių amžius nuo 65 iki 75 metų (žr. 4.2 ir 4.4 skyrius).</w:t>
      </w:r>
    </w:p>
    <w:p w14:paraId="642F5841" w14:textId="77777777" w:rsidR="00F22FBD" w:rsidRDefault="00F22FBD"/>
    <w:p w14:paraId="07599873" w14:textId="77777777" w:rsidR="00F22FBD" w:rsidRDefault="00D44E4A">
      <w:pPr>
        <w:rPr>
          <w:i/>
          <w:iCs/>
          <w:u w:val="single"/>
        </w:rPr>
      </w:pPr>
      <w:r>
        <w:rPr>
          <w:i/>
          <w:iCs/>
          <w:u w:val="single"/>
        </w:rPr>
        <w:t>Kepenų funkcijos sutrikimas</w:t>
      </w:r>
    </w:p>
    <w:p w14:paraId="133A174C" w14:textId="77777777" w:rsidR="00F22FBD" w:rsidRDefault="00D44E4A">
      <w:r>
        <w:t>12 suaugusių tiriamųjų, sergančių vidutinio sunkumo kepenų funkcijos nepakankamumu (</w:t>
      </w:r>
      <w:r>
        <w:rPr>
          <w:i/>
        </w:rPr>
        <w:t>Child Pugh</w:t>
      </w:r>
      <w:r>
        <w:t xml:space="preserve"> klasė B), organizme dabigatrano farmakokinetika buvo panaši į farmakokinetiką 12 kontrolinės grupės pacientų organizme (žr. 4.2 ir 4.4 skyrius).</w:t>
      </w:r>
    </w:p>
    <w:p w14:paraId="369C75D5" w14:textId="77777777" w:rsidR="00F22FBD" w:rsidRDefault="00F22FBD"/>
    <w:p w14:paraId="2B614133" w14:textId="77777777" w:rsidR="00F22FBD" w:rsidRDefault="00D44E4A">
      <w:pPr>
        <w:rPr>
          <w:i/>
          <w:iCs/>
          <w:u w:val="single"/>
        </w:rPr>
      </w:pPr>
      <w:r>
        <w:rPr>
          <w:i/>
          <w:iCs/>
          <w:u w:val="single"/>
        </w:rPr>
        <w:t>Kūno svoris</w:t>
      </w:r>
    </w:p>
    <w:p w14:paraId="4D0F0CAE" w14:textId="77777777" w:rsidR="00F22FBD" w:rsidRDefault="00D44E4A">
      <w:r>
        <w:t>Suaugusių pacientų, sveriančių &gt; 100 kg, organizme mažiausia dabigatrano koncentracija buvo maždaug 20 % mažesnė negu pacientų, sveriančių 50-100 kg. Dauguma (80,8 %) pacientų priklausė svorio nuo ≥ 50 iki &lt; 100 kg kategorijai, jų organizme aiškių skirtumų nenustatyta (žr. 4.2 ir 4.4 skyrius). Klinikinių duomenų apie farmakokinetiką suaugusių pacientų, sveriančių &lt; 50 kg, organizme, yra mažai.</w:t>
      </w:r>
    </w:p>
    <w:p w14:paraId="5566502B" w14:textId="77777777" w:rsidR="00F22FBD" w:rsidRDefault="00F22FBD"/>
    <w:p w14:paraId="511E5D1C" w14:textId="77777777" w:rsidR="00F22FBD" w:rsidRDefault="00D44E4A">
      <w:pPr>
        <w:rPr>
          <w:i/>
          <w:iCs/>
          <w:u w:val="single"/>
        </w:rPr>
      </w:pPr>
      <w:r>
        <w:rPr>
          <w:i/>
          <w:iCs/>
          <w:u w:val="single"/>
        </w:rPr>
        <w:t>Lytis</w:t>
      </w:r>
    </w:p>
    <w:p w14:paraId="14E6CCB2" w14:textId="77777777" w:rsidR="00F22FBD" w:rsidRDefault="00D44E4A">
      <w:r>
        <w:t>Pirminės VTE profilaktikos tyrimų metu moterų organizme aktyvios medžiagos ekspozicija buvo maždaug 40 % – 50 % didesnė negu vyrų, tačiau dėl to dozę keisti nerekomenduojama.</w:t>
      </w:r>
    </w:p>
    <w:p w14:paraId="7547941D" w14:textId="77777777" w:rsidR="00F22FBD" w:rsidRDefault="00F22FBD"/>
    <w:p w14:paraId="560A195D" w14:textId="77777777" w:rsidR="00F22FBD" w:rsidRDefault="00D44E4A">
      <w:pPr>
        <w:rPr>
          <w:i/>
          <w:iCs/>
          <w:u w:val="single"/>
        </w:rPr>
      </w:pPr>
      <w:r>
        <w:rPr>
          <w:i/>
          <w:iCs/>
          <w:u w:val="single"/>
        </w:rPr>
        <w:t>Etninė grupė</w:t>
      </w:r>
    </w:p>
    <w:p w14:paraId="5C7BF64D" w14:textId="77777777" w:rsidR="00F22FBD" w:rsidRDefault="00D44E4A">
      <w:r>
        <w:t>Priklausomai nuo etninės grupės kliniškai reikšmingų dabigatrano farmakokinetikos ir farmakodinamikos skirtumų europidų, afroamerikiečių, ispanų, japonų ar kinų organizme nepastebėta.</w:t>
      </w:r>
    </w:p>
    <w:p w14:paraId="1AA4C8EF" w14:textId="77777777" w:rsidR="00F22FBD" w:rsidRDefault="00F22FBD"/>
    <w:p w14:paraId="3EBD2DF3" w14:textId="77777777" w:rsidR="00F22FBD" w:rsidRDefault="00D44E4A">
      <w:pPr>
        <w:rPr>
          <w:i/>
          <w:iCs/>
          <w:u w:val="single"/>
        </w:rPr>
      </w:pPr>
      <w:r>
        <w:rPr>
          <w:i/>
          <w:iCs/>
          <w:u w:val="single"/>
        </w:rPr>
        <w:t>Vaikų populiacija</w:t>
      </w:r>
    </w:p>
    <w:p w14:paraId="7A9894CC" w14:textId="77777777" w:rsidR="00F22FBD" w:rsidRDefault="00D44E4A">
      <w:r>
        <w:t>Dabigatrano eteksilato vartojant per burną pagal protokole nurodytą dozavimo algoritmą, ekspozicija buvo tarp ribų, stebėtų suaugusiesiems, sergantiems GVT / PE. Remiantis jungtine tyrimų DIVERSITY ir 1160.108 farmakokinetikos duomenų analize, stebėtasis geometrinis mažiausios ekspozicijos verčių vidurkis VTE sergantiems pacientams vaikams nuo 0 iki &lt; 2 metų siekė 53,9 ng/ml, nuo 2 iki &lt; 12 metų – 63,0 ng/ml, o nuo 12 iki &lt; 18 metų – 99,1 ng/ml.</w:t>
      </w:r>
    </w:p>
    <w:p w14:paraId="4A9147ED" w14:textId="77777777" w:rsidR="00F22FBD" w:rsidRDefault="00F22FBD"/>
    <w:p w14:paraId="428125A4" w14:textId="77777777" w:rsidR="00F22FBD" w:rsidRDefault="00D44E4A">
      <w:pPr>
        <w:rPr>
          <w:u w:val="single"/>
        </w:rPr>
      </w:pPr>
      <w:r>
        <w:rPr>
          <w:u w:val="single"/>
        </w:rPr>
        <w:t>Farmakokinetinė sąveika</w:t>
      </w:r>
    </w:p>
    <w:p w14:paraId="6F8DD68C" w14:textId="77777777" w:rsidR="00F22FBD" w:rsidRDefault="00F22FBD"/>
    <w:p w14:paraId="2F6CAE20" w14:textId="77777777" w:rsidR="00F22FBD" w:rsidRDefault="00D44E4A">
      <w:r>
        <w:t>Kad dabigatrano eteksilatas slopintų ar indukuotų svarbiausius citochromo P 450 izofermentus, sąveikos tyrimų in vitro duomenys nerodo. Tai patvirtina ir tyrimai in vivo su sveikais savanoriais, kurių organizme sąveikos su šiomis aktyviomis medžiagomis: atorvastatinu (sąveika per CYP 3A4), digoksinu (sąveika per nešiklį P-glikoproteiną) ar diklofenaku (sąveika per CYP 2C9), nepastebėta.</w:t>
      </w:r>
    </w:p>
    <w:p w14:paraId="7760BF70" w14:textId="77777777" w:rsidR="00F22FBD" w:rsidRDefault="00F22FBD"/>
    <w:p w14:paraId="559D2645" w14:textId="77777777" w:rsidR="00F22FBD" w:rsidRDefault="00D44E4A">
      <w:pPr>
        <w:ind w:left="567" w:hanging="567"/>
        <w:rPr>
          <w:b/>
        </w:rPr>
      </w:pPr>
      <w:r>
        <w:rPr>
          <w:b/>
        </w:rPr>
        <w:t>5.3</w:t>
      </w:r>
      <w:r>
        <w:rPr>
          <w:b/>
        </w:rPr>
        <w:tab/>
        <w:t>Ikiklinikinių saugumo tyrimų duomenys</w:t>
      </w:r>
    </w:p>
    <w:p w14:paraId="08D20534" w14:textId="77777777" w:rsidR="00F22FBD" w:rsidRDefault="00F22FBD">
      <w:pPr>
        <w:ind w:left="567" w:hanging="567"/>
      </w:pPr>
    </w:p>
    <w:p w14:paraId="7C1E5116" w14:textId="77777777" w:rsidR="00F22FBD" w:rsidRDefault="00D44E4A">
      <w:r>
        <w:t>Įprastų farmakologinio saugumo, kartotinių dozių toksiškumo ir genotoksiškumo ikiklinikinių tyrimų duomenys specifinio pavojaus žmogui nerodo.</w:t>
      </w:r>
    </w:p>
    <w:p w14:paraId="3219B7D9" w14:textId="77777777" w:rsidR="00F22FBD" w:rsidRDefault="00F22FBD"/>
    <w:p w14:paraId="1FAEC73E" w14:textId="77777777" w:rsidR="00F22FBD" w:rsidRDefault="00D44E4A">
      <w:r>
        <w:t>Kartotinių dozių toksiškumo tyrimų metu pastebėtas poveikis priklausė nuo perdėto farmakodinaminio dabigatrano poveikio.</w:t>
      </w:r>
    </w:p>
    <w:p w14:paraId="0F1E4CF9" w14:textId="77777777" w:rsidR="00F22FBD" w:rsidRDefault="00F22FBD"/>
    <w:p w14:paraId="187BAFD2" w14:textId="77777777" w:rsidR="00F22FBD" w:rsidRDefault="00D44E4A">
      <w:r>
        <w:t>Tiriant poveikį patelių vaisingumui nustatyta, kad nuo 70 mg/kg kūno svorio dozės (ekspozicija 5 kartus didesnė už ekspoziciją žmogaus kraujo plazmoje) sumažėjo implantacijos dažnis, padažnėjo embriono gaišimas prieš implantaciją. Tokios dozės, kokios sukėlė toksinį poveikį žiurkių ir triušių vaikingai patelei (ekspozicija 5-10 kartų didesnė už ekspoziciją žmogaus kraujo plazmoje), mažino vaisiaus kūno svorį ir gyvybingumą, didino vaisiaus pokyčius. Poveikio prenataliniam ir postnataliniam vystymuisi tyrimų metu tokios dozės, kokios darė toksinį poveikį vaikingai patelei (ekspozicija buvo 4 kartus didesnė už ekspoziciją žmogaus kraujo plazmoje), dažnino vaisiaus gaišimą.</w:t>
      </w:r>
    </w:p>
    <w:p w14:paraId="5C14CA14" w14:textId="77777777" w:rsidR="00F22FBD" w:rsidRDefault="00F22FBD"/>
    <w:p w14:paraId="24994359" w14:textId="77777777" w:rsidR="00F22FBD" w:rsidRDefault="00D44E4A">
      <w:r>
        <w:t>Toksinio poveikio jaunikliams tyrime, atliktame su Han Wistar žiurkėmis, gaišimas buvo susijęs su kraujavimo reiškiniais esant panašioms ekspozicijos vertėms, kaip stebėtos suaugusiems gyvūnams. Manoma, kad suaugusių ir jauniklių žiurkių gaišimas susijęs su perdėtu farmakologiniu dabigatrano poveikiu bei su mechaninės jėgos naudojimu sušeriant dozę ir atliekant kitus tvarkymo veiksmus. Toksinio poveikio jaunikliams tyrimas neparodė nei didesnio jautrumo toksiniam poveikiui, nei bet kokio toksinio poveikio, būdingo tik jauniems gyvūnams.</w:t>
      </w:r>
    </w:p>
    <w:p w14:paraId="26B97E42" w14:textId="77777777" w:rsidR="00F22FBD" w:rsidRDefault="00F22FBD"/>
    <w:p w14:paraId="352D640C" w14:textId="77777777" w:rsidR="00F22FBD" w:rsidRDefault="00D44E4A">
      <w:r>
        <w:t>Toksinio poveikio žiurkėms ir pelėms visu jų gyvavimo laikotarpiu tyrimų metu ne didesnės kaip 200 mg/kg dabigatrano dozės tumorigeninio poveikio nedarė.</w:t>
      </w:r>
    </w:p>
    <w:p w14:paraId="2963F16F" w14:textId="77777777" w:rsidR="00F22FBD" w:rsidRDefault="00F22FBD"/>
    <w:p w14:paraId="7A31F754" w14:textId="77777777" w:rsidR="00F22FBD" w:rsidRDefault="00D44E4A">
      <w:pPr>
        <w:rPr>
          <w:noProof/>
          <w:szCs w:val="22"/>
          <w:u w:val="single"/>
        </w:rPr>
      </w:pPr>
      <w:r>
        <w:t>Aktyvioji dabigatrano eteksilato mesilato dalis dabigatranas yra išliekantis aplinkoje.</w:t>
      </w:r>
    </w:p>
    <w:p w14:paraId="69EA40B5" w14:textId="77777777" w:rsidR="00F22FBD" w:rsidRDefault="00F22FBD">
      <w:pPr>
        <w:ind w:left="567" w:hanging="567"/>
      </w:pPr>
    </w:p>
    <w:p w14:paraId="5AC14EDF" w14:textId="77777777" w:rsidR="00F22FBD" w:rsidRDefault="00F22FBD">
      <w:pPr>
        <w:ind w:left="567" w:hanging="567"/>
      </w:pPr>
    </w:p>
    <w:p w14:paraId="44FBA929" w14:textId="77777777" w:rsidR="00F22FBD" w:rsidRDefault="00D44E4A">
      <w:pPr>
        <w:ind w:left="567" w:hanging="567"/>
        <w:rPr>
          <w:b/>
          <w:caps/>
        </w:rPr>
      </w:pPr>
      <w:r>
        <w:rPr>
          <w:b/>
          <w:caps/>
        </w:rPr>
        <w:t>6.</w:t>
      </w:r>
      <w:r>
        <w:rPr>
          <w:b/>
          <w:caps/>
        </w:rPr>
        <w:tab/>
        <w:t>farmacinė informacija</w:t>
      </w:r>
    </w:p>
    <w:p w14:paraId="0595762B" w14:textId="77777777" w:rsidR="00F22FBD" w:rsidRDefault="00F22FBD">
      <w:pPr>
        <w:ind w:left="567" w:hanging="567"/>
      </w:pPr>
    </w:p>
    <w:p w14:paraId="51E31527" w14:textId="77777777" w:rsidR="00F22FBD" w:rsidRDefault="00D44E4A">
      <w:pPr>
        <w:ind w:left="567" w:hanging="567"/>
        <w:rPr>
          <w:b/>
        </w:rPr>
      </w:pPr>
      <w:r>
        <w:rPr>
          <w:b/>
        </w:rPr>
        <w:t>6.1</w:t>
      </w:r>
      <w:r>
        <w:rPr>
          <w:b/>
        </w:rPr>
        <w:tab/>
        <w:t>Pagalbinių medžiagų sąrašas</w:t>
      </w:r>
    </w:p>
    <w:p w14:paraId="0FAF6897" w14:textId="77777777" w:rsidR="00F22FBD" w:rsidRDefault="00F22FBD"/>
    <w:p w14:paraId="574C2027" w14:textId="77777777" w:rsidR="00F22FBD" w:rsidRDefault="00D44E4A">
      <w:pPr>
        <w:rPr>
          <w:u w:val="single"/>
        </w:rPr>
      </w:pPr>
      <w:r>
        <w:rPr>
          <w:u w:val="single"/>
        </w:rPr>
        <w:t>Kapsulės turinys</w:t>
      </w:r>
    </w:p>
    <w:p w14:paraId="1E7A53F5" w14:textId="77777777" w:rsidR="00F22FBD" w:rsidRDefault="00D44E4A">
      <w:r>
        <w:t>Vyno rūgštis</w:t>
      </w:r>
    </w:p>
    <w:p w14:paraId="55F3A509" w14:textId="77777777" w:rsidR="00F22FBD" w:rsidRDefault="00D44E4A">
      <w:r>
        <w:t>Hipromeliozė</w:t>
      </w:r>
    </w:p>
    <w:p w14:paraId="7F0F2B99" w14:textId="77777777" w:rsidR="00F22FBD" w:rsidRDefault="00D44E4A">
      <w:r>
        <w:t>Hidroksipropilceliuliozė</w:t>
      </w:r>
    </w:p>
    <w:p w14:paraId="04088AEA" w14:textId="77777777" w:rsidR="00F22FBD" w:rsidRDefault="00D44E4A">
      <w:r>
        <w:lastRenderedPageBreak/>
        <w:t>Talkas</w:t>
      </w:r>
    </w:p>
    <w:p w14:paraId="56C5F013" w14:textId="77777777" w:rsidR="00F22FBD" w:rsidRDefault="00F22FBD">
      <w:pPr>
        <w:ind w:left="567" w:hanging="567"/>
      </w:pPr>
    </w:p>
    <w:p w14:paraId="0297E42B" w14:textId="77777777" w:rsidR="00F22FBD" w:rsidRDefault="00D44E4A">
      <w:pPr>
        <w:ind w:left="567" w:hanging="567"/>
        <w:rPr>
          <w:u w:val="single"/>
        </w:rPr>
      </w:pPr>
      <w:r>
        <w:rPr>
          <w:u w:val="single"/>
        </w:rPr>
        <w:t>Kapsulės apvalkalas</w:t>
      </w:r>
    </w:p>
    <w:p w14:paraId="1819023E" w14:textId="77777777" w:rsidR="00F22FBD" w:rsidRDefault="00D44E4A">
      <w:pPr>
        <w:widowControl w:val="0"/>
        <w:tabs>
          <w:tab w:val="left" w:pos="567"/>
        </w:tabs>
        <w:rPr>
          <w:color w:val="000000"/>
          <w:szCs w:val="22"/>
          <w:lang w:val="it-IT"/>
        </w:rPr>
      </w:pPr>
      <w:r>
        <w:rPr>
          <w:color w:val="000000"/>
          <w:szCs w:val="22"/>
          <w:lang w:val="it-IT"/>
        </w:rPr>
        <w:t>Titano dioksidas (E 171)</w:t>
      </w:r>
    </w:p>
    <w:p w14:paraId="1277B5FB" w14:textId="77777777" w:rsidR="00F22FBD" w:rsidRDefault="00D44E4A">
      <w:pPr>
        <w:ind w:left="567" w:hanging="567"/>
      </w:pPr>
      <w:r>
        <w:t>Karagenanas</w:t>
      </w:r>
    </w:p>
    <w:p w14:paraId="158D242B" w14:textId="77777777" w:rsidR="00F22FBD" w:rsidRDefault="00D44E4A">
      <w:pPr>
        <w:ind w:left="567" w:hanging="567"/>
      </w:pPr>
      <w:r>
        <w:t>Kalio chloridas</w:t>
      </w:r>
    </w:p>
    <w:p w14:paraId="62B1521F" w14:textId="77777777" w:rsidR="00F22FBD" w:rsidRDefault="00D44E4A">
      <w:pPr>
        <w:ind w:left="567" w:hanging="567"/>
      </w:pPr>
      <w:r>
        <w:t>Hipromeliozė</w:t>
      </w:r>
    </w:p>
    <w:p w14:paraId="47A85A8F" w14:textId="77777777" w:rsidR="00F22FBD" w:rsidRDefault="00F22FBD">
      <w:pPr>
        <w:ind w:left="567" w:hanging="567"/>
      </w:pPr>
    </w:p>
    <w:p w14:paraId="20A6FDFD" w14:textId="77777777" w:rsidR="00F22FBD" w:rsidRDefault="00D44E4A">
      <w:pPr>
        <w:ind w:left="567" w:hanging="567"/>
        <w:rPr>
          <w:u w:val="single"/>
        </w:rPr>
      </w:pPr>
      <w:r>
        <w:rPr>
          <w:u w:val="single"/>
        </w:rPr>
        <w:t>Juodas rašalas</w:t>
      </w:r>
    </w:p>
    <w:p w14:paraId="416A84D0" w14:textId="77777777" w:rsidR="00F22FBD" w:rsidRDefault="00D44E4A">
      <w:pPr>
        <w:ind w:left="567" w:hanging="567"/>
      </w:pPr>
      <w:r>
        <w:t>Šelakas</w:t>
      </w:r>
    </w:p>
    <w:p w14:paraId="2E75F85B" w14:textId="77777777" w:rsidR="00F22FBD" w:rsidRDefault="00D44E4A">
      <w:pPr>
        <w:ind w:left="567" w:hanging="567"/>
      </w:pPr>
      <w:r>
        <w:t>Juodasis geležies oksidas (E 172)</w:t>
      </w:r>
    </w:p>
    <w:p w14:paraId="7EC577E6" w14:textId="77777777" w:rsidR="00F22FBD" w:rsidRDefault="00D44E4A">
      <w:pPr>
        <w:ind w:left="567" w:hanging="567"/>
      </w:pPr>
      <w:r>
        <w:t>Kalio hidroksidas</w:t>
      </w:r>
    </w:p>
    <w:p w14:paraId="78959F46" w14:textId="77777777" w:rsidR="00F22FBD" w:rsidRDefault="00F22FBD">
      <w:pPr>
        <w:ind w:left="567" w:hanging="567"/>
      </w:pPr>
    </w:p>
    <w:p w14:paraId="1F0C2FDA" w14:textId="77777777" w:rsidR="00F22FBD" w:rsidRDefault="00D44E4A">
      <w:pPr>
        <w:ind w:left="567" w:hanging="567"/>
        <w:rPr>
          <w:b/>
        </w:rPr>
      </w:pPr>
      <w:r>
        <w:rPr>
          <w:b/>
        </w:rPr>
        <w:t>6.2</w:t>
      </w:r>
      <w:r>
        <w:rPr>
          <w:b/>
        </w:rPr>
        <w:tab/>
        <w:t>Nesuderinamumas</w:t>
      </w:r>
    </w:p>
    <w:p w14:paraId="31947592" w14:textId="77777777" w:rsidR="00F22FBD" w:rsidRDefault="00F22FBD">
      <w:pPr>
        <w:ind w:left="567" w:hanging="567"/>
      </w:pPr>
    </w:p>
    <w:p w14:paraId="276F1E6F" w14:textId="77777777" w:rsidR="00F22FBD" w:rsidRDefault="00D44E4A">
      <w:pPr>
        <w:ind w:left="567" w:hanging="567"/>
      </w:pPr>
      <w:r>
        <w:t>Duomenys nebūtini.</w:t>
      </w:r>
    </w:p>
    <w:p w14:paraId="6CEF4B3C" w14:textId="77777777" w:rsidR="00F22FBD" w:rsidRDefault="00F22FBD">
      <w:pPr>
        <w:ind w:left="567" w:hanging="567"/>
      </w:pPr>
    </w:p>
    <w:p w14:paraId="33261E81" w14:textId="77777777" w:rsidR="00F22FBD" w:rsidRDefault="00D44E4A">
      <w:pPr>
        <w:ind w:left="567" w:hanging="567"/>
        <w:rPr>
          <w:b/>
        </w:rPr>
      </w:pPr>
      <w:r>
        <w:rPr>
          <w:b/>
        </w:rPr>
        <w:t>6.3</w:t>
      </w:r>
      <w:r>
        <w:rPr>
          <w:b/>
        </w:rPr>
        <w:tab/>
        <w:t>Tinkamumo laikas</w:t>
      </w:r>
    </w:p>
    <w:p w14:paraId="586D0F4E" w14:textId="77777777" w:rsidR="00F22FBD" w:rsidRDefault="00F22FBD">
      <w:pPr>
        <w:ind w:left="567" w:hanging="567"/>
      </w:pPr>
    </w:p>
    <w:p w14:paraId="6AF1185F" w14:textId="3E370DA2" w:rsidR="00F22FBD" w:rsidRDefault="00D44E4A">
      <w:pPr>
        <w:ind w:left="567" w:hanging="567"/>
      </w:pPr>
      <w:r>
        <w:t>3 metai</w:t>
      </w:r>
    </w:p>
    <w:p w14:paraId="3E40EA13" w14:textId="77777777" w:rsidR="00F22FBD" w:rsidRDefault="00F22FBD">
      <w:pPr>
        <w:ind w:left="567" w:hanging="567"/>
      </w:pPr>
    </w:p>
    <w:p w14:paraId="5B60B497" w14:textId="77777777" w:rsidR="00F22FBD" w:rsidRDefault="00D44E4A">
      <w:pPr>
        <w:ind w:left="567" w:hanging="567"/>
        <w:rPr>
          <w:b/>
        </w:rPr>
      </w:pPr>
      <w:r>
        <w:rPr>
          <w:b/>
        </w:rPr>
        <w:t>6.4</w:t>
      </w:r>
      <w:r>
        <w:rPr>
          <w:b/>
        </w:rPr>
        <w:tab/>
        <w:t>Specialios laikymo sąlygos</w:t>
      </w:r>
    </w:p>
    <w:p w14:paraId="27FCEEF5" w14:textId="77777777" w:rsidR="00F22FBD" w:rsidRDefault="00F22FBD">
      <w:pPr>
        <w:rPr>
          <w:i/>
          <w:iCs/>
        </w:rPr>
      </w:pPr>
    </w:p>
    <w:p w14:paraId="2D67E846" w14:textId="77777777" w:rsidR="00F22FBD" w:rsidRDefault="00D44E4A">
      <w:pPr>
        <w:ind w:left="567" w:hanging="567"/>
        <w:rPr>
          <w:noProof/>
          <w:szCs w:val="22"/>
          <w:u w:val="single"/>
        </w:rPr>
      </w:pPr>
      <w:r>
        <w:rPr>
          <w:noProof/>
          <w:u w:val="single"/>
        </w:rPr>
        <w:t xml:space="preserve">Lizdinė </w:t>
      </w:r>
      <w:r>
        <w:rPr>
          <w:noProof/>
          <w:szCs w:val="22"/>
          <w:u w:val="single"/>
        </w:rPr>
        <w:t>plokštelė</w:t>
      </w:r>
    </w:p>
    <w:p w14:paraId="064692E9" w14:textId="77777777" w:rsidR="00F22FBD" w:rsidRDefault="00D44E4A">
      <w:pPr>
        <w:ind w:left="567" w:hanging="567"/>
        <w:rPr>
          <w:noProof/>
          <w:szCs w:val="22"/>
        </w:rPr>
      </w:pPr>
      <w:r>
        <w:rPr>
          <w:noProof/>
          <w:szCs w:val="22"/>
        </w:rPr>
        <w:t>Šiam vaistiniam preparatui specialių temperatūros laikymo sąlygų nereikia.</w:t>
      </w:r>
    </w:p>
    <w:p w14:paraId="5C7EA113" w14:textId="77777777" w:rsidR="00F22FBD" w:rsidRDefault="00D44E4A">
      <w:pPr>
        <w:ind w:left="567" w:hanging="567"/>
        <w:rPr>
          <w:noProof/>
          <w:szCs w:val="22"/>
        </w:rPr>
      </w:pPr>
      <w:r>
        <w:rPr>
          <w:noProof/>
          <w:szCs w:val="22"/>
        </w:rPr>
        <w:t xml:space="preserve">Laikyti gamintojo pakuotėje, kad </w:t>
      </w:r>
      <w:bookmarkStart w:id="1" w:name="_Hlk148525453"/>
      <w:r>
        <w:rPr>
          <w:szCs w:val="22"/>
        </w:rPr>
        <w:t>vaistinis preparatas</w:t>
      </w:r>
      <w:bookmarkEnd w:id="1"/>
      <w:r>
        <w:rPr>
          <w:szCs w:val="22"/>
        </w:rPr>
        <w:t xml:space="preserve"> </w:t>
      </w:r>
      <w:r>
        <w:rPr>
          <w:noProof/>
          <w:szCs w:val="22"/>
        </w:rPr>
        <w:t>būtų apsaugotas nuo šviesos ir drėgmės.</w:t>
      </w:r>
    </w:p>
    <w:p w14:paraId="00F64B18" w14:textId="77777777" w:rsidR="00F22FBD" w:rsidRDefault="00F22FBD">
      <w:pPr>
        <w:ind w:left="567" w:hanging="567"/>
        <w:rPr>
          <w:szCs w:val="22"/>
          <w:u w:val="single"/>
        </w:rPr>
      </w:pPr>
    </w:p>
    <w:p w14:paraId="03AB8E7F" w14:textId="77777777" w:rsidR="00F22FBD" w:rsidRDefault="00D44E4A">
      <w:pPr>
        <w:ind w:left="567" w:hanging="567"/>
        <w:rPr>
          <w:szCs w:val="22"/>
          <w:u w:val="single"/>
        </w:rPr>
      </w:pPr>
      <w:r>
        <w:rPr>
          <w:szCs w:val="22"/>
          <w:u w:val="single"/>
        </w:rPr>
        <w:t>Talpyklė</w:t>
      </w:r>
    </w:p>
    <w:p w14:paraId="67864925" w14:textId="77777777" w:rsidR="00F22FBD" w:rsidRDefault="00D44E4A">
      <w:pPr>
        <w:ind w:left="567" w:hanging="567"/>
        <w:rPr>
          <w:noProof/>
          <w:szCs w:val="22"/>
        </w:rPr>
      </w:pPr>
      <w:r>
        <w:rPr>
          <w:noProof/>
          <w:szCs w:val="22"/>
        </w:rPr>
        <w:t>Šiam vaistiniam preparatui specialių temperatūros laikymo sąlygų nereikia.</w:t>
      </w:r>
    </w:p>
    <w:p w14:paraId="25B0FFD2" w14:textId="77777777" w:rsidR="00F22FBD" w:rsidRDefault="00D44E4A">
      <w:pPr>
        <w:ind w:left="567" w:hanging="567"/>
        <w:rPr>
          <w:noProof/>
          <w:szCs w:val="22"/>
        </w:rPr>
      </w:pPr>
      <w:r>
        <w:rPr>
          <w:noProof/>
          <w:szCs w:val="22"/>
        </w:rPr>
        <w:t xml:space="preserve">Laikyti gamintojo pakuotėje, kad </w:t>
      </w:r>
      <w:r>
        <w:rPr>
          <w:szCs w:val="22"/>
        </w:rPr>
        <w:t xml:space="preserve">vaistinis preparatas </w:t>
      </w:r>
      <w:r>
        <w:rPr>
          <w:noProof/>
          <w:szCs w:val="22"/>
        </w:rPr>
        <w:t>būtų apsaugotas nuo šviesos ir drėgmės.</w:t>
      </w:r>
    </w:p>
    <w:p w14:paraId="1252DAAE" w14:textId="77777777" w:rsidR="00F22FBD" w:rsidRDefault="00D44E4A">
      <w:pPr>
        <w:ind w:left="567" w:hanging="567"/>
        <w:rPr>
          <w:szCs w:val="22"/>
        </w:rPr>
      </w:pPr>
      <w:bookmarkStart w:id="2" w:name="_Hlk147492217"/>
      <w:bookmarkStart w:id="3" w:name="_Hlk147490022"/>
      <w:r>
        <w:rPr>
          <w:szCs w:val="22"/>
        </w:rPr>
        <w:t>Talpyklę laikyti sandariai uždarytą</w:t>
      </w:r>
      <w:bookmarkEnd w:id="2"/>
      <w:r>
        <w:rPr>
          <w:szCs w:val="22"/>
        </w:rPr>
        <w:t>.</w:t>
      </w:r>
    </w:p>
    <w:bookmarkEnd w:id="3"/>
    <w:p w14:paraId="0F9C1251" w14:textId="77777777" w:rsidR="00F22FBD" w:rsidRDefault="00F22FBD">
      <w:pPr>
        <w:ind w:left="567" w:hanging="567"/>
        <w:rPr>
          <w:szCs w:val="22"/>
          <w:u w:val="single"/>
        </w:rPr>
      </w:pPr>
    </w:p>
    <w:p w14:paraId="71775D61" w14:textId="77777777" w:rsidR="00F22FBD" w:rsidRDefault="00D44E4A">
      <w:pPr>
        <w:ind w:left="567" w:hanging="567"/>
        <w:rPr>
          <w:b/>
          <w:szCs w:val="22"/>
        </w:rPr>
      </w:pPr>
      <w:r>
        <w:rPr>
          <w:b/>
          <w:szCs w:val="22"/>
        </w:rPr>
        <w:t>6.5</w:t>
      </w:r>
      <w:r>
        <w:rPr>
          <w:b/>
          <w:szCs w:val="22"/>
        </w:rPr>
        <w:tab/>
        <w:t>Talpyklės pobūdis ir jos turinys</w:t>
      </w:r>
    </w:p>
    <w:p w14:paraId="0B4635AC" w14:textId="77777777" w:rsidR="00F22FBD" w:rsidRDefault="00F22FBD"/>
    <w:p w14:paraId="1F85BC76" w14:textId="77777777" w:rsidR="00F22FBD" w:rsidRDefault="00D44E4A">
      <w:r>
        <w:t>Perforuota dalomoji OPA/Alu/PE+DES//Alu/PE nuplėšiama lizdinė plokštelė: 10 x 1, 30 x 1, 60 x 1, 100 x 1 kietoji kapsulė arba sudėtinės pakuotės, kuriose yra 100 ( 2 pakuotės po 50 x 1) arba 180 (3 pakuotės po 60 x 1) kietųjų kapsulių, dėžutėje.</w:t>
      </w:r>
    </w:p>
    <w:p w14:paraId="689BBE73" w14:textId="77777777" w:rsidR="00F22FBD" w:rsidRDefault="00F22FBD"/>
    <w:p w14:paraId="39E63BD6" w14:textId="77777777" w:rsidR="00F22FBD" w:rsidRDefault="00D44E4A">
      <w:bookmarkStart w:id="4" w:name="_Hlk148450032"/>
      <w:r>
        <w:t xml:space="preserve">DTPE talpyklė, suvaikų sunkiai atidaromu, </w:t>
      </w:r>
      <w:r>
        <w:rPr>
          <w:rFonts w:asciiTheme="majorBidi" w:hAnsiTheme="majorBidi" w:cstheme="majorBidi"/>
          <w:snapToGrid w:val="0"/>
          <w:szCs w:val="22"/>
        </w:rPr>
        <w:t>pirmąjį atidarymą rodančiu</w:t>
      </w:r>
      <w:r>
        <w:t xml:space="preserve"> polipropileniniu dangteliu: 60 kietųjų kapsulių arba 3 talpyklės po 60 kietųjų kapsulių, dėžutėje.</w:t>
      </w:r>
    </w:p>
    <w:bookmarkEnd w:id="4"/>
    <w:p w14:paraId="50925676" w14:textId="77777777" w:rsidR="00F22FBD" w:rsidRDefault="00F22FBD">
      <w:pPr>
        <w:ind w:left="567" w:hanging="567"/>
      </w:pPr>
    </w:p>
    <w:p w14:paraId="190BBEEB" w14:textId="77777777" w:rsidR="00F22FBD" w:rsidRDefault="00D44E4A">
      <w:pPr>
        <w:ind w:left="567" w:hanging="567"/>
      </w:pPr>
      <w:r>
        <w:t>Gali būti tiekiamos ne visų dydžių pakuotės.</w:t>
      </w:r>
    </w:p>
    <w:p w14:paraId="72A7ECDF" w14:textId="77777777" w:rsidR="00F22FBD" w:rsidRDefault="00F22FBD">
      <w:pPr>
        <w:ind w:left="567" w:hanging="567"/>
      </w:pPr>
    </w:p>
    <w:p w14:paraId="2F372D5C" w14:textId="77777777" w:rsidR="00F22FBD" w:rsidRDefault="00D44E4A">
      <w:pPr>
        <w:ind w:left="567" w:hanging="567"/>
        <w:outlineLvl w:val="0"/>
        <w:rPr>
          <w:noProof/>
        </w:rPr>
      </w:pPr>
      <w:r>
        <w:rPr>
          <w:b/>
        </w:rPr>
        <w:t>6.6</w:t>
      </w:r>
      <w:r>
        <w:rPr>
          <w:b/>
        </w:rPr>
        <w:tab/>
      </w:r>
      <w:r>
        <w:rPr>
          <w:rStyle w:val="Grietas"/>
          <w:color w:val="000000"/>
        </w:rPr>
        <w:t>Specialūs reikalavimai atliekoms tvarkyti</w:t>
      </w:r>
    </w:p>
    <w:p w14:paraId="72D3F01F" w14:textId="77777777" w:rsidR="00F22FBD" w:rsidRDefault="00F22FBD">
      <w:pPr>
        <w:ind w:left="567" w:hanging="567"/>
        <w:rPr>
          <w:b/>
        </w:rPr>
      </w:pPr>
    </w:p>
    <w:p w14:paraId="47AFBCF6" w14:textId="77777777" w:rsidR="00F22FBD" w:rsidRDefault="00D44E4A">
      <w:pPr>
        <w:ind w:left="567" w:hanging="567"/>
      </w:pPr>
      <w:r>
        <w:t>Nesuvartotą vaistinį preparatą ar atliekas reikia tvarkyti laikantis vietinių reikalavimų.</w:t>
      </w:r>
    </w:p>
    <w:p w14:paraId="3BF11231" w14:textId="77777777" w:rsidR="00F22FBD" w:rsidRDefault="00F22FBD">
      <w:pPr>
        <w:ind w:left="567" w:hanging="567"/>
      </w:pPr>
    </w:p>
    <w:p w14:paraId="2A53C010" w14:textId="77777777" w:rsidR="00F22FBD" w:rsidRDefault="00D44E4A">
      <w:pPr>
        <w:ind w:left="567" w:hanging="567"/>
        <w:rPr>
          <w:b/>
          <w:caps/>
        </w:rPr>
      </w:pPr>
      <w:r>
        <w:rPr>
          <w:b/>
          <w:caps/>
        </w:rPr>
        <w:t>7.</w:t>
      </w:r>
      <w:r>
        <w:rPr>
          <w:b/>
          <w:caps/>
        </w:rPr>
        <w:tab/>
      </w:r>
      <w:r>
        <w:rPr>
          <w:b/>
          <w:caps/>
          <w:noProof/>
        </w:rPr>
        <w:t>REGISTRUOTOJAS</w:t>
      </w:r>
    </w:p>
    <w:p w14:paraId="69FBEC9E" w14:textId="77777777" w:rsidR="00F22FBD" w:rsidRDefault="00F22FBD"/>
    <w:p w14:paraId="00B15C31" w14:textId="77777777" w:rsidR="00F22FBD" w:rsidRDefault="00D44E4A">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2F2A81C5" w14:textId="77777777" w:rsidR="00F22FBD" w:rsidRDefault="00D44E4A">
      <w:pPr>
        <w:widowControl w:val="0"/>
        <w:rPr>
          <w:noProof/>
          <w:szCs w:val="22"/>
          <w:lang w:eastAsia="sl-SI"/>
        </w:rPr>
      </w:pPr>
      <w:r>
        <w:rPr>
          <w:noProof/>
          <w:szCs w:val="22"/>
          <w:lang w:eastAsia="sl-SI"/>
        </w:rPr>
        <w:t>Heinz-Lohmann-Straße 5</w:t>
      </w:r>
    </w:p>
    <w:p w14:paraId="0CC11E5D" w14:textId="77777777" w:rsidR="00F22FBD" w:rsidRDefault="00D44E4A">
      <w:pPr>
        <w:widowControl w:val="0"/>
        <w:rPr>
          <w:noProof/>
          <w:szCs w:val="22"/>
          <w:lang w:eastAsia="sl-SI"/>
        </w:rPr>
      </w:pPr>
      <w:r>
        <w:rPr>
          <w:noProof/>
          <w:szCs w:val="22"/>
          <w:lang w:eastAsia="sl-SI"/>
        </w:rPr>
        <w:t>27472 Cuxhaven</w:t>
      </w:r>
    </w:p>
    <w:p w14:paraId="67B692D0" w14:textId="77777777" w:rsidR="00F22FBD" w:rsidRDefault="00D44E4A">
      <w:pPr>
        <w:widowControl w:val="0"/>
        <w:rPr>
          <w:noProof/>
          <w:szCs w:val="22"/>
          <w:lang w:eastAsia="sl-SI"/>
        </w:rPr>
      </w:pPr>
      <w:r>
        <w:rPr>
          <w:noProof/>
          <w:szCs w:val="22"/>
          <w:lang w:eastAsia="sl-SI"/>
        </w:rPr>
        <w:t>Vokietija</w:t>
      </w:r>
    </w:p>
    <w:p w14:paraId="622B2085" w14:textId="77777777" w:rsidR="00F22FBD" w:rsidRDefault="00F22FBD">
      <w:pPr>
        <w:ind w:left="567" w:hanging="567"/>
      </w:pPr>
    </w:p>
    <w:p w14:paraId="2B8B8681" w14:textId="77777777" w:rsidR="00F22FBD" w:rsidRDefault="00F22FBD">
      <w:pPr>
        <w:ind w:left="567" w:hanging="567"/>
      </w:pPr>
    </w:p>
    <w:p w14:paraId="22B3C3D4" w14:textId="77777777" w:rsidR="00F22FBD" w:rsidRDefault="00D44E4A">
      <w:pPr>
        <w:ind w:left="567" w:hanging="567"/>
        <w:rPr>
          <w:i/>
        </w:rPr>
      </w:pPr>
      <w:r>
        <w:rPr>
          <w:b/>
          <w:caps/>
        </w:rPr>
        <w:t>8.</w:t>
      </w:r>
      <w:r>
        <w:rPr>
          <w:b/>
          <w:caps/>
        </w:rPr>
        <w:tab/>
      </w:r>
      <w:r>
        <w:rPr>
          <w:b/>
          <w:caps/>
          <w:noProof/>
        </w:rPr>
        <w:t xml:space="preserve">REGISTRACIJOS PAŽYMĖJIMO </w:t>
      </w:r>
      <w:r>
        <w:rPr>
          <w:b/>
          <w:caps/>
        </w:rPr>
        <w:t xml:space="preserve">numeris </w:t>
      </w:r>
      <w:r>
        <w:rPr>
          <w:b/>
          <w:caps/>
          <w:noProof/>
        </w:rPr>
        <w:t>(-IAI)</w:t>
      </w:r>
    </w:p>
    <w:p w14:paraId="656C61FF" w14:textId="77777777" w:rsidR="00F22FBD" w:rsidRDefault="00F22FBD">
      <w:pPr>
        <w:ind w:left="567" w:hanging="567"/>
      </w:pPr>
    </w:p>
    <w:p w14:paraId="09F86681" w14:textId="77777777" w:rsidR="00F22FBD" w:rsidRDefault="00D44E4A">
      <w:pPr>
        <w:widowControl w:val="0"/>
        <w:rPr>
          <w:szCs w:val="22"/>
          <w:lang w:eastAsia="lt-LT"/>
        </w:rPr>
      </w:pPr>
      <w:r>
        <w:rPr>
          <w:szCs w:val="22"/>
          <w:u w:val="single"/>
          <w:lang w:eastAsia="lt-LT"/>
        </w:rPr>
        <w:lastRenderedPageBreak/>
        <w:t>Dalomoji lizdinė plokštelė</w:t>
      </w:r>
      <w:r>
        <w:rPr>
          <w:szCs w:val="22"/>
          <w:lang w:eastAsia="lt-LT"/>
        </w:rPr>
        <w:t>:</w:t>
      </w:r>
    </w:p>
    <w:p w14:paraId="198127CD" w14:textId="77777777" w:rsidR="00F22FBD" w:rsidRDefault="00D44E4A">
      <w:pPr>
        <w:widowControl w:val="0"/>
        <w:rPr>
          <w:szCs w:val="22"/>
          <w:lang w:eastAsia="lt-LT"/>
        </w:rPr>
      </w:pPr>
      <w:r>
        <w:rPr>
          <w:szCs w:val="22"/>
          <w:lang w:eastAsia="lt-LT"/>
        </w:rPr>
        <w:t>LT/1/23/5280/001 – N10x1</w:t>
      </w:r>
    </w:p>
    <w:p w14:paraId="0AE09B26" w14:textId="77777777" w:rsidR="00F22FBD" w:rsidRDefault="00D44E4A">
      <w:pPr>
        <w:widowControl w:val="0"/>
        <w:rPr>
          <w:szCs w:val="22"/>
          <w:lang w:eastAsia="lt-LT"/>
        </w:rPr>
      </w:pPr>
      <w:r>
        <w:rPr>
          <w:szCs w:val="22"/>
          <w:lang w:eastAsia="lt-LT"/>
        </w:rPr>
        <w:t>LT/1/23/5280/002 – N30x1</w:t>
      </w:r>
    </w:p>
    <w:p w14:paraId="65ACB2B4" w14:textId="77777777" w:rsidR="00F22FBD" w:rsidRDefault="00D44E4A">
      <w:pPr>
        <w:widowControl w:val="0"/>
        <w:rPr>
          <w:szCs w:val="22"/>
          <w:lang w:eastAsia="lt-LT"/>
        </w:rPr>
      </w:pPr>
      <w:r>
        <w:rPr>
          <w:szCs w:val="22"/>
          <w:lang w:eastAsia="lt-LT"/>
        </w:rPr>
        <w:t>LT/1/23/5280/003 – N60x1</w:t>
      </w:r>
    </w:p>
    <w:p w14:paraId="2D50A28C" w14:textId="77777777" w:rsidR="00F22FBD" w:rsidRDefault="00D44E4A">
      <w:pPr>
        <w:widowControl w:val="0"/>
        <w:rPr>
          <w:szCs w:val="22"/>
          <w:lang w:eastAsia="lt-LT"/>
        </w:rPr>
      </w:pPr>
      <w:r>
        <w:rPr>
          <w:szCs w:val="22"/>
          <w:lang w:eastAsia="lt-LT"/>
        </w:rPr>
        <w:t>LT/1/23/5280/004 – N100x1</w:t>
      </w:r>
    </w:p>
    <w:p w14:paraId="097891B4" w14:textId="77777777" w:rsidR="00F22FBD" w:rsidRDefault="00D44E4A">
      <w:pPr>
        <w:widowControl w:val="0"/>
        <w:rPr>
          <w:szCs w:val="22"/>
          <w:lang w:eastAsia="lt-LT"/>
        </w:rPr>
      </w:pPr>
      <w:r>
        <w:rPr>
          <w:szCs w:val="22"/>
          <w:lang w:eastAsia="lt-LT"/>
        </w:rPr>
        <w:t>LT/1/23/5280/005 – N100 (2x(50x1))</w:t>
      </w:r>
    </w:p>
    <w:p w14:paraId="717A6CBF" w14:textId="77777777" w:rsidR="00F22FBD" w:rsidRDefault="00D44E4A">
      <w:pPr>
        <w:widowControl w:val="0"/>
        <w:rPr>
          <w:szCs w:val="22"/>
          <w:lang w:eastAsia="lt-LT"/>
        </w:rPr>
      </w:pPr>
      <w:r>
        <w:rPr>
          <w:szCs w:val="22"/>
          <w:lang w:eastAsia="lt-LT"/>
        </w:rPr>
        <w:t>LT/1/23/5280/006 – N180 (3x(60x1))</w:t>
      </w:r>
    </w:p>
    <w:p w14:paraId="00AACABC" w14:textId="77777777" w:rsidR="00F22FBD" w:rsidRDefault="00D44E4A">
      <w:pPr>
        <w:widowControl w:val="0"/>
        <w:rPr>
          <w:szCs w:val="22"/>
          <w:lang w:eastAsia="lt-LT"/>
        </w:rPr>
      </w:pPr>
      <w:r>
        <w:rPr>
          <w:szCs w:val="22"/>
          <w:u w:val="single"/>
          <w:lang w:eastAsia="lt-LT"/>
        </w:rPr>
        <w:t>Talpyklė</w:t>
      </w:r>
      <w:r>
        <w:rPr>
          <w:szCs w:val="22"/>
          <w:lang w:eastAsia="lt-LT"/>
        </w:rPr>
        <w:t>:</w:t>
      </w:r>
    </w:p>
    <w:p w14:paraId="33303EC7" w14:textId="77777777" w:rsidR="00F22FBD" w:rsidRDefault="00D44E4A">
      <w:pPr>
        <w:widowControl w:val="0"/>
        <w:rPr>
          <w:rFonts w:eastAsia="Calibri"/>
          <w:lang w:val="en-US"/>
        </w:rPr>
      </w:pPr>
      <w:r>
        <w:rPr>
          <w:szCs w:val="22"/>
          <w:lang w:eastAsia="lt-LT"/>
        </w:rPr>
        <w:t>LT/1/23/5280</w:t>
      </w:r>
      <w:r>
        <w:rPr>
          <w:rFonts w:eastAsia="Calibri"/>
          <w:lang w:val="en-US"/>
        </w:rPr>
        <w:t>/007 – N60</w:t>
      </w:r>
    </w:p>
    <w:p w14:paraId="5CE51FC6" w14:textId="77777777" w:rsidR="00F22FBD" w:rsidRDefault="00D44E4A">
      <w:pPr>
        <w:ind w:left="567" w:hanging="567"/>
        <w:rPr>
          <w:rFonts w:eastAsia="Calibri"/>
          <w:lang w:val="en-US"/>
        </w:rPr>
      </w:pPr>
      <w:r>
        <w:rPr>
          <w:rFonts w:eastAsia="Calibri"/>
          <w:lang w:val="en-US"/>
        </w:rPr>
        <w:t>LT/1/23/5280/008 – N3x60</w:t>
      </w:r>
    </w:p>
    <w:p w14:paraId="5D00DF35" w14:textId="77777777" w:rsidR="00F22FBD" w:rsidRDefault="00F22FBD">
      <w:pPr>
        <w:ind w:left="567" w:hanging="567"/>
      </w:pPr>
    </w:p>
    <w:p w14:paraId="057FE88C" w14:textId="77777777" w:rsidR="00F22FBD" w:rsidRDefault="00F22FBD">
      <w:pPr>
        <w:ind w:left="567" w:hanging="567"/>
      </w:pPr>
    </w:p>
    <w:p w14:paraId="1708F2BE" w14:textId="77777777" w:rsidR="00F22FBD" w:rsidRDefault="00D44E4A">
      <w:pPr>
        <w:ind w:left="567" w:hanging="567"/>
        <w:rPr>
          <w:b/>
          <w:caps/>
        </w:rPr>
      </w:pPr>
      <w:r>
        <w:rPr>
          <w:b/>
          <w:caps/>
        </w:rPr>
        <w:t>9.</w:t>
      </w:r>
      <w:r>
        <w:rPr>
          <w:b/>
          <w:caps/>
        </w:rPr>
        <w:tab/>
      </w:r>
      <w:r>
        <w:rPr>
          <w:b/>
          <w:caps/>
          <w:noProof/>
        </w:rPr>
        <w:t xml:space="preserve">REGISTRAVIMO / PERREGISTRAVIMO </w:t>
      </w:r>
      <w:r>
        <w:rPr>
          <w:b/>
          <w:caps/>
        </w:rPr>
        <w:t>data</w:t>
      </w:r>
    </w:p>
    <w:p w14:paraId="4D55191F" w14:textId="77777777" w:rsidR="00F22FBD" w:rsidRDefault="00F22FBD">
      <w:pPr>
        <w:ind w:left="567" w:hanging="567"/>
        <w:rPr>
          <w:b/>
          <w:caps/>
        </w:rPr>
      </w:pPr>
    </w:p>
    <w:p w14:paraId="54B199A5" w14:textId="77777777" w:rsidR="00F22FBD" w:rsidRDefault="00D44E4A">
      <w:pPr>
        <w:rPr>
          <w:szCs w:val="22"/>
        </w:rPr>
      </w:pPr>
      <w:r>
        <w:rPr>
          <w:noProof/>
          <w:snapToGrid w:val="0"/>
        </w:rPr>
        <w:t xml:space="preserve">Registravimo data </w:t>
      </w:r>
      <w:r>
        <w:rPr>
          <w:szCs w:val="22"/>
        </w:rPr>
        <w:t>2023 m. lapkričio 27 d.</w:t>
      </w:r>
    </w:p>
    <w:p w14:paraId="3C60318C" w14:textId="77777777" w:rsidR="00F22FBD" w:rsidRDefault="00F22FBD">
      <w:pPr>
        <w:ind w:left="567" w:hanging="567"/>
      </w:pPr>
    </w:p>
    <w:p w14:paraId="5159A332" w14:textId="77777777" w:rsidR="00F22FBD" w:rsidRDefault="00F22FBD">
      <w:pPr>
        <w:ind w:left="567" w:hanging="567"/>
      </w:pPr>
    </w:p>
    <w:p w14:paraId="76D69F1C" w14:textId="77777777" w:rsidR="00F22FBD" w:rsidRDefault="00D44E4A">
      <w:pPr>
        <w:ind w:left="567" w:hanging="567"/>
        <w:rPr>
          <w:b/>
          <w:caps/>
        </w:rPr>
      </w:pPr>
      <w:r>
        <w:rPr>
          <w:b/>
          <w:caps/>
        </w:rPr>
        <w:t>10.</w:t>
      </w:r>
      <w:r>
        <w:rPr>
          <w:b/>
          <w:caps/>
        </w:rPr>
        <w:tab/>
        <w:t>teksto peržiūros data</w:t>
      </w:r>
    </w:p>
    <w:p w14:paraId="22A2EF3B" w14:textId="77777777" w:rsidR="00F22FBD" w:rsidRDefault="00F22FBD">
      <w:pPr>
        <w:ind w:left="567" w:hanging="567"/>
        <w:rPr>
          <w:b/>
          <w:caps/>
        </w:rPr>
      </w:pPr>
    </w:p>
    <w:p w14:paraId="5FC0803A" w14:textId="29A0DF36" w:rsidR="00F22FBD" w:rsidRDefault="00D44E4A">
      <w:pPr>
        <w:suppressLineNumbers/>
        <w:tabs>
          <w:tab w:val="left" w:pos="567"/>
        </w:tabs>
        <w:rPr>
          <w:szCs w:val="22"/>
        </w:rPr>
      </w:pPr>
      <w:r>
        <w:rPr>
          <w:szCs w:val="22"/>
        </w:rPr>
        <w:t>2025 m. balandžio 18 d.</w:t>
      </w:r>
    </w:p>
    <w:p w14:paraId="77040A15" w14:textId="77777777" w:rsidR="00F22FBD" w:rsidRDefault="00F22FBD">
      <w:pPr>
        <w:ind w:left="567" w:hanging="567"/>
      </w:pPr>
    </w:p>
    <w:p w14:paraId="7103BFBC" w14:textId="77777777" w:rsidR="00F22FBD" w:rsidRDefault="00F22FBD">
      <w:pPr>
        <w:ind w:left="567" w:hanging="567"/>
      </w:pPr>
    </w:p>
    <w:p w14:paraId="37DF9618" w14:textId="77777777" w:rsidR="00F22FBD" w:rsidRDefault="00D44E4A">
      <w:pPr>
        <w:tabs>
          <w:tab w:val="left" w:pos="567"/>
        </w:tabs>
        <w:spacing w:line="260" w:lineRule="exact"/>
        <w:jc w:val="center"/>
      </w:pPr>
      <w:r>
        <w:br w:type="page"/>
      </w:r>
    </w:p>
    <w:p w14:paraId="178DE7DE" w14:textId="77777777" w:rsidR="00F22FBD" w:rsidRDefault="00F22FBD">
      <w:pPr>
        <w:widowControl w:val="0"/>
        <w:tabs>
          <w:tab w:val="left" w:pos="567"/>
        </w:tabs>
        <w:jc w:val="center"/>
        <w:rPr>
          <w:snapToGrid w:val="0"/>
          <w:szCs w:val="22"/>
        </w:rPr>
      </w:pPr>
    </w:p>
    <w:p w14:paraId="3A04FEA0" w14:textId="77777777" w:rsidR="00F22FBD" w:rsidRDefault="00F22FBD">
      <w:pPr>
        <w:widowControl w:val="0"/>
        <w:tabs>
          <w:tab w:val="left" w:pos="567"/>
        </w:tabs>
        <w:jc w:val="center"/>
        <w:rPr>
          <w:snapToGrid w:val="0"/>
          <w:szCs w:val="22"/>
        </w:rPr>
      </w:pPr>
    </w:p>
    <w:p w14:paraId="6CA904D5" w14:textId="77777777" w:rsidR="00F22FBD" w:rsidRDefault="00F22FBD">
      <w:pPr>
        <w:widowControl w:val="0"/>
        <w:tabs>
          <w:tab w:val="left" w:pos="567"/>
        </w:tabs>
        <w:jc w:val="center"/>
        <w:rPr>
          <w:snapToGrid w:val="0"/>
          <w:szCs w:val="22"/>
        </w:rPr>
      </w:pPr>
    </w:p>
    <w:p w14:paraId="2B2B4EE0" w14:textId="77777777" w:rsidR="00F22FBD" w:rsidRDefault="00F22FBD">
      <w:pPr>
        <w:widowControl w:val="0"/>
        <w:tabs>
          <w:tab w:val="left" w:pos="567"/>
        </w:tabs>
        <w:jc w:val="center"/>
        <w:rPr>
          <w:snapToGrid w:val="0"/>
          <w:szCs w:val="22"/>
        </w:rPr>
      </w:pPr>
    </w:p>
    <w:p w14:paraId="377DA5A4" w14:textId="77777777" w:rsidR="00F22FBD" w:rsidRDefault="00F22FBD">
      <w:pPr>
        <w:widowControl w:val="0"/>
        <w:tabs>
          <w:tab w:val="left" w:pos="567"/>
        </w:tabs>
        <w:jc w:val="center"/>
        <w:rPr>
          <w:snapToGrid w:val="0"/>
          <w:szCs w:val="22"/>
        </w:rPr>
      </w:pPr>
    </w:p>
    <w:p w14:paraId="6A485C3E" w14:textId="77777777" w:rsidR="00F22FBD" w:rsidRDefault="00F22FBD">
      <w:pPr>
        <w:widowControl w:val="0"/>
        <w:tabs>
          <w:tab w:val="left" w:pos="567"/>
        </w:tabs>
        <w:jc w:val="center"/>
        <w:rPr>
          <w:snapToGrid w:val="0"/>
          <w:szCs w:val="22"/>
        </w:rPr>
      </w:pPr>
    </w:p>
    <w:p w14:paraId="7507A44A" w14:textId="77777777" w:rsidR="00F22FBD" w:rsidRDefault="00F22FBD">
      <w:pPr>
        <w:widowControl w:val="0"/>
        <w:tabs>
          <w:tab w:val="left" w:pos="567"/>
        </w:tabs>
        <w:jc w:val="center"/>
        <w:rPr>
          <w:snapToGrid w:val="0"/>
          <w:szCs w:val="22"/>
        </w:rPr>
      </w:pPr>
    </w:p>
    <w:p w14:paraId="4136AF0E" w14:textId="77777777" w:rsidR="00F22FBD" w:rsidRDefault="00F22FBD">
      <w:pPr>
        <w:widowControl w:val="0"/>
        <w:tabs>
          <w:tab w:val="left" w:pos="567"/>
        </w:tabs>
        <w:jc w:val="center"/>
        <w:rPr>
          <w:snapToGrid w:val="0"/>
          <w:szCs w:val="22"/>
        </w:rPr>
      </w:pPr>
    </w:p>
    <w:p w14:paraId="69E695CF" w14:textId="77777777" w:rsidR="00F22FBD" w:rsidRDefault="00F22FBD">
      <w:pPr>
        <w:widowControl w:val="0"/>
        <w:tabs>
          <w:tab w:val="left" w:pos="567"/>
        </w:tabs>
        <w:jc w:val="center"/>
        <w:rPr>
          <w:snapToGrid w:val="0"/>
          <w:szCs w:val="22"/>
        </w:rPr>
      </w:pPr>
    </w:p>
    <w:p w14:paraId="4E0E0B5A" w14:textId="77777777" w:rsidR="00F22FBD" w:rsidRDefault="00F22FBD">
      <w:pPr>
        <w:widowControl w:val="0"/>
        <w:tabs>
          <w:tab w:val="left" w:pos="567"/>
        </w:tabs>
        <w:jc w:val="center"/>
        <w:rPr>
          <w:snapToGrid w:val="0"/>
          <w:szCs w:val="22"/>
        </w:rPr>
      </w:pPr>
    </w:p>
    <w:p w14:paraId="0BD65DC8" w14:textId="77777777" w:rsidR="00F22FBD" w:rsidRDefault="00F22FBD">
      <w:pPr>
        <w:widowControl w:val="0"/>
        <w:tabs>
          <w:tab w:val="left" w:pos="567"/>
        </w:tabs>
        <w:jc w:val="center"/>
        <w:rPr>
          <w:snapToGrid w:val="0"/>
          <w:szCs w:val="22"/>
        </w:rPr>
      </w:pPr>
    </w:p>
    <w:p w14:paraId="39D86C37" w14:textId="77777777" w:rsidR="00F22FBD" w:rsidRDefault="00F22FBD">
      <w:pPr>
        <w:widowControl w:val="0"/>
        <w:tabs>
          <w:tab w:val="left" w:pos="567"/>
        </w:tabs>
        <w:jc w:val="center"/>
        <w:rPr>
          <w:snapToGrid w:val="0"/>
          <w:szCs w:val="22"/>
        </w:rPr>
      </w:pPr>
    </w:p>
    <w:p w14:paraId="3EBC5A6A" w14:textId="77777777" w:rsidR="00F22FBD" w:rsidRDefault="00F22FBD">
      <w:pPr>
        <w:widowControl w:val="0"/>
        <w:tabs>
          <w:tab w:val="left" w:pos="567"/>
        </w:tabs>
        <w:jc w:val="center"/>
        <w:rPr>
          <w:snapToGrid w:val="0"/>
          <w:szCs w:val="22"/>
        </w:rPr>
      </w:pPr>
    </w:p>
    <w:p w14:paraId="5AE56594" w14:textId="77777777" w:rsidR="00F22FBD" w:rsidRDefault="00F22FBD">
      <w:pPr>
        <w:widowControl w:val="0"/>
        <w:tabs>
          <w:tab w:val="left" w:pos="567"/>
        </w:tabs>
        <w:jc w:val="center"/>
        <w:rPr>
          <w:snapToGrid w:val="0"/>
          <w:szCs w:val="22"/>
        </w:rPr>
      </w:pPr>
    </w:p>
    <w:p w14:paraId="2D76CD23" w14:textId="77777777" w:rsidR="00F22FBD" w:rsidRDefault="00F22FBD">
      <w:pPr>
        <w:widowControl w:val="0"/>
        <w:tabs>
          <w:tab w:val="left" w:pos="567"/>
        </w:tabs>
        <w:jc w:val="center"/>
        <w:rPr>
          <w:snapToGrid w:val="0"/>
          <w:szCs w:val="22"/>
        </w:rPr>
      </w:pPr>
    </w:p>
    <w:p w14:paraId="41A8808C" w14:textId="77777777" w:rsidR="00F22FBD" w:rsidRDefault="00F22FBD">
      <w:pPr>
        <w:widowControl w:val="0"/>
        <w:tabs>
          <w:tab w:val="left" w:pos="567"/>
        </w:tabs>
        <w:jc w:val="center"/>
        <w:rPr>
          <w:snapToGrid w:val="0"/>
          <w:szCs w:val="22"/>
        </w:rPr>
      </w:pPr>
    </w:p>
    <w:p w14:paraId="7858439D" w14:textId="77777777" w:rsidR="00F22FBD" w:rsidRDefault="00F22FBD">
      <w:pPr>
        <w:widowControl w:val="0"/>
        <w:tabs>
          <w:tab w:val="left" w:pos="567"/>
        </w:tabs>
        <w:jc w:val="center"/>
        <w:rPr>
          <w:snapToGrid w:val="0"/>
          <w:szCs w:val="22"/>
        </w:rPr>
      </w:pPr>
    </w:p>
    <w:p w14:paraId="6D26C62F" w14:textId="77777777" w:rsidR="00F22FBD" w:rsidRDefault="00F22FBD">
      <w:pPr>
        <w:widowControl w:val="0"/>
        <w:tabs>
          <w:tab w:val="left" w:pos="567"/>
        </w:tabs>
        <w:jc w:val="center"/>
        <w:rPr>
          <w:b/>
          <w:snapToGrid w:val="0"/>
          <w:szCs w:val="22"/>
        </w:rPr>
      </w:pPr>
    </w:p>
    <w:p w14:paraId="038DE580" w14:textId="77777777" w:rsidR="00F22FBD" w:rsidRDefault="00F22FBD">
      <w:pPr>
        <w:widowControl w:val="0"/>
        <w:tabs>
          <w:tab w:val="left" w:pos="567"/>
        </w:tabs>
        <w:jc w:val="center"/>
        <w:rPr>
          <w:b/>
          <w:snapToGrid w:val="0"/>
          <w:szCs w:val="22"/>
        </w:rPr>
      </w:pPr>
    </w:p>
    <w:p w14:paraId="75AA0CAE" w14:textId="77777777" w:rsidR="00F22FBD" w:rsidRDefault="00F22FBD">
      <w:pPr>
        <w:widowControl w:val="0"/>
        <w:tabs>
          <w:tab w:val="left" w:pos="567"/>
        </w:tabs>
        <w:jc w:val="center"/>
        <w:rPr>
          <w:b/>
          <w:snapToGrid w:val="0"/>
          <w:szCs w:val="22"/>
        </w:rPr>
      </w:pPr>
    </w:p>
    <w:p w14:paraId="17B55D5C" w14:textId="77777777" w:rsidR="00F22FBD" w:rsidRDefault="00F22FBD">
      <w:pPr>
        <w:widowControl w:val="0"/>
        <w:tabs>
          <w:tab w:val="left" w:pos="567"/>
        </w:tabs>
        <w:jc w:val="center"/>
        <w:rPr>
          <w:b/>
          <w:snapToGrid w:val="0"/>
          <w:szCs w:val="22"/>
        </w:rPr>
      </w:pPr>
    </w:p>
    <w:p w14:paraId="23CB4680" w14:textId="77777777" w:rsidR="00F22FBD" w:rsidRDefault="00F22FBD">
      <w:pPr>
        <w:widowControl w:val="0"/>
        <w:tabs>
          <w:tab w:val="left" w:pos="567"/>
        </w:tabs>
        <w:jc w:val="center"/>
        <w:rPr>
          <w:b/>
          <w:snapToGrid w:val="0"/>
          <w:szCs w:val="22"/>
        </w:rPr>
      </w:pPr>
    </w:p>
    <w:p w14:paraId="485C5931" w14:textId="77777777" w:rsidR="00F22FBD" w:rsidRDefault="00F22FBD">
      <w:pPr>
        <w:widowControl w:val="0"/>
        <w:tabs>
          <w:tab w:val="left" w:pos="567"/>
        </w:tabs>
        <w:jc w:val="center"/>
        <w:rPr>
          <w:b/>
          <w:szCs w:val="20"/>
          <w:lang w:eastAsia="sl-SI"/>
        </w:rPr>
      </w:pPr>
    </w:p>
    <w:p w14:paraId="19D68B96" w14:textId="77777777" w:rsidR="00F22FBD" w:rsidRDefault="00D44E4A">
      <w:pPr>
        <w:widowControl w:val="0"/>
        <w:tabs>
          <w:tab w:val="left" w:pos="567"/>
        </w:tabs>
        <w:jc w:val="center"/>
        <w:rPr>
          <w:b/>
          <w:snapToGrid w:val="0"/>
          <w:szCs w:val="22"/>
        </w:rPr>
      </w:pPr>
      <w:r>
        <w:rPr>
          <w:b/>
          <w:snapToGrid w:val="0"/>
          <w:szCs w:val="22"/>
        </w:rPr>
        <w:t>II PRIEDAS</w:t>
      </w:r>
    </w:p>
    <w:p w14:paraId="56B5CAB7" w14:textId="77777777" w:rsidR="00F22FBD" w:rsidRDefault="00F22FBD">
      <w:pPr>
        <w:widowControl w:val="0"/>
        <w:tabs>
          <w:tab w:val="left" w:pos="567"/>
        </w:tabs>
        <w:ind w:right="1416"/>
        <w:rPr>
          <w:snapToGrid w:val="0"/>
          <w:szCs w:val="22"/>
        </w:rPr>
      </w:pPr>
    </w:p>
    <w:p w14:paraId="172EA46D" w14:textId="77777777" w:rsidR="00F22FBD" w:rsidRDefault="00D44E4A">
      <w:pPr>
        <w:widowControl w:val="0"/>
        <w:tabs>
          <w:tab w:val="left" w:pos="567"/>
        </w:tabs>
        <w:jc w:val="center"/>
        <w:rPr>
          <w:i/>
          <w:snapToGrid w:val="0"/>
          <w:szCs w:val="22"/>
        </w:rPr>
      </w:pPr>
      <w:r>
        <w:rPr>
          <w:b/>
          <w:snapToGrid w:val="0"/>
          <w:szCs w:val="22"/>
        </w:rPr>
        <w:t>REGISTRACIJOS SĄLYGOS</w:t>
      </w:r>
    </w:p>
    <w:p w14:paraId="7366AA2F" w14:textId="77777777" w:rsidR="00F22FBD" w:rsidRDefault="00F22FBD">
      <w:pPr>
        <w:widowControl w:val="0"/>
        <w:tabs>
          <w:tab w:val="left" w:pos="567"/>
        </w:tabs>
        <w:jc w:val="center"/>
        <w:rPr>
          <w:snapToGrid w:val="0"/>
          <w:szCs w:val="22"/>
        </w:rPr>
      </w:pPr>
    </w:p>
    <w:p w14:paraId="449BBCF1" w14:textId="77777777" w:rsidR="00F22FBD" w:rsidRDefault="00D44E4A">
      <w:pPr>
        <w:widowControl w:val="0"/>
        <w:tabs>
          <w:tab w:val="left" w:pos="1701"/>
        </w:tabs>
        <w:ind w:left="1701" w:right="567" w:hanging="567"/>
        <w:rPr>
          <w:b/>
          <w:snapToGrid w:val="0"/>
          <w:szCs w:val="22"/>
        </w:rPr>
      </w:pPr>
      <w:r>
        <w:rPr>
          <w:b/>
          <w:snapToGrid w:val="0"/>
          <w:szCs w:val="22"/>
        </w:rPr>
        <w:t>A.</w:t>
      </w:r>
      <w:r>
        <w:rPr>
          <w:b/>
          <w:snapToGrid w:val="0"/>
          <w:szCs w:val="22"/>
        </w:rPr>
        <w:tab/>
        <w:t>GAMINTOJAS (-AI), ATSAKINGAS (-I) UŽ SERIJŲ IŠLEIDIMĄ</w:t>
      </w:r>
    </w:p>
    <w:p w14:paraId="25AC4ABC" w14:textId="77777777" w:rsidR="00F22FBD" w:rsidRDefault="00F22FBD">
      <w:pPr>
        <w:widowControl w:val="0"/>
        <w:ind w:left="567" w:right="567" w:hanging="567"/>
        <w:rPr>
          <w:snapToGrid w:val="0"/>
          <w:szCs w:val="22"/>
        </w:rPr>
      </w:pPr>
    </w:p>
    <w:p w14:paraId="5DBBD853" w14:textId="77777777" w:rsidR="00F22FBD" w:rsidRDefault="00D44E4A">
      <w:pPr>
        <w:widowControl w:val="0"/>
        <w:tabs>
          <w:tab w:val="left" w:pos="1701"/>
        </w:tabs>
        <w:ind w:left="1701" w:right="567" w:hanging="567"/>
        <w:rPr>
          <w:b/>
          <w:snapToGrid w:val="0"/>
          <w:szCs w:val="22"/>
        </w:rPr>
      </w:pPr>
      <w:r>
        <w:rPr>
          <w:b/>
          <w:snapToGrid w:val="0"/>
          <w:szCs w:val="22"/>
        </w:rPr>
        <w:t>B.</w:t>
      </w:r>
      <w:r>
        <w:rPr>
          <w:b/>
          <w:snapToGrid w:val="0"/>
          <w:szCs w:val="22"/>
        </w:rPr>
        <w:tab/>
        <w:t>TIEKIMO IR VARTOJIMO SĄLYGOS AR APRIBOJIMAI</w:t>
      </w:r>
    </w:p>
    <w:p w14:paraId="0A66D3AE" w14:textId="77777777" w:rsidR="00F22FBD" w:rsidRDefault="00D44E4A">
      <w:pPr>
        <w:widowControl w:val="0"/>
        <w:tabs>
          <w:tab w:val="left" w:pos="1701"/>
        </w:tabs>
        <w:ind w:left="1701" w:right="567" w:hanging="567"/>
        <w:rPr>
          <w:b/>
          <w:snapToGrid w:val="0"/>
          <w:szCs w:val="22"/>
        </w:rPr>
      </w:pPr>
      <w:r>
        <w:rPr>
          <w:snapToGrid w:val="0"/>
        </w:rPr>
        <w:br w:type="page"/>
      </w:r>
    </w:p>
    <w:p w14:paraId="25D3606D" w14:textId="77777777" w:rsidR="00F22FBD" w:rsidRDefault="00D44E4A">
      <w:pPr>
        <w:widowControl w:val="0"/>
        <w:tabs>
          <w:tab w:val="left" w:pos="567"/>
        </w:tabs>
        <w:ind w:left="567" w:hanging="567"/>
        <w:rPr>
          <w:b/>
          <w:snapToGrid w:val="0"/>
          <w:szCs w:val="22"/>
        </w:rPr>
      </w:pPr>
      <w:r>
        <w:rPr>
          <w:b/>
          <w:snapToGrid w:val="0"/>
          <w:szCs w:val="22"/>
        </w:rPr>
        <w:lastRenderedPageBreak/>
        <w:t>A.</w:t>
      </w:r>
      <w:r>
        <w:rPr>
          <w:b/>
          <w:snapToGrid w:val="0"/>
          <w:szCs w:val="22"/>
        </w:rPr>
        <w:tab/>
        <w:t>GAMINTOJAS (-AI), ATSAKINGAS (-I) UŽ SERIJŲ IŠLEIDIMĄ</w:t>
      </w:r>
    </w:p>
    <w:p w14:paraId="39270180" w14:textId="77777777" w:rsidR="00F22FBD" w:rsidRDefault="00F22FBD">
      <w:pPr>
        <w:widowControl w:val="0"/>
        <w:tabs>
          <w:tab w:val="left" w:pos="567"/>
        </w:tabs>
        <w:rPr>
          <w:snapToGrid w:val="0"/>
          <w:szCs w:val="22"/>
        </w:rPr>
      </w:pPr>
    </w:p>
    <w:p w14:paraId="2871656A" w14:textId="77777777" w:rsidR="00F22FBD" w:rsidRDefault="00D44E4A">
      <w:pPr>
        <w:widowControl w:val="0"/>
        <w:tabs>
          <w:tab w:val="left" w:pos="567"/>
        </w:tabs>
        <w:jc w:val="both"/>
        <w:rPr>
          <w:snapToGrid w:val="0"/>
          <w:szCs w:val="22"/>
        </w:rPr>
      </w:pPr>
      <w:r>
        <w:rPr>
          <w:snapToGrid w:val="0"/>
          <w:szCs w:val="22"/>
          <w:u w:val="single"/>
        </w:rPr>
        <w:t>Gamintojo, atsakingo už serijų išleidimą, pavadinimas ir adresas</w:t>
      </w:r>
    </w:p>
    <w:p w14:paraId="214C6C26" w14:textId="77777777" w:rsidR="00F22FBD" w:rsidRDefault="00F22FBD">
      <w:pPr>
        <w:widowControl w:val="0"/>
        <w:tabs>
          <w:tab w:val="left" w:pos="567"/>
        </w:tabs>
        <w:rPr>
          <w:snapToGrid w:val="0"/>
          <w:szCs w:val="22"/>
        </w:rPr>
      </w:pPr>
    </w:p>
    <w:p w14:paraId="0BDDC314" w14:textId="77777777" w:rsidR="00F22FBD" w:rsidRDefault="00D44E4A">
      <w:pPr>
        <w:widowControl w:val="0"/>
        <w:tabs>
          <w:tab w:val="left" w:pos="567"/>
        </w:tabs>
        <w:rPr>
          <w:szCs w:val="20"/>
          <w:lang w:eastAsia="sl-SI"/>
        </w:rPr>
      </w:pPr>
      <w:r>
        <w:rPr>
          <w:szCs w:val="20"/>
          <w:lang w:eastAsia="sl-SI"/>
        </w:rPr>
        <w:t>KRKA</w:t>
      </w:r>
      <w:r>
        <w:rPr>
          <w:snapToGrid w:val="0"/>
          <w:szCs w:val="22"/>
        </w:rPr>
        <w:t>, d.d., Novo mesto</w:t>
      </w:r>
    </w:p>
    <w:p w14:paraId="55917E80" w14:textId="77777777" w:rsidR="00F22FBD" w:rsidRDefault="00D44E4A">
      <w:pPr>
        <w:widowControl w:val="0"/>
        <w:tabs>
          <w:tab w:val="left" w:pos="567"/>
        </w:tabs>
        <w:rPr>
          <w:szCs w:val="20"/>
          <w:lang w:eastAsia="sl-SI"/>
        </w:rPr>
      </w:pPr>
      <w:r>
        <w:rPr>
          <w:snapToGrid w:val="0"/>
          <w:szCs w:val="22"/>
        </w:rPr>
        <w:t>Šmarješka cesta 6</w:t>
      </w:r>
    </w:p>
    <w:p w14:paraId="49AEE318" w14:textId="77777777" w:rsidR="00F22FBD" w:rsidRDefault="00D44E4A">
      <w:pPr>
        <w:widowControl w:val="0"/>
        <w:tabs>
          <w:tab w:val="left" w:pos="567"/>
        </w:tabs>
        <w:rPr>
          <w:szCs w:val="20"/>
          <w:lang w:eastAsia="sl-SI"/>
        </w:rPr>
      </w:pPr>
      <w:r>
        <w:rPr>
          <w:snapToGrid w:val="0"/>
          <w:szCs w:val="22"/>
        </w:rPr>
        <w:t>8501 Novo mesto</w:t>
      </w:r>
    </w:p>
    <w:p w14:paraId="554AED74" w14:textId="77777777" w:rsidR="00F22FBD" w:rsidRDefault="00D44E4A">
      <w:pPr>
        <w:widowControl w:val="0"/>
        <w:tabs>
          <w:tab w:val="left" w:pos="567"/>
        </w:tabs>
        <w:rPr>
          <w:snapToGrid w:val="0"/>
          <w:szCs w:val="22"/>
        </w:rPr>
      </w:pPr>
      <w:r>
        <w:rPr>
          <w:snapToGrid w:val="0"/>
          <w:szCs w:val="22"/>
        </w:rPr>
        <w:t>Slovėnija</w:t>
      </w:r>
    </w:p>
    <w:p w14:paraId="36845DE6" w14:textId="77777777" w:rsidR="00F22FBD" w:rsidRDefault="00F22FBD">
      <w:pPr>
        <w:widowControl w:val="0"/>
        <w:tabs>
          <w:tab w:val="left" w:pos="567"/>
        </w:tabs>
        <w:rPr>
          <w:snapToGrid w:val="0"/>
          <w:szCs w:val="22"/>
        </w:rPr>
      </w:pPr>
    </w:p>
    <w:p w14:paraId="0F130378" w14:textId="77777777" w:rsidR="00F22FBD" w:rsidRDefault="00F22FBD">
      <w:pPr>
        <w:widowControl w:val="0"/>
        <w:tabs>
          <w:tab w:val="left" w:pos="567"/>
        </w:tabs>
        <w:rPr>
          <w:snapToGrid w:val="0"/>
          <w:szCs w:val="22"/>
        </w:rPr>
      </w:pPr>
    </w:p>
    <w:p w14:paraId="6778CDEF" w14:textId="77777777" w:rsidR="00F22FBD" w:rsidRDefault="00D44E4A">
      <w:pPr>
        <w:widowControl w:val="0"/>
        <w:tabs>
          <w:tab w:val="left" w:pos="567"/>
        </w:tabs>
        <w:ind w:left="567" w:hanging="567"/>
        <w:rPr>
          <w:snapToGrid w:val="0"/>
          <w:szCs w:val="22"/>
        </w:rPr>
      </w:pPr>
      <w:r>
        <w:rPr>
          <w:b/>
          <w:snapToGrid w:val="0"/>
          <w:szCs w:val="22"/>
        </w:rPr>
        <w:t>B.</w:t>
      </w:r>
      <w:r>
        <w:rPr>
          <w:b/>
          <w:snapToGrid w:val="0"/>
          <w:szCs w:val="22"/>
        </w:rPr>
        <w:tab/>
        <w:t>TIEKIMO IR VARTOJIMO SĄLYGOS AR APRIBOJIMAI</w:t>
      </w:r>
    </w:p>
    <w:p w14:paraId="208144A2" w14:textId="77777777" w:rsidR="00F22FBD" w:rsidRDefault="00F22FBD">
      <w:pPr>
        <w:widowControl w:val="0"/>
        <w:tabs>
          <w:tab w:val="left" w:pos="567"/>
        </w:tabs>
        <w:rPr>
          <w:snapToGrid w:val="0"/>
          <w:szCs w:val="22"/>
        </w:rPr>
      </w:pPr>
    </w:p>
    <w:p w14:paraId="1A32C987" w14:textId="77777777" w:rsidR="00F22FBD" w:rsidRDefault="00D44E4A">
      <w:pPr>
        <w:widowControl w:val="0"/>
        <w:tabs>
          <w:tab w:val="left" w:pos="567"/>
        </w:tabs>
        <w:rPr>
          <w:snapToGrid w:val="0"/>
          <w:szCs w:val="22"/>
        </w:rPr>
      </w:pPr>
      <w:r>
        <w:rPr>
          <w:snapToGrid w:val="0"/>
          <w:szCs w:val="22"/>
        </w:rPr>
        <w:t>Receptinis vaistinis preparatas.</w:t>
      </w:r>
    </w:p>
    <w:p w14:paraId="296A0F3E" w14:textId="77777777" w:rsidR="00F22FBD" w:rsidRDefault="00F22FBD">
      <w:pPr>
        <w:widowControl w:val="0"/>
        <w:rPr>
          <w:snapToGrid w:val="0"/>
          <w:szCs w:val="22"/>
          <w:lang w:eastAsia="lt-LT"/>
        </w:rPr>
      </w:pPr>
    </w:p>
    <w:p w14:paraId="64D79723" w14:textId="77777777" w:rsidR="00F22FBD" w:rsidRDefault="00F22FBD">
      <w:pPr>
        <w:widowControl w:val="0"/>
        <w:tabs>
          <w:tab w:val="left" w:pos="567"/>
        </w:tabs>
        <w:rPr>
          <w:snapToGrid w:val="0"/>
          <w:szCs w:val="22"/>
        </w:rPr>
      </w:pPr>
    </w:p>
    <w:p w14:paraId="3DCDFCD8" w14:textId="77777777" w:rsidR="00F22FBD" w:rsidRDefault="00D44E4A">
      <w:pPr>
        <w:rPr>
          <w:rFonts w:eastAsia="SimSun"/>
          <w:b/>
          <w:szCs w:val="22"/>
        </w:rPr>
      </w:pPr>
      <w:r>
        <w:rPr>
          <w:rFonts w:eastAsia="SimSun"/>
          <w:b/>
          <w:szCs w:val="22"/>
        </w:rPr>
        <w:br w:type="page"/>
      </w:r>
    </w:p>
    <w:p w14:paraId="2269D039" w14:textId="77777777" w:rsidR="00F22FBD" w:rsidRDefault="00F22FBD">
      <w:pPr>
        <w:pStyle w:val="Paprastasistekstas"/>
        <w:tabs>
          <w:tab w:val="left" w:pos="4962"/>
        </w:tabs>
        <w:rPr>
          <w:rFonts w:ascii="Times New Roman" w:hAnsi="Times New Roman"/>
          <w:b/>
          <w:lang w:val="lt-LT"/>
        </w:rPr>
      </w:pPr>
    </w:p>
    <w:p w14:paraId="5065E7CF" w14:textId="77777777" w:rsidR="00F22FBD" w:rsidRDefault="00F22FBD">
      <w:pPr>
        <w:pStyle w:val="Paprastasistekstas"/>
        <w:tabs>
          <w:tab w:val="left" w:pos="4962"/>
        </w:tabs>
        <w:rPr>
          <w:rFonts w:ascii="Times New Roman" w:hAnsi="Times New Roman"/>
          <w:b/>
          <w:lang w:val="lt-LT"/>
        </w:rPr>
      </w:pPr>
    </w:p>
    <w:p w14:paraId="707AC684" w14:textId="77777777" w:rsidR="00F22FBD" w:rsidRDefault="00F22FBD">
      <w:pPr>
        <w:pStyle w:val="Paprastasistekstas"/>
        <w:tabs>
          <w:tab w:val="left" w:pos="4962"/>
        </w:tabs>
        <w:rPr>
          <w:rFonts w:ascii="Times New Roman" w:hAnsi="Times New Roman"/>
          <w:b/>
          <w:lang w:val="lt-LT"/>
        </w:rPr>
      </w:pPr>
    </w:p>
    <w:p w14:paraId="311E9962" w14:textId="77777777" w:rsidR="00F22FBD" w:rsidRDefault="00F22FBD">
      <w:pPr>
        <w:pStyle w:val="Paprastasistekstas"/>
        <w:tabs>
          <w:tab w:val="left" w:pos="4962"/>
        </w:tabs>
        <w:rPr>
          <w:rFonts w:ascii="Times New Roman" w:hAnsi="Times New Roman"/>
          <w:b/>
          <w:lang w:val="lt-LT"/>
        </w:rPr>
      </w:pPr>
    </w:p>
    <w:p w14:paraId="7DEF1FF0" w14:textId="77777777" w:rsidR="00F22FBD" w:rsidRDefault="00F22FBD">
      <w:pPr>
        <w:pStyle w:val="Paprastasistekstas"/>
        <w:tabs>
          <w:tab w:val="left" w:pos="4962"/>
        </w:tabs>
        <w:rPr>
          <w:rFonts w:ascii="Times New Roman" w:hAnsi="Times New Roman"/>
          <w:b/>
          <w:lang w:val="lt-LT"/>
        </w:rPr>
      </w:pPr>
    </w:p>
    <w:p w14:paraId="59A92423" w14:textId="77777777" w:rsidR="00F22FBD" w:rsidRDefault="00F22FBD">
      <w:pPr>
        <w:pStyle w:val="Paprastasistekstas"/>
        <w:tabs>
          <w:tab w:val="left" w:pos="4962"/>
        </w:tabs>
        <w:rPr>
          <w:rFonts w:ascii="Times New Roman" w:hAnsi="Times New Roman"/>
          <w:b/>
          <w:lang w:val="lt-LT"/>
        </w:rPr>
      </w:pPr>
    </w:p>
    <w:p w14:paraId="48DC268F" w14:textId="77777777" w:rsidR="00F22FBD" w:rsidRDefault="00F22FBD">
      <w:pPr>
        <w:pStyle w:val="Paprastasistekstas"/>
        <w:tabs>
          <w:tab w:val="left" w:pos="4962"/>
        </w:tabs>
        <w:rPr>
          <w:rFonts w:ascii="Times New Roman" w:hAnsi="Times New Roman"/>
          <w:b/>
          <w:lang w:val="lt-LT"/>
        </w:rPr>
      </w:pPr>
    </w:p>
    <w:p w14:paraId="40C01F9B" w14:textId="77777777" w:rsidR="00F22FBD" w:rsidRDefault="00F22FBD">
      <w:pPr>
        <w:pStyle w:val="Paprastasistekstas"/>
        <w:tabs>
          <w:tab w:val="left" w:pos="4962"/>
        </w:tabs>
        <w:rPr>
          <w:rFonts w:ascii="Times New Roman" w:hAnsi="Times New Roman"/>
          <w:b/>
          <w:lang w:val="lt-LT"/>
        </w:rPr>
      </w:pPr>
    </w:p>
    <w:p w14:paraId="2589471D" w14:textId="77777777" w:rsidR="00F22FBD" w:rsidRDefault="00F22FBD">
      <w:pPr>
        <w:pStyle w:val="Paprastasistekstas"/>
        <w:tabs>
          <w:tab w:val="left" w:pos="4962"/>
        </w:tabs>
        <w:rPr>
          <w:rFonts w:ascii="Times New Roman" w:hAnsi="Times New Roman"/>
          <w:color w:val="000000"/>
          <w:sz w:val="24"/>
          <w:lang w:val="lt-LT"/>
        </w:rPr>
      </w:pPr>
    </w:p>
    <w:p w14:paraId="1E79FA28" w14:textId="77777777" w:rsidR="00F22FBD" w:rsidRDefault="00F22FBD">
      <w:pPr>
        <w:pStyle w:val="Paprastasistekstas"/>
        <w:tabs>
          <w:tab w:val="left" w:pos="4962"/>
        </w:tabs>
        <w:rPr>
          <w:rFonts w:ascii="Times New Roman" w:hAnsi="Times New Roman"/>
          <w:noProof/>
          <w:szCs w:val="24"/>
          <w:lang w:val="lt-LT"/>
        </w:rPr>
      </w:pPr>
    </w:p>
    <w:p w14:paraId="487E831C" w14:textId="77777777" w:rsidR="00F22FBD" w:rsidRDefault="00F22FBD"/>
    <w:p w14:paraId="387893F3" w14:textId="77777777" w:rsidR="00F22FBD" w:rsidRDefault="00F22FBD"/>
    <w:p w14:paraId="04D0B5C3" w14:textId="77777777" w:rsidR="00F22FBD" w:rsidRDefault="00F22FBD"/>
    <w:p w14:paraId="55D99D34" w14:textId="77777777" w:rsidR="00F22FBD" w:rsidRDefault="00F22FBD"/>
    <w:p w14:paraId="1870C9E8" w14:textId="77777777" w:rsidR="00F22FBD" w:rsidRDefault="00F22FBD"/>
    <w:p w14:paraId="39FE7FFB" w14:textId="77777777" w:rsidR="00F22FBD" w:rsidRDefault="00F22FBD"/>
    <w:p w14:paraId="73808A96" w14:textId="77777777" w:rsidR="00F22FBD" w:rsidRDefault="00F22FBD"/>
    <w:p w14:paraId="2551847F" w14:textId="77777777" w:rsidR="00F22FBD" w:rsidRDefault="00F22FBD"/>
    <w:p w14:paraId="4354B41C" w14:textId="77777777" w:rsidR="00F22FBD" w:rsidRDefault="00F22FBD"/>
    <w:p w14:paraId="238E63F3" w14:textId="77777777" w:rsidR="00F22FBD" w:rsidRDefault="00F22FBD"/>
    <w:p w14:paraId="289D2996" w14:textId="77777777" w:rsidR="00F22FBD" w:rsidRDefault="00F22FBD"/>
    <w:p w14:paraId="30511DD5" w14:textId="77777777" w:rsidR="00F22FBD" w:rsidRDefault="00F22FBD"/>
    <w:p w14:paraId="32F25304" w14:textId="77777777" w:rsidR="00F22FBD" w:rsidRDefault="00F22FBD"/>
    <w:p w14:paraId="156783BE" w14:textId="77777777" w:rsidR="00F22FBD" w:rsidRDefault="00F22FBD"/>
    <w:p w14:paraId="3F35C7D8" w14:textId="77777777" w:rsidR="00F22FBD" w:rsidRDefault="00F22FBD"/>
    <w:p w14:paraId="0D408FAD" w14:textId="77777777" w:rsidR="00F22FBD" w:rsidRDefault="00F22FBD"/>
    <w:p w14:paraId="00D48A09" w14:textId="77777777" w:rsidR="00F22FBD" w:rsidRDefault="00F22FBD">
      <w:pPr>
        <w:outlineLvl w:val="0"/>
        <w:rPr>
          <w:b/>
        </w:rPr>
      </w:pPr>
    </w:p>
    <w:p w14:paraId="74C038DC" w14:textId="77777777" w:rsidR="00F22FBD" w:rsidRDefault="00F22FBD">
      <w:pPr>
        <w:outlineLvl w:val="0"/>
        <w:rPr>
          <w:b/>
        </w:rPr>
      </w:pPr>
    </w:p>
    <w:p w14:paraId="0D52359B" w14:textId="77777777" w:rsidR="00F22FBD" w:rsidRDefault="00F22FBD">
      <w:pPr>
        <w:outlineLvl w:val="0"/>
        <w:rPr>
          <w:b/>
        </w:rPr>
      </w:pPr>
    </w:p>
    <w:p w14:paraId="25DF26B2" w14:textId="77777777" w:rsidR="00F22FBD" w:rsidRDefault="00F22FBD">
      <w:pPr>
        <w:outlineLvl w:val="0"/>
        <w:rPr>
          <w:b/>
        </w:rPr>
      </w:pPr>
    </w:p>
    <w:p w14:paraId="7CDC34A8" w14:textId="77777777" w:rsidR="00F22FBD" w:rsidRDefault="00F22FBD">
      <w:pPr>
        <w:outlineLvl w:val="0"/>
        <w:rPr>
          <w:b/>
        </w:rPr>
      </w:pPr>
    </w:p>
    <w:p w14:paraId="26DD0180" w14:textId="77777777" w:rsidR="00F22FBD" w:rsidRDefault="00F22FBD">
      <w:pPr>
        <w:outlineLvl w:val="0"/>
        <w:rPr>
          <w:b/>
        </w:rPr>
      </w:pPr>
    </w:p>
    <w:p w14:paraId="078F57B5" w14:textId="77777777" w:rsidR="00F22FBD" w:rsidRDefault="00D44E4A">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III PRIEDAS</w:t>
      </w:r>
    </w:p>
    <w:p w14:paraId="212463D1" w14:textId="77777777" w:rsidR="00F22FBD" w:rsidRDefault="00F22FBD"/>
    <w:p w14:paraId="0C161116" w14:textId="77777777" w:rsidR="00F22FBD" w:rsidRDefault="00D44E4A">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ŽENKLINIMAS IR PAKUOTĖS LAPELIS</w:t>
      </w:r>
    </w:p>
    <w:p w14:paraId="459A2965" w14:textId="77777777" w:rsidR="00F22FBD" w:rsidRDefault="00D44E4A">
      <w:pPr>
        <w:widowControl w:val="0"/>
        <w:tabs>
          <w:tab w:val="left" w:pos="4962"/>
        </w:tabs>
        <w:rPr>
          <w:rFonts w:eastAsia="SimSun"/>
          <w:color w:val="000000"/>
          <w:szCs w:val="22"/>
        </w:rPr>
      </w:pPr>
      <w:r>
        <w:rPr>
          <w:rFonts w:eastAsia="SimSun"/>
          <w:b/>
          <w:szCs w:val="22"/>
        </w:rPr>
        <w:br w:type="page"/>
      </w:r>
    </w:p>
    <w:p w14:paraId="4632EE91" w14:textId="77777777" w:rsidR="00F22FBD" w:rsidRDefault="00F22FBD">
      <w:pPr>
        <w:rPr>
          <w:noProof/>
        </w:rPr>
      </w:pPr>
    </w:p>
    <w:p w14:paraId="2AF71994" w14:textId="77777777" w:rsidR="00F22FBD" w:rsidRDefault="00F22FBD">
      <w:pPr>
        <w:rPr>
          <w:noProof/>
        </w:rPr>
      </w:pPr>
    </w:p>
    <w:p w14:paraId="649D01A1" w14:textId="77777777" w:rsidR="00F22FBD" w:rsidRDefault="00F22FBD">
      <w:pPr>
        <w:rPr>
          <w:noProof/>
        </w:rPr>
      </w:pPr>
    </w:p>
    <w:p w14:paraId="76546689" w14:textId="77777777" w:rsidR="00F22FBD" w:rsidRDefault="00F22FBD">
      <w:pPr>
        <w:rPr>
          <w:noProof/>
        </w:rPr>
      </w:pPr>
    </w:p>
    <w:p w14:paraId="1EEE88F0" w14:textId="77777777" w:rsidR="00F22FBD" w:rsidRDefault="00F22FBD">
      <w:pPr>
        <w:rPr>
          <w:noProof/>
        </w:rPr>
      </w:pPr>
    </w:p>
    <w:p w14:paraId="400819B5" w14:textId="77777777" w:rsidR="00F22FBD" w:rsidRDefault="00F22FBD">
      <w:pPr>
        <w:rPr>
          <w:noProof/>
        </w:rPr>
      </w:pPr>
    </w:p>
    <w:p w14:paraId="11CF0947" w14:textId="77777777" w:rsidR="00F22FBD" w:rsidRDefault="00F22FBD">
      <w:pPr>
        <w:rPr>
          <w:noProof/>
        </w:rPr>
      </w:pPr>
    </w:p>
    <w:p w14:paraId="4EA39812" w14:textId="77777777" w:rsidR="00F22FBD" w:rsidRDefault="00F22FBD">
      <w:pPr>
        <w:rPr>
          <w:noProof/>
        </w:rPr>
      </w:pPr>
    </w:p>
    <w:p w14:paraId="750DDBFA" w14:textId="77777777" w:rsidR="00F22FBD" w:rsidRDefault="00F22FBD">
      <w:pPr>
        <w:rPr>
          <w:noProof/>
        </w:rPr>
      </w:pPr>
    </w:p>
    <w:p w14:paraId="2FBD062C" w14:textId="77777777" w:rsidR="00F22FBD" w:rsidRDefault="00F22FBD">
      <w:pPr>
        <w:rPr>
          <w:noProof/>
        </w:rPr>
      </w:pPr>
    </w:p>
    <w:p w14:paraId="01A2A5AC" w14:textId="77777777" w:rsidR="00F22FBD" w:rsidRDefault="00F22FBD">
      <w:pPr>
        <w:rPr>
          <w:noProof/>
        </w:rPr>
      </w:pPr>
    </w:p>
    <w:p w14:paraId="57BA693C" w14:textId="77777777" w:rsidR="00F22FBD" w:rsidRDefault="00F22FBD">
      <w:pPr>
        <w:rPr>
          <w:noProof/>
        </w:rPr>
      </w:pPr>
    </w:p>
    <w:p w14:paraId="25641404" w14:textId="77777777" w:rsidR="00F22FBD" w:rsidRDefault="00F22FBD">
      <w:pPr>
        <w:rPr>
          <w:noProof/>
        </w:rPr>
      </w:pPr>
    </w:p>
    <w:p w14:paraId="0B60AE01" w14:textId="77777777" w:rsidR="00F22FBD" w:rsidRDefault="00F22FBD">
      <w:pPr>
        <w:rPr>
          <w:noProof/>
        </w:rPr>
      </w:pPr>
    </w:p>
    <w:p w14:paraId="170019F5" w14:textId="77777777" w:rsidR="00F22FBD" w:rsidRDefault="00F22FBD">
      <w:pPr>
        <w:rPr>
          <w:noProof/>
        </w:rPr>
      </w:pPr>
    </w:p>
    <w:p w14:paraId="79F08B51" w14:textId="77777777" w:rsidR="00F22FBD" w:rsidRDefault="00F22FBD">
      <w:pPr>
        <w:rPr>
          <w:noProof/>
        </w:rPr>
      </w:pPr>
    </w:p>
    <w:p w14:paraId="1C1D8EED" w14:textId="77777777" w:rsidR="00F22FBD" w:rsidRDefault="00F22FBD">
      <w:pPr>
        <w:rPr>
          <w:noProof/>
        </w:rPr>
      </w:pPr>
    </w:p>
    <w:p w14:paraId="3500CE2C" w14:textId="77777777" w:rsidR="00F22FBD" w:rsidRDefault="00F22FBD">
      <w:pPr>
        <w:rPr>
          <w:noProof/>
        </w:rPr>
      </w:pPr>
    </w:p>
    <w:p w14:paraId="7AF25109" w14:textId="77777777" w:rsidR="00F22FBD" w:rsidRDefault="00F22FBD">
      <w:pPr>
        <w:rPr>
          <w:noProof/>
        </w:rPr>
      </w:pPr>
    </w:p>
    <w:p w14:paraId="3D1BCB6B" w14:textId="77777777" w:rsidR="00F22FBD" w:rsidRDefault="00F22FBD">
      <w:pPr>
        <w:rPr>
          <w:noProof/>
        </w:rPr>
      </w:pPr>
    </w:p>
    <w:p w14:paraId="6E57992A" w14:textId="77777777" w:rsidR="00F22FBD" w:rsidRDefault="00F22FBD">
      <w:pPr>
        <w:rPr>
          <w:noProof/>
        </w:rPr>
      </w:pPr>
    </w:p>
    <w:p w14:paraId="319BE389" w14:textId="77777777" w:rsidR="00F22FBD" w:rsidRDefault="00F22FBD">
      <w:pPr>
        <w:rPr>
          <w:noProof/>
        </w:rPr>
      </w:pPr>
    </w:p>
    <w:p w14:paraId="4474BB3D" w14:textId="77777777" w:rsidR="00F22FBD" w:rsidRDefault="00D44E4A">
      <w:pPr>
        <w:pStyle w:val="Sraopastraipa"/>
        <w:numPr>
          <w:ilvl w:val="0"/>
          <w:numId w:val="11"/>
        </w:numPr>
        <w:jc w:val="center"/>
        <w:outlineLvl w:val="0"/>
        <w:rPr>
          <w:noProof/>
        </w:rPr>
      </w:pPr>
      <w:r>
        <w:rPr>
          <w:b/>
          <w:noProof/>
        </w:rPr>
        <w:t>ŽENKLINIMAS</w:t>
      </w:r>
    </w:p>
    <w:p w14:paraId="4D3FDD0A" w14:textId="77777777" w:rsidR="00F22FBD" w:rsidRDefault="00D44E4A">
      <w:pPr>
        <w:shd w:val="clear" w:color="auto" w:fill="FFFFFF"/>
        <w:rPr>
          <w:noProof/>
        </w:rPr>
      </w:pPr>
      <w:r>
        <w:rPr>
          <w:noProof/>
        </w:rPr>
        <w:br w:type="page"/>
      </w:r>
    </w:p>
    <w:p w14:paraId="260FA638" w14:textId="77777777" w:rsidR="00F22FBD" w:rsidRDefault="00D44E4A">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4168872A" w14:textId="77777777" w:rsidR="00F22FBD" w:rsidRDefault="00F22FBD">
      <w:pPr>
        <w:pBdr>
          <w:top w:val="single" w:sz="4" w:space="1" w:color="auto"/>
          <w:left w:val="single" w:sz="4" w:space="4" w:color="auto"/>
          <w:bottom w:val="single" w:sz="4" w:space="1" w:color="auto"/>
          <w:right w:val="single" w:sz="4" w:space="4" w:color="auto"/>
        </w:pBdr>
        <w:ind w:left="567" w:hanging="567"/>
        <w:rPr>
          <w:bCs/>
          <w:noProof/>
        </w:rPr>
      </w:pPr>
    </w:p>
    <w:p w14:paraId="62162169" w14:textId="77777777" w:rsidR="00F22FBD" w:rsidRDefault="00D44E4A">
      <w:pPr>
        <w:pBdr>
          <w:top w:val="single" w:sz="4" w:space="1" w:color="auto"/>
          <w:left w:val="single" w:sz="4" w:space="4" w:color="auto"/>
          <w:bottom w:val="single" w:sz="4" w:space="1" w:color="auto"/>
          <w:right w:val="single" w:sz="4" w:space="4" w:color="auto"/>
        </w:pBdr>
        <w:rPr>
          <w:bCs/>
          <w:noProof/>
        </w:rPr>
      </w:pPr>
      <w:r>
        <w:rPr>
          <w:b/>
          <w:noProof/>
        </w:rPr>
        <w:t>DĖŽUTĖ LIZDINĖMS PLOKŠTELĖMS</w:t>
      </w:r>
    </w:p>
    <w:p w14:paraId="060C9A1B" w14:textId="77777777" w:rsidR="00F22FBD" w:rsidRDefault="00F22FBD">
      <w:pPr>
        <w:rPr>
          <w:noProof/>
        </w:rPr>
      </w:pPr>
    </w:p>
    <w:p w14:paraId="2C80B2EF" w14:textId="77777777" w:rsidR="00F22FBD" w:rsidRDefault="00F22FBD">
      <w:pPr>
        <w:rPr>
          <w:noProof/>
        </w:rPr>
      </w:pPr>
    </w:p>
    <w:p w14:paraId="605D4C58"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7646BDC8" w14:textId="77777777" w:rsidR="00F22FBD" w:rsidRDefault="00F22FBD">
      <w:pPr>
        <w:rPr>
          <w:noProof/>
        </w:rPr>
      </w:pPr>
    </w:p>
    <w:p w14:paraId="12EB9E7D" w14:textId="77777777" w:rsidR="00F22FBD" w:rsidRDefault="00D44E4A">
      <w:pPr>
        <w:rPr>
          <w:color w:val="000000" w:themeColor="text1"/>
        </w:rPr>
      </w:pPr>
      <w:r>
        <w:rPr>
          <w:noProof/>
        </w:rPr>
        <w:t>Danengo 75 mg kietosios kapsulės</w:t>
      </w:r>
    </w:p>
    <w:p w14:paraId="742BEC8F" w14:textId="77777777" w:rsidR="00F22FBD" w:rsidRDefault="00D44E4A">
      <w:pPr>
        <w:rPr>
          <w:color w:val="000000" w:themeColor="text1"/>
          <w:highlight w:val="lightGray"/>
        </w:rPr>
      </w:pPr>
      <w:r>
        <w:rPr>
          <w:noProof/>
          <w:highlight w:val="lightGray"/>
        </w:rPr>
        <w:t>Danengo 110 mg kietosios kapsulės</w:t>
      </w:r>
    </w:p>
    <w:p w14:paraId="541F3145" w14:textId="77777777" w:rsidR="00F22FBD" w:rsidRDefault="00D44E4A">
      <w:pPr>
        <w:rPr>
          <w:color w:val="000000" w:themeColor="text1"/>
        </w:rPr>
      </w:pPr>
      <w:r>
        <w:rPr>
          <w:noProof/>
          <w:highlight w:val="lightGray"/>
        </w:rPr>
        <w:t>Danengo 150 mg kietosios kapsulės</w:t>
      </w:r>
    </w:p>
    <w:p w14:paraId="4BB1FFB4" w14:textId="77777777" w:rsidR="00F22FBD" w:rsidRDefault="00F22FBD">
      <w:pPr>
        <w:rPr>
          <w:noProof/>
        </w:rPr>
      </w:pPr>
    </w:p>
    <w:p w14:paraId="06AB7BDA" w14:textId="77777777" w:rsidR="00F22FBD" w:rsidRDefault="00D44E4A">
      <w:pPr>
        <w:rPr>
          <w:noProof/>
        </w:rPr>
      </w:pPr>
      <w:r>
        <w:rPr>
          <w:noProof/>
        </w:rPr>
        <w:t>dabigatranas eteksilatas</w:t>
      </w:r>
    </w:p>
    <w:p w14:paraId="7BBB1D67" w14:textId="77777777" w:rsidR="00F22FBD" w:rsidRDefault="00F22FBD">
      <w:pPr>
        <w:rPr>
          <w:noProof/>
        </w:rPr>
      </w:pPr>
    </w:p>
    <w:p w14:paraId="5463F5FF" w14:textId="77777777" w:rsidR="00F22FBD" w:rsidRDefault="00F22FBD">
      <w:pPr>
        <w:rPr>
          <w:noProof/>
        </w:rPr>
      </w:pPr>
    </w:p>
    <w:p w14:paraId="19E121F6"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6CE0AA8A" w14:textId="77777777" w:rsidR="00F22FBD" w:rsidRDefault="00F22FBD">
      <w:pPr>
        <w:rPr>
          <w:noProof/>
        </w:rPr>
      </w:pPr>
    </w:p>
    <w:p w14:paraId="01FB579D" w14:textId="77777777" w:rsidR="00F22FBD" w:rsidRDefault="00D44E4A">
      <w:r>
        <w:t>Kiekvienoje kietojoje kapsulėje yra 75 mg dabigatrano eteksilato (dabigatrano eteksilato mesilato pavidalu).</w:t>
      </w:r>
    </w:p>
    <w:p w14:paraId="225CCFAB" w14:textId="77777777" w:rsidR="00F22FBD" w:rsidRDefault="00D44E4A">
      <w:pPr>
        <w:rPr>
          <w:highlight w:val="lightGray"/>
        </w:rPr>
      </w:pPr>
      <w:r>
        <w:rPr>
          <w:highlight w:val="lightGray"/>
        </w:rPr>
        <w:t>Kiekvienoje kietojoje kapsulėje yra 110 mg dabigatrano eteksilato (dabigatrano eteksilato mesilato pavidalu).</w:t>
      </w:r>
    </w:p>
    <w:p w14:paraId="5D979E5A" w14:textId="77777777" w:rsidR="00F22FBD" w:rsidRDefault="00D44E4A">
      <w:r>
        <w:rPr>
          <w:highlight w:val="lightGray"/>
        </w:rPr>
        <w:t>Kiekvienoje kietojoje kapsulėje yra 150 mg dabigatrano eteksilato (dabigatrano eteksilato mesilato pavidalu).</w:t>
      </w:r>
    </w:p>
    <w:p w14:paraId="1CA2BB43" w14:textId="77777777" w:rsidR="00F22FBD" w:rsidRDefault="00F22FBD"/>
    <w:p w14:paraId="29F6C7A4" w14:textId="77777777" w:rsidR="00F22FBD" w:rsidRDefault="00F22FBD">
      <w:pPr>
        <w:rPr>
          <w:noProof/>
        </w:rPr>
      </w:pPr>
    </w:p>
    <w:p w14:paraId="7B55B14C"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217F9ED5" w14:textId="77777777" w:rsidR="00F22FBD" w:rsidRDefault="00F22FBD">
      <w:pPr>
        <w:rPr>
          <w:noProof/>
        </w:rPr>
      </w:pPr>
    </w:p>
    <w:p w14:paraId="37FD0C59" w14:textId="77777777" w:rsidR="00F22FBD" w:rsidRDefault="00F22FBD">
      <w:pPr>
        <w:rPr>
          <w:noProof/>
        </w:rPr>
      </w:pPr>
    </w:p>
    <w:p w14:paraId="01CF8A4D"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11F968E4" w14:textId="77777777" w:rsidR="00F22FBD" w:rsidRDefault="00F22FBD">
      <w:pPr>
        <w:rPr>
          <w:noProof/>
        </w:rPr>
      </w:pPr>
    </w:p>
    <w:p w14:paraId="2839C029" w14:textId="77777777" w:rsidR="00F22FBD" w:rsidRDefault="00D44E4A">
      <w:r>
        <w:rPr>
          <w:highlight w:val="lightGray"/>
        </w:rPr>
        <w:t>kietoji kapsulė</w:t>
      </w:r>
    </w:p>
    <w:p w14:paraId="4A8D9A65" w14:textId="77777777" w:rsidR="00F22FBD" w:rsidRDefault="00F22FBD"/>
    <w:p w14:paraId="3568E2B1" w14:textId="77777777" w:rsidR="00F22FBD" w:rsidRDefault="00D44E4A">
      <w:r>
        <w:t>10 x 1 kietųjų kapsulių</w:t>
      </w:r>
    </w:p>
    <w:p w14:paraId="13CD7D84" w14:textId="77777777" w:rsidR="00F22FBD" w:rsidRDefault="00D44E4A">
      <w:pPr>
        <w:rPr>
          <w:highlight w:val="lightGray"/>
        </w:rPr>
      </w:pPr>
      <w:r>
        <w:rPr>
          <w:highlight w:val="lightGray"/>
        </w:rPr>
        <w:t>30 x 1 kietųjų kapsulių</w:t>
      </w:r>
    </w:p>
    <w:p w14:paraId="4D54E2EE" w14:textId="77777777" w:rsidR="00F22FBD" w:rsidRDefault="00D44E4A">
      <w:pPr>
        <w:rPr>
          <w:noProof/>
          <w:highlight w:val="lightGray"/>
        </w:rPr>
      </w:pPr>
      <w:r>
        <w:rPr>
          <w:highlight w:val="lightGray"/>
        </w:rPr>
        <w:t>60 x 1 kietųjų kapsulių</w:t>
      </w:r>
    </w:p>
    <w:p w14:paraId="4C92A438" w14:textId="77777777" w:rsidR="00F22FBD" w:rsidRDefault="00D44E4A">
      <w:r>
        <w:rPr>
          <w:highlight w:val="lightGray"/>
        </w:rPr>
        <w:t>100 x 1 kietųjų kapsulių</w:t>
      </w:r>
    </w:p>
    <w:p w14:paraId="30B2D76E" w14:textId="77777777" w:rsidR="00F22FBD" w:rsidRDefault="00F22FBD">
      <w:pPr>
        <w:rPr>
          <w:noProof/>
        </w:rPr>
      </w:pPr>
    </w:p>
    <w:p w14:paraId="57FF5DB1" w14:textId="77777777" w:rsidR="00F22FBD" w:rsidRDefault="00F22FBD">
      <w:pPr>
        <w:rPr>
          <w:noProof/>
        </w:rPr>
      </w:pPr>
    </w:p>
    <w:p w14:paraId="7ABA3B1F"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557AFCB6" w14:textId="77777777" w:rsidR="00F22FBD" w:rsidRDefault="00F22FBD">
      <w:pPr>
        <w:rPr>
          <w:i/>
          <w:noProof/>
        </w:rPr>
      </w:pPr>
    </w:p>
    <w:p w14:paraId="6A3DB40C" w14:textId="77777777" w:rsidR="00F22FBD" w:rsidRDefault="00D44E4A">
      <w:pPr>
        <w:rPr>
          <w:noProof/>
        </w:rPr>
      </w:pPr>
      <w:r>
        <w:rPr>
          <w:noProof/>
        </w:rPr>
        <w:t>Nurykite visą kapsulę, kramtyti ar laužyti negalima.</w:t>
      </w:r>
    </w:p>
    <w:p w14:paraId="5C3119B5" w14:textId="77777777" w:rsidR="00F22FBD" w:rsidRDefault="00D44E4A">
      <w:pPr>
        <w:rPr>
          <w:noProof/>
        </w:rPr>
      </w:pPr>
      <w:r>
        <w:rPr>
          <w:noProof/>
        </w:rPr>
        <w:t>Prieš vartojimą perskaitykite pakuotės lapelį.</w:t>
      </w:r>
    </w:p>
    <w:p w14:paraId="62B41D6D" w14:textId="77777777" w:rsidR="00F22FBD" w:rsidRDefault="00D44E4A">
      <w:pPr>
        <w:rPr>
          <w:noProof/>
        </w:rPr>
      </w:pPr>
      <w:r>
        <w:rPr>
          <w:noProof/>
        </w:rPr>
        <w:t>Vartoti per burną</w:t>
      </w:r>
    </w:p>
    <w:p w14:paraId="32D9D549" w14:textId="77777777" w:rsidR="00F22FBD" w:rsidRDefault="00F22FBD">
      <w:pPr>
        <w:rPr>
          <w:noProof/>
        </w:rPr>
      </w:pPr>
    </w:p>
    <w:p w14:paraId="69D82091" w14:textId="77777777" w:rsidR="00F22FBD" w:rsidRDefault="00D44E4A">
      <w:pPr>
        <w:rPr>
          <w:noProof/>
        </w:rPr>
      </w:pPr>
      <w:r>
        <w:rPr>
          <w:noProof/>
        </w:rPr>
        <w:t>Paciento budrumo kortelė yra viduje.</w:t>
      </w:r>
    </w:p>
    <w:p w14:paraId="23664CB8" w14:textId="77777777" w:rsidR="00F22FBD" w:rsidRDefault="00F22FBD">
      <w:pPr>
        <w:rPr>
          <w:noProof/>
        </w:rPr>
      </w:pPr>
    </w:p>
    <w:p w14:paraId="2699F3DB" w14:textId="77777777" w:rsidR="00F22FBD" w:rsidRDefault="00D44E4A">
      <w:pPr>
        <w:rPr>
          <w:noProof/>
        </w:rPr>
      </w:pPr>
      <w:r>
        <w:rPr>
          <w:noProof/>
        </w:rPr>
        <w:t>Norėdami išimti kapsulę iš lizdinės plokštelės:</w:t>
      </w:r>
    </w:p>
    <w:p w14:paraId="7B2CD732" w14:textId="77777777" w:rsidR="00F22FBD" w:rsidRDefault="00D44E4A">
      <w:pPr>
        <w:pStyle w:val="Sraopastraipa"/>
        <w:widowControl w:val="0"/>
        <w:numPr>
          <w:ilvl w:val="0"/>
          <w:numId w:val="6"/>
        </w:numPr>
        <w:kinsoku w:val="0"/>
        <w:overflowPunct w:val="0"/>
        <w:autoSpaceDE w:val="0"/>
        <w:autoSpaceDN w:val="0"/>
        <w:adjustRightInd w:val="0"/>
        <w:rPr>
          <w:noProof/>
        </w:rPr>
      </w:pPr>
      <w:r>
        <w:rPr>
          <w:noProof/>
        </w:rPr>
        <w:t>Laikykite lizdinę plokštelę už kraštų ir atskirkite vieną lizdinės plokštelės dalomąją dalį, švelniai lenkdami ir nuplėšdami išilgai perforuotų linijų.</w:t>
      </w:r>
    </w:p>
    <w:p w14:paraId="024893AD" w14:textId="77777777" w:rsidR="00F22FBD" w:rsidRDefault="00D44E4A">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Patraukite folijos kraštą ir visiškai nulupkite foliją.</w:t>
      </w:r>
    </w:p>
    <w:p w14:paraId="355606BA" w14:textId="77777777" w:rsidR="00F22FBD" w:rsidRDefault="00D44E4A">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Išmeskite kapsulę ant rankos.</w:t>
      </w:r>
    </w:p>
    <w:p w14:paraId="404CCDDD" w14:textId="77777777" w:rsidR="00F22FBD" w:rsidRDefault="00D44E4A">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Nurykite visas kapsules, užsigerdami stikline vandens.</w:t>
      </w:r>
    </w:p>
    <w:p w14:paraId="5D825BEB" w14:textId="77777777" w:rsidR="00F22FBD" w:rsidRDefault="00F22FBD">
      <w:pPr>
        <w:rPr>
          <w:noProof/>
        </w:rPr>
      </w:pPr>
    </w:p>
    <w:p w14:paraId="6D0D2EE5" w14:textId="77777777" w:rsidR="00F22FBD" w:rsidRDefault="00D44E4A">
      <w:pPr>
        <w:rPr>
          <w:noProof/>
        </w:rPr>
      </w:pPr>
      <w:r>
        <w:rPr>
          <w:noProof/>
          <w:lang w:eastAsia="lt-LT"/>
        </w:rPr>
        <w:lastRenderedPageBreak/>
        <w:drawing>
          <wp:inline distT="0" distB="0" distL="0" distR="0" wp14:anchorId="29B9C1C4" wp14:editId="564B3945">
            <wp:extent cx="5981065" cy="1390650"/>
            <wp:effectExtent l="0" t="0" r="63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065" cy="1390650"/>
                    </a:xfrm>
                    <a:prstGeom prst="rect">
                      <a:avLst/>
                    </a:prstGeom>
                    <a:noFill/>
                  </pic:spPr>
                </pic:pic>
              </a:graphicData>
            </a:graphic>
          </wp:inline>
        </w:drawing>
      </w:r>
    </w:p>
    <w:p w14:paraId="2DCCEFF1" w14:textId="77777777" w:rsidR="00F22FBD" w:rsidRDefault="00F22FBD">
      <w:pPr>
        <w:rPr>
          <w:noProof/>
        </w:rPr>
      </w:pPr>
    </w:p>
    <w:p w14:paraId="2A1DC7FE" w14:textId="77777777" w:rsidR="00F22FBD" w:rsidRDefault="00D44E4A">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538E3423" w14:textId="77777777" w:rsidR="00F22FBD" w:rsidRDefault="00F22FBD">
      <w:pPr>
        <w:rPr>
          <w:noProof/>
        </w:rPr>
      </w:pPr>
    </w:p>
    <w:p w14:paraId="11730CE4" w14:textId="77777777" w:rsidR="00F22FBD" w:rsidRDefault="00D44E4A">
      <w:pPr>
        <w:pStyle w:val="Pagrindinistekstas"/>
        <w:rPr>
          <w:i w:val="0"/>
          <w:iCs/>
          <w:noProof/>
          <w:color w:val="auto"/>
          <w:lang w:val="lt-LT"/>
        </w:rPr>
      </w:pPr>
      <w:r>
        <w:rPr>
          <w:i w:val="0"/>
          <w:iCs/>
          <w:noProof/>
          <w:color w:val="auto"/>
          <w:lang w:val="lt-LT"/>
        </w:rPr>
        <w:t>Laikyti vaikams nepastebimoje ir nepasiekiamoje vietoje.</w:t>
      </w:r>
    </w:p>
    <w:p w14:paraId="05C24912" w14:textId="77777777" w:rsidR="00F22FBD" w:rsidRDefault="00F22FBD">
      <w:pPr>
        <w:rPr>
          <w:noProof/>
        </w:rPr>
      </w:pPr>
    </w:p>
    <w:p w14:paraId="0979DA89" w14:textId="77777777" w:rsidR="00F22FBD" w:rsidRDefault="00F22FBD">
      <w:pPr>
        <w:rPr>
          <w:noProof/>
        </w:rPr>
      </w:pPr>
    </w:p>
    <w:p w14:paraId="22C16694"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70890711" w14:textId="77777777" w:rsidR="00F22FBD" w:rsidRDefault="00F22FBD">
      <w:pPr>
        <w:rPr>
          <w:noProof/>
        </w:rPr>
      </w:pPr>
    </w:p>
    <w:p w14:paraId="53E10612" w14:textId="77777777" w:rsidR="00F22FBD" w:rsidRDefault="00F22FBD">
      <w:pPr>
        <w:rPr>
          <w:noProof/>
        </w:rPr>
      </w:pPr>
    </w:p>
    <w:p w14:paraId="7AB2B3C8"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34A7F84B" w14:textId="77777777" w:rsidR="00F22FBD" w:rsidRDefault="00F22FBD">
      <w:pPr>
        <w:rPr>
          <w:i/>
          <w:noProof/>
        </w:rPr>
      </w:pPr>
    </w:p>
    <w:p w14:paraId="2AED19CF" w14:textId="77777777" w:rsidR="00F22FBD" w:rsidRDefault="00D44E4A">
      <w:pPr>
        <w:rPr>
          <w:iCs/>
          <w:noProof/>
        </w:rPr>
      </w:pPr>
      <w:r>
        <w:rPr>
          <w:iCs/>
          <w:noProof/>
        </w:rPr>
        <w:t xml:space="preserve">EXP </w:t>
      </w:r>
      <w:r>
        <w:rPr>
          <w:snapToGrid w:val="0"/>
        </w:rPr>
        <w:t>(mm/MMMM)</w:t>
      </w:r>
    </w:p>
    <w:p w14:paraId="6503D564" w14:textId="77777777" w:rsidR="00F22FBD" w:rsidRDefault="00F22FBD">
      <w:pPr>
        <w:rPr>
          <w:noProof/>
        </w:rPr>
      </w:pPr>
    </w:p>
    <w:p w14:paraId="5F1E4A33" w14:textId="77777777" w:rsidR="00F22FBD" w:rsidRDefault="00F22FBD">
      <w:pPr>
        <w:rPr>
          <w:noProof/>
        </w:rPr>
      </w:pPr>
    </w:p>
    <w:p w14:paraId="28115D72"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3D3AACDD" w14:textId="77777777" w:rsidR="00F22FBD" w:rsidRDefault="00F22FBD">
      <w:pPr>
        <w:rPr>
          <w:i/>
          <w:noProof/>
        </w:rPr>
      </w:pPr>
    </w:p>
    <w:p w14:paraId="0F067AF2" w14:textId="77777777" w:rsidR="00F22FBD" w:rsidRDefault="00D44E4A">
      <w:pPr>
        <w:ind w:left="567" w:hanging="567"/>
      </w:pPr>
      <w:r>
        <w:t>Laikyti gamintojo pakuotėje, kad vaistas būtų apsaugotas nuo šviesos ir drėgmės.</w:t>
      </w:r>
    </w:p>
    <w:p w14:paraId="06A75588" w14:textId="77777777" w:rsidR="00F22FBD" w:rsidRDefault="00F22FBD">
      <w:pPr>
        <w:ind w:left="567" w:hanging="567"/>
        <w:rPr>
          <w:i/>
          <w:iCs/>
        </w:rPr>
      </w:pPr>
    </w:p>
    <w:p w14:paraId="5C88FE0C" w14:textId="77777777" w:rsidR="00F22FBD" w:rsidRDefault="00F22FBD">
      <w:pPr>
        <w:ind w:left="567" w:hanging="567"/>
        <w:rPr>
          <w:noProof/>
        </w:rPr>
      </w:pPr>
    </w:p>
    <w:p w14:paraId="0E8702AE"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6C7E8B66" w14:textId="77777777" w:rsidR="00F22FBD" w:rsidRDefault="00F22FBD">
      <w:pPr>
        <w:rPr>
          <w:noProof/>
        </w:rPr>
      </w:pPr>
    </w:p>
    <w:p w14:paraId="4DB6BF1E" w14:textId="77777777" w:rsidR="00F22FBD" w:rsidRDefault="00F22FBD">
      <w:pPr>
        <w:rPr>
          <w:noProof/>
        </w:rPr>
      </w:pPr>
    </w:p>
    <w:p w14:paraId="76CEAD80" w14:textId="77777777" w:rsidR="00F22FBD" w:rsidRDefault="00D44E4A">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71E2EBE7" w14:textId="77777777" w:rsidR="00F22FBD" w:rsidRDefault="00F22FBD"/>
    <w:p w14:paraId="2980E60B" w14:textId="77777777" w:rsidR="00F22FBD" w:rsidRDefault="00D44E4A">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510607D7" w14:textId="77777777" w:rsidR="00F22FBD" w:rsidRDefault="00D44E4A">
      <w:pPr>
        <w:widowControl w:val="0"/>
        <w:rPr>
          <w:noProof/>
          <w:szCs w:val="22"/>
          <w:lang w:eastAsia="sl-SI"/>
        </w:rPr>
      </w:pPr>
      <w:r>
        <w:rPr>
          <w:noProof/>
          <w:szCs w:val="22"/>
          <w:lang w:eastAsia="sl-SI"/>
        </w:rPr>
        <w:t>Heinz-Lohmann-Straße 5</w:t>
      </w:r>
    </w:p>
    <w:p w14:paraId="6F67A6C2" w14:textId="77777777" w:rsidR="00F22FBD" w:rsidRDefault="00D44E4A">
      <w:pPr>
        <w:widowControl w:val="0"/>
        <w:rPr>
          <w:noProof/>
          <w:szCs w:val="22"/>
          <w:lang w:eastAsia="sl-SI"/>
        </w:rPr>
      </w:pPr>
      <w:r>
        <w:rPr>
          <w:noProof/>
          <w:szCs w:val="22"/>
          <w:lang w:eastAsia="sl-SI"/>
        </w:rPr>
        <w:t>27472 Cuxhaven</w:t>
      </w:r>
    </w:p>
    <w:p w14:paraId="767550A4" w14:textId="77777777" w:rsidR="00F22FBD" w:rsidRDefault="00D44E4A">
      <w:pPr>
        <w:widowControl w:val="0"/>
        <w:rPr>
          <w:noProof/>
          <w:szCs w:val="22"/>
          <w:lang w:eastAsia="sl-SI"/>
        </w:rPr>
      </w:pPr>
      <w:r>
        <w:rPr>
          <w:noProof/>
          <w:szCs w:val="22"/>
          <w:lang w:eastAsia="sl-SI"/>
        </w:rPr>
        <w:t>Vokietija</w:t>
      </w:r>
    </w:p>
    <w:p w14:paraId="0DA3A0A3" w14:textId="77777777" w:rsidR="00F22FBD" w:rsidRDefault="00F22FBD">
      <w:pPr>
        <w:rPr>
          <w:noProof/>
        </w:rPr>
      </w:pPr>
    </w:p>
    <w:p w14:paraId="595646D5" w14:textId="77777777" w:rsidR="00F22FBD" w:rsidRDefault="00F22FBD">
      <w:pPr>
        <w:rPr>
          <w:noProof/>
        </w:rPr>
      </w:pPr>
    </w:p>
    <w:p w14:paraId="5DE84D5E"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33ECEFE2" w14:textId="77777777" w:rsidR="00F22FBD" w:rsidRDefault="00F22FBD">
      <w:pPr>
        <w:rPr>
          <w:noProof/>
        </w:rPr>
      </w:pPr>
    </w:p>
    <w:p w14:paraId="23BB77B0"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&lt;75 mg&gt;</w:t>
      </w:r>
    </w:p>
    <w:p w14:paraId="69EB5275" w14:textId="77777777" w:rsidR="00F22FBD" w:rsidRDefault="00D44E4A">
      <w:pPr>
        <w:widowControl w:val="0"/>
        <w:rPr>
          <w:noProof/>
          <w:szCs w:val="22"/>
          <w:shd w:val="clear" w:color="auto" w:fill="F2F2F2" w:themeFill="background1" w:themeFillShade="F2"/>
          <w:lang w:eastAsia="sl-SI"/>
        </w:rPr>
      </w:pPr>
      <w:r>
        <w:rPr>
          <w:noProof/>
          <w:szCs w:val="22"/>
          <w:lang w:eastAsia="sl-SI"/>
        </w:rPr>
        <w:t xml:space="preserve">LT/1/23/5280/001 </w:t>
      </w:r>
      <w:r>
        <w:rPr>
          <w:noProof/>
          <w:szCs w:val="22"/>
          <w:shd w:val="clear" w:color="auto" w:fill="F2F2F2" w:themeFill="background1" w:themeFillShade="F2"/>
          <w:lang w:eastAsia="sl-SI"/>
        </w:rPr>
        <w:t>– N10x1</w:t>
      </w:r>
    </w:p>
    <w:p w14:paraId="03C74333" w14:textId="77777777" w:rsidR="00F22FBD" w:rsidRDefault="00D44E4A">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LT/1/23/5280/002 – N30x1</w:t>
      </w:r>
    </w:p>
    <w:p w14:paraId="0E69B633" w14:textId="77777777" w:rsidR="00F22FBD" w:rsidRDefault="00D44E4A">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LT/1/23/5280/003 – N60x1</w:t>
      </w:r>
    </w:p>
    <w:p w14:paraId="087F7EA0" w14:textId="77777777" w:rsidR="00F22FBD" w:rsidRDefault="00D44E4A">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LT/1/23/5280/004 – N100x1</w:t>
      </w:r>
    </w:p>
    <w:p w14:paraId="1E29672A" w14:textId="77777777" w:rsidR="00F22FBD" w:rsidRDefault="00F22FBD">
      <w:pPr>
        <w:rPr>
          <w:noProof/>
          <w:szCs w:val="22"/>
          <w:shd w:val="clear" w:color="auto" w:fill="F2F2F2" w:themeFill="background1" w:themeFillShade="F2"/>
          <w:lang w:eastAsia="sl-SI"/>
        </w:rPr>
      </w:pPr>
    </w:p>
    <w:p w14:paraId="35678216"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&lt;110 mg&gt;</w:t>
      </w:r>
    </w:p>
    <w:p w14:paraId="5EF658F0"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LT/1/23/5281/001 – N10x1</w:t>
      </w:r>
    </w:p>
    <w:p w14:paraId="2BBECBF3"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LT/1/23/5281/002 – N30x1</w:t>
      </w:r>
    </w:p>
    <w:p w14:paraId="51A2FE2C"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LT/1/23/5281/003 – N60x1</w:t>
      </w:r>
    </w:p>
    <w:p w14:paraId="74FDB01A"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LT/1/23/5281/004 – N100x1</w:t>
      </w:r>
    </w:p>
    <w:p w14:paraId="4359D8A5" w14:textId="77777777" w:rsidR="00F22FBD" w:rsidRDefault="00F22FBD">
      <w:pPr>
        <w:rPr>
          <w:noProof/>
          <w:szCs w:val="22"/>
          <w:shd w:val="clear" w:color="auto" w:fill="F2F2F2" w:themeFill="background1" w:themeFillShade="F2"/>
          <w:lang w:eastAsia="sl-SI"/>
        </w:rPr>
      </w:pPr>
    </w:p>
    <w:p w14:paraId="68D90DE0"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&lt;150 mg&gt;</w:t>
      </w:r>
    </w:p>
    <w:p w14:paraId="69F645B4"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lastRenderedPageBreak/>
        <w:t>LT/1/23/5282/001 – N10x1</w:t>
      </w:r>
    </w:p>
    <w:p w14:paraId="27DD09D8"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LT/1/23/5282/002 – N30x1</w:t>
      </w:r>
    </w:p>
    <w:p w14:paraId="65CF7C2F"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LT/1/23/5282/003 – N60x1</w:t>
      </w:r>
    </w:p>
    <w:p w14:paraId="63DBF34F"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LT/1/23/5282/004 – N100x1</w:t>
      </w:r>
    </w:p>
    <w:p w14:paraId="08120E8C" w14:textId="77777777" w:rsidR="00F22FBD" w:rsidRDefault="00F22FBD">
      <w:pPr>
        <w:rPr>
          <w:noProof/>
        </w:rPr>
      </w:pPr>
    </w:p>
    <w:p w14:paraId="37C4B31A" w14:textId="77777777" w:rsidR="00F22FBD" w:rsidRDefault="00F22FBD">
      <w:pPr>
        <w:rPr>
          <w:noProof/>
        </w:rPr>
      </w:pPr>
    </w:p>
    <w:p w14:paraId="1017C6AA"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7B2D0F8B" w14:textId="77777777" w:rsidR="00F22FBD" w:rsidRDefault="00F22FBD">
      <w:pPr>
        <w:rPr>
          <w:i/>
          <w:noProof/>
        </w:rPr>
      </w:pPr>
    </w:p>
    <w:p w14:paraId="0ABA32A6" w14:textId="77777777" w:rsidR="00F22FBD" w:rsidRDefault="00D44E4A">
      <w:pPr>
        <w:rPr>
          <w:noProof/>
        </w:rPr>
      </w:pPr>
      <w:r>
        <w:rPr>
          <w:noProof/>
        </w:rPr>
        <w:t>Lot</w:t>
      </w:r>
    </w:p>
    <w:p w14:paraId="2435B431" w14:textId="77777777" w:rsidR="00F22FBD" w:rsidRDefault="00F22FBD">
      <w:pPr>
        <w:rPr>
          <w:noProof/>
        </w:rPr>
      </w:pPr>
    </w:p>
    <w:p w14:paraId="3B4E83E2" w14:textId="77777777" w:rsidR="00F22FBD" w:rsidRDefault="00F22FBD">
      <w:pPr>
        <w:rPr>
          <w:noProof/>
        </w:rPr>
      </w:pPr>
    </w:p>
    <w:p w14:paraId="4E2644E6"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2D2E168E" w14:textId="77777777" w:rsidR="00F22FBD" w:rsidRDefault="00F22FBD">
      <w:pPr>
        <w:rPr>
          <w:noProof/>
        </w:rPr>
      </w:pPr>
    </w:p>
    <w:p w14:paraId="5C2407BF" w14:textId="77777777" w:rsidR="00F22FBD" w:rsidRDefault="00D44E4A">
      <w:pPr>
        <w:widowControl w:val="0"/>
        <w:tabs>
          <w:tab w:val="left" w:pos="567"/>
        </w:tabs>
        <w:rPr>
          <w:snapToGrid w:val="0"/>
          <w:szCs w:val="22"/>
        </w:rPr>
      </w:pPr>
      <w:r>
        <w:rPr>
          <w:snapToGrid w:val="0"/>
          <w:szCs w:val="22"/>
        </w:rPr>
        <w:t>Receptinis vaistas</w:t>
      </w:r>
    </w:p>
    <w:p w14:paraId="6D4A1322" w14:textId="77777777" w:rsidR="00F22FBD" w:rsidRDefault="00F22FBD">
      <w:pPr>
        <w:rPr>
          <w:noProof/>
        </w:rPr>
      </w:pPr>
    </w:p>
    <w:p w14:paraId="4DCCFD01" w14:textId="77777777" w:rsidR="00F22FBD" w:rsidRDefault="00F22FBD">
      <w:pPr>
        <w:rPr>
          <w:noProof/>
        </w:rPr>
      </w:pPr>
    </w:p>
    <w:p w14:paraId="4C1300BB"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100FD8F5" w14:textId="77777777" w:rsidR="00F22FBD" w:rsidRDefault="00F22FBD">
      <w:pPr>
        <w:rPr>
          <w:i/>
          <w:iCs/>
        </w:rPr>
      </w:pPr>
    </w:p>
    <w:p w14:paraId="4B02EC5F" w14:textId="77777777" w:rsidR="00F22FBD" w:rsidRDefault="00F22FBD">
      <w:pPr>
        <w:rPr>
          <w:noProof/>
        </w:rPr>
      </w:pPr>
    </w:p>
    <w:p w14:paraId="4A32C949"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1960C805" w14:textId="77777777" w:rsidR="00F22FBD" w:rsidRDefault="00F22FBD">
      <w:pPr>
        <w:rPr>
          <w:noProof/>
        </w:rPr>
      </w:pPr>
    </w:p>
    <w:p w14:paraId="30E61AC5" w14:textId="77777777" w:rsidR="00F22FBD" w:rsidRDefault="00D44E4A">
      <w:pPr>
        <w:rPr>
          <w:color w:val="000000" w:themeColor="text1"/>
        </w:rPr>
      </w:pPr>
      <w:r>
        <w:rPr>
          <w:noProof/>
        </w:rPr>
        <w:t>Danengo 75 mg</w:t>
      </w:r>
    </w:p>
    <w:p w14:paraId="069DBED4" w14:textId="77777777" w:rsidR="00F22FBD" w:rsidRDefault="00D44E4A">
      <w:pPr>
        <w:rPr>
          <w:color w:val="000000" w:themeColor="text1"/>
          <w:highlight w:val="lightGray"/>
        </w:rPr>
      </w:pPr>
      <w:r>
        <w:rPr>
          <w:noProof/>
          <w:highlight w:val="lightGray"/>
        </w:rPr>
        <w:t>Danengo 110 mg</w:t>
      </w:r>
    </w:p>
    <w:p w14:paraId="6CAE7486" w14:textId="77777777" w:rsidR="00F22FBD" w:rsidRDefault="00D44E4A">
      <w:pPr>
        <w:rPr>
          <w:color w:val="000000" w:themeColor="text1"/>
        </w:rPr>
      </w:pPr>
      <w:r>
        <w:rPr>
          <w:noProof/>
          <w:highlight w:val="lightGray"/>
        </w:rPr>
        <w:t>Danengo 150 mg</w:t>
      </w:r>
    </w:p>
    <w:p w14:paraId="7BB92AA4" w14:textId="77777777" w:rsidR="00F22FBD" w:rsidRDefault="00F22FBD">
      <w:pPr>
        <w:rPr>
          <w:noProof/>
          <w:szCs w:val="22"/>
          <w:shd w:val="clear" w:color="auto" w:fill="CCCCCC"/>
        </w:rPr>
      </w:pPr>
    </w:p>
    <w:p w14:paraId="09A5E06D" w14:textId="77777777" w:rsidR="00F22FBD" w:rsidRDefault="00F22FBD">
      <w:pPr>
        <w:rPr>
          <w:noProof/>
          <w:szCs w:val="22"/>
          <w:shd w:val="clear" w:color="auto" w:fill="CCCCCC"/>
        </w:rPr>
      </w:pPr>
    </w:p>
    <w:p w14:paraId="3B9F590A" w14:textId="77777777" w:rsidR="00F22FBD" w:rsidRDefault="00D44E4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6B27AB3F" w14:textId="77777777" w:rsidR="00F22FBD" w:rsidRDefault="00F22FBD">
      <w:pPr>
        <w:rPr>
          <w:noProof/>
        </w:rPr>
      </w:pPr>
    </w:p>
    <w:p w14:paraId="6BE18F30" w14:textId="77777777" w:rsidR="00F22FBD" w:rsidRDefault="00D44E4A">
      <w:pPr>
        <w:rPr>
          <w:noProof/>
          <w:szCs w:val="22"/>
          <w:shd w:val="clear" w:color="auto" w:fill="CCCCCC"/>
        </w:rPr>
      </w:pPr>
      <w:r>
        <w:rPr>
          <w:noProof/>
          <w:highlight w:val="lightGray"/>
        </w:rPr>
        <w:t>2D brūkšninis kodas su nurodytu unikaliu identifikatoriumi.</w:t>
      </w:r>
    </w:p>
    <w:p w14:paraId="473F15A7" w14:textId="77777777" w:rsidR="00F22FBD" w:rsidRDefault="00F22FBD">
      <w:pPr>
        <w:rPr>
          <w:noProof/>
        </w:rPr>
      </w:pPr>
    </w:p>
    <w:p w14:paraId="5A2E9330" w14:textId="77777777" w:rsidR="00F22FBD" w:rsidRDefault="00F22FBD">
      <w:pPr>
        <w:rPr>
          <w:noProof/>
        </w:rPr>
      </w:pPr>
    </w:p>
    <w:p w14:paraId="47D18B61" w14:textId="77777777" w:rsidR="00F22FBD" w:rsidRDefault="00D44E4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4CDCD424" w14:textId="77777777" w:rsidR="00F22FBD" w:rsidRDefault="00F22FBD">
      <w:pPr>
        <w:rPr>
          <w:noProof/>
        </w:rPr>
      </w:pPr>
    </w:p>
    <w:p w14:paraId="4EC342FE" w14:textId="77777777" w:rsidR="00F22FBD" w:rsidRDefault="00D44E4A">
      <w:pPr>
        <w:widowControl w:val="0"/>
        <w:tabs>
          <w:tab w:val="left" w:pos="567"/>
        </w:tabs>
        <w:spacing w:line="260" w:lineRule="exact"/>
        <w:rPr>
          <w:color w:val="000000"/>
          <w:szCs w:val="22"/>
          <w:lang w:val="en-GB"/>
        </w:rPr>
      </w:pPr>
      <w:r>
        <w:rPr>
          <w:color w:val="000000"/>
          <w:szCs w:val="22"/>
          <w:lang w:val="en-GB"/>
        </w:rPr>
        <w:t>PC</w:t>
      </w:r>
    </w:p>
    <w:p w14:paraId="33EDE2EA" w14:textId="77777777" w:rsidR="00F22FBD" w:rsidRDefault="00D44E4A">
      <w:pPr>
        <w:widowControl w:val="0"/>
        <w:tabs>
          <w:tab w:val="left" w:pos="567"/>
        </w:tabs>
        <w:spacing w:line="260" w:lineRule="exact"/>
        <w:rPr>
          <w:color w:val="000000"/>
          <w:szCs w:val="22"/>
          <w:lang w:val="en-GB"/>
        </w:rPr>
      </w:pPr>
      <w:r>
        <w:rPr>
          <w:color w:val="000000"/>
          <w:szCs w:val="22"/>
          <w:lang w:val="en-GB"/>
        </w:rPr>
        <w:t>SN</w:t>
      </w:r>
    </w:p>
    <w:p w14:paraId="48270047" w14:textId="77777777" w:rsidR="00F22FBD" w:rsidRDefault="00D44E4A">
      <w:pPr>
        <w:widowControl w:val="0"/>
        <w:tabs>
          <w:tab w:val="left" w:pos="567"/>
        </w:tabs>
        <w:spacing w:line="260" w:lineRule="exact"/>
        <w:rPr>
          <w:color w:val="000000"/>
          <w:szCs w:val="22"/>
          <w:lang w:val="en-GB"/>
        </w:rPr>
      </w:pPr>
      <w:r>
        <w:rPr>
          <w:color w:val="000000"/>
          <w:szCs w:val="22"/>
          <w:highlight w:val="lightGray"/>
          <w:lang w:val="en-GB"/>
        </w:rPr>
        <w:t>NN</w:t>
      </w:r>
    </w:p>
    <w:p w14:paraId="1B427265" w14:textId="77777777" w:rsidR="00F22FBD" w:rsidRDefault="00F22FBD">
      <w:pPr>
        <w:ind w:left="-198"/>
        <w:rPr>
          <w:szCs w:val="22"/>
        </w:rPr>
      </w:pPr>
    </w:p>
    <w:p w14:paraId="5F2B54EC" w14:textId="77777777" w:rsidR="00F22FBD" w:rsidRDefault="00D44E4A">
      <w:pPr>
        <w:pBdr>
          <w:top w:val="single" w:sz="4" w:space="1" w:color="auto"/>
          <w:left w:val="single" w:sz="4" w:space="4" w:color="auto"/>
          <w:bottom w:val="single" w:sz="4" w:space="1" w:color="auto"/>
          <w:right w:val="single" w:sz="4" w:space="4" w:color="auto"/>
        </w:pBdr>
        <w:rPr>
          <w:b/>
          <w:noProof/>
        </w:rPr>
      </w:pPr>
      <w:r>
        <w:rPr>
          <w:b/>
          <w:noProof/>
          <w:color w:val="FF0000"/>
        </w:rPr>
        <w:br w:type="page"/>
      </w:r>
      <w:bookmarkStart w:id="5" w:name="_Hlk147313146"/>
      <w:r>
        <w:rPr>
          <w:b/>
          <w:noProof/>
        </w:rPr>
        <w:lastRenderedPageBreak/>
        <w:t>INFORMACIJA ANT IŠORINĖS PAKUOTĖS</w:t>
      </w:r>
    </w:p>
    <w:p w14:paraId="1C65BF79" w14:textId="77777777" w:rsidR="00F22FBD" w:rsidRDefault="00F22FBD">
      <w:pPr>
        <w:pBdr>
          <w:top w:val="single" w:sz="4" w:space="1" w:color="auto"/>
          <w:left w:val="single" w:sz="4" w:space="4" w:color="auto"/>
          <w:bottom w:val="single" w:sz="4" w:space="1" w:color="auto"/>
          <w:right w:val="single" w:sz="4" w:space="4" w:color="auto"/>
        </w:pBdr>
        <w:ind w:left="567" w:hanging="567"/>
        <w:rPr>
          <w:bCs/>
          <w:noProof/>
        </w:rPr>
      </w:pPr>
    </w:p>
    <w:p w14:paraId="066F415A" w14:textId="77777777" w:rsidR="00F22FBD" w:rsidRDefault="00D44E4A">
      <w:pPr>
        <w:pBdr>
          <w:top w:val="single" w:sz="4" w:space="1" w:color="auto"/>
          <w:left w:val="single" w:sz="4" w:space="4" w:color="auto"/>
          <w:bottom w:val="single" w:sz="4" w:space="1" w:color="auto"/>
          <w:right w:val="single" w:sz="4" w:space="4" w:color="auto"/>
        </w:pBdr>
        <w:rPr>
          <w:bCs/>
          <w:noProof/>
        </w:rPr>
      </w:pPr>
      <w:r>
        <w:rPr>
          <w:b/>
          <w:noProof/>
        </w:rPr>
        <w:t>LIZDINIŲ PLOKŠTELIŲ SUDĖTINŲ PAKUOČIŲ IŠORINĖ DĖŽUTĖ</w:t>
      </w:r>
    </w:p>
    <w:p w14:paraId="752ADC9A" w14:textId="77777777" w:rsidR="00F22FBD" w:rsidRDefault="00F22FBD">
      <w:pPr>
        <w:rPr>
          <w:noProof/>
        </w:rPr>
      </w:pPr>
    </w:p>
    <w:p w14:paraId="085E0805" w14:textId="77777777" w:rsidR="00F22FBD" w:rsidRDefault="00F22FBD">
      <w:pPr>
        <w:rPr>
          <w:noProof/>
        </w:rPr>
      </w:pPr>
    </w:p>
    <w:p w14:paraId="1A6655E6"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62FA273A" w14:textId="77777777" w:rsidR="00F22FBD" w:rsidRDefault="00F22FBD">
      <w:pPr>
        <w:rPr>
          <w:noProof/>
        </w:rPr>
      </w:pPr>
    </w:p>
    <w:p w14:paraId="31BFD1A2" w14:textId="77777777" w:rsidR="00F22FBD" w:rsidRDefault="00D44E4A">
      <w:pPr>
        <w:rPr>
          <w:color w:val="000000" w:themeColor="text1"/>
        </w:rPr>
      </w:pPr>
      <w:r>
        <w:rPr>
          <w:noProof/>
        </w:rPr>
        <w:t>Danengo 75 mg kietosios kapsulės</w:t>
      </w:r>
    </w:p>
    <w:p w14:paraId="26DA0D78" w14:textId="77777777" w:rsidR="00F22FBD" w:rsidRDefault="00D44E4A">
      <w:pPr>
        <w:rPr>
          <w:color w:val="000000" w:themeColor="text1"/>
          <w:highlight w:val="lightGray"/>
        </w:rPr>
      </w:pPr>
      <w:r>
        <w:rPr>
          <w:noProof/>
          <w:highlight w:val="lightGray"/>
        </w:rPr>
        <w:t>Danengo 110 mg kietosios kapsulės</w:t>
      </w:r>
    </w:p>
    <w:p w14:paraId="1643715D" w14:textId="77777777" w:rsidR="00F22FBD" w:rsidRDefault="00D44E4A">
      <w:pPr>
        <w:rPr>
          <w:color w:val="000000" w:themeColor="text1"/>
        </w:rPr>
      </w:pPr>
      <w:r>
        <w:rPr>
          <w:noProof/>
          <w:highlight w:val="lightGray"/>
        </w:rPr>
        <w:t>Danengo 150 mg kietosios kapsulės</w:t>
      </w:r>
    </w:p>
    <w:p w14:paraId="3460BC2D" w14:textId="77777777" w:rsidR="00F22FBD" w:rsidRDefault="00F22FBD">
      <w:pPr>
        <w:rPr>
          <w:noProof/>
        </w:rPr>
      </w:pPr>
    </w:p>
    <w:p w14:paraId="7E1FD772" w14:textId="77777777" w:rsidR="00F22FBD" w:rsidRDefault="00D44E4A">
      <w:pPr>
        <w:rPr>
          <w:noProof/>
        </w:rPr>
      </w:pPr>
      <w:r>
        <w:rPr>
          <w:noProof/>
        </w:rPr>
        <w:t>dabigatranas eteksilatas</w:t>
      </w:r>
    </w:p>
    <w:p w14:paraId="26992D19" w14:textId="77777777" w:rsidR="00F22FBD" w:rsidRDefault="00F22FBD">
      <w:pPr>
        <w:rPr>
          <w:noProof/>
        </w:rPr>
      </w:pPr>
    </w:p>
    <w:p w14:paraId="5D63D526" w14:textId="77777777" w:rsidR="00F22FBD" w:rsidRDefault="00F22FBD">
      <w:pPr>
        <w:rPr>
          <w:noProof/>
        </w:rPr>
      </w:pPr>
    </w:p>
    <w:p w14:paraId="59F4EE11"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245DE528" w14:textId="77777777" w:rsidR="00F22FBD" w:rsidRDefault="00F22FBD">
      <w:pPr>
        <w:rPr>
          <w:noProof/>
        </w:rPr>
      </w:pPr>
    </w:p>
    <w:p w14:paraId="412D0759" w14:textId="77777777" w:rsidR="00F22FBD" w:rsidRDefault="00D44E4A">
      <w:r>
        <w:t>Kiekvienoje kietojoje kapsulėje yra 75 mg dabigatrano eteksilato (dabigatrano eteksilato mesilato pavidalu).</w:t>
      </w:r>
    </w:p>
    <w:p w14:paraId="777FB6AC" w14:textId="77777777" w:rsidR="00F22FBD" w:rsidRDefault="00D44E4A">
      <w:pPr>
        <w:rPr>
          <w:highlight w:val="lightGray"/>
        </w:rPr>
      </w:pPr>
      <w:r>
        <w:rPr>
          <w:highlight w:val="lightGray"/>
        </w:rPr>
        <w:t>Kiekvienoje kietojoje kapsulėje yra 110 mg dabigatrano eteksilato (dabigatrano eteksilato mesilato pavidalu).</w:t>
      </w:r>
    </w:p>
    <w:p w14:paraId="798FE06A" w14:textId="77777777" w:rsidR="00F22FBD" w:rsidRDefault="00D44E4A">
      <w:r>
        <w:rPr>
          <w:highlight w:val="lightGray"/>
        </w:rPr>
        <w:t>Kiekvienoje kietojoje kapsulėje yra 150 mg dabigatrano eteksilato (dabigatrano eteksilato mesilato pavidalu).</w:t>
      </w:r>
    </w:p>
    <w:p w14:paraId="1FA12D22" w14:textId="77777777" w:rsidR="00F22FBD" w:rsidRDefault="00F22FBD"/>
    <w:p w14:paraId="054D371D" w14:textId="77777777" w:rsidR="00F22FBD" w:rsidRDefault="00F22FBD">
      <w:pPr>
        <w:rPr>
          <w:noProof/>
        </w:rPr>
      </w:pPr>
    </w:p>
    <w:p w14:paraId="7E480B21"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2CDFE8A6" w14:textId="77777777" w:rsidR="00F22FBD" w:rsidRDefault="00F22FBD">
      <w:pPr>
        <w:rPr>
          <w:noProof/>
        </w:rPr>
      </w:pPr>
    </w:p>
    <w:p w14:paraId="24ED054B" w14:textId="77777777" w:rsidR="00F22FBD" w:rsidRDefault="00F22FBD">
      <w:pPr>
        <w:rPr>
          <w:noProof/>
        </w:rPr>
      </w:pPr>
    </w:p>
    <w:p w14:paraId="33F0D1AF"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38A8EC55" w14:textId="77777777" w:rsidR="00F22FBD" w:rsidRDefault="00F22FBD">
      <w:pPr>
        <w:rPr>
          <w:noProof/>
        </w:rPr>
      </w:pPr>
    </w:p>
    <w:p w14:paraId="437F56D7" w14:textId="77777777" w:rsidR="00F22FBD" w:rsidRDefault="00D44E4A">
      <w:r>
        <w:rPr>
          <w:highlight w:val="lightGray"/>
        </w:rPr>
        <w:t>kietoji kapsulė</w:t>
      </w:r>
    </w:p>
    <w:p w14:paraId="07334768" w14:textId="77777777" w:rsidR="00F22FBD" w:rsidRDefault="00F22FBD"/>
    <w:p w14:paraId="55471754" w14:textId="77777777" w:rsidR="00F22FBD" w:rsidRDefault="00D44E4A">
      <w:r>
        <w:t>Sudėtinė pakuotė: 100 (2 pakuotės po 50 x 1) kietųjų kapsulių</w:t>
      </w:r>
    </w:p>
    <w:p w14:paraId="2356D459" w14:textId="77777777" w:rsidR="00F22FBD" w:rsidRDefault="00D44E4A">
      <w:r>
        <w:rPr>
          <w:highlight w:val="lightGray"/>
        </w:rPr>
        <w:t>Sudėtinė pakuotė: 180 (3 pakuotės po 60 x 1) kietųjų kapsulių</w:t>
      </w:r>
    </w:p>
    <w:p w14:paraId="551D2436" w14:textId="77777777" w:rsidR="00F22FBD" w:rsidRDefault="00F22FBD">
      <w:pPr>
        <w:rPr>
          <w:noProof/>
        </w:rPr>
      </w:pPr>
    </w:p>
    <w:p w14:paraId="5A030934" w14:textId="77777777" w:rsidR="00F22FBD" w:rsidRDefault="00F22FBD">
      <w:pPr>
        <w:rPr>
          <w:noProof/>
        </w:rPr>
      </w:pPr>
    </w:p>
    <w:p w14:paraId="4184E4B6"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2246E546" w14:textId="77777777" w:rsidR="00F22FBD" w:rsidRDefault="00F22FBD">
      <w:pPr>
        <w:rPr>
          <w:i/>
          <w:noProof/>
        </w:rPr>
      </w:pPr>
    </w:p>
    <w:p w14:paraId="14D66907" w14:textId="77777777" w:rsidR="00F22FBD" w:rsidRDefault="00D44E4A">
      <w:pPr>
        <w:rPr>
          <w:noProof/>
        </w:rPr>
      </w:pPr>
      <w:r>
        <w:rPr>
          <w:noProof/>
        </w:rPr>
        <w:t>Nurykite visą kapsulę, kramtyti ar laužyti negalima.</w:t>
      </w:r>
    </w:p>
    <w:p w14:paraId="0087E6AC" w14:textId="77777777" w:rsidR="00F22FBD" w:rsidRDefault="00D44E4A">
      <w:pPr>
        <w:rPr>
          <w:noProof/>
        </w:rPr>
      </w:pPr>
      <w:r>
        <w:rPr>
          <w:noProof/>
        </w:rPr>
        <w:t>Prieš vartojimą perskaitykite pakuotės lapelį.</w:t>
      </w:r>
    </w:p>
    <w:p w14:paraId="78A8FFA4" w14:textId="77777777" w:rsidR="00F22FBD" w:rsidRDefault="00D44E4A">
      <w:pPr>
        <w:rPr>
          <w:noProof/>
        </w:rPr>
      </w:pPr>
      <w:r>
        <w:rPr>
          <w:noProof/>
        </w:rPr>
        <w:t>Vartoti per burną</w:t>
      </w:r>
    </w:p>
    <w:p w14:paraId="06642866" w14:textId="77777777" w:rsidR="00F22FBD" w:rsidRDefault="00F22FBD">
      <w:pPr>
        <w:rPr>
          <w:noProof/>
        </w:rPr>
      </w:pPr>
    </w:p>
    <w:p w14:paraId="4B6E8CC6" w14:textId="77777777" w:rsidR="00F22FBD" w:rsidRDefault="00F22FBD">
      <w:pPr>
        <w:rPr>
          <w:noProof/>
        </w:rPr>
      </w:pPr>
    </w:p>
    <w:p w14:paraId="6B1B58DA" w14:textId="77777777" w:rsidR="00F22FBD" w:rsidRDefault="00D44E4A">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132C83A2" w14:textId="77777777" w:rsidR="00F22FBD" w:rsidRDefault="00F22FBD">
      <w:pPr>
        <w:rPr>
          <w:noProof/>
        </w:rPr>
      </w:pPr>
    </w:p>
    <w:p w14:paraId="2DC288A3" w14:textId="77777777" w:rsidR="00F22FBD" w:rsidRDefault="00D44E4A">
      <w:pPr>
        <w:pStyle w:val="Pagrindinistekstas"/>
        <w:rPr>
          <w:i w:val="0"/>
          <w:iCs/>
          <w:noProof/>
          <w:color w:val="auto"/>
          <w:lang w:val="lt-LT"/>
        </w:rPr>
      </w:pPr>
      <w:r>
        <w:rPr>
          <w:i w:val="0"/>
          <w:iCs/>
          <w:noProof/>
          <w:color w:val="auto"/>
          <w:lang w:val="lt-LT"/>
        </w:rPr>
        <w:t>Laikyti vaikams nepastebimoje ir nepasiekiamoje vietoje.</w:t>
      </w:r>
    </w:p>
    <w:p w14:paraId="1B00A431" w14:textId="77777777" w:rsidR="00F22FBD" w:rsidRDefault="00F22FBD">
      <w:pPr>
        <w:rPr>
          <w:noProof/>
        </w:rPr>
      </w:pPr>
    </w:p>
    <w:p w14:paraId="02A7B084" w14:textId="77777777" w:rsidR="00F22FBD" w:rsidRDefault="00F22FBD">
      <w:pPr>
        <w:rPr>
          <w:noProof/>
        </w:rPr>
      </w:pPr>
    </w:p>
    <w:p w14:paraId="762B5AB8"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78442979" w14:textId="77777777" w:rsidR="00F22FBD" w:rsidRDefault="00F22FBD">
      <w:pPr>
        <w:rPr>
          <w:noProof/>
        </w:rPr>
      </w:pPr>
    </w:p>
    <w:p w14:paraId="69F7F5A0" w14:textId="77777777" w:rsidR="00F22FBD" w:rsidRDefault="00F22FBD">
      <w:pPr>
        <w:rPr>
          <w:noProof/>
        </w:rPr>
      </w:pPr>
    </w:p>
    <w:p w14:paraId="6896DFE7"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7F188684" w14:textId="77777777" w:rsidR="00F22FBD" w:rsidRDefault="00F22FBD">
      <w:pPr>
        <w:rPr>
          <w:i/>
          <w:noProof/>
        </w:rPr>
      </w:pPr>
    </w:p>
    <w:p w14:paraId="6AED81D8" w14:textId="77777777" w:rsidR="00F22FBD" w:rsidRDefault="00D44E4A">
      <w:pPr>
        <w:rPr>
          <w:iCs/>
          <w:noProof/>
        </w:rPr>
      </w:pPr>
      <w:r>
        <w:rPr>
          <w:iCs/>
          <w:noProof/>
        </w:rPr>
        <w:t xml:space="preserve">EXP </w:t>
      </w:r>
      <w:r>
        <w:rPr>
          <w:snapToGrid w:val="0"/>
        </w:rPr>
        <w:t>(mm/MMMM)</w:t>
      </w:r>
    </w:p>
    <w:p w14:paraId="349B1A1B" w14:textId="77777777" w:rsidR="00F22FBD" w:rsidRDefault="00F22FBD">
      <w:pPr>
        <w:rPr>
          <w:noProof/>
        </w:rPr>
      </w:pPr>
    </w:p>
    <w:p w14:paraId="3D45412B" w14:textId="77777777" w:rsidR="00F22FBD" w:rsidRDefault="00F22FBD">
      <w:pPr>
        <w:rPr>
          <w:noProof/>
        </w:rPr>
      </w:pPr>
    </w:p>
    <w:p w14:paraId="24E1F3C7"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0B51D504" w14:textId="77777777" w:rsidR="00F22FBD" w:rsidRDefault="00F22FBD">
      <w:pPr>
        <w:rPr>
          <w:i/>
          <w:noProof/>
        </w:rPr>
      </w:pPr>
    </w:p>
    <w:p w14:paraId="5D65A503" w14:textId="77777777" w:rsidR="00F22FBD" w:rsidRDefault="00D44E4A">
      <w:pPr>
        <w:ind w:left="567" w:hanging="567"/>
      </w:pPr>
      <w:r>
        <w:t>Laikyti gamintojo pakuotėje, kad vaistas būtų apsaugotas nuo šviesos ir drėgmės.</w:t>
      </w:r>
    </w:p>
    <w:p w14:paraId="1F784486" w14:textId="77777777" w:rsidR="00F22FBD" w:rsidRDefault="00F22FBD">
      <w:pPr>
        <w:ind w:left="567" w:hanging="567"/>
        <w:rPr>
          <w:i/>
          <w:iCs/>
        </w:rPr>
      </w:pPr>
    </w:p>
    <w:p w14:paraId="63E999C0" w14:textId="77777777" w:rsidR="00F22FBD" w:rsidRDefault="00F22FBD">
      <w:pPr>
        <w:ind w:left="567" w:hanging="567"/>
        <w:rPr>
          <w:noProof/>
        </w:rPr>
      </w:pPr>
    </w:p>
    <w:p w14:paraId="13BC491F"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394DF318" w14:textId="77777777" w:rsidR="00F22FBD" w:rsidRDefault="00F22FBD">
      <w:pPr>
        <w:rPr>
          <w:noProof/>
        </w:rPr>
      </w:pPr>
    </w:p>
    <w:p w14:paraId="7E73A878" w14:textId="77777777" w:rsidR="00F22FBD" w:rsidRDefault="00F22FBD">
      <w:pPr>
        <w:rPr>
          <w:noProof/>
        </w:rPr>
      </w:pPr>
    </w:p>
    <w:p w14:paraId="3613121C" w14:textId="77777777" w:rsidR="00F22FBD" w:rsidRDefault="00D44E4A">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14AA823C" w14:textId="77777777" w:rsidR="00F22FBD" w:rsidRDefault="00F22FBD"/>
    <w:p w14:paraId="6C52E4E7" w14:textId="77777777" w:rsidR="00F22FBD" w:rsidRDefault="00D44E4A">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43245918" w14:textId="77777777" w:rsidR="00F22FBD" w:rsidRDefault="00D44E4A">
      <w:pPr>
        <w:widowControl w:val="0"/>
        <w:rPr>
          <w:noProof/>
          <w:szCs w:val="22"/>
          <w:lang w:eastAsia="sl-SI"/>
        </w:rPr>
      </w:pPr>
      <w:r>
        <w:rPr>
          <w:noProof/>
          <w:szCs w:val="22"/>
          <w:lang w:eastAsia="sl-SI"/>
        </w:rPr>
        <w:t>Heinz-Lohmann-Straße 5</w:t>
      </w:r>
    </w:p>
    <w:p w14:paraId="647ACC34" w14:textId="77777777" w:rsidR="00F22FBD" w:rsidRDefault="00D44E4A">
      <w:pPr>
        <w:widowControl w:val="0"/>
        <w:rPr>
          <w:noProof/>
          <w:szCs w:val="22"/>
          <w:lang w:eastAsia="sl-SI"/>
        </w:rPr>
      </w:pPr>
      <w:r>
        <w:rPr>
          <w:noProof/>
          <w:szCs w:val="22"/>
          <w:lang w:eastAsia="sl-SI"/>
        </w:rPr>
        <w:t>27472 Cuxhaven</w:t>
      </w:r>
    </w:p>
    <w:p w14:paraId="55F8C29A" w14:textId="77777777" w:rsidR="00F22FBD" w:rsidRDefault="00D44E4A">
      <w:pPr>
        <w:rPr>
          <w:noProof/>
        </w:rPr>
      </w:pPr>
      <w:r>
        <w:rPr>
          <w:noProof/>
          <w:szCs w:val="22"/>
          <w:lang w:eastAsia="sl-SI"/>
        </w:rPr>
        <w:t>Vokietija</w:t>
      </w:r>
    </w:p>
    <w:p w14:paraId="434E745F" w14:textId="77777777" w:rsidR="00F22FBD" w:rsidRDefault="00F22FBD">
      <w:pPr>
        <w:rPr>
          <w:noProof/>
        </w:rPr>
      </w:pPr>
    </w:p>
    <w:p w14:paraId="33D345F7" w14:textId="77777777" w:rsidR="00F22FBD" w:rsidRDefault="00F22FBD">
      <w:pPr>
        <w:rPr>
          <w:noProof/>
        </w:rPr>
      </w:pPr>
    </w:p>
    <w:p w14:paraId="4B2FEC52"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0889EC98" w14:textId="77777777" w:rsidR="00F22FBD" w:rsidRDefault="00F22FBD">
      <w:pPr>
        <w:rPr>
          <w:noProof/>
        </w:rPr>
      </w:pPr>
    </w:p>
    <w:p w14:paraId="2E463ECA" w14:textId="77777777" w:rsidR="00F22FBD" w:rsidRDefault="00D44E4A">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&lt;75 mg&gt;</w:t>
      </w:r>
    </w:p>
    <w:p w14:paraId="57E38E5E" w14:textId="77777777" w:rsidR="00F22FBD" w:rsidRDefault="00D44E4A">
      <w:pPr>
        <w:widowControl w:val="0"/>
        <w:rPr>
          <w:noProof/>
          <w:szCs w:val="22"/>
          <w:shd w:val="clear" w:color="auto" w:fill="F2F2F2" w:themeFill="background1" w:themeFillShade="F2"/>
          <w:lang w:eastAsia="sl-SI"/>
        </w:rPr>
      </w:pPr>
      <w:r>
        <w:rPr>
          <w:noProof/>
          <w:szCs w:val="22"/>
          <w:shd w:val="clear" w:color="auto" w:fill="FFFFFF" w:themeFill="background1"/>
          <w:lang w:eastAsia="sl-SI"/>
        </w:rPr>
        <w:t>LT/1/23/5280/005</w:t>
      </w:r>
      <w:r>
        <w:rPr>
          <w:noProof/>
          <w:szCs w:val="22"/>
          <w:shd w:val="clear" w:color="auto" w:fill="F2F2F2" w:themeFill="background1" w:themeFillShade="F2"/>
          <w:lang w:eastAsia="sl-SI"/>
        </w:rPr>
        <w:t xml:space="preserve"> – N100 (2x (50x1))</w:t>
      </w:r>
    </w:p>
    <w:p w14:paraId="4FD994D3" w14:textId="77777777" w:rsidR="00F22FBD" w:rsidRDefault="00D44E4A">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LT/1/23/5280/006 – N180 (3x (60x1))</w:t>
      </w:r>
    </w:p>
    <w:p w14:paraId="692F32F9" w14:textId="77777777" w:rsidR="00F22FBD" w:rsidRDefault="00F22FBD"/>
    <w:p w14:paraId="52C36FDE" w14:textId="77777777" w:rsidR="00F22FBD" w:rsidRDefault="00D44E4A">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&lt;110 mg&gt;</w:t>
      </w:r>
    </w:p>
    <w:p w14:paraId="2EA789B1"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LT/1/23/5281/005 – N100 (2x (50x1))</w:t>
      </w:r>
    </w:p>
    <w:p w14:paraId="6C5A104F"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LT/1/23/5281/006 – N180 (3x (60x1))</w:t>
      </w:r>
    </w:p>
    <w:p w14:paraId="56308BB4" w14:textId="77777777" w:rsidR="00F22FBD" w:rsidRDefault="00F22FBD"/>
    <w:p w14:paraId="1F6C4C8A" w14:textId="77777777" w:rsidR="00F22FBD" w:rsidRDefault="00D44E4A">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&lt;150 mg&gt;</w:t>
      </w:r>
    </w:p>
    <w:p w14:paraId="18C0FCF0"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LT/1/23/5282/005 – N100 (2x (50x1))</w:t>
      </w:r>
    </w:p>
    <w:p w14:paraId="3EB43C82" w14:textId="77777777" w:rsidR="00F22FBD" w:rsidRDefault="00D44E4A">
      <w:pPr>
        <w:rPr>
          <w:noProof/>
        </w:rPr>
      </w:pPr>
      <w:r>
        <w:rPr>
          <w:noProof/>
          <w:szCs w:val="22"/>
          <w:shd w:val="clear" w:color="auto" w:fill="F2F2F2" w:themeFill="background1" w:themeFillShade="F2"/>
          <w:lang w:eastAsia="sl-SI"/>
        </w:rPr>
        <w:t>LT/1/23/5282/006 – N180 (3x (60x1))</w:t>
      </w:r>
    </w:p>
    <w:p w14:paraId="23821F58" w14:textId="77777777" w:rsidR="00F22FBD" w:rsidRDefault="00F22FBD"/>
    <w:p w14:paraId="51F93DD2" w14:textId="77777777" w:rsidR="00F22FBD" w:rsidRDefault="00F22FBD">
      <w:pPr>
        <w:rPr>
          <w:noProof/>
        </w:rPr>
      </w:pPr>
    </w:p>
    <w:p w14:paraId="61C58CBC"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72B4F444" w14:textId="77777777" w:rsidR="00F22FBD" w:rsidRDefault="00F22FBD">
      <w:pPr>
        <w:rPr>
          <w:i/>
          <w:noProof/>
        </w:rPr>
      </w:pPr>
    </w:p>
    <w:p w14:paraId="230BCB18" w14:textId="77777777" w:rsidR="00F22FBD" w:rsidRDefault="00D44E4A">
      <w:pPr>
        <w:rPr>
          <w:noProof/>
        </w:rPr>
      </w:pPr>
      <w:r>
        <w:rPr>
          <w:noProof/>
        </w:rPr>
        <w:t>Lot</w:t>
      </w:r>
    </w:p>
    <w:p w14:paraId="167B0AE6" w14:textId="77777777" w:rsidR="00F22FBD" w:rsidRDefault="00F22FBD">
      <w:pPr>
        <w:rPr>
          <w:noProof/>
        </w:rPr>
      </w:pPr>
    </w:p>
    <w:p w14:paraId="095DCF5B" w14:textId="77777777" w:rsidR="00F22FBD" w:rsidRDefault="00F22FBD">
      <w:pPr>
        <w:rPr>
          <w:noProof/>
        </w:rPr>
      </w:pPr>
    </w:p>
    <w:p w14:paraId="6EE89991"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6C5842C3" w14:textId="77777777" w:rsidR="00F22FBD" w:rsidRDefault="00F22FBD">
      <w:pPr>
        <w:rPr>
          <w:noProof/>
        </w:rPr>
      </w:pPr>
    </w:p>
    <w:p w14:paraId="1106330C" w14:textId="77777777" w:rsidR="00F22FBD" w:rsidRDefault="00D44E4A">
      <w:pPr>
        <w:widowControl w:val="0"/>
        <w:tabs>
          <w:tab w:val="left" w:pos="567"/>
        </w:tabs>
        <w:rPr>
          <w:snapToGrid w:val="0"/>
          <w:szCs w:val="22"/>
        </w:rPr>
      </w:pPr>
      <w:r>
        <w:rPr>
          <w:snapToGrid w:val="0"/>
          <w:szCs w:val="22"/>
        </w:rPr>
        <w:t>Receptinis vaistas</w:t>
      </w:r>
    </w:p>
    <w:p w14:paraId="35E0FEBE" w14:textId="77777777" w:rsidR="00F22FBD" w:rsidRDefault="00F22FBD">
      <w:pPr>
        <w:rPr>
          <w:noProof/>
        </w:rPr>
      </w:pPr>
    </w:p>
    <w:p w14:paraId="13999F62" w14:textId="77777777" w:rsidR="00F22FBD" w:rsidRDefault="00F22FBD">
      <w:pPr>
        <w:rPr>
          <w:noProof/>
        </w:rPr>
      </w:pPr>
    </w:p>
    <w:p w14:paraId="07843CB6"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7719B7E1" w14:textId="77777777" w:rsidR="00F22FBD" w:rsidRDefault="00F22FBD">
      <w:pPr>
        <w:rPr>
          <w:i/>
          <w:iCs/>
          <w:sz w:val="16"/>
          <w:szCs w:val="16"/>
        </w:rPr>
      </w:pPr>
    </w:p>
    <w:p w14:paraId="30B0218F" w14:textId="77777777" w:rsidR="00F22FBD" w:rsidRDefault="00F22FBD">
      <w:pPr>
        <w:rPr>
          <w:noProof/>
        </w:rPr>
      </w:pPr>
    </w:p>
    <w:p w14:paraId="7004374C"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6CCA6255" w14:textId="77777777" w:rsidR="00F22FBD" w:rsidRDefault="00F22FBD">
      <w:pPr>
        <w:rPr>
          <w:noProof/>
        </w:rPr>
      </w:pPr>
    </w:p>
    <w:p w14:paraId="2B2B3D4F" w14:textId="77777777" w:rsidR="00F22FBD" w:rsidRDefault="00D44E4A">
      <w:pPr>
        <w:rPr>
          <w:color w:val="000000" w:themeColor="text1"/>
        </w:rPr>
      </w:pPr>
      <w:r>
        <w:rPr>
          <w:noProof/>
        </w:rPr>
        <w:t>Danengo 75 mg</w:t>
      </w:r>
    </w:p>
    <w:p w14:paraId="34DBBEDD" w14:textId="77777777" w:rsidR="00F22FBD" w:rsidRDefault="00D44E4A">
      <w:pPr>
        <w:rPr>
          <w:color w:val="000000" w:themeColor="text1"/>
          <w:highlight w:val="lightGray"/>
        </w:rPr>
      </w:pPr>
      <w:r>
        <w:rPr>
          <w:noProof/>
          <w:highlight w:val="lightGray"/>
        </w:rPr>
        <w:t>Danengo 110 mg</w:t>
      </w:r>
    </w:p>
    <w:p w14:paraId="6D3602D8" w14:textId="77777777" w:rsidR="00F22FBD" w:rsidRDefault="00D44E4A">
      <w:pPr>
        <w:rPr>
          <w:color w:val="000000" w:themeColor="text1"/>
        </w:rPr>
      </w:pPr>
      <w:r>
        <w:rPr>
          <w:noProof/>
          <w:highlight w:val="lightGray"/>
        </w:rPr>
        <w:t>Danengo 150 mg</w:t>
      </w:r>
    </w:p>
    <w:p w14:paraId="4C17FB26" w14:textId="77777777" w:rsidR="00F22FBD" w:rsidRDefault="00F22FBD">
      <w:pPr>
        <w:rPr>
          <w:noProof/>
          <w:sz w:val="16"/>
          <w:szCs w:val="16"/>
          <w:shd w:val="clear" w:color="auto" w:fill="CCCCCC"/>
        </w:rPr>
      </w:pPr>
    </w:p>
    <w:p w14:paraId="4F0AC32F" w14:textId="77777777" w:rsidR="00F22FBD" w:rsidRDefault="00F22FBD">
      <w:pPr>
        <w:rPr>
          <w:noProof/>
          <w:szCs w:val="22"/>
          <w:shd w:val="clear" w:color="auto" w:fill="CCCCCC"/>
        </w:rPr>
      </w:pPr>
    </w:p>
    <w:p w14:paraId="6AEECEDE" w14:textId="77777777" w:rsidR="00F22FBD" w:rsidRDefault="00D44E4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668310F5" w14:textId="77777777" w:rsidR="00F22FBD" w:rsidRDefault="00F22FBD">
      <w:pPr>
        <w:rPr>
          <w:noProof/>
        </w:rPr>
      </w:pPr>
    </w:p>
    <w:p w14:paraId="4D2E8003" w14:textId="77777777" w:rsidR="00F22FBD" w:rsidRDefault="00D44E4A">
      <w:pPr>
        <w:rPr>
          <w:noProof/>
          <w:szCs w:val="22"/>
          <w:shd w:val="clear" w:color="auto" w:fill="CCCCCC"/>
        </w:rPr>
      </w:pPr>
      <w:r>
        <w:rPr>
          <w:noProof/>
          <w:highlight w:val="lightGray"/>
        </w:rPr>
        <w:t>2D brūkšninis kodas su nurodytu unikaliu identifikatoriumi.</w:t>
      </w:r>
    </w:p>
    <w:p w14:paraId="0BF1DA58" w14:textId="77777777" w:rsidR="00F22FBD" w:rsidRDefault="00F22FBD">
      <w:pPr>
        <w:rPr>
          <w:noProof/>
        </w:rPr>
      </w:pPr>
    </w:p>
    <w:p w14:paraId="585220FB" w14:textId="77777777" w:rsidR="00F22FBD" w:rsidRDefault="00F22FBD">
      <w:pPr>
        <w:rPr>
          <w:noProof/>
        </w:rPr>
      </w:pPr>
    </w:p>
    <w:p w14:paraId="61C8342B" w14:textId="77777777" w:rsidR="00F22FBD" w:rsidRDefault="00D44E4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5886408B" w14:textId="77777777" w:rsidR="00F22FBD" w:rsidRDefault="00F22FBD">
      <w:pPr>
        <w:rPr>
          <w:noProof/>
        </w:rPr>
      </w:pPr>
    </w:p>
    <w:p w14:paraId="3166F60E" w14:textId="77777777" w:rsidR="00F22FBD" w:rsidRDefault="00D44E4A">
      <w:pPr>
        <w:widowControl w:val="0"/>
        <w:tabs>
          <w:tab w:val="left" w:pos="567"/>
        </w:tabs>
        <w:spacing w:line="260" w:lineRule="exact"/>
        <w:rPr>
          <w:color w:val="000000"/>
          <w:szCs w:val="22"/>
          <w:lang w:val="en-GB"/>
        </w:rPr>
      </w:pPr>
      <w:r>
        <w:rPr>
          <w:color w:val="000000"/>
          <w:szCs w:val="22"/>
          <w:lang w:val="en-GB"/>
        </w:rPr>
        <w:t>PC</w:t>
      </w:r>
    </w:p>
    <w:p w14:paraId="55FA3D98" w14:textId="77777777" w:rsidR="00F22FBD" w:rsidRDefault="00D44E4A">
      <w:pPr>
        <w:widowControl w:val="0"/>
        <w:tabs>
          <w:tab w:val="left" w:pos="567"/>
        </w:tabs>
        <w:spacing w:line="260" w:lineRule="exact"/>
        <w:rPr>
          <w:color w:val="000000"/>
          <w:szCs w:val="22"/>
          <w:lang w:val="en-GB"/>
        </w:rPr>
      </w:pPr>
      <w:r>
        <w:rPr>
          <w:color w:val="000000"/>
          <w:szCs w:val="22"/>
          <w:lang w:val="en-GB"/>
        </w:rPr>
        <w:t>SN</w:t>
      </w:r>
    </w:p>
    <w:p w14:paraId="7C19C722" w14:textId="77777777" w:rsidR="00F22FBD" w:rsidRDefault="00D44E4A">
      <w:pPr>
        <w:widowControl w:val="0"/>
        <w:tabs>
          <w:tab w:val="left" w:pos="567"/>
        </w:tabs>
        <w:spacing w:line="260" w:lineRule="exact"/>
        <w:rPr>
          <w:color w:val="000000"/>
          <w:szCs w:val="22"/>
          <w:lang w:val="en-GB"/>
        </w:rPr>
      </w:pPr>
      <w:r>
        <w:rPr>
          <w:color w:val="000000"/>
          <w:szCs w:val="22"/>
          <w:highlight w:val="lightGray"/>
          <w:lang w:val="en-GB"/>
        </w:rPr>
        <w:t>NN</w:t>
      </w:r>
    </w:p>
    <w:p w14:paraId="03F9582B" w14:textId="77777777" w:rsidR="00F22FBD" w:rsidRDefault="00F22FBD">
      <w:pPr>
        <w:ind w:left="-198"/>
        <w:rPr>
          <w:szCs w:val="22"/>
        </w:rPr>
      </w:pPr>
    </w:p>
    <w:p w14:paraId="0FB823FE" w14:textId="77777777" w:rsidR="00F22FBD" w:rsidRDefault="00D44E4A">
      <w:pPr>
        <w:pBdr>
          <w:top w:val="single" w:sz="4" w:space="1" w:color="auto"/>
          <w:left w:val="single" w:sz="4" w:space="4" w:color="auto"/>
          <w:bottom w:val="single" w:sz="4" w:space="1" w:color="auto"/>
          <w:right w:val="single" w:sz="4" w:space="4" w:color="auto"/>
        </w:pBdr>
        <w:rPr>
          <w:b/>
          <w:noProof/>
        </w:rPr>
      </w:pPr>
      <w:r>
        <w:rPr>
          <w:b/>
          <w:noProof/>
          <w:color w:val="FF0000"/>
        </w:rPr>
        <w:br w:type="page"/>
      </w:r>
      <w:bookmarkStart w:id="6" w:name="_Hlk147313864"/>
      <w:r>
        <w:rPr>
          <w:b/>
          <w:noProof/>
        </w:rPr>
        <w:lastRenderedPageBreak/>
        <w:t>INFORMACIJA ANT IŠORINĖS PAKUOTĖS</w:t>
      </w:r>
    </w:p>
    <w:p w14:paraId="26498DDC" w14:textId="77777777" w:rsidR="00F22FBD" w:rsidRDefault="00F22FBD">
      <w:pPr>
        <w:pBdr>
          <w:top w:val="single" w:sz="4" w:space="1" w:color="auto"/>
          <w:left w:val="single" w:sz="4" w:space="4" w:color="auto"/>
          <w:bottom w:val="single" w:sz="4" w:space="1" w:color="auto"/>
          <w:right w:val="single" w:sz="4" w:space="4" w:color="auto"/>
        </w:pBdr>
        <w:ind w:left="567" w:hanging="567"/>
        <w:rPr>
          <w:bCs/>
          <w:noProof/>
        </w:rPr>
      </w:pPr>
    </w:p>
    <w:p w14:paraId="6ED3E871" w14:textId="77777777" w:rsidR="00F22FBD" w:rsidRDefault="00D44E4A">
      <w:pPr>
        <w:pBdr>
          <w:top w:val="single" w:sz="4" w:space="1" w:color="auto"/>
          <w:left w:val="single" w:sz="4" w:space="4" w:color="auto"/>
          <w:bottom w:val="single" w:sz="4" w:space="1" w:color="auto"/>
          <w:right w:val="single" w:sz="4" w:space="4" w:color="auto"/>
        </w:pBdr>
        <w:rPr>
          <w:bCs/>
          <w:noProof/>
        </w:rPr>
      </w:pPr>
      <w:r>
        <w:rPr>
          <w:b/>
          <w:noProof/>
        </w:rPr>
        <w:t>LIZDINIŲ PLOKŠTELIŲ SUDĖTINŲ PAKUOČIŲ VIDINĖ DĖŽUTĖ</w:t>
      </w:r>
    </w:p>
    <w:p w14:paraId="528927BE" w14:textId="77777777" w:rsidR="00F22FBD" w:rsidRDefault="00F22FBD">
      <w:pPr>
        <w:rPr>
          <w:noProof/>
        </w:rPr>
      </w:pPr>
    </w:p>
    <w:p w14:paraId="72C6850E" w14:textId="77777777" w:rsidR="00F22FBD" w:rsidRDefault="00F22FBD">
      <w:pPr>
        <w:rPr>
          <w:noProof/>
        </w:rPr>
      </w:pPr>
    </w:p>
    <w:p w14:paraId="44EB4C8B"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11E43E0D" w14:textId="77777777" w:rsidR="00F22FBD" w:rsidRDefault="00F22FBD">
      <w:pPr>
        <w:rPr>
          <w:noProof/>
        </w:rPr>
      </w:pPr>
    </w:p>
    <w:p w14:paraId="7C2D2C1F" w14:textId="77777777" w:rsidR="00F22FBD" w:rsidRDefault="00D44E4A">
      <w:pPr>
        <w:rPr>
          <w:color w:val="000000" w:themeColor="text1"/>
        </w:rPr>
      </w:pPr>
      <w:r>
        <w:rPr>
          <w:noProof/>
        </w:rPr>
        <w:t>Danengo 75 mg kietosios kapsulės</w:t>
      </w:r>
    </w:p>
    <w:p w14:paraId="6C029253" w14:textId="77777777" w:rsidR="00F22FBD" w:rsidRDefault="00D44E4A">
      <w:pPr>
        <w:rPr>
          <w:color w:val="000000" w:themeColor="text1"/>
          <w:highlight w:val="lightGray"/>
        </w:rPr>
      </w:pPr>
      <w:r>
        <w:rPr>
          <w:noProof/>
          <w:highlight w:val="lightGray"/>
        </w:rPr>
        <w:t>Danengo 110 mg kietosios kapsulės</w:t>
      </w:r>
    </w:p>
    <w:p w14:paraId="39B47E1A" w14:textId="77777777" w:rsidR="00F22FBD" w:rsidRDefault="00D44E4A">
      <w:pPr>
        <w:rPr>
          <w:color w:val="000000" w:themeColor="text1"/>
        </w:rPr>
      </w:pPr>
      <w:r>
        <w:rPr>
          <w:noProof/>
          <w:highlight w:val="lightGray"/>
        </w:rPr>
        <w:t>Danengo 150 mg kietosios kapsulės</w:t>
      </w:r>
    </w:p>
    <w:p w14:paraId="5C568056" w14:textId="77777777" w:rsidR="00F22FBD" w:rsidRDefault="00F22FBD">
      <w:pPr>
        <w:rPr>
          <w:noProof/>
        </w:rPr>
      </w:pPr>
    </w:p>
    <w:p w14:paraId="7D865BB9" w14:textId="77777777" w:rsidR="00F22FBD" w:rsidRDefault="00D44E4A">
      <w:pPr>
        <w:rPr>
          <w:noProof/>
        </w:rPr>
      </w:pPr>
      <w:r>
        <w:rPr>
          <w:noProof/>
        </w:rPr>
        <w:t>dabigatranas eteksilatas</w:t>
      </w:r>
    </w:p>
    <w:p w14:paraId="2679CB69" w14:textId="77777777" w:rsidR="00F22FBD" w:rsidRDefault="00F22FBD">
      <w:pPr>
        <w:rPr>
          <w:noProof/>
        </w:rPr>
      </w:pPr>
    </w:p>
    <w:p w14:paraId="297D30B8" w14:textId="77777777" w:rsidR="00F22FBD" w:rsidRDefault="00F22FBD">
      <w:pPr>
        <w:rPr>
          <w:noProof/>
        </w:rPr>
      </w:pPr>
    </w:p>
    <w:p w14:paraId="42C2D7D0"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47DE1FA7" w14:textId="77777777" w:rsidR="00F22FBD" w:rsidRDefault="00F22FBD">
      <w:pPr>
        <w:rPr>
          <w:noProof/>
        </w:rPr>
      </w:pPr>
    </w:p>
    <w:p w14:paraId="2F712262" w14:textId="77777777" w:rsidR="00F22FBD" w:rsidRDefault="00D44E4A">
      <w:r>
        <w:t>Kiekvienoje kietojoje kapsulėje yra 75 mg dabigatrano eteksilato (dabigatrano eteksilato mesilato pavidalu).</w:t>
      </w:r>
    </w:p>
    <w:p w14:paraId="2240E5D7" w14:textId="77777777" w:rsidR="00F22FBD" w:rsidRDefault="00D44E4A">
      <w:pPr>
        <w:rPr>
          <w:highlight w:val="lightGray"/>
        </w:rPr>
      </w:pPr>
      <w:r>
        <w:rPr>
          <w:highlight w:val="lightGray"/>
        </w:rPr>
        <w:t>Kiekvienoje kietojoje kapsulėje yra 110 mg dabigatrano eteksilato (dabigatrano eteksilato mesilato pavidalu).</w:t>
      </w:r>
    </w:p>
    <w:p w14:paraId="2EBE3396" w14:textId="77777777" w:rsidR="00F22FBD" w:rsidRDefault="00D44E4A">
      <w:r>
        <w:rPr>
          <w:highlight w:val="lightGray"/>
        </w:rPr>
        <w:t>Kiekvienoje kietojoje kapsulėje yra 150 mg dabigatrano eteksilato (dabigatrano eteksilato mesilato pavidalu).</w:t>
      </w:r>
    </w:p>
    <w:p w14:paraId="51CDCA19" w14:textId="77777777" w:rsidR="00F22FBD" w:rsidRDefault="00F22FBD"/>
    <w:p w14:paraId="5ECEFB4B" w14:textId="77777777" w:rsidR="00F22FBD" w:rsidRDefault="00F22FBD">
      <w:pPr>
        <w:rPr>
          <w:noProof/>
        </w:rPr>
      </w:pPr>
    </w:p>
    <w:p w14:paraId="458B60C2"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0F0BDDA1" w14:textId="77777777" w:rsidR="00F22FBD" w:rsidRDefault="00F22FBD">
      <w:pPr>
        <w:rPr>
          <w:noProof/>
        </w:rPr>
      </w:pPr>
    </w:p>
    <w:p w14:paraId="55421339" w14:textId="77777777" w:rsidR="00F22FBD" w:rsidRDefault="00F22FBD">
      <w:pPr>
        <w:rPr>
          <w:noProof/>
        </w:rPr>
      </w:pPr>
    </w:p>
    <w:p w14:paraId="62E85236"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05A6E006" w14:textId="77777777" w:rsidR="00F22FBD" w:rsidRDefault="00F22FBD">
      <w:pPr>
        <w:rPr>
          <w:noProof/>
        </w:rPr>
      </w:pPr>
    </w:p>
    <w:p w14:paraId="6DED0A10" w14:textId="77777777" w:rsidR="00F22FBD" w:rsidRDefault="00D44E4A">
      <w:r>
        <w:rPr>
          <w:highlight w:val="lightGray"/>
        </w:rPr>
        <w:t>kietoji kapsulė</w:t>
      </w:r>
    </w:p>
    <w:p w14:paraId="39A7F762" w14:textId="77777777" w:rsidR="00F22FBD" w:rsidRDefault="00F22FBD"/>
    <w:p w14:paraId="7BCA2FE8" w14:textId="77777777" w:rsidR="00F22FBD" w:rsidRDefault="00D44E4A">
      <w:r>
        <w:t>50 x 1 kietųjų kapsulių</w:t>
      </w:r>
    </w:p>
    <w:p w14:paraId="169CD829" w14:textId="77777777" w:rsidR="00F22FBD" w:rsidRDefault="00D44E4A">
      <w:r>
        <w:rPr>
          <w:highlight w:val="lightGray"/>
        </w:rPr>
        <w:t>60 x 1 kietųjų kapsulių</w:t>
      </w:r>
    </w:p>
    <w:p w14:paraId="1A1D608F" w14:textId="77777777" w:rsidR="00F22FBD" w:rsidRDefault="00D44E4A">
      <w:pPr>
        <w:rPr>
          <w:noProof/>
        </w:rPr>
      </w:pPr>
      <w:r>
        <w:rPr>
          <w:noProof/>
        </w:rPr>
        <w:t>Sudėtinės pakuotės dalis, negali būti parduodama atskirai.</w:t>
      </w:r>
    </w:p>
    <w:p w14:paraId="740E023F" w14:textId="77777777" w:rsidR="00F22FBD" w:rsidRDefault="00F22FBD">
      <w:pPr>
        <w:rPr>
          <w:noProof/>
        </w:rPr>
      </w:pPr>
    </w:p>
    <w:p w14:paraId="587922D9" w14:textId="77777777" w:rsidR="00F22FBD" w:rsidRDefault="00F22FBD">
      <w:pPr>
        <w:rPr>
          <w:noProof/>
        </w:rPr>
      </w:pPr>
    </w:p>
    <w:p w14:paraId="3A3AB154"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78B1BCD4" w14:textId="77777777" w:rsidR="00F22FBD" w:rsidRDefault="00F22FBD">
      <w:pPr>
        <w:rPr>
          <w:i/>
          <w:noProof/>
        </w:rPr>
      </w:pPr>
    </w:p>
    <w:p w14:paraId="55A5FEA2" w14:textId="77777777" w:rsidR="00F22FBD" w:rsidRDefault="00D44E4A">
      <w:pPr>
        <w:rPr>
          <w:noProof/>
        </w:rPr>
      </w:pPr>
      <w:r>
        <w:rPr>
          <w:noProof/>
        </w:rPr>
        <w:t>Nurykite visą kapsulę, kramtyti ar laužyti negalima.</w:t>
      </w:r>
    </w:p>
    <w:p w14:paraId="5C268329" w14:textId="77777777" w:rsidR="00F22FBD" w:rsidRDefault="00D44E4A">
      <w:pPr>
        <w:rPr>
          <w:noProof/>
        </w:rPr>
      </w:pPr>
      <w:r>
        <w:rPr>
          <w:noProof/>
        </w:rPr>
        <w:t>Prieš vartojimą perskaitykite pakuotės lapelį.</w:t>
      </w:r>
    </w:p>
    <w:p w14:paraId="4C82B4D4" w14:textId="77777777" w:rsidR="00F22FBD" w:rsidRDefault="00D44E4A">
      <w:pPr>
        <w:rPr>
          <w:noProof/>
        </w:rPr>
      </w:pPr>
      <w:r>
        <w:rPr>
          <w:noProof/>
        </w:rPr>
        <w:t>Vartoti per burną</w:t>
      </w:r>
    </w:p>
    <w:p w14:paraId="4D60094C" w14:textId="77777777" w:rsidR="00F22FBD" w:rsidRDefault="00F22FBD">
      <w:pPr>
        <w:rPr>
          <w:noProof/>
        </w:rPr>
      </w:pPr>
    </w:p>
    <w:p w14:paraId="7851921B" w14:textId="77777777" w:rsidR="00F22FBD" w:rsidRDefault="00D44E4A">
      <w:pPr>
        <w:rPr>
          <w:noProof/>
        </w:rPr>
      </w:pPr>
      <w:r>
        <w:rPr>
          <w:noProof/>
        </w:rPr>
        <w:t>Paciento budrumo kortelė yra viduje.</w:t>
      </w:r>
    </w:p>
    <w:p w14:paraId="6C5F0C6B" w14:textId="77777777" w:rsidR="00F22FBD" w:rsidRDefault="00F22FBD">
      <w:pPr>
        <w:rPr>
          <w:noProof/>
        </w:rPr>
      </w:pPr>
    </w:p>
    <w:p w14:paraId="156C5365" w14:textId="77777777" w:rsidR="00F22FBD" w:rsidRDefault="00D44E4A">
      <w:pPr>
        <w:rPr>
          <w:noProof/>
        </w:rPr>
      </w:pPr>
      <w:r>
        <w:rPr>
          <w:noProof/>
        </w:rPr>
        <w:t>Norėdami išimti kapsulę iš lizdinės plokštelės:</w:t>
      </w:r>
    </w:p>
    <w:p w14:paraId="77C7FA2B" w14:textId="77777777" w:rsidR="00F22FBD" w:rsidRDefault="00D44E4A">
      <w:pPr>
        <w:ind w:left="720" w:hanging="720"/>
        <w:rPr>
          <w:noProof/>
        </w:rPr>
      </w:pPr>
      <w:r>
        <w:rPr>
          <w:noProof/>
        </w:rPr>
        <w:t>1.</w:t>
      </w:r>
      <w:r>
        <w:rPr>
          <w:noProof/>
        </w:rPr>
        <w:tab/>
        <w:t>Laikykite lizdinę plokštelę už kraštų ir atskirkite vieną lizdinės plokštelės dalomąją dalį, švelniai lenkdami ir nuplėšdami išilgai perforuotų linijų.</w:t>
      </w:r>
    </w:p>
    <w:p w14:paraId="4DD53177" w14:textId="77777777" w:rsidR="00F22FBD" w:rsidRDefault="00D44E4A">
      <w:pPr>
        <w:rPr>
          <w:noProof/>
        </w:rPr>
      </w:pPr>
      <w:r>
        <w:rPr>
          <w:noProof/>
        </w:rPr>
        <w:t>2.</w:t>
      </w:r>
      <w:r>
        <w:rPr>
          <w:noProof/>
        </w:rPr>
        <w:tab/>
        <w:t>Patraukite folijos kraštą ir visiškai nulupkite foliją.</w:t>
      </w:r>
    </w:p>
    <w:p w14:paraId="06D7872A" w14:textId="77777777" w:rsidR="00F22FBD" w:rsidRDefault="00D44E4A">
      <w:pPr>
        <w:rPr>
          <w:noProof/>
        </w:rPr>
      </w:pPr>
      <w:r>
        <w:rPr>
          <w:noProof/>
        </w:rPr>
        <w:t>3.</w:t>
      </w:r>
      <w:r>
        <w:rPr>
          <w:noProof/>
        </w:rPr>
        <w:tab/>
        <w:t>Išmeskite kapsulę ant rankos.</w:t>
      </w:r>
    </w:p>
    <w:p w14:paraId="1568FD13" w14:textId="77777777" w:rsidR="00F22FBD" w:rsidRDefault="00D44E4A">
      <w:pPr>
        <w:rPr>
          <w:noProof/>
        </w:rPr>
      </w:pPr>
      <w:r>
        <w:rPr>
          <w:noProof/>
        </w:rPr>
        <w:t>4.</w:t>
      </w:r>
      <w:r>
        <w:rPr>
          <w:noProof/>
        </w:rPr>
        <w:tab/>
        <w:t>Nurykite visas kapsules, užsigerdami stikline vandens.</w:t>
      </w:r>
    </w:p>
    <w:p w14:paraId="77C178D2" w14:textId="77777777" w:rsidR="00F22FBD" w:rsidRDefault="00D44E4A">
      <w:pPr>
        <w:rPr>
          <w:noProof/>
        </w:rPr>
      </w:pPr>
      <w:r>
        <w:rPr>
          <w:noProof/>
          <w:lang w:eastAsia="lt-LT"/>
        </w:rPr>
        <w:lastRenderedPageBreak/>
        <w:drawing>
          <wp:inline distT="0" distB="0" distL="0" distR="0" wp14:anchorId="1EE0E755" wp14:editId="3517647F">
            <wp:extent cx="5759450" cy="1339123"/>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339123"/>
                    </a:xfrm>
                    <a:prstGeom prst="rect">
                      <a:avLst/>
                    </a:prstGeom>
                    <a:noFill/>
                  </pic:spPr>
                </pic:pic>
              </a:graphicData>
            </a:graphic>
          </wp:inline>
        </w:drawing>
      </w:r>
    </w:p>
    <w:p w14:paraId="544515F6" w14:textId="77777777" w:rsidR="00F22FBD" w:rsidRDefault="00F22FBD">
      <w:pPr>
        <w:rPr>
          <w:noProof/>
        </w:rPr>
      </w:pPr>
    </w:p>
    <w:p w14:paraId="79685A00" w14:textId="77777777" w:rsidR="00F22FBD" w:rsidRDefault="00F22FBD">
      <w:pPr>
        <w:rPr>
          <w:noProof/>
        </w:rPr>
      </w:pPr>
    </w:p>
    <w:p w14:paraId="3351B7D3" w14:textId="77777777" w:rsidR="00F22FBD" w:rsidRDefault="00D44E4A">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6105DD03" w14:textId="77777777" w:rsidR="00F22FBD" w:rsidRDefault="00F22FBD">
      <w:pPr>
        <w:rPr>
          <w:noProof/>
        </w:rPr>
      </w:pPr>
    </w:p>
    <w:p w14:paraId="38FCA13E" w14:textId="77777777" w:rsidR="00F22FBD" w:rsidRDefault="00D44E4A">
      <w:pPr>
        <w:pStyle w:val="Pagrindinistekstas"/>
        <w:rPr>
          <w:i w:val="0"/>
          <w:iCs/>
          <w:noProof/>
          <w:color w:val="auto"/>
          <w:lang w:val="lt-LT"/>
        </w:rPr>
      </w:pPr>
      <w:r>
        <w:rPr>
          <w:i w:val="0"/>
          <w:iCs/>
          <w:noProof/>
          <w:color w:val="auto"/>
          <w:lang w:val="lt-LT"/>
        </w:rPr>
        <w:t>Laikyti vaikams nepastebimoje ir nepasiekiamoje vietoje.</w:t>
      </w:r>
    </w:p>
    <w:p w14:paraId="4EC2A99B" w14:textId="77777777" w:rsidR="00F22FBD" w:rsidRDefault="00F22FBD">
      <w:pPr>
        <w:rPr>
          <w:noProof/>
        </w:rPr>
      </w:pPr>
    </w:p>
    <w:p w14:paraId="1CF1703C" w14:textId="77777777" w:rsidR="00F22FBD" w:rsidRDefault="00F22FBD">
      <w:pPr>
        <w:rPr>
          <w:noProof/>
        </w:rPr>
      </w:pPr>
    </w:p>
    <w:p w14:paraId="756B67DD"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347C80B9" w14:textId="77777777" w:rsidR="00F22FBD" w:rsidRDefault="00F22FBD">
      <w:pPr>
        <w:rPr>
          <w:noProof/>
        </w:rPr>
      </w:pPr>
    </w:p>
    <w:p w14:paraId="2763015D" w14:textId="77777777" w:rsidR="00F22FBD" w:rsidRDefault="00F22FBD">
      <w:pPr>
        <w:rPr>
          <w:noProof/>
        </w:rPr>
      </w:pPr>
    </w:p>
    <w:p w14:paraId="1C38238E"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30B8BF1A" w14:textId="77777777" w:rsidR="00F22FBD" w:rsidRDefault="00F22FBD">
      <w:pPr>
        <w:rPr>
          <w:i/>
          <w:noProof/>
        </w:rPr>
      </w:pPr>
    </w:p>
    <w:p w14:paraId="3A880AFB" w14:textId="77777777" w:rsidR="00F22FBD" w:rsidRDefault="00D44E4A">
      <w:pPr>
        <w:rPr>
          <w:iCs/>
          <w:noProof/>
        </w:rPr>
      </w:pPr>
      <w:r>
        <w:rPr>
          <w:iCs/>
          <w:noProof/>
        </w:rPr>
        <w:t xml:space="preserve">EXP </w:t>
      </w:r>
      <w:r>
        <w:rPr>
          <w:snapToGrid w:val="0"/>
        </w:rPr>
        <w:t>(mm/MMMM)</w:t>
      </w:r>
    </w:p>
    <w:p w14:paraId="101A246A" w14:textId="77777777" w:rsidR="00F22FBD" w:rsidRDefault="00F22FBD">
      <w:pPr>
        <w:rPr>
          <w:noProof/>
        </w:rPr>
      </w:pPr>
    </w:p>
    <w:p w14:paraId="55F3B931" w14:textId="77777777" w:rsidR="00F22FBD" w:rsidRDefault="00F22FBD">
      <w:pPr>
        <w:rPr>
          <w:noProof/>
        </w:rPr>
      </w:pPr>
    </w:p>
    <w:p w14:paraId="02147FF8"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677E0789" w14:textId="77777777" w:rsidR="00F22FBD" w:rsidRDefault="00F22FBD">
      <w:pPr>
        <w:rPr>
          <w:i/>
          <w:noProof/>
        </w:rPr>
      </w:pPr>
    </w:p>
    <w:p w14:paraId="68F406AF" w14:textId="77777777" w:rsidR="00F22FBD" w:rsidRDefault="00D44E4A">
      <w:pPr>
        <w:ind w:left="567" w:hanging="567"/>
      </w:pPr>
      <w:r>
        <w:t>Laikyti gamintojo pakuotėje, kad vaistas būtų apsaugotas nuo šviesos ir drėgmės.</w:t>
      </w:r>
    </w:p>
    <w:p w14:paraId="74B15857" w14:textId="77777777" w:rsidR="00F22FBD" w:rsidRDefault="00F22FBD">
      <w:pPr>
        <w:ind w:left="567" w:hanging="567"/>
        <w:rPr>
          <w:i/>
          <w:iCs/>
        </w:rPr>
      </w:pPr>
    </w:p>
    <w:p w14:paraId="5296E99B" w14:textId="77777777" w:rsidR="00F22FBD" w:rsidRDefault="00F22FBD">
      <w:pPr>
        <w:ind w:left="567" w:hanging="567"/>
        <w:rPr>
          <w:noProof/>
        </w:rPr>
      </w:pPr>
    </w:p>
    <w:p w14:paraId="028CBDA6"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6C5430B7" w14:textId="77777777" w:rsidR="00F22FBD" w:rsidRDefault="00F22FBD">
      <w:pPr>
        <w:rPr>
          <w:noProof/>
        </w:rPr>
      </w:pPr>
    </w:p>
    <w:p w14:paraId="74DDCB26" w14:textId="77777777" w:rsidR="00F22FBD" w:rsidRDefault="00F22FBD">
      <w:pPr>
        <w:rPr>
          <w:noProof/>
        </w:rPr>
      </w:pPr>
    </w:p>
    <w:p w14:paraId="7BC76C82" w14:textId="77777777" w:rsidR="00F22FBD" w:rsidRDefault="00D44E4A">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2C9AB33C" w14:textId="77777777" w:rsidR="00F22FBD" w:rsidRDefault="00F22FBD"/>
    <w:p w14:paraId="45DACFF3" w14:textId="77777777" w:rsidR="00F22FBD" w:rsidRDefault="00D44E4A">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76687E3B" w14:textId="77777777" w:rsidR="00F22FBD" w:rsidRDefault="00D44E4A">
      <w:pPr>
        <w:widowControl w:val="0"/>
        <w:rPr>
          <w:noProof/>
          <w:szCs w:val="22"/>
          <w:lang w:eastAsia="sl-SI"/>
        </w:rPr>
      </w:pPr>
      <w:r>
        <w:rPr>
          <w:noProof/>
          <w:szCs w:val="22"/>
          <w:lang w:eastAsia="sl-SI"/>
        </w:rPr>
        <w:t>Heinz-Lohmann-Straße 5</w:t>
      </w:r>
    </w:p>
    <w:p w14:paraId="21BF9F49" w14:textId="77777777" w:rsidR="00F22FBD" w:rsidRDefault="00D44E4A">
      <w:pPr>
        <w:widowControl w:val="0"/>
        <w:rPr>
          <w:noProof/>
          <w:szCs w:val="22"/>
          <w:lang w:eastAsia="sl-SI"/>
        </w:rPr>
      </w:pPr>
      <w:r>
        <w:rPr>
          <w:noProof/>
          <w:szCs w:val="22"/>
          <w:lang w:eastAsia="sl-SI"/>
        </w:rPr>
        <w:t>27472 Cuxhaven</w:t>
      </w:r>
    </w:p>
    <w:p w14:paraId="4F4E851E" w14:textId="77777777" w:rsidR="00F22FBD" w:rsidRDefault="00D44E4A">
      <w:pPr>
        <w:widowControl w:val="0"/>
        <w:rPr>
          <w:noProof/>
          <w:szCs w:val="22"/>
          <w:lang w:eastAsia="sl-SI"/>
        </w:rPr>
      </w:pPr>
      <w:r>
        <w:rPr>
          <w:noProof/>
          <w:szCs w:val="22"/>
          <w:lang w:eastAsia="sl-SI"/>
        </w:rPr>
        <w:t>Vokietija</w:t>
      </w:r>
    </w:p>
    <w:p w14:paraId="1255A253" w14:textId="77777777" w:rsidR="00F22FBD" w:rsidRDefault="00F22FBD">
      <w:pPr>
        <w:rPr>
          <w:noProof/>
        </w:rPr>
      </w:pPr>
    </w:p>
    <w:p w14:paraId="7A40F622" w14:textId="77777777" w:rsidR="00F22FBD" w:rsidRDefault="00F22FBD">
      <w:pPr>
        <w:rPr>
          <w:noProof/>
        </w:rPr>
      </w:pPr>
    </w:p>
    <w:p w14:paraId="292F6818"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1AB9305F" w14:textId="77777777" w:rsidR="00F22FBD" w:rsidRDefault="00F22FBD"/>
    <w:p w14:paraId="4D816335" w14:textId="77777777" w:rsidR="00F22FBD" w:rsidRDefault="00D44E4A">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&lt;75 mg&gt;</w:t>
      </w:r>
    </w:p>
    <w:p w14:paraId="77C7D905" w14:textId="77777777" w:rsidR="00F22FBD" w:rsidRDefault="00D44E4A">
      <w:pPr>
        <w:widowControl w:val="0"/>
        <w:rPr>
          <w:noProof/>
          <w:szCs w:val="22"/>
          <w:shd w:val="clear" w:color="auto" w:fill="F2F2F2" w:themeFill="background1" w:themeFillShade="F2"/>
          <w:lang w:eastAsia="sl-SI"/>
        </w:rPr>
      </w:pPr>
      <w:r>
        <w:rPr>
          <w:noProof/>
          <w:szCs w:val="22"/>
          <w:shd w:val="clear" w:color="auto" w:fill="FFFFFF" w:themeFill="background1"/>
          <w:lang w:eastAsia="sl-SI"/>
        </w:rPr>
        <w:t>LT/1/23/5280/005</w:t>
      </w:r>
      <w:r>
        <w:rPr>
          <w:noProof/>
          <w:szCs w:val="22"/>
          <w:shd w:val="clear" w:color="auto" w:fill="F2F2F2" w:themeFill="background1" w:themeFillShade="F2"/>
          <w:lang w:eastAsia="sl-SI"/>
        </w:rPr>
        <w:t xml:space="preserve"> – N100 (2x (50x1))</w:t>
      </w:r>
    </w:p>
    <w:p w14:paraId="48DD7CD1" w14:textId="77777777" w:rsidR="00F22FBD" w:rsidRDefault="00D44E4A">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LT/1/23/5280/006 – N180 (3x (60x1))</w:t>
      </w:r>
    </w:p>
    <w:p w14:paraId="740A3C42" w14:textId="77777777" w:rsidR="00F22FBD" w:rsidRDefault="00F22FBD"/>
    <w:p w14:paraId="47B6A41E" w14:textId="77777777" w:rsidR="00F22FBD" w:rsidRDefault="00D44E4A">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&lt;110 mg&gt;</w:t>
      </w:r>
    </w:p>
    <w:p w14:paraId="44C2DB5B"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LT/1/23/5281/005 – N100 (2x (50x1))</w:t>
      </w:r>
    </w:p>
    <w:p w14:paraId="0265FE57"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LT/1/23/5281/006 – N180 (3x (60x1))</w:t>
      </w:r>
    </w:p>
    <w:p w14:paraId="1DDAFFA3" w14:textId="77777777" w:rsidR="00F22FBD" w:rsidRDefault="00F22FBD"/>
    <w:p w14:paraId="758DD440" w14:textId="77777777" w:rsidR="00F22FBD" w:rsidRDefault="00D44E4A">
      <w:pPr>
        <w:widowControl w:val="0"/>
        <w:rPr>
          <w:noProof/>
          <w:szCs w:val="22"/>
          <w:shd w:val="clear" w:color="auto" w:fill="F2F2F2" w:themeFill="background1" w:themeFillShade="F2"/>
          <w:lang w:eastAsia="sl-SI"/>
        </w:rPr>
      </w:pPr>
      <w:r>
        <w:rPr>
          <w:noProof/>
          <w:szCs w:val="22"/>
          <w:shd w:val="clear" w:color="auto" w:fill="F2F2F2" w:themeFill="background1" w:themeFillShade="F2"/>
          <w:lang w:eastAsia="sl-SI"/>
        </w:rPr>
        <w:t>&lt;150 mg&gt;</w:t>
      </w:r>
    </w:p>
    <w:p w14:paraId="5D148965" w14:textId="77777777" w:rsidR="00F22FBD" w:rsidRDefault="00D44E4A">
      <w:pPr>
        <w:rPr>
          <w:noProof/>
          <w:szCs w:val="22"/>
          <w:shd w:val="clear" w:color="auto" w:fill="F2F2F2" w:themeFill="background1" w:themeFillShade="F2"/>
          <w:lang w:eastAsia="sl-SI"/>
        </w:rPr>
      </w:pPr>
      <w:r>
        <w:rPr>
          <w:noProof/>
          <w:szCs w:val="22"/>
          <w:shd w:val="clear" w:color="auto" w:fill="F2F2F2" w:themeFill="background1" w:themeFillShade="F2"/>
          <w:lang w:eastAsia="sl-SI"/>
        </w:rPr>
        <w:t>LT/1/23/5282/005 – N100 (2x (50x1))</w:t>
      </w:r>
    </w:p>
    <w:p w14:paraId="77E7C220" w14:textId="77777777" w:rsidR="00F22FBD" w:rsidRDefault="00D44E4A">
      <w:pPr>
        <w:rPr>
          <w:noProof/>
        </w:rPr>
      </w:pPr>
      <w:r>
        <w:rPr>
          <w:noProof/>
          <w:szCs w:val="22"/>
          <w:shd w:val="clear" w:color="auto" w:fill="F2F2F2" w:themeFill="background1" w:themeFillShade="F2"/>
          <w:lang w:eastAsia="sl-SI"/>
        </w:rPr>
        <w:t>LT/1/23/5282/006 – N180 (3x (60x1))</w:t>
      </w:r>
    </w:p>
    <w:p w14:paraId="110F4F0C" w14:textId="77777777" w:rsidR="00F22FBD" w:rsidRDefault="00F22FBD">
      <w:pPr>
        <w:rPr>
          <w:noProof/>
        </w:rPr>
      </w:pPr>
    </w:p>
    <w:p w14:paraId="135837EF"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lastRenderedPageBreak/>
        <w:t>13.</w:t>
      </w:r>
      <w:r>
        <w:rPr>
          <w:b/>
          <w:noProof/>
        </w:rPr>
        <w:tab/>
        <w:t>SERIJOS NUMERIS</w:t>
      </w:r>
    </w:p>
    <w:p w14:paraId="3A66849F" w14:textId="77777777" w:rsidR="00F22FBD" w:rsidRDefault="00F22FBD">
      <w:pPr>
        <w:rPr>
          <w:i/>
          <w:noProof/>
        </w:rPr>
      </w:pPr>
    </w:p>
    <w:p w14:paraId="09FA9577" w14:textId="77777777" w:rsidR="00F22FBD" w:rsidRDefault="00D44E4A">
      <w:pPr>
        <w:rPr>
          <w:noProof/>
        </w:rPr>
      </w:pPr>
      <w:r>
        <w:rPr>
          <w:noProof/>
        </w:rPr>
        <w:t>Lot</w:t>
      </w:r>
    </w:p>
    <w:p w14:paraId="6D44B791" w14:textId="77777777" w:rsidR="00F22FBD" w:rsidRDefault="00F22FBD">
      <w:pPr>
        <w:rPr>
          <w:noProof/>
        </w:rPr>
      </w:pPr>
    </w:p>
    <w:p w14:paraId="00431E81" w14:textId="77777777" w:rsidR="00F22FBD" w:rsidRDefault="00F22FBD">
      <w:pPr>
        <w:rPr>
          <w:noProof/>
        </w:rPr>
      </w:pPr>
    </w:p>
    <w:p w14:paraId="29F5F2D6"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5B71C985" w14:textId="77777777" w:rsidR="00F22FBD" w:rsidRDefault="00F22FBD">
      <w:pPr>
        <w:rPr>
          <w:noProof/>
        </w:rPr>
      </w:pPr>
    </w:p>
    <w:p w14:paraId="374CCA02" w14:textId="77777777" w:rsidR="00F22FBD" w:rsidRDefault="00D44E4A">
      <w:pPr>
        <w:widowControl w:val="0"/>
        <w:tabs>
          <w:tab w:val="left" w:pos="567"/>
        </w:tabs>
        <w:rPr>
          <w:snapToGrid w:val="0"/>
          <w:szCs w:val="22"/>
        </w:rPr>
      </w:pPr>
      <w:r>
        <w:rPr>
          <w:snapToGrid w:val="0"/>
          <w:szCs w:val="22"/>
        </w:rPr>
        <w:t>Receptinis vaistas</w:t>
      </w:r>
    </w:p>
    <w:p w14:paraId="17EE8EA3" w14:textId="77777777" w:rsidR="00F22FBD" w:rsidRDefault="00F22FBD">
      <w:pPr>
        <w:rPr>
          <w:noProof/>
        </w:rPr>
      </w:pPr>
    </w:p>
    <w:p w14:paraId="35E2C9E0" w14:textId="77777777" w:rsidR="00F22FBD" w:rsidRDefault="00F22FBD">
      <w:pPr>
        <w:rPr>
          <w:noProof/>
        </w:rPr>
      </w:pPr>
    </w:p>
    <w:p w14:paraId="586754DD"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0F2F8EDC" w14:textId="77777777" w:rsidR="00F22FBD" w:rsidRDefault="00F22FBD">
      <w:pPr>
        <w:rPr>
          <w:i/>
          <w:iCs/>
        </w:rPr>
      </w:pPr>
    </w:p>
    <w:p w14:paraId="2E8848F7" w14:textId="77777777" w:rsidR="00F22FBD" w:rsidRDefault="00F22FBD">
      <w:pPr>
        <w:rPr>
          <w:noProof/>
        </w:rPr>
      </w:pPr>
    </w:p>
    <w:p w14:paraId="3D640AAA"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41F9FAEB" w14:textId="77777777" w:rsidR="00F22FBD" w:rsidRDefault="00F22FBD">
      <w:pPr>
        <w:rPr>
          <w:noProof/>
        </w:rPr>
      </w:pPr>
    </w:p>
    <w:p w14:paraId="2E1BD713" w14:textId="77777777" w:rsidR="00F22FBD" w:rsidRDefault="00D44E4A">
      <w:pPr>
        <w:rPr>
          <w:color w:val="000000" w:themeColor="text1"/>
        </w:rPr>
      </w:pPr>
      <w:r>
        <w:rPr>
          <w:noProof/>
        </w:rPr>
        <w:t>Danengo 75 mg</w:t>
      </w:r>
    </w:p>
    <w:p w14:paraId="7D16B53D" w14:textId="77777777" w:rsidR="00F22FBD" w:rsidRDefault="00D44E4A">
      <w:pPr>
        <w:rPr>
          <w:color w:val="000000" w:themeColor="text1"/>
          <w:highlight w:val="lightGray"/>
        </w:rPr>
      </w:pPr>
      <w:r>
        <w:rPr>
          <w:noProof/>
          <w:highlight w:val="lightGray"/>
        </w:rPr>
        <w:t>Danengo 110 mg</w:t>
      </w:r>
    </w:p>
    <w:p w14:paraId="6B33CDFC" w14:textId="77777777" w:rsidR="00F22FBD" w:rsidRDefault="00D44E4A">
      <w:pPr>
        <w:rPr>
          <w:color w:val="000000" w:themeColor="text1"/>
        </w:rPr>
      </w:pPr>
      <w:r>
        <w:rPr>
          <w:noProof/>
          <w:highlight w:val="lightGray"/>
        </w:rPr>
        <w:t>Danengo 150 mg</w:t>
      </w:r>
    </w:p>
    <w:p w14:paraId="3D721AE2" w14:textId="77777777" w:rsidR="00F22FBD" w:rsidRDefault="00F22FBD">
      <w:pPr>
        <w:rPr>
          <w:noProof/>
          <w:szCs w:val="22"/>
          <w:shd w:val="clear" w:color="auto" w:fill="CCCCCC"/>
        </w:rPr>
      </w:pPr>
    </w:p>
    <w:p w14:paraId="5D7E1DF3" w14:textId="77777777" w:rsidR="00F22FBD" w:rsidRDefault="00F22FBD">
      <w:pPr>
        <w:rPr>
          <w:noProof/>
          <w:szCs w:val="22"/>
          <w:shd w:val="clear" w:color="auto" w:fill="CCCCCC"/>
        </w:rPr>
      </w:pPr>
    </w:p>
    <w:p w14:paraId="4A4FE8EA" w14:textId="77777777" w:rsidR="00F22FBD" w:rsidRDefault="00D44E4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76A73996" w14:textId="77777777" w:rsidR="00F22FBD" w:rsidRDefault="00F22FBD">
      <w:pPr>
        <w:rPr>
          <w:noProof/>
        </w:rPr>
      </w:pPr>
    </w:p>
    <w:p w14:paraId="085934DE" w14:textId="77777777" w:rsidR="00F22FBD" w:rsidRDefault="00F22FBD">
      <w:pPr>
        <w:rPr>
          <w:noProof/>
        </w:rPr>
      </w:pPr>
    </w:p>
    <w:p w14:paraId="614DE869" w14:textId="77777777" w:rsidR="00F22FBD" w:rsidRDefault="00D44E4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4D9F417" w14:textId="77777777" w:rsidR="00F22FBD" w:rsidRDefault="00F22FBD">
      <w:pPr>
        <w:rPr>
          <w:noProof/>
        </w:rPr>
      </w:pPr>
    </w:p>
    <w:p w14:paraId="3875D812" w14:textId="77777777" w:rsidR="00F22FBD" w:rsidRDefault="00F22FBD">
      <w:pPr>
        <w:ind w:left="-198"/>
        <w:rPr>
          <w:szCs w:val="22"/>
        </w:rPr>
      </w:pPr>
    </w:p>
    <w:p w14:paraId="1BEEE97B" w14:textId="77777777" w:rsidR="00F22FBD" w:rsidRDefault="00D44E4A">
      <w:pPr>
        <w:rPr>
          <w:noProof/>
          <w:szCs w:val="22"/>
        </w:rPr>
      </w:pPr>
      <w:r>
        <w:rPr>
          <w:b/>
          <w:noProof/>
          <w:color w:val="FF0000"/>
        </w:rPr>
        <w:br w:type="page"/>
      </w:r>
    </w:p>
    <w:bookmarkEnd w:id="6"/>
    <w:p w14:paraId="377FDD57" w14:textId="77777777" w:rsidR="00F22FBD" w:rsidRDefault="00F22FBD">
      <w:pPr>
        <w:rPr>
          <w:noProof/>
          <w:szCs w:val="22"/>
        </w:rPr>
      </w:pPr>
    </w:p>
    <w:bookmarkEnd w:id="5"/>
    <w:p w14:paraId="3F5B1B49" w14:textId="77777777" w:rsidR="00F22FBD" w:rsidRDefault="00F22FBD">
      <w:pPr>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2FBD" w14:paraId="1204CE45" w14:textId="77777777">
        <w:trPr>
          <w:trHeight w:val="785"/>
        </w:trPr>
        <w:tc>
          <w:tcPr>
            <w:tcW w:w="9287" w:type="dxa"/>
            <w:tcBorders>
              <w:bottom w:val="single" w:sz="4" w:space="0" w:color="auto"/>
            </w:tcBorders>
          </w:tcPr>
          <w:p w14:paraId="2532A0B4" w14:textId="77777777" w:rsidR="00F22FBD" w:rsidRDefault="00D44E4A">
            <w:pPr>
              <w:rPr>
                <w:b/>
                <w:noProof/>
              </w:rPr>
            </w:pPr>
            <w:r>
              <w:rPr>
                <w:b/>
                <w:noProof/>
              </w:rPr>
              <w:t xml:space="preserve">MINIMALI </w:t>
            </w:r>
            <w:r>
              <w:rPr>
                <w:b/>
                <w:caps/>
                <w:noProof/>
              </w:rPr>
              <w:t xml:space="preserve">informacija ant </w:t>
            </w:r>
            <w:r>
              <w:rPr>
                <w:b/>
                <w:noProof/>
              </w:rPr>
              <w:t>LIZDINIŲ PLOKŠTELIŲ ARBA DVISLUOKSNIŲ JUOSTELIŲ</w:t>
            </w:r>
          </w:p>
          <w:p w14:paraId="224BE36C" w14:textId="77777777" w:rsidR="00F22FBD" w:rsidRDefault="00F22FBD">
            <w:pPr>
              <w:rPr>
                <w:b/>
                <w:noProof/>
              </w:rPr>
            </w:pPr>
          </w:p>
          <w:p w14:paraId="54606B64" w14:textId="77777777" w:rsidR="00F22FBD" w:rsidRDefault="00D44E4A">
            <w:pPr>
              <w:rPr>
                <w:b/>
                <w:noProof/>
              </w:rPr>
            </w:pPr>
            <w:r>
              <w:rPr>
                <w:b/>
                <w:noProof/>
              </w:rPr>
              <w:t>LIZDINĖS PLOKŠTELĖS</w:t>
            </w:r>
          </w:p>
        </w:tc>
      </w:tr>
    </w:tbl>
    <w:p w14:paraId="5D69F8F8" w14:textId="77777777" w:rsidR="00F22FBD" w:rsidRDefault="00F22FBD">
      <w:pPr>
        <w:rPr>
          <w:b/>
          <w:noProof/>
        </w:rPr>
      </w:pPr>
    </w:p>
    <w:p w14:paraId="45811C02" w14:textId="77777777" w:rsidR="00F22FBD" w:rsidRDefault="00F22FBD">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2FBD" w14:paraId="2A6A586B" w14:textId="77777777">
        <w:tc>
          <w:tcPr>
            <w:tcW w:w="9287" w:type="dxa"/>
          </w:tcPr>
          <w:p w14:paraId="051C515F" w14:textId="77777777" w:rsidR="00F22FBD" w:rsidRDefault="00D44E4A">
            <w:pPr>
              <w:tabs>
                <w:tab w:val="left" w:pos="142"/>
              </w:tabs>
              <w:ind w:left="567" w:hanging="567"/>
              <w:rPr>
                <w:b/>
                <w:noProof/>
              </w:rPr>
            </w:pPr>
            <w:r>
              <w:rPr>
                <w:b/>
                <w:noProof/>
              </w:rPr>
              <w:t>1.</w:t>
            </w:r>
            <w:r>
              <w:rPr>
                <w:b/>
                <w:noProof/>
              </w:rPr>
              <w:tab/>
            </w:r>
            <w:r>
              <w:rPr>
                <w:b/>
                <w:caps/>
                <w:noProof/>
              </w:rPr>
              <w:t>Vaistinio preparato pavadinimas</w:t>
            </w:r>
          </w:p>
        </w:tc>
      </w:tr>
    </w:tbl>
    <w:p w14:paraId="4CCECF78" w14:textId="77777777" w:rsidR="00F22FBD" w:rsidRDefault="00F22FBD">
      <w:pPr>
        <w:ind w:left="567" w:hanging="567"/>
        <w:rPr>
          <w:noProof/>
        </w:rPr>
      </w:pPr>
    </w:p>
    <w:p w14:paraId="34FA1D30" w14:textId="77777777" w:rsidR="00F22FBD" w:rsidRDefault="00D44E4A">
      <w:pPr>
        <w:rPr>
          <w:color w:val="000000" w:themeColor="text1"/>
        </w:rPr>
      </w:pPr>
      <w:r>
        <w:rPr>
          <w:noProof/>
        </w:rPr>
        <w:t xml:space="preserve">Danengo 75 mg </w:t>
      </w:r>
      <w:r>
        <w:rPr>
          <w:noProof/>
          <w:highlight w:val="lightGray"/>
        </w:rPr>
        <w:t>kietosios</w:t>
      </w:r>
      <w:r>
        <w:rPr>
          <w:noProof/>
        </w:rPr>
        <w:t xml:space="preserve"> kapsulės</w:t>
      </w:r>
    </w:p>
    <w:p w14:paraId="7A3E982B" w14:textId="77777777" w:rsidR="00F22FBD" w:rsidRDefault="00D44E4A">
      <w:pPr>
        <w:rPr>
          <w:color w:val="000000" w:themeColor="text1"/>
          <w:highlight w:val="lightGray"/>
        </w:rPr>
      </w:pPr>
      <w:r>
        <w:rPr>
          <w:noProof/>
          <w:highlight w:val="lightGray"/>
        </w:rPr>
        <w:t>Danengo 110 mg kietosios kapsulės</w:t>
      </w:r>
    </w:p>
    <w:p w14:paraId="4E60B2BD" w14:textId="77777777" w:rsidR="00F22FBD" w:rsidRDefault="00D44E4A">
      <w:pPr>
        <w:rPr>
          <w:color w:val="000000" w:themeColor="text1"/>
        </w:rPr>
      </w:pPr>
      <w:r>
        <w:rPr>
          <w:noProof/>
          <w:highlight w:val="lightGray"/>
        </w:rPr>
        <w:t>Danengo 150 mg kietosios kapsulės</w:t>
      </w:r>
    </w:p>
    <w:p w14:paraId="6EB5E615" w14:textId="77777777" w:rsidR="00F22FBD" w:rsidRDefault="00F22FBD">
      <w:pPr>
        <w:rPr>
          <w:noProof/>
        </w:rPr>
      </w:pPr>
    </w:p>
    <w:p w14:paraId="5348A345" w14:textId="77777777" w:rsidR="00F22FBD" w:rsidRDefault="00D44E4A">
      <w:pPr>
        <w:rPr>
          <w:noProof/>
        </w:rPr>
      </w:pPr>
      <w:r>
        <w:rPr>
          <w:noProof/>
        </w:rPr>
        <w:t>dabigatranas eteksilatas</w:t>
      </w:r>
    </w:p>
    <w:p w14:paraId="24AC80C9" w14:textId="77777777" w:rsidR="00F22FBD" w:rsidRDefault="00F22FBD">
      <w:pPr>
        <w:rPr>
          <w:b/>
          <w:noProof/>
        </w:rPr>
      </w:pPr>
    </w:p>
    <w:p w14:paraId="08D55605" w14:textId="77777777" w:rsidR="00F22FBD" w:rsidRDefault="00F22FBD">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2FBD" w14:paraId="09E88674" w14:textId="77777777">
        <w:tc>
          <w:tcPr>
            <w:tcW w:w="9287" w:type="dxa"/>
          </w:tcPr>
          <w:p w14:paraId="7B51BDBA" w14:textId="77777777" w:rsidR="00F22FBD" w:rsidRDefault="00D44E4A">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387AC99D" w14:textId="77777777" w:rsidR="00F22FBD" w:rsidRDefault="00F22FBD">
      <w:pPr>
        <w:rPr>
          <w:b/>
          <w:noProof/>
        </w:rPr>
      </w:pPr>
    </w:p>
    <w:p w14:paraId="59954BB9" w14:textId="77777777" w:rsidR="00F22FBD" w:rsidRDefault="00D44E4A">
      <w:pPr>
        <w:widowControl w:val="0"/>
        <w:rPr>
          <w:rFonts w:eastAsia="Calibri"/>
          <w:szCs w:val="22"/>
          <w:lang w:eastAsia="lt-LT"/>
        </w:rPr>
      </w:pPr>
      <w:r>
        <w:rPr>
          <w:rFonts w:eastAsia="Calibri"/>
          <w:szCs w:val="22"/>
          <w:lang w:eastAsia="lt-LT"/>
        </w:rPr>
        <w:t>TAD Pharma GmbH</w:t>
      </w:r>
    </w:p>
    <w:p w14:paraId="4F86E12E" w14:textId="77777777" w:rsidR="00F22FBD" w:rsidRDefault="00F22FBD">
      <w:pPr>
        <w:rPr>
          <w:b/>
          <w:noProof/>
        </w:rPr>
      </w:pPr>
    </w:p>
    <w:p w14:paraId="04798DE9" w14:textId="77777777" w:rsidR="00F22FBD" w:rsidRDefault="00F22FBD">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2FBD" w14:paraId="0203FECC" w14:textId="77777777">
        <w:tc>
          <w:tcPr>
            <w:tcW w:w="9287" w:type="dxa"/>
          </w:tcPr>
          <w:p w14:paraId="4645E236" w14:textId="77777777" w:rsidR="00F22FBD" w:rsidRDefault="00D44E4A">
            <w:pPr>
              <w:tabs>
                <w:tab w:val="left" w:pos="142"/>
              </w:tabs>
              <w:ind w:left="567" w:hanging="567"/>
              <w:rPr>
                <w:b/>
                <w:noProof/>
              </w:rPr>
            </w:pPr>
            <w:r>
              <w:rPr>
                <w:b/>
                <w:noProof/>
              </w:rPr>
              <w:t>3.</w:t>
            </w:r>
            <w:r>
              <w:rPr>
                <w:b/>
                <w:noProof/>
              </w:rPr>
              <w:tab/>
            </w:r>
            <w:r>
              <w:rPr>
                <w:b/>
                <w:caps/>
                <w:noProof/>
              </w:rPr>
              <w:t>tinkamumo laikas</w:t>
            </w:r>
          </w:p>
        </w:tc>
      </w:tr>
    </w:tbl>
    <w:p w14:paraId="6E528F08" w14:textId="77777777" w:rsidR="00F22FBD" w:rsidRDefault="00F22FBD">
      <w:pPr>
        <w:rPr>
          <w:b/>
          <w:noProof/>
        </w:rPr>
      </w:pPr>
    </w:p>
    <w:p w14:paraId="70460537" w14:textId="77777777" w:rsidR="00F22FBD" w:rsidRDefault="00D44E4A">
      <w:pPr>
        <w:rPr>
          <w:noProof/>
        </w:rPr>
      </w:pPr>
      <w:r>
        <w:rPr>
          <w:noProof/>
        </w:rPr>
        <w:t xml:space="preserve">EXP </w:t>
      </w:r>
      <w:r>
        <w:rPr>
          <w:snapToGrid w:val="0"/>
        </w:rPr>
        <w:t>(mm/MMMM)</w:t>
      </w:r>
    </w:p>
    <w:p w14:paraId="494301B2" w14:textId="77777777" w:rsidR="00F22FBD" w:rsidRDefault="00F22FBD">
      <w:pPr>
        <w:rPr>
          <w:noProof/>
        </w:rPr>
      </w:pPr>
    </w:p>
    <w:p w14:paraId="2AA4E71A" w14:textId="77777777" w:rsidR="00F22FBD" w:rsidRDefault="00F22FBD">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2FBD" w14:paraId="7CB444E8" w14:textId="77777777">
        <w:tc>
          <w:tcPr>
            <w:tcW w:w="9287" w:type="dxa"/>
          </w:tcPr>
          <w:p w14:paraId="13429755" w14:textId="77777777" w:rsidR="00F22FBD" w:rsidRDefault="00D44E4A">
            <w:pPr>
              <w:tabs>
                <w:tab w:val="left" w:pos="142"/>
              </w:tabs>
              <w:ind w:left="567" w:hanging="567"/>
              <w:rPr>
                <w:b/>
                <w:noProof/>
              </w:rPr>
            </w:pPr>
            <w:r>
              <w:rPr>
                <w:b/>
                <w:noProof/>
              </w:rPr>
              <w:t>4.</w:t>
            </w:r>
            <w:r>
              <w:rPr>
                <w:b/>
                <w:noProof/>
              </w:rPr>
              <w:tab/>
            </w:r>
            <w:r>
              <w:rPr>
                <w:b/>
                <w:caps/>
                <w:noProof/>
              </w:rPr>
              <w:t>serijos numeris</w:t>
            </w:r>
          </w:p>
        </w:tc>
      </w:tr>
    </w:tbl>
    <w:p w14:paraId="2AC47EDB" w14:textId="77777777" w:rsidR="00F22FBD" w:rsidRDefault="00F22FBD">
      <w:pPr>
        <w:ind w:right="113"/>
        <w:rPr>
          <w:i/>
          <w:noProof/>
          <w:highlight w:val="yellow"/>
        </w:rPr>
      </w:pPr>
    </w:p>
    <w:p w14:paraId="4F4353BA" w14:textId="77777777" w:rsidR="00F22FBD" w:rsidRDefault="00D44E4A">
      <w:pPr>
        <w:ind w:right="113"/>
        <w:rPr>
          <w:noProof/>
        </w:rPr>
      </w:pPr>
      <w:r>
        <w:rPr>
          <w:noProof/>
        </w:rPr>
        <w:t>Lot</w:t>
      </w:r>
    </w:p>
    <w:p w14:paraId="64EFDAF0" w14:textId="77777777" w:rsidR="00F22FBD" w:rsidRDefault="00F22FBD">
      <w:pPr>
        <w:ind w:right="113"/>
        <w:rPr>
          <w:noProof/>
        </w:rPr>
      </w:pPr>
    </w:p>
    <w:p w14:paraId="60AF1741" w14:textId="77777777" w:rsidR="00F22FBD" w:rsidRDefault="00F22FBD">
      <w:pPr>
        <w:ind w:right="113"/>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2FBD" w14:paraId="27F6C6DA" w14:textId="77777777">
        <w:tc>
          <w:tcPr>
            <w:tcW w:w="9287" w:type="dxa"/>
          </w:tcPr>
          <w:p w14:paraId="381C124C" w14:textId="77777777" w:rsidR="00F22FBD" w:rsidRDefault="00D44E4A">
            <w:pPr>
              <w:tabs>
                <w:tab w:val="left" w:pos="142"/>
              </w:tabs>
              <w:ind w:left="567" w:hanging="567"/>
              <w:rPr>
                <w:b/>
                <w:noProof/>
              </w:rPr>
            </w:pPr>
            <w:r>
              <w:rPr>
                <w:b/>
                <w:noProof/>
              </w:rPr>
              <w:t>5.</w:t>
            </w:r>
            <w:r>
              <w:rPr>
                <w:b/>
                <w:noProof/>
              </w:rPr>
              <w:tab/>
              <w:t>KITA</w:t>
            </w:r>
          </w:p>
        </w:tc>
      </w:tr>
    </w:tbl>
    <w:p w14:paraId="4137597C" w14:textId="77777777" w:rsidR="00F22FBD" w:rsidRDefault="00F22FBD">
      <w:pPr>
        <w:widowControl w:val="0"/>
        <w:ind w:left="567" w:hanging="567"/>
        <w:rPr>
          <w:noProof/>
          <w:color w:val="000000"/>
          <w:szCs w:val="22"/>
          <w:lang w:val="en-GB" w:eastAsia="sl-SI"/>
        </w:rPr>
      </w:pPr>
    </w:p>
    <w:p w14:paraId="0370BE0C" w14:textId="77777777" w:rsidR="00F22FBD" w:rsidRDefault="00D44E4A">
      <w:pPr>
        <w:widowControl w:val="0"/>
        <w:ind w:left="567" w:hanging="567"/>
        <w:rPr>
          <w:noProof/>
          <w:color w:val="000000"/>
          <w:szCs w:val="22"/>
          <w:lang w:val="en-GB" w:eastAsia="sl-SI"/>
        </w:rPr>
      </w:pPr>
      <w:r>
        <w:rPr>
          <w:noProof/>
          <w:color w:val="000000"/>
          <w:szCs w:val="22"/>
          <w:lang w:val="en-GB" w:eastAsia="sl-SI"/>
        </w:rPr>
        <w:t>1.</w:t>
      </w:r>
      <w:r>
        <w:rPr>
          <w:noProof/>
          <w:color w:val="000000"/>
          <w:szCs w:val="22"/>
          <w:lang w:val="en-GB" w:eastAsia="sl-SI"/>
        </w:rPr>
        <w:tab/>
        <w:t>Atplėšti</w:t>
      </w:r>
    </w:p>
    <w:p w14:paraId="1737773A" w14:textId="77777777" w:rsidR="00F22FBD" w:rsidRDefault="00D44E4A">
      <w:pPr>
        <w:widowControl w:val="0"/>
        <w:ind w:left="567" w:hanging="567"/>
        <w:rPr>
          <w:noProof/>
          <w:color w:val="000000"/>
          <w:szCs w:val="22"/>
          <w:lang w:val="en-GB" w:eastAsia="sl-SI"/>
        </w:rPr>
      </w:pPr>
      <w:r>
        <w:rPr>
          <w:noProof/>
          <w:color w:val="000000"/>
          <w:szCs w:val="22"/>
          <w:lang w:val="en-GB" w:eastAsia="sl-SI"/>
        </w:rPr>
        <w:t>2.</w:t>
      </w:r>
      <w:r>
        <w:rPr>
          <w:noProof/>
          <w:color w:val="000000"/>
          <w:szCs w:val="22"/>
          <w:lang w:val="en-GB" w:eastAsia="sl-SI"/>
        </w:rPr>
        <w:tab/>
        <w:t>Nulupti</w:t>
      </w:r>
    </w:p>
    <w:p w14:paraId="45E5ADA2" w14:textId="77777777" w:rsidR="00F22FBD" w:rsidRDefault="00F22FBD">
      <w:pPr>
        <w:ind w:right="113"/>
        <w:rPr>
          <w:noProof/>
        </w:rPr>
      </w:pPr>
    </w:p>
    <w:p w14:paraId="1742F739" w14:textId="77777777" w:rsidR="00F22FBD" w:rsidRDefault="00D44E4A">
      <w:pPr>
        <w:rPr>
          <w:b/>
          <w:noProof/>
          <w:color w:val="FF0000"/>
        </w:rPr>
      </w:pPr>
      <w:r>
        <w:rPr>
          <w:b/>
          <w:noProof/>
          <w:color w:val="FF0000"/>
        </w:rPr>
        <w:br w:type="page"/>
      </w:r>
    </w:p>
    <w:p w14:paraId="7F12F13D" w14:textId="77777777" w:rsidR="00F22FBD" w:rsidRDefault="00D44E4A">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14BD9F75" w14:textId="77777777" w:rsidR="00F22FBD" w:rsidRDefault="00F22FBD">
      <w:pPr>
        <w:pBdr>
          <w:top w:val="single" w:sz="4" w:space="1" w:color="auto"/>
          <w:left w:val="single" w:sz="4" w:space="4" w:color="auto"/>
          <w:bottom w:val="single" w:sz="4" w:space="1" w:color="auto"/>
          <w:right w:val="single" w:sz="4" w:space="4" w:color="auto"/>
        </w:pBdr>
        <w:ind w:left="567" w:hanging="567"/>
        <w:rPr>
          <w:bCs/>
          <w:noProof/>
        </w:rPr>
      </w:pPr>
    </w:p>
    <w:p w14:paraId="499B0D5E" w14:textId="77777777" w:rsidR="00F22FBD" w:rsidRDefault="00D44E4A">
      <w:pPr>
        <w:pBdr>
          <w:top w:val="single" w:sz="4" w:space="1" w:color="auto"/>
          <w:left w:val="single" w:sz="4" w:space="4" w:color="auto"/>
          <w:bottom w:val="single" w:sz="4" w:space="1" w:color="auto"/>
          <w:right w:val="single" w:sz="4" w:space="4" w:color="auto"/>
        </w:pBdr>
        <w:rPr>
          <w:bCs/>
          <w:noProof/>
        </w:rPr>
      </w:pPr>
      <w:r>
        <w:rPr>
          <w:b/>
          <w:noProof/>
        </w:rPr>
        <w:t>TALPYKLĖS DĖŽUTĖ</w:t>
      </w:r>
    </w:p>
    <w:p w14:paraId="5C5C9C06" w14:textId="77777777" w:rsidR="00F22FBD" w:rsidRDefault="00F22FBD">
      <w:pPr>
        <w:rPr>
          <w:noProof/>
        </w:rPr>
      </w:pPr>
    </w:p>
    <w:p w14:paraId="67DA79F4" w14:textId="77777777" w:rsidR="00F22FBD" w:rsidRDefault="00F22FBD">
      <w:pPr>
        <w:rPr>
          <w:noProof/>
        </w:rPr>
      </w:pPr>
    </w:p>
    <w:p w14:paraId="4385756F"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71F6FD76" w14:textId="77777777" w:rsidR="00F22FBD" w:rsidRDefault="00F22FBD">
      <w:pPr>
        <w:rPr>
          <w:noProof/>
        </w:rPr>
      </w:pPr>
    </w:p>
    <w:p w14:paraId="2B66856A" w14:textId="77777777" w:rsidR="00F22FBD" w:rsidRDefault="00D44E4A">
      <w:pPr>
        <w:rPr>
          <w:color w:val="000000" w:themeColor="text1"/>
        </w:rPr>
      </w:pPr>
      <w:r>
        <w:rPr>
          <w:noProof/>
        </w:rPr>
        <w:t>Danengo 75 mg kietosios kapsulės</w:t>
      </w:r>
    </w:p>
    <w:p w14:paraId="1718FC91" w14:textId="77777777" w:rsidR="00F22FBD" w:rsidRDefault="00D44E4A">
      <w:pPr>
        <w:rPr>
          <w:color w:val="000000" w:themeColor="text1"/>
          <w:highlight w:val="lightGray"/>
        </w:rPr>
      </w:pPr>
      <w:r>
        <w:rPr>
          <w:noProof/>
          <w:highlight w:val="lightGray"/>
        </w:rPr>
        <w:t>Danengo 110 mg kietosios kapsulės</w:t>
      </w:r>
    </w:p>
    <w:p w14:paraId="349DFDF9" w14:textId="77777777" w:rsidR="00F22FBD" w:rsidRDefault="00D44E4A">
      <w:pPr>
        <w:rPr>
          <w:color w:val="000000" w:themeColor="text1"/>
        </w:rPr>
      </w:pPr>
      <w:r>
        <w:rPr>
          <w:noProof/>
          <w:highlight w:val="lightGray"/>
        </w:rPr>
        <w:t>Danengo 150 mg kietosios kapsulės</w:t>
      </w:r>
    </w:p>
    <w:p w14:paraId="2C25153F" w14:textId="77777777" w:rsidR="00F22FBD" w:rsidRDefault="00F22FBD">
      <w:pPr>
        <w:rPr>
          <w:noProof/>
        </w:rPr>
      </w:pPr>
    </w:p>
    <w:p w14:paraId="25ACD8EC" w14:textId="77777777" w:rsidR="00F22FBD" w:rsidRDefault="00D44E4A">
      <w:pPr>
        <w:rPr>
          <w:noProof/>
        </w:rPr>
      </w:pPr>
      <w:r>
        <w:rPr>
          <w:noProof/>
        </w:rPr>
        <w:t>dabigatranas eteksilatas</w:t>
      </w:r>
    </w:p>
    <w:p w14:paraId="730A90B3" w14:textId="77777777" w:rsidR="00F22FBD" w:rsidRDefault="00F22FBD">
      <w:pPr>
        <w:rPr>
          <w:noProof/>
        </w:rPr>
      </w:pPr>
    </w:p>
    <w:p w14:paraId="775E215A" w14:textId="77777777" w:rsidR="00F22FBD" w:rsidRDefault="00F22FBD">
      <w:pPr>
        <w:rPr>
          <w:noProof/>
        </w:rPr>
      </w:pPr>
    </w:p>
    <w:p w14:paraId="7132837C"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39EB2DC0" w14:textId="77777777" w:rsidR="00F22FBD" w:rsidRDefault="00F22FBD">
      <w:pPr>
        <w:rPr>
          <w:noProof/>
        </w:rPr>
      </w:pPr>
    </w:p>
    <w:p w14:paraId="0E46E26A" w14:textId="77777777" w:rsidR="00F22FBD" w:rsidRDefault="00D44E4A">
      <w:r>
        <w:t>Kiekvienoje kietojoje kapsulėje yra 75 mg dabigatrano eteksilato (dabigatrano eteksilato mesilato pavidalu).</w:t>
      </w:r>
    </w:p>
    <w:p w14:paraId="5068B0CF" w14:textId="77777777" w:rsidR="00F22FBD" w:rsidRDefault="00D44E4A">
      <w:pPr>
        <w:rPr>
          <w:highlight w:val="lightGray"/>
        </w:rPr>
      </w:pPr>
      <w:r>
        <w:rPr>
          <w:highlight w:val="lightGray"/>
        </w:rPr>
        <w:t>Kiekvienoje kietojoje kapsulėje yra 110 mg dabigatrano eteksilato (dabigatrano eteksilato mesilato pavidalu).</w:t>
      </w:r>
    </w:p>
    <w:p w14:paraId="5B53C6CB" w14:textId="77777777" w:rsidR="00F22FBD" w:rsidRDefault="00D44E4A">
      <w:r>
        <w:rPr>
          <w:highlight w:val="lightGray"/>
        </w:rPr>
        <w:t>Kiekvienoje kietojoje kapsulėje yra 150 mg dabigatrano eteksilato (dabigatrano eteksilato mesilato pavidalu).</w:t>
      </w:r>
    </w:p>
    <w:p w14:paraId="37FE5288" w14:textId="77777777" w:rsidR="00F22FBD" w:rsidRDefault="00F22FBD"/>
    <w:p w14:paraId="32B0FDC1" w14:textId="77777777" w:rsidR="00F22FBD" w:rsidRDefault="00F22FBD">
      <w:pPr>
        <w:rPr>
          <w:noProof/>
        </w:rPr>
      </w:pPr>
    </w:p>
    <w:p w14:paraId="4B03A07E"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6530D145" w14:textId="77777777" w:rsidR="00F22FBD" w:rsidRDefault="00F22FBD">
      <w:pPr>
        <w:rPr>
          <w:noProof/>
        </w:rPr>
      </w:pPr>
    </w:p>
    <w:p w14:paraId="1CD9398E" w14:textId="77777777" w:rsidR="00F22FBD" w:rsidRDefault="00F22FBD">
      <w:pPr>
        <w:rPr>
          <w:noProof/>
        </w:rPr>
      </w:pPr>
    </w:p>
    <w:p w14:paraId="5481CF3B"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12F7F1B0" w14:textId="77777777" w:rsidR="00F22FBD" w:rsidRDefault="00F22FBD">
      <w:pPr>
        <w:rPr>
          <w:noProof/>
        </w:rPr>
      </w:pPr>
    </w:p>
    <w:p w14:paraId="4CFFABF4" w14:textId="77777777" w:rsidR="00F22FBD" w:rsidRDefault="00D44E4A">
      <w:r>
        <w:rPr>
          <w:highlight w:val="lightGray"/>
        </w:rPr>
        <w:t>kietoji kapsulė</w:t>
      </w:r>
    </w:p>
    <w:p w14:paraId="07748044" w14:textId="77777777" w:rsidR="00F22FBD" w:rsidRDefault="00F22FBD"/>
    <w:p w14:paraId="1B697544" w14:textId="77777777" w:rsidR="00F22FBD" w:rsidRDefault="00D44E4A">
      <w:r>
        <w:t>60 kietų</w:t>
      </w:r>
      <w:bookmarkStart w:id="7" w:name="_Hlk148597808"/>
      <w:r>
        <w:t>jų</w:t>
      </w:r>
      <w:bookmarkEnd w:id="7"/>
      <w:r>
        <w:t xml:space="preserve"> kapsulių</w:t>
      </w:r>
    </w:p>
    <w:p w14:paraId="37C46CE6" w14:textId="77777777" w:rsidR="00F22FBD" w:rsidRDefault="00D44E4A">
      <w:r>
        <w:rPr>
          <w:highlight w:val="lightGray"/>
        </w:rPr>
        <w:t>3 talpyklės po 60 kietų kapsulių</w:t>
      </w:r>
    </w:p>
    <w:p w14:paraId="05927A11" w14:textId="77777777" w:rsidR="00F22FBD" w:rsidRDefault="00F22FBD">
      <w:pPr>
        <w:rPr>
          <w:noProof/>
        </w:rPr>
      </w:pPr>
    </w:p>
    <w:p w14:paraId="5F618EBA" w14:textId="77777777" w:rsidR="00F22FBD" w:rsidRDefault="00F22FBD">
      <w:pPr>
        <w:rPr>
          <w:noProof/>
        </w:rPr>
      </w:pPr>
    </w:p>
    <w:p w14:paraId="3CAD6A62"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63D71242" w14:textId="77777777" w:rsidR="00F22FBD" w:rsidRDefault="00F22FBD">
      <w:pPr>
        <w:rPr>
          <w:i/>
          <w:noProof/>
        </w:rPr>
      </w:pPr>
    </w:p>
    <w:p w14:paraId="4CE453F4" w14:textId="77777777" w:rsidR="00F22FBD" w:rsidRDefault="00D44E4A">
      <w:pPr>
        <w:rPr>
          <w:noProof/>
        </w:rPr>
      </w:pPr>
      <w:r>
        <w:rPr>
          <w:noProof/>
        </w:rPr>
        <w:t>Nurykite visą kapsulę, kramtyti ar laužyti negalima.</w:t>
      </w:r>
    </w:p>
    <w:p w14:paraId="6E7599A5" w14:textId="77777777" w:rsidR="00F22FBD" w:rsidRDefault="00D44E4A">
      <w:pPr>
        <w:rPr>
          <w:noProof/>
        </w:rPr>
      </w:pPr>
      <w:r>
        <w:rPr>
          <w:noProof/>
        </w:rPr>
        <w:t>Prieš vartojimą perskaitykite pakuotės lapelį.</w:t>
      </w:r>
    </w:p>
    <w:p w14:paraId="30943F43" w14:textId="77777777" w:rsidR="00F22FBD" w:rsidRDefault="00D44E4A">
      <w:pPr>
        <w:rPr>
          <w:noProof/>
        </w:rPr>
      </w:pPr>
      <w:r>
        <w:rPr>
          <w:noProof/>
        </w:rPr>
        <w:t>Vartoti per burną</w:t>
      </w:r>
    </w:p>
    <w:p w14:paraId="424BAB9B" w14:textId="77777777" w:rsidR="00F22FBD" w:rsidRDefault="00F22FBD">
      <w:pPr>
        <w:rPr>
          <w:noProof/>
        </w:rPr>
      </w:pPr>
    </w:p>
    <w:p w14:paraId="6C0330F9" w14:textId="77777777" w:rsidR="00F22FBD" w:rsidRDefault="00D44E4A">
      <w:pPr>
        <w:rPr>
          <w:noProof/>
        </w:rPr>
      </w:pPr>
      <w:bookmarkStart w:id="8" w:name="_Hlk148450198"/>
      <w:r>
        <w:rPr>
          <w:noProof/>
        </w:rPr>
        <w:t>Paciento budrumo kortelė yra viduje.</w:t>
      </w:r>
    </w:p>
    <w:bookmarkEnd w:id="8"/>
    <w:p w14:paraId="517AAE3A" w14:textId="77777777" w:rsidR="00F22FBD" w:rsidRDefault="00F22FBD">
      <w:pPr>
        <w:rPr>
          <w:noProof/>
        </w:rPr>
      </w:pPr>
    </w:p>
    <w:p w14:paraId="6A7AC4F4" w14:textId="77777777" w:rsidR="00F22FBD" w:rsidRDefault="00F22FBD">
      <w:pPr>
        <w:rPr>
          <w:noProof/>
        </w:rPr>
      </w:pPr>
    </w:p>
    <w:p w14:paraId="02E2B556" w14:textId="77777777" w:rsidR="00F22FBD" w:rsidRDefault="00D44E4A">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4E535EE9" w14:textId="77777777" w:rsidR="00F22FBD" w:rsidRDefault="00F22FBD">
      <w:pPr>
        <w:rPr>
          <w:noProof/>
        </w:rPr>
      </w:pPr>
    </w:p>
    <w:p w14:paraId="6F6CF31A" w14:textId="77777777" w:rsidR="00F22FBD" w:rsidRDefault="00D44E4A">
      <w:pPr>
        <w:pStyle w:val="Pagrindinistekstas"/>
        <w:rPr>
          <w:i w:val="0"/>
          <w:iCs/>
          <w:noProof/>
          <w:color w:val="auto"/>
          <w:lang w:val="lt-LT"/>
        </w:rPr>
      </w:pPr>
      <w:r>
        <w:rPr>
          <w:i w:val="0"/>
          <w:iCs/>
          <w:noProof/>
          <w:color w:val="auto"/>
          <w:lang w:val="lt-LT"/>
        </w:rPr>
        <w:t>Laikyti vaikams nepastebimoje ir nepasiekiamoje vietoje.</w:t>
      </w:r>
    </w:p>
    <w:p w14:paraId="41B710D9" w14:textId="77777777" w:rsidR="00F22FBD" w:rsidRDefault="00F22FBD">
      <w:pPr>
        <w:rPr>
          <w:noProof/>
        </w:rPr>
      </w:pPr>
    </w:p>
    <w:p w14:paraId="270E3DF5" w14:textId="77777777" w:rsidR="00F22FBD" w:rsidRDefault="00F22FBD">
      <w:pPr>
        <w:rPr>
          <w:noProof/>
        </w:rPr>
      </w:pPr>
    </w:p>
    <w:p w14:paraId="686BB3C6"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06DC8F9F" w14:textId="77777777" w:rsidR="00F22FBD" w:rsidRDefault="00F22FBD">
      <w:pPr>
        <w:rPr>
          <w:noProof/>
        </w:rPr>
      </w:pPr>
    </w:p>
    <w:p w14:paraId="567E6E53" w14:textId="77777777" w:rsidR="00F22FBD" w:rsidRDefault="00F22FBD">
      <w:pPr>
        <w:rPr>
          <w:noProof/>
        </w:rPr>
      </w:pPr>
    </w:p>
    <w:p w14:paraId="4B5B3C65"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0628CB28" w14:textId="77777777" w:rsidR="00F22FBD" w:rsidRDefault="00F22FBD">
      <w:pPr>
        <w:rPr>
          <w:i/>
          <w:noProof/>
        </w:rPr>
      </w:pPr>
    </w:p>
    <w:p w14:paraId="6606768D" w14:textId="77777777" w:rsidR="00F22FBD" w:rsidRDefault="00D44E4A">
      <w:pPr>
        <w:rPr>
          <w:iCs/>
          <w:noProof/>
        </w:rPr>
      </w:pPr>
      <w:r>
        <w:rPr>
          <w:iCs/>
          <w:noProof/>
        </w:rPr>
        <w:lastRenderedPageBreak/>
        <w:t xml:space="preserve">EXP </w:t>
      </w:r>
      <w:r>
        <w:rPr>
          <w:snapToGrid w:val="0"/>
        </w:rPr>
        <w:t>(mm/MMMM)</w:t>
      </w:r>
    </w:p>
    <w:p w14:paraId="20FEE1D5" w14:textId="77777777" w:rsidR="00F22FBD" w:rsidRDefault="00F22FBD">
      <w:pPr>
        <w:rPr>
          <w:noProof/>
        </w:rPr>
      </w:pPr>
    </w:p>
    <w:p w14:paraId="6D2A5D5A" w14:textId="77777777" w:rsidR="00F22FBD" w:rsidRDefault="00F22FBD">
      <w:pPr>
        <w:rPr>
          <w:noProof/>
        </w:rPr>
      </w:pPr>
    </w:p>
    <w:p w14:paraId="0D4C2FA6"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3ECCA0C9" w14:textId="77777777" w:rsidR="00F22FBD" w:rsidRDefault="00F22FBD">
      <w:pPr>
        <w:rPr>
          <w:i/>
          <w:noProof/>
        </w:rPr>
      </w:pPr>
    </w:p>
    <w:p w14:paraId="4B4122AC" w14:textId="77777777" w:rsidR="00F22FBD" w:rsidRDefault="00D44E4A">
      <w:pPr>
        <w:ind w:left="567" w:hanging="567"/>
      </w:pPr>
      <w:r>
        <w:t>Laikyti gamintojo pakuotėje, kad vaistas būtų apsaugotas nuo šviesos ir drėgmės.</w:t>
      </w:r>
    </w:p>
    <w:p w14:paraId="1CDC10A8" w14:textId="77777777" w:rsidR="00F22FBD" w:rsidRDefault="00D44E4A">
      <w:pPr>
        <w:ind w:left="567" w:hanging="567"/>
      </w:pPr>
      <w:r>
        <w:t>Talpyklę laikyti sandariai uždarytą.</w:t>
      </w:r>
    </w:p>
    <w:p w14:paraId="4177AD49" w14:textId="77777777" w:rsidR="00F22FBD" w:rsidRDefault="00F22FBD">
      <w:pPr>
        <w:ind w:left="567" w:hanging="567"/>
      </w:pPr>
    </w:p>
    <w:p w14:paraId="273FA276" w14:textId="77777777" w:rsidR="00F22FBD" w:rsidRDefault="00F22FBD">
      <w:pPr>
        <w:ind w:left="567" w:hanging="567"/>
        <w:rPr>
          <w:noProof/>
        </w:rPr>
      </w:pPr>
    </w:p>
    <w:p w14:paraId="4F4853A5"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24BDC56C" w14:textId="77777777" w:rsidR="00F22FBD" w:rsidRDefault="00F22FBD">
      <w:pPr>
        <w:rPr>
          <w:noProof/>
        </w:rPr>
      </w:pPr>
    </w:p>
    <w:p w14:paraId="1F4B89F7" w14:textId="77777777" w:rsidR="00F22FBD" w:rsidRDefault="00F22FBD">
      <w:pPr>
        <w:rPr>
          <w:noProof/>
        </w:rPr>
      </w:pPr>
    </w:p>
    <w:p w14:paraId="2FF89861" w14:textId="77777777" w:rsidR="00F22FBD" w:rsidRDefault="00D44E4A">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6EFA9E4C" w14:textId="77777777" w:rsidR="00F22FBD" w:rsidRDefault="00F22FBD"/>
    <w:p w14:paraId="1F97BA61" w14:textId="77777777" w:rsidR="00F22FBD" w:rsidRDefault="00D44E4A">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1AD5DCF4" w14:textId="77777777" w:rsidR="00F22FBD" w:rsidRDefault="00D44E4A">
      <w:pPr>
        <w:widowControl w:val="0"/>
        <w:rPr>
          <w:noProof/>
          <w:szCs w:val="22"/>
          <w:lang w:eastAsia="sl-SI"/>
        </w:rPr>
      </w:pPr>
      <w:r>
        <w:rPr>
          <w:noProof/>
          <w:szCs w:val="22"/>
          <w:lang w:eastAsia="sl-SI"/>
        </w:rPr>
        <w:t>Heinz-Lohmann-Straße 5</w:t>
      </w:r>
    </w:p>
    <w:p w14:paraId="198A3B95" w14:textId="77777777" w:rsidR="00F22FBD" w:rsidRDefault="00D44E4A">
      <w:pPr>
        <w:widowControl w:val="0"/>
        <w:rPr>
          <w:noProof/>
          <w:szCs w:val="22"/>
          <w:lang w:eastAsia="sl-SI"/>
        </w:rPr>
      </w:pPr>
      <w:r>
        <w:rPr>
          <w:noProof/>
          <w:szCs w:val="22"/>
          <w:lang w:eastAsia="sl-SI"/>
        </w:rPr>
        <w:t>27472 Cuxhaven</w:t>
      </w:r>
    </w:p>
    <w:p w14:paraId="671C8CC8" w14:textId="77777777" w:rsidR="00F22FBD" w:rsidRDefault="00D44E4A">
      <w:pPr>
        <w:widowControl w:val="0"/>
        <w:rPr>
          <w:noProof/>
          <w:szCs w:val="22"/>
          <w:lang w:eastAsia="sl-SI"/>
        </w:rPr>
      </w:pPr>
      <w:r>
        <w:rPr>
          <w:noProof/>
          <w:szCs w:val="22"/>
          <w:lang w:eastAsia="sl-SI"/>
        </w:rPr>
        <w:t>Vokietija</w:t>
      </w:r>
    </w:p>
    <w:p w14:paraId="4D51C3B3" w14:textId="77777777" w:rsidR="00F22FBD" w:rsidRDefault="00F22FBD">
      <w:pPr>
        <w:rPr>
          <w:noProof/>
        </w:rPr>
      </w:pPr>
    </w:p>
    <w:p w14:paraId="54CD8B35" w14:textId="77777777" w:rsidR="00F22FBD" w:rsidRDefault="00F22FBD">
      <w:pPr>
        <w:rPr>
          <w:noProof/>
        </w:rPr>
      </w:pPr>
    </w:p>
    <w:p w14:paraId="6C6260A5"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15228577" w14:textId="77777777" w:rsidR="00F22FBD" w:rsidRDefault="00F22FBD">
      <w:pPr>
        <w:rPr>
          <w:noProof/>
        </w:rPr>
      </w:pPr>
    </w:p>
    <w:p w14:paraId="6866F2E1"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&lt;75 mg&gt;</w:t>
      </w:r>
    </w:p>
    <w:p w14:paraId="50809AF9" w14:textId="77777777" w:rsidR="00F22FBD" w:rsidRDefault="00D44E4A">
      <w:pPr>
        <w:widowControl w:val="0"/>
        <w:rPr>
          <w:rFonts w:eastAsia="Calibri"/>
          <w:shd w:val="clear" w:color="auto" w:fill="F2F2F2" w:themeFill="background1" w:themeFillShade="F2"/>
          <w:lang w:val="en-US"/>
        </w:rPr>
      </w:pPr>
      <w:r>
        <w:rPr>
          <w:noProof/>
          <w:szCs w:val="22"/>
          <w:lang w:eastAsia="sl-SI"/>
        </w:rPr>
        <w:t>LT/1/23/5280</w:t>
      </w:r>
      <w:r>
        <w:rPr>
          <w:rFonts w:eastAsia="Calibri"/>
          <w:lang w:val="en-US"/>
        </w:rPr>
        <w:t xml:space="preserve">/007 </w:t>
      </w:r>
      <w:r>
        <w:rPr>
          <w:rFonts w:eastAsia="Calibri"/>
          <w:shd w:val="clear" w:color="auto" w:fill="F2F2F2" w:themeFill="background1" w:themeFillShade="F2"/>
          <w:lang w:val="en-US"/>
        </w:rPr>
        <w:t>– N60</w:t>
      </w:r>
    </w:p>
    <w:p w14:paraId="70C6183F"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LT/1/23/5280/008 – N3x60</w:t>
      </w:r>
    </w:p>
    <w:p w14:paraId="7A9D2843" w14:textId="77777777" w:rsidR="00F22FBD" w:rsidRDefault="00F22FBD">
      <w:pPr>
        <w:rPr>
          <w:rFonts w:eastAsia="Calibri"/>
          <w:shd w:val="clear" w:color="auto" w:fill="F2F2F2" w:themeFill="background1" w:themeFillShade="F2"/>
          <w:lang w:val="en-US"/>
        </w:rPr>
      </w:pPr>
    </w:p>
    <w:p w14:paraId="7A1E8A72"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&lt;110 mg&gt;</w:t>
      </w:r>
    </w:p>
    <w:p w14:paraId="00B23E37"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LT/1/23/5281/007 – N60</w:t>
      </w:r>
    </w:p>
    <w:p w14:paraId="51096EC4"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LT/1/23/5281/008 – N3x60</w:t>
      </w:r>
    </w:p>
    <w:p w14:paraId="71EB242D" w14:textId="77777777" w:rsidR="00F22FBD" w:rsidRDefault="00F22FBD">
      <w:pPr>
        <w:rPr>
          <w:rFonts w:eastAsia="Calibri"/>
          <w:shd w:val="clear" w:color="auto" w:fill="F2F2F2" w:themeFill="background1" w:themeFillShade="F2"/>
          <w:lang w:val="en-US"/>
        </w:rPr>
      </w:pPr>
    </w:p>
    <w:p w14:paraId="64D7C8E2"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&lt;150 mg&gt;</w:t>
      </w:r>
    </w:p>
    <w:p w14:paraId="45426DBA"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LT/1/23/5282/007 – N60</w:t>
      </w:r>
    </w:p>
    <w:p w14:paraId="20785A6E"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LT/1/23/5282/008 – N3x60</w:t>
      </w:r>
    </w:p>
    <w:p w14:paraId="4431E9FB" w14:textId="77777777" w:rsidR="00F22FBD" w:rsidRDefault="00F22FBD"/>
    <w:p w14:paraId="49EA089E" w14:textId="77777777" w:rsidR="00F22FBD" w:rsidRDefault="00F22FBD">
      <w:pPr>
        <w:rPr>
          <w:noProof/>
        </w:rPr>
      </w:pPr>
    </w:p>
    <w:p w14:paraId="32596559"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2A91D9E8" w14:textId="77777777" w:rsidR="00F22FBD" w:rsidRDefault="00F22FBD">
      <w:pPr>
        <w:rPr>
          <w:i/>
          <w:noProof/>
        </w:rPr>
      </w:pPr>
    </w:p>
    <w:p w14:paraId="38615334" w14:textId="77777777" w:rsidR="00F22FBD" w:rsidRDefault="00D44E4A">
      <w:pPr>
        <w:rPr>
          <w:noProof/>
        </w:rPr>
      </w:pPr>
      <w:r>
        <w:rPr>
          <w:noProof/>
        </w:rPr>
        <w:t>Lot</w:t>
      </w:r>
    </w:p>
    <w:p w14:paraId="08C1B508" w14:textId="77777777" w:rsidR="00F22FBD" w:rsidRDefault="00F22FBD">
      <w:pPr>
        <w:rPr>
          <w:noProof/>
        </w:rPr>
      </w:pPr>
    </w:p>
    <w:p w14:paraId="0A4A9DCB" w14:textId="77777777" w:rsidR="00F22FBD" w:rsidRDefault="00F22FBD">
      <w:pPr>
        <w:rPr>
          <w:noProof/>
        </w:rPr>
      </w:pPr>
    </w:p>
    <w:p w14:paraId="6B943CD3"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30EE60D1" w14:textId="77777777" w:rsidR="00F22FBD" w:rsidRDefault="00F22FBD">
      <w:pPr>
        <w:rPr>
          <w:noProof/>
        </w:rPr>
      </w:pPr>
    </w:p>
    <w:p w14:paraId="4404F6A3" w14:textId="77777777" w:rsidR="00F22FBD" w:rsidRDefault="00D44E4A">
      <w:pPr>
        <w:widowControl w:val="0"/>
        <w:tabs>
          <w:tab w:val="left" w:pos="567"/>
        </w:tabs>
        <w:rPr>
          <w:snapToGrid w:val="0"/>
          <w:szCs w:val="22"/>
        </w:rPr>
      </w:pPr>
      <w:r>
        <w:rPr>
          <w:snapToGrid w:val="0"/>
          <w:szCs w:val="22"/>
        </w:rPr>
        <w:t>Receptinis vaistas</w:t>
      </w:r>
    </w:p>
    <w:p w14:paraId="0D769459" w14:textId="77777777" w:rsidR="00F22FBD" w:rsidRDefault="00F22FBD">
      <w:pPr>
        <w:rPr>
          <w:noProof/>
        </w:rPr>
      </w:pPr>
    </w:p>
    <w:p w14:paraId="1925D89A" w14:textId="77777777" w:rsidR="00F22FBD" w:rsidRDefault="00F22FBD">
      <w:pPr>
        <w:rPr>
          <w:noProof/>
        </w:rPr>
      </w:pPr>
    </w:p>
    <w:p w14:paraId="5BF33D3F"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1D8187A9" w14:textId="77777777" w:rsidR="00F22FBD" w:rsidRDefault="00F22FBD">
      <w:pPr>
        <w:rPr>
          <w:i/>
          <w:iCs/>
        </w:rPr>
      </w:pPr>
    </w:p>
    <w:p w14:paraId="0D3E15D8" w14:textId="77777777" w:rsidR="00F22FBD" w:rsidRDefault="00F22FBD">
      <w:pPr>
        <w:rPr>
          <w:noProof/>
        </w:rPr>
      </w:pPr>
    </w:p>
    <w:p w14:paraId="21D8C2D5"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13B7242C" w14:textId="77777777" w:rsidR="00F22FBD" w:rsidRDefault="00F22FBD">
      <w:pPr>
        <w:rPr>
          <w:noProof/>
        </w:rPr>
      </w:pPr>
    </w:p>
    <w:p w14:paraId="73F367B3" w14:textId="77777777" w:rsidR="00F22FBD" w:rsidRDefault="00D44E4A">
      <w:pPr>
        <w:rPr>
          <w:color w:val="000000" w:themeColor="text1"/>
        </w:rPr>
      </w:pPr>
      <w:r>
        <w:rPr>
          <w:noProof/>
        </w:rPr>
        <w:t>Danengo 75 mg</w:t>
      </w:r>
    </w:p>
    <w:p w14:paraId="5BDE3550" w14:textId="77777777" w:rsidR="00F22FBD" w:rsidRDefault="00D44E4A">
      <w:pPr>
        <w:rPr>
          <w:color w:val="000000" w:themeColor="text1"/>
          <w:highlight w:val="lightGray"/>
        </w:rPr>
      </w:pPr>
      <w:r>
        <w:rPr>
          <w:noProof/>
          <w:highlight w:val="lightGray"/>
        </w:rPr>
        <w:t>Danengo 110 mg</w:t>
      </w:r>
    </w:p>
    <w:p w14:paraId="76B01E7E" w14:textId="77777777" w:rsidR="00F22FBD" w:rsidRDefault="00D44E4A">
      <w:pPr>
        <w:rPr>
          <w:color w:val="000000" w:themeColor="text1"/>
        </w:rPr>
      </w:pPr>
      <w:r>
        <w:rPr>
          <w:noProof/>
          <w:highlight w:val="lightGray"/>
        </w:rPr>
        <w:t>Danengo 150 mg</w:t>
      </w:r>
    </w:p>
    <w:p w14:paraId="5D8EBF35" w14:textId="77777777" w:rsidR="00F22FBD" w:rsidRDefault="00F22FBD">
      <w:pPr>
        <w:rPr>
          <w:noProof/>
          <w:szCs w:val="22"/>
          <w:shd w:val="clear" w:color="auto" w:fill="CCCCCC"/>
        </w:rPr>
      </w:pPr>
    </w:p>
    <w:p w14:paraId="484A42C6" w14:textId="77777777" w:rsidR="00F22FBD" w:rsidRDefault="00F22FBD">
      <w:pPr>
        <w:rPr>
          <w:noProof/>
          <w:szCs w:val="22"/>
          <w:shd w:val="clear" w:color="auto" w:fill="CCCCCC"/>
        </w:rPr>
      </w:pPr>
    </w:p>
    <w:p w14:paraId="63F07CB2" w14:textId="77777777" w:rsidR="00F22FBD" w:rsidRDefault="00D44E4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1BEC9F8B" w14:textId="77777777" w:rsidR="00F22FBD" w:rsidRDefault="00F22FBD">
      <w:pPr>
        <w:rPr>
          <w:noProof/>
        </w:rPr>
      </w:pPr>
    </w:p>
    <w:p w14:paraId="5FB15A08" w14:textId="77777777" w:rsidR="00F22FBD" w:rsidRDefault="00D44E4A">
      <w:pPr>
        <w:rPr>
          <w:noProof/>
          <w:szCs w:val="22"/>
          <w:shd w:val="clear" w:color="auto" w:fill="CCCCCC"/>
        </w:rPr>
      </w:pPr>
      <w:r>
        <w:rPr>
          <w:noProof/>
          <w:highlight w:val="lightGray"/>
        </w:rPr>
        <w:t>2D brūkšninis kodas su nurodytu unikaliu identifikatoriumi.</w:t>
      </w:r>
    </w:p>
    <w:p w14:paraId="31D7CA23" w14:textId="77777777" w:rsidR="00F22FBD" w:rsidRDefault="00F22FBD">
      <w:pPr>
        <w:rPr>
          <w:noProof/>
        </w:rPr>
      </w:pPr>
    </w:p>
    <w:p w14:paraId="3E726367" w14:textId="77777777" w:rsidR="00F22FBD" w:rsidRDefault="00F22FBD">
      <w:pPr>
        <w:rPr>
          <w:noProof/>
        </w:rPr>
      </w:pPr>
    </w:p>
    <w:p w14:paraId="455C3338" w14:textId="77777777" w:rsidR="00F22FBD" w:rsidRDefault="00D44E4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D25CC26" w14:textId="77777777" w:rsidR="00F22FBD" w:rsidRDefault="00F22FBD">
      <w:pPr>
        <w:rPr>
          <w:noProof/>
        </w:rPr>
      </w:pPr>
    </w:p>
    <w:p w14:paraId="2E15C1B8" w14:textId="77777777" w:rsidR="00F22FBD" w:rsidRDefault="00D44E4A">
      <w:pPr>
        <w:widowControl w:val="0"/>
        <w:tabs>
          <w:tab w:val="left" w:pos="567"/>
        </w:tabs>
        <w:spacing w:line="260" w:lineRule="exact"/>
        <w:rPr>
          <w:color w:val="000000"/>
          <w:szCs w:val="22"/>
          <w:lang w:val="en-GB"/>
        </w:rPr>
      </w:pPr>
      <w:r>
        <w:rPr>
          <w:color w:val="000000"/>
          <w:szCs w:val="22"/>
          <w:lang w:val="en-GB"/>
        </w:rPr>
        <w:t>PC</w:t>
      </w:r>
    </w:p>
    <w:p w14:paraId="13B589B0" w14:textId="77777777" w:rsidR="00F22FBD" w:rsidRDefault="00D44E4A">
      <w:pPr>
        <w:widowControl w:val="0"/>
        <w:tabs>
          <w:tab w:val="left" w:pos="567"/>
        </w:tabs>
        <w:spacing w:line="260" w:lineRule="exact"/>
        <w:rPr>
          <w:color w:val="000000"/>
          <w:szCs w:val="22"/>
          <w:lang w:val="en-GB"/>
        </w:rPr>
      </w:pPr>
      <w:r>
        <w:rPr>
          <w:color w:val="000000"/>
          <w:szCs w:val="22"/>
          <w:lang w:val="en-GB"/>
        </w:rPr>
        <w:t>SN</w:t>
      </w:r>
    </w:p>
    <w:p w14:paraId="366FD03F" w14:textId="77777777" w:rsidR="00F22FBD" w:rsidRDefault="00D44E4A">
      <w:pPr>
        <w:widowControl w:val="0"/>
        <w:tabs>
          <w:tab w:val="left" w:pos="567"/>
        </w:tabs>
        <w:spacing w:line="260" w:lineRule="exact"/>
        <w:rPr>
          <w:color w:val="000000"/>
          <w:szCs w:val="22"/>
          <w:highlight w:val="lightGray"/>
          <w:lang w:val="en-GB"/>
        </w:rPr>
      </w:pPr>
      <w:r>
        <w:rPr>
          <w:color w:val="000000"/>
          <w:szCs w:val="22"/>
          <w:highlight w:val="lightGray"/>
          <w:lang w:val="en-GB"/>
        </w:rPr>
        <w:t>NN</w:t>
      </w:r>
    </w:p>
    <w:p w14:paraId="7A94DA46" w14:textId="77777777" w:rsidR="00F22FBD" w:rsidRDefault="00D44E4A">
      <w:pPr>
        <w:rPr>
          <w:color w:val="000000"/>
          <w:szCs w:val="22"/>
          <w:highlight w:val="lightGray"/>
          <w:lang w:val="en-GB"/>
        </w:rPr>
      </w:pPr>
      <w:r>
        <w:rPr>
          <w:color w:val="000000"/>
          <w:szCs w:val="22"/>
          <w:highlight w:val="lightGray"/>
          <w:lang w:val="en-GB"/>
        </w:rPr>
        <w:br w:type="page"/>
      </w:r>
    </w:p>
    <w:p w14:paraId="3B86A405" w14:textId="77777777" w:rsidR="00F22FBD" w:rsidRDefault="00D44E4A">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374F1F92" w14:textId="77777777" w:rsidR="00F22FBD" w:rsidRDefault="00F22FBD">
      <w:pPr>
        <w:pBdr>
          <w:top w:val="single" w:sz="4" w:space="1" w:color="auto"/>
          <w:left w:val="single" w:sz="4" w:space="4" w:color="auto"/>
          <w:bottom w:val="single" w:sz="4" w:space="1" w:color="auto"/>
          <w:right w:val="single" w:sz="4" w:space="4" w:color="auto"/>
        </w:pBdr>
        <w:ind w:left="567" w:hanging="567"/>
        <w:rPr>
          <w:bCs/>
          <w:noProof/>
        </w:rPr>
      </w:pPr>
    </w:p>
    <w:p w14:paraId="717AF003" w14:textId="77777777" w:rsidR="00F22FBD" w:rsidRDefault="00D44E4A">
      <w:pPr>
        <w:pBdr>
          <w:top w:val="single" w:sz="4" w:space="1" w:color="auto"/>
          <w:left w:val="single" w:sz="4" w:space="4" w:color="auto"/>
          <w:bottom w:val="single" w:sz="4" w:space="1" w:color="auto"/>
          <w:right w:val="single" w:sz="4" w:space="4" w:color="auto"/>
        </w:pBdr>
        <w:rPr>
          <w:bCs/>
          <w:noProof/>
        </w:rPr>
      </w:pPr>
      <w:r>
        <w:rPr>
          <w:b/>
          <w:noProof/>
        </w:rPr>
        <w:t>TALPYKLĖS ETIKETĖ</w:t>
      </w:r>
    </w:p>
    <w:p w14:paraId="1456AA57" w14:textId="77777777" w:rsidR="00F22FBD" w:rsidRDefault="00F22FBD">
      <w:pPr>
        <w:rPr>
          <w:noProof/>
        </w:rPr>
      </w:pPr>
    </w:p>
    <w:p w14:paraId="5BD179D6" w14:textId="77777777" w:rsidR="00F22FBD" w:rsidRDefault="00F22FBD">
      <w:pPr>
        <w:rPr>
          <w:noProof/>
        </w:rPr>
      </w:pPr>
    </w:p>
    <w:p w14:paraId="0E3BE35B"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2A8DE104" w14:textId="77777777" w:rsidR="00F22FBD" w:rsidRDefault="00F22FBD">
      <w:pPr>
        <w:rPr>
          <w:noProof/>
        </w:rPr>
      </w:pPr>
    </w:p>
    <w:p w14:paraId="1FFE30D2" w14:textId="77777777" w:rsidR="00F22FBD" w:rsidRDefault="00D44E4A">
      <w:pPr>
        <w:rPr>
          <w:color w:val="000000" w:themeColor="text1"/>
        </w:rPr>
      </w:pPr>
      <w:r>
        <w:rPr>
          <w:noProof/>
        </w:rPr>
        <w:t xml:space="preserve">Danengo 75 mg </w:t>
      </w:r>
      <w:r>
        <w:rPr>
          <w:noProof/>
          <w:highlight w:val="lightGray"/>
        </w:rPr>
        <w:t>kietosios</w:t>
      </w:r>
      <w:r>
        <w:rPr>
          <w:noProof/>
        </w:rPr>
        <w:t xml:space="preserve"> kapsulės</w:t>
      </w:r>
    </w:p>
    <w:p w14:paraId="75A39E02" w14:textId="77777777" w:rsidR="00F22FBD" w:rsidRDefault="00D44E4A">
      <w:pPr>
        <w:rPr>
          <w:color w:val="000000" w:themeColor="text1"/>
          <w:highlight w:val="lightGray"/>
        </w:rPr>
      </w:pPr>
      <w:r>
        <w:rPr>
          <w:noProof/>
          <w:highlight w:val="lightGray"/>
        </w:rPr>
        <w:t>Danengo 110 mg kietosios kapsulės</w:t>
      </w:r>
    </w:p>
    <w:p w14:paraId="20F1BBFF" w14:textId="77777777" w:rsidR="00F22FBD" w:rsidRDefault="00D44E4A">
      <w:pPr>
        <w:rPr>
          <w:color w:val="000000" w:themeColor="text1"/>
        </w:rPr>
      </w:pPr>
      <w:r>
        <w:rPr>
          <w:noProof/>
          <w:highlight w:val="lightGray"/>
        </w:rPr>
        <w:t>Danengo 150 mg kietosios kapsulės</w:t>
      </w:r>
    </w:p>
    <w:p w14:paraId="74C5F67B" w14:textId="77777777" w:rsidR="00F22FBD" w:rsidRDefault="00F22FBD">
      <w:pPr>
        <w:rPr>
          <w:noProof/>
        </w:rPr>
      </w:pPr>
    </w:p>
    <w:p w14:paraId="698DCC82" w14:textId="77777777" w:rsidR="00F22FBD" w:rsidRDefault="00D44E4A">
      <w:pPr>
        <w:rPr>
          <w:noProof/>
        </w:rPr>
      </w:pPr>
      <w:r>
        <w:rPr>
          <w:noProof/>
        </w:rPr>
        <w:t>dabigatranas eteksilatas</w:t>
      </w:r>
    </w:p>
    <w:p w14:paraId="7FEB92EE" w14:textId="77777777" w:rsidR="00F22FBD" w:rsidRDefault="00F22FBD">
      <w:pPr>
        <w:rPr>
          <w:noProof/>
        </w:rPr>
      </w:pPr>
    </w:p>
    <w:p w14:paraId="0B70B065" w14:textId="77777777" w:rsidR="00F22FBD" w:rsidRDefault="00F22FBD">
      <w:pPr>
        <w:rPr>
          <w:noProof/>
        </w:rPr>
      </w:pPr>
    </w:p>
    <w:p w14:paraId="7D2BD6F3"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15E21454" w14:textId="77777777" w:rsidR="00F22FBD" w:rsidRDefault="00F22FBD">
      <w:pPr>
        <w:rPr>
          <w:noProof/>
        </w:rPr>
      </w:pPr>
    </w:p>
    <w:p w14:paraId="1D328B4C" w14:textId="77777777" w:rsidR="00F22FBD" w:rsidRDefault="00D44E4A">
      <w:r>
        <w:t>Kiekvienoje kietojoje kapsulėje yra 75 mg dabigatrano eteksilato (dabigatrano eteksilato mesilato pavidalu).</w:t>
      </w:r>
    </w:p>
    <w:p w14:paraId="37169F9A" w14:textId="77777777" w:rsidR="00F22FBD" w:rsidRDefault="00D44E4A">
      <w:pPr>
        <w:rPr>
          <w:highlight w:val="lightGray"/>
        </w:rPr>
      </w:pPr>
      <w:r>
        <w:rPr>
          <w:highlight w:val="lightGray"/>
        </w:rPr>
        <w:t>Kiekvienoje kietojoje kapsulėje yra 110 mg dabigatrano eteksilato (dabigatrano eteksilato mesilato pavidalu).</w:t>
      </w:r>
    </w:p>
    <w:p w14:paraId="79F5AB3D" w14:textId="77777777" w:rsidR="00F22FBD" w:rsidRDefault="00D44E4A">
      <w:r>
        <w:rPr>
          <w:highlight w:val="lightGray"/>
        </w:rPr>
        <w:t>Kiekvienoje kietojoje kapsulėje yra 150 mg dabigatrano eteksilato (dabigatrano eteksilato mesilato pavidalu).</w:t>
      </w:r>
    </w:p>
    <w:p w14:paraId="60B72A43" w14:textId="77777777" w:rsidR="00F22FBD" w:rsidRDefault="00F22FBD"/>
    <w:p w14:paraId="6DDD23C7" w14:textId="77777777" w:rsidR="00F22FBD" w:rsidRDefault="00F22FBD">
      <w:pPr>
        <w:rPr>
          <w:noProof/>
        </w:rPr>
      </w:pPr>
    </w:p>
    <w:p w14:paraId="57B28885"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772C40A3" w14:textId="77777777" w:rsidR="00F22FBD" w:rsidRDefault="00F22FBD">
      <w:pPr>
        <w:rPr>
          <w:noProof/>
        </w:rPr>
      </w:pPr>
    </w:p>
    <w:p w14:paraId="77B8A3C0" w14:textId="77777777" w:rsidR="00F22FBD" w:rsidRDefault="00F22FBD">
      <w:pPr>
        <w:rPr>
          <w:noProof/>
        </w:rPr>
      </w:pPr>
    </w:p>
    <w:p w14:paraId="016EE461"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163C18CF" w14:textId="77777777" w:rsidR="00F22FBD" w:rsidRDefault="00F22FBD">
      <w:pPr>
        <w:rPr>
          <w:noProof/>
        </w:rPr>
      </w:pPr>
    </w:p>
    <w:p w14:paraId="1A908030" w14:textId="77777777" w:rsidR="00F22FBD" w:rsidRDefault="00D44E4A">
      <w:r>
        <w:rPr>
          <w:highlight w:val="lightGray"/>
        </w:rPr>
        <w:t>kietoji kapsulė</w:t>
      </w:r>
    </w:p>
    <w:p w14:paraId="34927F40" w14:textId="77777777" w:rsidR="00F22FBD" w:rsidRDefault="00F22FBD"/>
    <w:p w14:paraId="73289938" w14:textId="77777777" w:rsidR="00F22FBD" w:rsidRDefault="00D44E4A">
      <w:r>
        <w:t>60 kietųjų kapsulių</w:t>
      </w:r>
    </w:p>
    <w:p w14:paraId="778AEF2A" w14:textId="77777777" w:rsidR="00F22FBD" w:rsidRDefault="00F22FBD">
      <w:pPr>
        <w:rPr>
          <w:noProof/>
        </w:rPr>
      </w:pPr>
    </w:p>
    <w:p w14:paraId="2806238F" w14:textId="77777777" w:rsidR="00F22FBD" w:rsidRDefault="00F22FBD">
      <w:pPr>
        <w:rPr>
          <w:noProof/>
        </w:rPr>
      </w:pPr>
    </w:p>
    <w:p w14:paraId="0E8EDDD3"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19E095F6" w14:textId="77777777" w:rsidR="00F22FBD" w:rsidRDefault="00F22FBD">
      <w:pPr>
        <w:rPr>
          <w:i/>
          <w:noProof/>
        </w:rPr>
      </w:pPr>
    </w:p>
    <w:p w14:paraId="57E5BB95" w14:textId="77777777" w:rsidR="00F22FBD" w:rsidRDefault="00D44E4A">
      <w:pPr>
        <w:rPr>
          <w:noProof/>
        </w:rPr>
      </w:pPr>
      <w:r>
        <w:rPr>
          <w:noProof/>
        </w:rPr>
        <w:t>Nurykite visą kapsulę, kramtyti ar laužyti negalima.</w:t>
      </w:r>
    </w:p>
    <w:p w14:paraId="235A2C55" w14:textId="77777777" w:rsidR="00F22FBD" w:rsidRDefault="00D44E4A">
      <w:pPr>
        <w:rPr>
          <w:noProof/>
        </w:rPr>
      </w:pPr>
      <w:r>
        <w:rPr>
          <w:noProof/>
        </w:rPr>
        <w:t>Prieš vartojimą perskaitykite pakuotės lapelį.</w:t>
      </w:r>
    </w:p>
    <w:p w14:paraId="55636D41" w14:textId="77777777" w:rsidR="00F22FBD" w:rsidRDefault="00F22FBD">
      <w:pPr>
        <w:rPr>
          <w:noProof/>
        </w:rPr>
      </w:pPr>
    </w:p>
    <w:p w14:paraId="62632F2D" w14:textId="77777777" w:rsidR="00F22FBD" w:rsidRDefault="00D44E4A">
      <w:pPr>
        <w:rPr>
          <w:noProof/>
        </w:rPr>
      </w:pPr>
      <w:r>
        <w:rPr>
          <w:noProof/>
        </w:rPr>
        <w:t>Vartoti per burną</w:t>
      </w:r>
    </w:p>
    <w:p w14:paraId="1215C604" w14:textId="77777777" w:rsidR="00F22FBD" w:rsidRDefault="00F22FBD">
      <w:pPr>
        <w:rPr>
          <w:noProof/>
        </w:rPr>
      </w:pPr>
    </w:p>
    <w:p w14:paraId="685A33CF" w14:textId="77777777" w:rsidR="00F22FBD" w:rsidRDefault="00F22FBD">
      <w:pPr>
        <w:rPr>
          <w:noProof/>
        </w:rPr>
      </w:pPr>
    </w:p>
    <w:p w14:paraId="67827A6B" w14:textId="77777777" w:rsidR="00F22FBD" w:rsidRDefault="00D44E4A">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139F3C22" w14:textId="77777777" w:rsidR="00F22FBD" w:rsidRDefault="00F22FBD">
      <w:pPr>
        <w:rPr>
          <w:noProof/>
        </w:rPr>
      </w:pPr>
    </w:p>
    <w:p w14:paraId="5ED28EFC" w14:textId="77777777" w:rsidR="00F22FBD" w:rsidRDefault="00D44E4A">
      <w:pPr>
        <w:pStyle w:val="Pagrindinistekstas"/>
        <w:rPr>
          <w:i w:val="0"/>
          <w:iCs/>
          <w:noProof/>
          <w:color w:val="auto"/>
          <w:lang w:val="lt-LT"/>
        </w:rPr>
      </w:pPr>
      <w:r>
        <w:rPr>
          <w:i w:val="0"/>
          <w:iCs/>
          <w:noProof/>
          <w:color w:val="auto"/>
          <w:lang w:val="lt-LT"/>
        </w:rPr>
        <w:t>Laikyti vaikams nepastebimoje ir nepasiekiamoje vietoje.</w:t>
      </w:r>
    </w:p>
    <w:p w14:paraId="4EC440F3" w14:textId="77777777" w:rsidR="00F22FBD" w:rsidRDefault="00F22FBD">
      <w:pPr>
        <w:rPr>
          <w:noProof/>
        </w:rPr>
      </w:pPr>
    </w:p>
    <w:p w14:paraId="59FC773A" w14:textId="77777777" w:rsidR="00F22FBD" w:rsidRDefault="00F22FBD">
      <w:pPr>
        <w:rPr>
          <w:noProof/>
        </w:rPr>
      </w:pPr>
    </w:p>
    <w:p w14:paraId="4576DAD0"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7BB5493B" w14:textId="77777777" w:rsidR="00F22FBD" w:rsidRDefault="00F22FBD">
      <w:pPr>
        <w:rPr>
          <w:noProof/>
        </w:rPr>
      </w:pPr>
    </w:p>
    <w:p w14:paraId="74C75D4F" w14:textId="77777777" w:rsidR="00F22FBD" w:rsidRDefault="00F22FBD">
      <w:pPr>
        <w:rPr>
          <w:noProof/>
        </w:rPr>
      </w:pPr>
    </w:p>
    <w:p w14:paraId="1F5389BA"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62D758F2" w14:textId="77777777" w:rsidR="00F22FBD" w:rsidRDefault="00F22FBD">
      <w:pPr>
        <w:rPr>
          <w:i/>
          <w:noProof/>
        </w:rPr>
      </w:pPr>
    </w:p>
    <w:p w14:paraId="7A7C147A" w14:textId="77777777" w:rsidR="00F22FBD" w:rsidRDefault="00D44E4A">
      <w:pPr>
        <w:rPr>
          <w:iCs/>
          <w:noProof/>
        </w:rPr>
      </w:pPr>
      <w:r>
        <w:rPr>
          <w:iCs/>
          <w:noProof/>
        </w:rPr>
        <w:t xml:space="preserve">EXP </w:t>
      </w:r>
      <w:r>
        <w:rPr>
          <w:snapToGrid w:val="0"/>
        </w:rPr>
        <w:t>(mm/MMMM)</w:t>
      </w:r>
    </w:p>
    <w:p w14:paraId="052A80FD" w14:textId="77777777" w:rsidR="00F22FBD" w:rsidRDefault="00F22FBD">
      <w:pPr>
        <w:rPr>
          <w:noProof/>
        </w:rPr>
      </w:pPr>
    </w:p>
    <w:p w14:paraId="4AA31658" w14:textId="77777777" w:rsidR="00F22FBD" w:rsidRDefault="00F22FBD">
      <w:pPr>
        <w:rPr>
          <w:noProof/>
        </w:rPr>
      </w:pPr>
    </w:p>
    <w:p w14:paraId="6D9CFCCA"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3A9AD4E2" w14:textId="77777777" w:rsidR="00F22FBD" w:rsidRDefault="00F22FBD">
      <w:pPr>
        <w:rPr>
          <w:i/>
          <w:noProof/>
        </w:rPr>
      </w:pPr>
    </w:p>
    <w:p w14:paraId="60E5B38C" w14:textId="77777777" w:rsidR="00F22FBD" w:rsidRDefault="00D44E4A">
      <w:pPr>
        <w:ind w:left="567" w:hanging="567"/>
      </w:pPr>
      <w:r>
        <w:t>Laikyti gamintojo pakuotėje, kad vaistas būtų apsaugotas nuo šviesos ir drėgmės.</w:t>
      </w:r>
    </w:p>
    <w:p w14:paraId="6725ECB4" w14:textId="77777777" w:rsidR="00F22FBD" w:rsidRDefault="00D44E4A">
      <w:pPr>
        <w:ind w:left="567" w:hanging="567"/>
      </w:pPr>
      <w:r>
        <w:t>Talpyklę laikyti sandariai uždarytą.</w:t>
      </w:r>
    </w:p>
    <w:p w14:paraId="34F6B658" w14:textId="77777777" w:rsidR="00F22FBD" w:rsidRDefault="00F22FBD">
      <w:pPr>
        <w:ind w:left="567" w:hanging="567"/>
      </w:pPr>
    </w:p>
    <w:p w14:paraId="77BE1898" w14:textId="77777777" w:rsidR="00F22FBD" w:rsidRDefault="00F22FBD">
      <w:pPr>
        <w:ind w:left="567" w:hanging="567"/>
        <w:rPr>
          <w:noProof/>
        </w:rPr>
      </w:pPr>
    </w:p>
    <w:p w14:paraId="52C27C20" w14:textId="77777777" w:rsidR="00F22FBD" w:rsidRDefault="00D44E4A">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0A20A9AD" w14:textId="77777777" w:rsidR="00F22FBD" w:rsidRDefault="00F22FBD">
      <w:pPr>
        <w:rPr>
          <w:noProof/>
        </w:rPr>
      </w:pPr>
    </w:p>
    <w:p w14:paraId="221A015B" w14:textId="77777777" w:rsidR="00F22FBD" w:rsidRDefault="00F22FBD">
      <w:pPr>
        <w:rPr>
          <w:noProof/>
        </w:rPr>
      </w:pPr>
    </w:p>
    <w:p w14:paraId="5AB2B9AD" w14:textId="77777777" w:rsidR="00F22FBD" w:rsidRDefault="00D44E4A">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158A15D7" w14:textId="77777777" w:rsidR="00F22FBD" w:rsidRDefault="00F22FBD"/>
    <w:p w14:paraId="6D749379" w14:textId="77777777" w:rsidR="00F22FBD" w:rsidRDefault="00D44E4A">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2C4A75E8" w14:textId="77777777" w:rsidR="00F22FBD" w:rsidRDefault="00D44E4A">
      <w:pPr>
        <w:widowControl w:val="0"/>
        <w:rPr>
          <w:noProof/>
          <w:szCs w:val="22"/>
          <w:lang w:eastAsia="sl-SI"/>
        </w:rPr>
      </w:pPr>
      <w:r>
        <w:rPr>
          <w:noProof/>
          <w:szCs w:val="22"/>
          <w:lang w:eastAsia="sl-SI"/>
        </w:rPr>
        <w:t>Heinz-Lohmann-Straße 5</w:t>
      </w:r>
    </w:p>
    <w:p w14:paraId="3F99FCF4" w14:textId="77777777" w:rsidR="00F22FBD" w:rsidRDefault="00D44E4A">
      <w:pPr>
        <w:widowControl w:val="0"/>
        <w:rPr>
          <w:noProof/>
          <w:szCs w:val="22"/>
          <w:lang w:eastAsia="sl-SI"/>
        </w:rPr>
      </w:pPr>
      <w:r>
        <w:rPr>
          <w:noProof/>
          <w:szCs w:val="22"/>
          <w:lang w:eastAsia="sl-SI"/>
        </w:rPr>
        <w:t>27472 Cuxhaven</w:t>
      </w:r>
    </w:p>
    <w:p w14:paraId="1189F4E9" w14:textId="77777777" w:rsidR="00F22FBD" w:rsidRDefault="00D44E4A">
      <w:pPr>
        <w:widowControl w:val="0"/>
        <w:rPr>
          <w:noProof/>
          <w:szCs w:val="22"/>
          <w:lang w:eastAsia="sl-SI"/>
        </w:rPr>
      </w:pPr>
      <w:r>
        <w:rPr>
          <w:noProof/>
          <w:szCs w:val="22"/>
          <w:lang w:eastAsia="sl-SI"/>
        </w:rPr>
        <w:t>Vokietija</w:t>
      </w:r>
    </w:p>
    <w:p w14:paraId="74854112" w14:textId="77777777" w:rsidR="00F22FBD" w:rsidRDefault="00F22FBD">
      <w:pPr>
        <w:rPr>
          <w:noProof/>
        </w:rPr>
      </w:pPr>
    </w:p>
    <w:p w14:paraId="371E32BF" w14:textId="77777777" w:rsidR="00F22FBD" w:rsidRDefault="00F22FBD">
      <w:pPr>
        <w:rPr>
          <w:noProof/>
        </w:rPr>
      </w:pPr>
    </w:p>
    <w:p w14:paraId="1C8D8FBF"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7DD05B5D" w14:textId="77777777" w:rsidR="00F22FBD" w:rsidRDefault="00F22FBD">
      <w:pPr>
        <w:rPr>
          <w:noProof/>
        </w:rPr>
      </w:pPr>
    </w:p>
    <w:p w14:paraId="3D4DFBD7"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&lt;75 mg&gt;</w:t>
      </w:r>
    </w:p>
    <w:p w14:paraId="73C34716"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LT/1/23/5280/007 – N60</w:t>
      </w:r>
    </w:p>
    <w:p w14:paraId="258B0AFC"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LT/1/23/5280/008 – N3x60</w:t>
      </w:r>
    </w:p>
    <w:p w14:paraId="62311FEA" w14:textId="77777777" w:rsidR="00F22FBD" w:rsidRDefault="00F22FBD">
      <w:pPr>
        <w:rPr>
          <w:rFonts w:eastAsia="Calibri"/>
          <w:shd w:val="clear" w:color="auto" w:fill="F2F2F2" w:themeFill="background1" w:themeFillShade="F2"/>
          <w:lang w:val="en-US"/>
        </w:rPr>
      </w:pPr>
    </w:p>
    <w:p w14:paraId="11A240F5"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&lt;110 mg&gt;</w:t>
      </w:r>
    </w:p>
    <w:p w14:paraId="18A2AE87"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LT/1/23/5281/007 – N60</w:t>
      </w:r>
    </w:p>
    <w:p w14:paraId="340E3B5F"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LT/1/23/5281/008 – N3x60</w:t>
      </w:r>
    </w:p>
    <w:p w14:paraId="21088C8C" w14:textId="77777777" w:rsidR="00F22FBD" w:rsidRDefault="00F22FBD">
      <w:pPr>
        <w:rPr>
          <w:rFonts w:eastAsia="Calibri"/>
          <w:shd w:val="clear" w:color="auto" w:fill="F2F2F2" w:themeFill="background1" w:themeFillShade="F2"/>
          <w:lang w:val="en-US"/>
        </w:rPr>
      </w:pPr>
    </w:p>
    <w:p w14:paraId="600492F3"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&lt;150 mg&gt;</w:t>
      </w:r>
    </w:p>
    <w:p w14:paraId="2A86680B"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LT/1/23/5282/007 – N60</w:t>
      </w:r>
    </w:p>
    <w:p w14:paraId="015239D4" w14:textId="77777777" w:rsidR="00F22FBD" w:rsidRDefault="00D44E4A">
      <w:pPr>
        <w:rPr>
          <w:rFonts w:eastAsia="Calibri"/>
          <w:shd w:val="clear" w:color="auto" w:fill="F2F2F2" w:themeFill="background1" w:themeFillShade="F2"/>
          <w:lang w:val="en-US"/>
        </w:rPr>
      </w:pPr>
      <w:r>
        <w:rPr>
          <w:rFonts w:eastAsia="Calibri"/>
          <w:shd w:val="clear" w:color="auto" w:fill="F2F2F2" w:themeFill="background1" w:themeFillShade="F2"/>
          <w:lang w:val="en-US"/>
        </w:rPr>
        <w:t>LT/1/23/5282/008 – N3x60</w:t>
      </w:r>
    </w:p>
    <w:p w14:paraId="4A812699" w14:textId="77777777" w:rsidR="00F22FBD" w:rsidRDefault="00F22FBD"/>
    <w:p w14:paraId="57B29858" w14:textId="77777777" w:rsidR="00F22FBD" w:rsidRDefault="00F22FBD">
      <w:pPr>
        <w:rPr>
          <w:noProof/>
        </w:rPr>
      </w:pPr>
    </w:p>
    <w:p w14:paraId="798B4853"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6F62889E" w14:textId="77777777" w:rsidR="00F22FBD" w:rsidRDefault="00F22FBD">
      <w:pPr>
        <w:rPr>
          <w:i/>
          <w:noProof/>
        </w:rPr>
      </w:pPr>
    </w:p>
    <w:p w14:paraId="322007F7" w14:textId="77777777" w:rsidR="00F22FBD" w:rsidRDefault="00D44E4A">
      <w:pPr>
        <w:rPr>
          <w:noProof/>
        </w:rPr>
      </w:pPr>
      <w:r>
        <w:rPr>
          <w:noProof/>
        </w:rPr>
        <w:t>Lot</w:t>
      </w:r>
    </w:p>
    <w:p w14:paraId="11DE5E3C" w14:textId="77777777" w:rsidR="00F22FBD" w:rsidRDefault="00F22FBD">
      <w:pPr>
        <w:rPr>
          <w:noProof/>
        </w:rPr>
      </w:pPr>
    </w:p>
    <w:p w14:paraId="1AD1CC8F" w14:textId="77777777" w:rsidR="00F22FBD" w:rsidRDefault="00F22FBD">
      <w:pPr>
        <w:rPr>
          <w:noProof/>
        </w:rPr>
      </w:pPr>
    </w:p>
    <w:p w14:paraId="7DA15C97"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326A1A79" w14:textId="77777777" w:rsidR="00F22FBD" w:rsidRDefault="00F22FBD">
      <w:pPr>
        <w:rPr>
          <w:noProof/>
        </w:rPr>
      </w:pPr>
    </w:p>
    <w:p w14:paraId="2B865320" w14:textId="77777777" w:rsidR="00F22FBD" w:rsidRDefault="00D44E4A">
      <w:pPr>
        <w:widowControl w:val="0"/>
        <w:tabs>
          <w:tab w:val="left" w:pos="567"/>
        </w:tabs>
        <w:rPr>
          <w:snapToGrid w:val="0"/>
          <w:szCs w:val="22"/>
        </w:rPr>
      </w:pPr>
      <w:r>
        <w:rPr>
          <w:snapToGrid w:val="0"/>
          <w:szCs w:val="22"/>
        </w:rPr>
        <w:t>Receptinis vaistas</w:t>
      </w:r>
    </w:p>
    <w:p w14:paraId="5B2FAAD2" w14:textId="77777777" w:rsidR="00F22FBD" w:rsidRDefault="00F22FBD">
      <w:pPr>
        <w:rPr>
          <w:noProof/>
        </w:rPr>
      </w:pPr>
    </w:p>
    <w:p w14:paraId="4EB91CF8" w14:textId="77777777" w:rsidR="00F22FBD" w:rsidRDefault="00F22FBD">
      <w:pPr>
        <w:rPr>
          <w:noProof/>
        </w:rPr>
      </w:pPr>
    </w:p>
    <w:p w14:paraId="2E993867"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471586E2" w14:textId="77777777" w:rsidR="00F22FBD" w:rsidRDefault="00F22FBD">
      <w:pPr>
        <w:rPr>
          <w:i/>
          <w:iCs/>
        </w:rPr>
      </w:pPr>
    </w:p>
    <w:p w14:paraId="1FE4602C" w14:textId="77777777" w:rsidR="00F22FBD" w:rsidRDefault="00F22FBD">
      <w:pPr>
        <w:rPr>
          <w:noProof/>
        </w:rPr>
      </w:pPr>
    </w:p>
    <w:p w14:paraId="174A4A2F" w14:textId="77777777" w:rsidR="00F22FBD" w:rsidRDefault="00D44E4A">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180CAA85" w14:textId="77777777" w:rsidR="00F22FBD" w:rsidRDefault="00F22FBD">
      <w:pPr>
        <w:rPr>
          <w:noProof/>
          <w:szCs w:val="22"/>
          <w:shd w:val="clear" w:color="auto" w:fill="CCCCCC"/>
        </w:rPr>
      </w:pPr>
    </w:p>
    <w:p w14:paraId="38F661B2" w14:textId="77777777" w:rsidR="00F22FBD" w:rsidRDefault="00F22FBD">
      <w:pPr>
        <w:rPr>
          <w:noProof/>
          <w:szCs w:val="22"/>
          <w:shd w:val="clear" w:color="auto" w:fill="CCCCCC"/>
        </w:rPr>
      </w:pPr>
    </w:p>
    <w:p w14:paraId="5F0EB80A" w14:textId="77777777" w:rsidR="00F22FBD" w:rsidRDefault="00D44E4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2B73152" w14:textId="77777777" w:rsidR="00F22FBD" w:rsidRDefault="00F22FBD">
      <w:pPr>
        <w:rPr>
          <w:noProof/>
        </w:rPr>
      </w:pPr>
    </w:p>
    <w:p w14:paraId="58EC00E3" w14:textId="77777777" w:rsidR="00F22FBD" w:rsidRDefault="00F22FBD">
      <w:pPr>
        <w:rPr>
          <w:noProof/>
        </w:rPr>
      </w:pPr>
    </w:p>
    <w:p w14:paraId="70EAE618" w14:textId="77777777" w:rsidR="00F22FBD" w:rsidRDefault="00D44E4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E8A1A8E" w14:textId="77777777" w:rsidR="00F22FBD" w:rsidRDefault="00D44E4A">
      <w:pPr>
        <w:ind w:right="113"/>
        <w:rPr>
          <w:noProof/>
        </w:rPr>
      </w:pPr>
      <w:r>
        <w:rPr>
          <w:b/>
          <w:noProof/>
          <w:u w:val="single"/>
        </w:rPr>
        <w:br w:type="page"/>
      </w:r>
    </w:p>
    <w:p w14:paraId="1329B2E6" w14:textId="77777777" w:rsidR="00F22FBD" w:rsidRDefault="00D44E4A">
      <w:pPr>
        <w:rPr>
          <w:b/>
          <w:bCs/>
        </w:rPr>
      </w:pPr>
      <w:r>
        <w:rPr>
          <w:b/>
          <w:bCs/>
        </w:rPr>
        <w:lastRenderedPageBreak/>
        <w:t>PACIENTO BUDRUMO KORTELĖ</w:t>
      </w:r>
    </w:p>
    <w:p w14:paraId="41C0D807" w14:textId="77777777" w:rsidR="00F22FBD" w:rsidRDefault="00F22FBD"/>
    <w:p w14:paraId="1E2C6068" w14:textId="77777777" w:rsidR="00F22FBD" w:rsidRDefault="00D44E4A">
      <w:r>
        <w:t>TAD Pharma GmbH</w:t>
      </w:r>
    </w:p>
    <w:p w14:paraId="277B43C9" w14:textId="77777777" w:rsidR="00F22FBD" w:rsidRDefault="00F22FBD"/>
    <w:p w14:paraId="3EE42CDE" w14:textId="77777777" w:rsidR="00F22FBD" w:rsidRDefault="00D44E4A">
      <w:r>
        <w:t>Danengo kietosios kapsulės (dabigatranas eteksilatas)</w:t>
      </w:r>
    </w:p>
    <w:p w14:paraId="529A18FD" w14:textId="77777777" w:rsidR="00F22FBD" w:rsidRDefault="00F22FBD"/>
    <w:p w14:paraId="7CBD81AA" w14:textId="77777777" w:rsidR="00F22FBD" w:rsidRDefault="00D44E4A">
      <w:pPr>
        <w:rPr>
          <w:b/>
          <w:bCs/>
        </w:rPr>
      </w:pPr>
      <w:r>
        <w:sym w:font="Symbol" w:char="F0B7"/>
      </w:r>
      <w:r>
        <w:t xml:space="preserve"> </w:t>
      </w:r>
      <w:r>
        <w:rPr>
          <w:b/>
          <w:bCs/>
        </w:rPr>
        <w:t>Šią kortelę Jūs / prižiūrintis asmuo visuomet turite / turi turėti su savimi.</w:t>
      </w:r>
    </w:p>
    <w:p w14:paraId="0D245C35" w14:textId="77777777" w:rsidR="00F22FBD" w:rsidRDefault="00D44E4A">
      <w:pPr>
        <w:rPr>
          <w:b/>
          <w:bCs/>
        </w:rPr>
      </w:pPr>
      <w:r>
        <w:rPr>
          <w:b/>
          <w:bCs/>
        </w:rPr>
        <w:sym w:font="Symbol" w:char="F0B7"/>
      </w:r>
      <w:r>
        <w:rPr>
          <w:b/>
          <w:bCs/>
        </w:rPr>
        <w:t xml:space="preserve"> Prašome įsitikinti, kad turite naujausią kortelės variantą.</w:t>
      </w:r>
    </w:p>
    <w:p w14:paraId="46F22410" w14:textId="77777777" w:rsidR="00F22FBD" w:rsidRDefault="00F22FBD"/>
    <w:p w14:paraId="525E463D" w14:textId="77777777" w:rsidR="00F22FBD" w:rsidRDefault="00D44E4A">
      <w:pPr>
        <w:rPr>
          <w:b/>
          <w:bCs/>
        </w:rPr>
      </w:pPr>
      <w:r>
        <w:rPr>
          <w:b/>
          <w:bCs/>
        </w:rPr>
        <w:t>Mielas paciente / pacientą vaiką prižiūrintis globėjau,</w:t>
      </w:r>
    </w:p>
    <w:p w14:paraId="05B9767E" w14:textId="77777777" w:rsidR="00F22FBD" w:rsidRDefault="00D44E4A">
      <w:r>
        <w:t>Jūsų / Jūsų vaiko gydytojas pradėjo gydyti Danengo. Kad Danengo būtų vartojamas saugiai, prašome atidžiai susipažinti su pakuotės lapelyje pateikta informacija.</w:t>
      </w:r>
    </w:p>
    <w:p w14:paraId="37037B91" w14:textId="77777777" w:rsidR="00F22FBD" w:rsidRDefault="00D44E4A">
      <w:pPr>
        <w:rPr>
          <w:noProof/>
        </w:rPr>
      </w:pPr>
      <w:r>
        <w:t>Kadangi šioje Paciento budrumo kortelėje yra svarbios informacijos apie Jūsų / Jūsų vaiko gydymą, ši kortelė visuomet turi būti su Jumis / Jūsų vaiku, kad informuotumėte sveikatos priežiūros specialistus apie tai, kad Jūs vartojate / Jūsų vaikas vartoja Danengo.</w:t>
      </w:r>
    </w:p>
    <w:p w14:paraId="1BA84192" w14:textId="77777777" w:rsidR="00F22FBD" w:rsidRDefault="00F22FBD">
      <w:pPr>
        <w:rPr>
          <w:noProof/>
        </w:rPr>
      </w:pPr>
    </w:p>
    <w:p w14:paraId="20E833FD" w14:textId="77777777" w:rsidR="00F22FBD" w:rsidRDefault="00D44E4A">
      <w:pPr>
        <w:rPr>
          <w:b/>
          <w:bCs/>
        </w:rPr>
      </w:pPr>
      <w:r>
        <w:rPr>
          <w:b/>
          <w:bCs/>
        </w:rPr>
        <w:t>Danengo informacija pacientui / pacientą vaiką prižiūrinčiam asmeniui</w:t>
      </w:r>
    </w:p>
    <w:p w14:paraId="071F425C" w14:textId="77777777" w:rsidR="00F22FBD" w:rsidRDefault="00D44E4A">
      <w:r>
        <w:t>Apie Jūsų / Jūsų vaiko gydymą</w:t>
      </w:r>
    </w:p>
    <w:p w14:paraId="554187E8" w14:textId="77777777" w:rsidR="00F22FBD" w:rsidRDefault="00D44E4A">
      <w:r>
        <w:t>• Danengo skystina kraują. Jis skirtas esamiems krešuliams gydyti arba apsaugoti nuo pavojingų kraujo krešulių formavimosi.</w:t>
      </w:r>
    </w:p>
    <w:p w14:paraId="4E07A9DE" w14:textId="77777777" w:rsidR="00F22FBD" w:rsidRDefault="00D44E4A">
      <w:r>
        <w:t>• Danengo vartojimo metu laikykitės Jūsų / Jūsų vaiko gydytojo nurodymų. Nepasitarę su Jūsų / Jūsų vaiko gydytoju, jokiu būdu nepraleiskite Danengo dozės arba nenutraukite vartojimo.</w:t>
      </w:r>
    </w:p>
    <w:p w14:paraId="170C9AA5" w14:textId="77777777" w:rsidR="00F22FBD" w:rsidRDefault="00D44E4A">
      <w:r>
        <w:t>• Pasakykite Jūsų / Jūsų vaiko gydytojui apie visus vaistus, kurių dabar vartojate arba kurių vartoja Jūsų vaikas.</w:t>
      </w:r>
    </w:p>
    <w:p w14:paraId="59955C1E" w14:textId="77777777" w:rsidR="00F22FBD" w:rsidRDefault="00D44E4A">
      <w:r>
        <w:t>• Prieš bet kurią chirurginę ar invazinę procedūrą pasakykite Jūsų / Jūsų vaiko gydytojui, kad vartojate Danengo.</w:t>
      </w:r>
    </w:p>
    <w:p w14:paraId="51FBE33C" w14:textId="77777777" w:rsidR="00F22FBD" w:rsidRDefault="00D44E4A">
      <w:pPr>
        <w:rPr>
          <w:noProof/>
        </w:rPr>
      </w:pPr>
      <w:r>
        <w:t>• Danengo kapsules galima gerti su maistu arba nevalgius. Kapsulę reikia nuryti visą, užgeriant stikline vandens. Kapsulės negalima laužyti arba kramtyti, negalima išpilti joje esančių granulių.</w:t>
      </w:r>
    </w:p>
    <w:p w14:paraId="474943B2" w14:textId="77777777" w:rsidR="00F22FBD" w:rsidRDefault="00F22FBD">
      <w:pPr>
        <w:rPr>
          <w:noProof/>
        </w:rPr>
      </w:pPr>
    </w:p>
    <w:p w14:paraId="60B6E7C4" w14:textId="77777777" w:rsidR="00F22FBD" w:rsidRDefault="00D44E4A">
      <w:r>
        <w:t>Kada kreiptis į gydytoją</w:t>
      </w:r>
    </w:p>
    <w:p w14:paraId="63E63DD1" w14:textId="77777777" w:rsidR="00F22FBD" w:rsidRDefault="00D44E4A">
      <w:r>
        <w:t>• Danengo vartojimas gali didinti kraujavimo riziką. Nedelsdami pasakykite Jūsų / Jūsų vaiko gydytojui, jeigu Jums / Jūsų vaikui pasireiškė kraujavimą galinčių reikšti požymių ir simptomų, pavyzdžiui: patinimas, diskomforto jausmas, neįprastas skausmas ar galvos skausmas, svaigulys, blyškumas, silpnumas, neįprastos kraujosruvos (mėlynės), kraujavimas iš nosies, dantenų kraujavimas, neįprastai ilgas kraujavimas įsipjovus, pakitęs mėnesinių kraujavimas arba kraujavimas iš makšties, kraujas šlapime, kai šlapimas tampa rausvas arba rudas, raudonos / juodos išmatos, atsikosėjimas krauju, vėmimas krauju arba į kavos tirščius panašiu turiniu.</w:t>
      </w:r>
    </w:p>
    <w:p w14:paraId="12DE5F2F" w14:textId="77777777" w:rsidR="00F22FBD" w:rsidRDefault="00D44E4A">
      <w:r>
        <w:t>• Griuvimo arba susižeidimo atveju, ypač jeigu sutrenkta galva, reikia nedelsiant kreiptis gydytojo pagalbos.</w:t>
      </w:r>
    </w:p>
    <w:p w14:paraId="77F642E5" w14:textId="77777777" w:rsidR="00F22FBD" w:rsidRDefault="00D44E4A">
      <w:pPr>
        <w:rPr>
          <w:noProof/>
        </w:rPr>
      </w:pPr>
      <w:r>
        <w:t>• Nepasitarę su Jūsų / Jūsų vaiko gydytoju Danengo vartojimo nenutraukite, jeigu Jums / Jūsų vaikui pasireiškė rėmuo, pykinimas, vėmimas, nemalonus jausmas skrandžio srityje, viršutinės pilvo dalies skausmas arba pūtimas.</w:t>
      </w:r>
    </w:p>
    <w:p w14:paraId="3D714D91" w14:textId="77777777" w:rsidR="00F22FBD" w:rsidRDefault="00F22FBD">
      <w:pPr>
        <w:rPr>
          <w:noProof/>
        </w:rPr>
      </w:pPr>
    </w:p>
    <w:p w14:paraId="3EB98F9D" w14:textId="77777777" w:rsidR="00F22FBD" w:rsidRDefault="00D44E4A">
      <w:pPr>
        <w:rPr>
          <w:b/>
          <w:bCs/>
        </w:rPr>
      </w:pPr>
      <w:r>
        <w:rPr>
          <w:b/>
          <w:bCs/>
        </w:rPr>
        <w:t>Danengo informacija sveikatos priežiūros specialistams</w:t>
      </w:r>
    </w:p>
    <w:p w14:paraId="6FC74F00" w14:textId="77777777" w:rsidR="00F22FBD" w:rsidRDefault="00D44E4A">
      <w:r>
        <w:t>• Danengo yra geriamasis antikoaguliantas (tiesioginis trombino inhibitorius).</w:t>
      </w:r>
    </w:p>
    <w:p w14:paraId="4C2EB274" w14:textId="77777777" w:rsidR="00F22FBD" w:rsidRDefault="00D44E4A">
      <w:r>
        <w:t>• Danengo vartojimą prieš chirurginę operaciją bei kitokias invazines procedūras gali reikėti iš anksto nutraukti.</w:t>
      </w:r>
    </w:p>
    <w:p w14:paraId="3680E4EE" w14:textId="77777777" w:rsidR="00F22FBD" w:rsidRDefault="00D44E4A">
      <w:pPr>
        <w:rPr>
          <w:noProof/>
        </w:rPr>
      </w:pPr>
      <w:r>
        <w:t>• Jeigu prasideda didysis kraujavimas, Danengo vartojimą būtina nutraukti nedelsiant.</w:t>
      </w:r>
    </w:p>
    <w:p w14:paraId="09DB61AB" w14:textId="77777777" w:rsidR="00F22FBD" w:rsidRDefault="00D44E4A">
      <w:r>
        <w:t>• Yra specifinis neutralizuojantis preparatas (idarucizumabas), skirtas suaugusiems pacientams. Specifinio neutralizuojančio preparato idarucizumabo veiksmingumas ir saugumas pacientams vaikams neištirti. Išsamią informaciją ir daugiau patarimų apie antikoaguliacinio Danengo poveikio panaikinimą žr. Danengo ir idarucizumabo preparato charakteristikų santraukose.</w:t>
      </w:r>
    </w:p>
    <w:p w14:paraId="403EA37B" w14:textId="77777777" w:rsidR="00F22FBD" w:rsidRDefault="00D44E4A">
      <w:pPr>
        <w:rPr>
          <w:noProof/>
        </w:rPr>
      </w:pPr>
      <w:r>
        <w:t>• Danengo daugiausia išsiskiria per inkstus; būtina palaikyti pakankamą diurezę. Danengo galima pašalinti dialize.</w:t>
      </w:r>
    </w:p>
    <w:p w14:paraId="3E126EAA" w14:textId="77777777" w:rsidR="00F22FBD" w:rsidRDefault="00F22FBD">
      <w:pPr>
        <w:rPr>
          <w:noProof/>
        </w:rPr>
      </w:pPr>
    </w:p>
    <w:p w14:paraId="642C4673" w14:textId="77777777" w:rsidR="00F22FBD" w:rsidRDefault="00D44E4A">
      <w:pPr>
        <w:rPr>
          <w:b/>
          <w:bCs/>
          <w:noProof/>
        </w:rPr>
      </w:pPr>
      <w:r>
        <w:rPr>
          <w:b/>
          <w:bCs/>
        </w:rPr>
        <w:t>Prašome užpildyti informaciją žemiau arba paprašyti Jūsų / Jūsų vaiko gydytojo, kad užpildytų. Paciento informacija</w:t>
      </w:r>
    </w:p>
    <w:p w14:paraId="119789B0" w14:textId="77777777" w:rsidR="00F22FBD" w:rsidRDefault="00D44E4A">
      <w:pPr>
        <w:rPr>
          <w:color w:val="000000"/>
          <w:szCs w:val="22"/>
          <w:lang w:val="en-GB" w:eastAsia="sl-SI"/>
        </w:rPr>
      </w:pPr>
      <w:r>
        <w:rPr>
          <w:color w:val="000000"/>
          <w:szCs w:val="22"/>
          <w:lang w:val="en-GB" w:eastAsia="sl-SI"/>
        </w:rPr>
        <w:lastRenderedPageBreak/>
        <w:t>________________________________</w:t>
      </w:r>
    </w:p>
    <w:p w14:paraId="7D89EB97" w14:textId="77777777" w:rsidR="00F22FBD" w:rsidRDefault="00D44E4A">
      <w:pPr>
        <w:rPr>
          <w:color w:val="000000"/>
          <w:szCs w:val="22"/>
          <w:lang w:val="en-GB" w:eastAsia="sl-SI"/>
        </w:rPr>
      </w:pPr>
      <w:r>
        <w:rPr>
          <w:color w:val="000000"/>
          <w:szCs w:val="22"/>
          <w:lang w:val="en-GB" w:eastAsia="sl-SI"/>
        </w:rPr>
        <w:t>Paciento vardas ir pavardė</w:t>
      </w:r>
    </w:p>
    <w:p w14:paraId="2F200B13" w14:textId="77777777" w:rsidR="00F22FBD" w:rsidRDefault="00F22FBD">
      <w:pPr>
        <w:rPr>
          <w:color w:val="000000"/>
          <w:szCs w:val="22"/>
          <w:lang w:val="en-GB" w:eastAsia="sl-SI"/>
        </w:rPr>
      </w:pPr>
    </w:p>
    <w:p w14:paraId="7B559E42" w14:textId="77777777" w:rsidR="00F22FBD" w:rsidRDefault="00D44E4A">
      <w:pPr>
        <w:rPr>
          <w:color w:val="000000"/>
          <w:szCs w:val="22"/>
          <w:lang w:val="en-GB" w:eastAsia="sl-SI"/>
        </w:rPr>
      </w:pPr>
      <w:r>
        <w:rPr>
          <w:color w:val="000000"/>
          <w:szCs w:val="22"/>
          <w:lang w:val="en-GB" w:eastAsia="sl-SI"/>
        </w:rPr>
        <w:t>_________________________________</w:t>
      </w:r>
    </w:p>
    <w:p w14:paraId="1EA53953" w14:textId="77777777" w:rsidR="00F22FBD" w:rsidRDefault="00D44E4A">
      <w:pPr>
        <w:rPr>
          <w:color w:val="000000"/>
          <w:szCs w:val="22"/>
          <w:lang w:val="en-GB" w:eastAsia="sl-SI"/>
        </w:rPr>
      </w:pPr>
      <w:r>
        <w:rPr>
          <w:color w:val="000000"/>
          <w:szCs w:val="22"/>
          <w:lang w:val="en-GB" w:eastAsia="sl-SI"/>
        </w:rPr>
        <w:t>Gimimo data</w:t>
      </w:r>
    </w:p>
    <w:p w14:paraId="4394D5A2" w14:textId="77777777" w:rsidR="00F22FBD" w:rsidRDefault="00F22FBD">
      <w:pPr>
        <w:rPr>
          <w:color w:val="000000"/>
          <w:szCs w:val="22"/>
          <w:lang w:val="en-GB" w:eastAsia="sl-SI"/>
        </w:rPr>
      </w:pPr>
    </w:p>
    <w:p w14:paraId="3FD46F55" w14:textId="77777777" w:rsidR="00F22FBD" w:rsidRDefault="00D44E4A">
      <w:pPr>
        <w:rPr>
          <w:color w:val="000000"/>
          <w:szCs w:val="22"/>
          <w:lang w:val="en-GB" w:eastAsia="sl-SI"/>
        </w:rPr>
      </w:pPr>
      <w:r>
        <w:rPr>
          <w:color w:val="000000"/>
          <w:szCs w:val="22"/>
          <w:lang w:val="en-GB" w:eastAsia="sl-SI"/>
        </w:rPr>
        <w:t>_________________________________</w:t>
      </w:r>
    </w:p>
    <w:p w14:paraId="53BFF4A8" w14:textId="77777777" w:rsidR="00F22FBD" w:rsidRDefault="00D44E4A">
      <w:pPr>
        <w:rPr>
          <w:color w:val="000000"/>
          <w:szCs w:val="22"/>
          <w:lang w:val="en-GB" w:eastAsia="sl-SI"/>
        </w:rPr>
      </w:pPr>
      <w:r>
        <w:rPr>
          <w:color w:val="000000"/>
          <w:szCs w:val="22"/>
          <w:lang w:val="en-GB" w:eastAsia="sl-SI"/>
        </w:rPr>
        <w:t>Indikacija antikoaguliacijai</w:t>
      </w:r>
    </w:p>
    <w:p w14:paraId="0619B6A3" w14:textId="77777777" w:rsidR="00F22FBD" w:rsidRDefault="00F22FBD">
      <w:pPr>
        <w:rPr>
          <w:color w:val="000000"/>
          <w:szCs w:val="22"/>
          <w:lang w:val="en-GB" w:eastAsia="sl-SI"/>
        </w:rPr>
      </w:pPr>
    </w:p>
    <w:p w14:paraId="23804A62" w14:textId="77777777" w:rsidR="00F22FBD" w:rsidRDefault="00D44E4A">
      <w:pPr>
        <w:rPr>
          <w:color w:val="000000"/>
          <w:szCs w:val="22"/>
          <w:lang w:val="en-GB" w:eastAsia="sl-SI"/>
        </w:rPr>
      </w:pPr>
      <w:r>
        <w:rPr>
          <w:color w:val="000000"/>
          <w:szCs w:val="22"/>
          <w:lang w:val="en-GB" w:eastAsia="sl-SI"/>
        </w:rPr>
        <w:t>_________________________________</w:t>
      </w:r>
    </w:p>
    <w:p w14:paraId="0BB249CD" w14:textId="77777777" w:rsidR="00F22FBD" w:rsidRDefault="00D44E4A">
      <w:pPr>
        <w:rPr>
          <w:color w:val="000000"/>
          <w:szCs w:val="22"/>
          <w:lang w:val="en-GB" w:eastAsia="sl-SI"/>
        </w:rPr>
      </w:pPr>
      <w:r>
        <w:rPr>
          <w:color w:val="000000"/>
          <w:szCs w:val="22"/>
          <w:lang w:val="en-GB" w:eastAsia="sl-SI"/>
        </w:rPr>
        <w:t>Danengo dozė</w:t>
      </w:r>
    </w:p>
    <w:p w14:paraId="51C5F9CA" w14:textId="77777777" w:rsidR="00F22FBD" w:rsidRDefault="00F22FBD">
      <w:pPr>
        <w:widowControl w:val="0"/>
        <w:rPr>
          <w:color w:val="000000"/>
          <w:szCs w:val="22"/>
          <w:lang w:val="en-GB" w:eastAsia="sl-SI"/>
        </w:rPr>
      </w:pPr>
    </w:p>
    <w:p w14:paraId="330C9CB1" w14:textId="77777777" w:rsidR="00F22FBD" w:rsidRDefault="00F22FBD">
      <w:pPr>
        <w:rPr>
          <w:color w:val="000000"/>
          <w:szCs w:val="22"/>
          <w:highlight w:val="lightGray"/>
          <w:lang w:val="en-GB"/>
        </w:rPr>
      </w:pPr>
    </w:p>
    <w:p w14:paraId="05E3F1C5" w14:textId="77777777" w:rsidR="00F22FBD" w:rsidRDefault="00D44E4A">
      <w:pPr>
        <w:rPr>
          <w:sz w:val="24"/>
          <w:szCs w:val="20"/>
          <w:lang w:val="sl-SI" w:eastAsia="sl-SI"/>
        </w:rPr>
      </w:pPr>
      <w:r>
        <w:rPr>
          <w:b/>
          <w:noProof/>
        </w:rPr>
        <w:br w:type="page"/>
      </w:r>
    </w:p>
    <w:p w14:paraId="14BEC047" w14:textId="77777777" w:rsidR="00F22FBD" w:rsidRDefault="00F22FBD">
      <w:pPr>
        <w:rPr>
          <w:noProof/>
        </w:rPr>
      </w:pPr>
    </w:p>
    <w:p w14:paraId="74E30FA0" w14:textId="77777777" w:rsidR="00F22FBD" w:rsidRDefault="00F22FBD">
      <w:pPr>
        <w:rPr>
          <w:noProof/>
        </w:rPr>
      </w:pPr>
    </w:p>
    <w:p w14:paraId="45DB50EE" w14:textId="77777777" w:rsidR="00F22FBD" w:rsidRDefault="00F22FBD">
      <w:pPr>
        <w:rPr>
          <w:noProof/>
        </w:rPr>
      </w:pPr>
    </w:p>
    <w:p w14:paraId="09BC9235" w14:textId="77777777" w:rsidR="00F22FBD" w:rsidRDefault="00F22FBD">
      <w:pPr>
        <w:rPr>
          <w:noProof/>
        </w:rPr>
      </w:pPr>
    </w:p>
    <w:p w14:paraId="2241A345" w14:textId="77777777" w:rsidR="00F22FBD" w:rsidRDefault="00F22FBD">
      <w:pPr>
        <w:rPr>
          <w:noProof/>
        </w:rPr>
      </w:pPr>
    </w:p>
    <w:p w14:paraId="4B214164" w14:textId="77777777" w:rsidR="00F22FBD" w:rsidRDefault="00F22FBD">
      <w:pPr>
        <w:rPr>
          <w:noProof/>
        </w:rPr>
      </w:pPr>
    </w:p>
    <w:p w14:paraId="55D6836D" w14:textId="77777777" w:rsidR="00F22FBD" w:rsidRDefault="00F22FBD">
      <w:pPr>
        <w:rPr>
          <w:noProof/>
        </w:rPr>
      </w:pPr>
    </w:p>
    <w:p w14:paraId="217CCE3B" w14:textId="77777777" w:rsidR="00F22FBD" w:rsidRDefault="00F22FBD">
      <w:pPr>
        <w:rPr>
          <w:noProof/>
        </w:rPr>
      </w:pPr>
    </w:p>
    <w:p w14:paraId="4C007AE9" w14:textId="77777777" w:rsidR="00F22FBD" w:rsidRDefault="00F22FBD">
      <w:pPr>
        <w:rPr>
          <w:noProof/>
        </w:rPr>
      </w:pPr>
    </w:p>
    <w:p w14:paraId="49780F71" w14:textId="77777777" w:rsidR="00F22FBD" w:rsidRDefault="00F22FBD">
      <w:pPr>
        <w:rPr>
          <w:noProof/>
        </w:rPr>
      </w:pPr>
    </w:p>
    <w:p w14:paraId="1DF530E1" w14:textId="77777777" w:rsidR="00F22FBD" w:rsidRDefault="00F22FBD">
      <w:pPr>
        <w:rPr>
          <w:noProof/>
        </w:rPr>
      </w:pPr>
    </w:p>
    <w:p w14:paraId="6260DE82" w14:textId="77777777" w:rsidR="00F22FBD" w:rsidRDefault="00F22FBD">
      <w:pPr>
        <w:rPr>
          <w:noProof/>
        </w:rPr>
      </w:pPr>
    </w:p>
    <w:p w14:paraId="394518F6" w14:textId="77777777" w:rsidR="00F22FBD" w:rsidRDefault="00F22FBD">
      <w:pPr>
        <w:rPr>
          <w:noProof/>
        </w:rPr>
      </w:pPr>
    </w:p>
    <w:p w14:paraId="2ADB7940" w14:textId="77777777" w:rsidR="00F22FBD" w:rsidRDefault="00F22FBD">
      <w:pPr>
        <w:rPr>
          <w:noProof/>
        </w:rPr>
      </w:pPr>
    </w:p>
    <w:p w14:paraId="40C74499" w14:textId="77777777" w:rsidR="00F22FBD" w:rsidRDefault="00F22FBD">
      <w:pPr>
        <w:rPr>
          <w:noProof/>
        </w:rPr>
      </w:pPr>
    </w:p>
    <w:p w14:paraId="379F6BD6" w14:textId="77777777" w:rsidR="00F22FBD" w:rsidRDefault="00F22FBD">
      <w:pPr>
        <w:rPr>
          <w:noProof/>
        </w:rPr>
      </w:pPr>
    </w:p>
    <w:p w14:paraId="79F8CACE" w14:textId="77777777" w:rsidR="00F22FBD" w:rsidRDefault="00F22FBD">
      <w:pPr>
        <w:rPr>
          <w:noProof/>
        </w:rPr>
      </w:pPr>
    </w:p>
    <w:p w14:paraId="58892769" w14:textId="77777777" w:rsidR="00F22FBD" w:rsidRDefault="00F22FBD">
      <w:pPr>
        <w:rPr>
          <w:noProof/>
        </w:rPr>
      </w:pPr>
    </w:p>
    <w:p w14:paraId="20B9DA9C" w14:textId="77777777" w:rsidR="00F22FBD" w:rsidRDefault="00F22FBD">
      <w:pPr>
        <w:rPr>
          <w:noProof/>
        </w:rPr>
      </w:pPr>
    </w:p>
    <w:p w14:paraId="150468FE" w14:textId="77777777" w:rsidR="00F22FBD" w:rsidRDefault="00F22FBD">
      <w:pPr>
        <w:rPr>
          <w:noProof/>
        </w:rPr>
      </w:pPr>
    </w:p>
    <w:p w14:paraId="653C9557" w14:textId="77777777" w:rsidR="00F22FBD" w:rsidRDefault="00F22FBD">
      <w:pPr>
        <w:rPr>
          <w:noProof/>
        </w:rPr>
      </w:pPr>
    </w:p>
    <w:p w14:paraId="603A05DE" w14:textId="77777777" w:rsidR="00F22FBD" w:rsidRDefault="00F22FBD">
      <w:pPr>
        <w:rPr>
          <w:noProof/>
        </w:rPr>
      </w:pPr>
    </w:p>
    <w:p w14:paraId="2CFFF8A1" w14:textId="77777777" w:rsidR="00F22FBD" w:rsidRDefault="00F22FBD">
      <w:pPr>
        <w:rPr>
          <w:noProof/>
        </w:rPr>
      </w:pPr>
    </w:p>
    <w:p w14:paraId="72F2104D" w14:textId="77777777" w:rsidR="00F22FBD" w:rsidRDefault="00D44E4A">
      <w:pPr>
        <w:pStyle w:val="Sraopastraipa"/>
        <w:numPr>
          <w:ilvl w:val="0"/>
          <w:numId w:val="11"/>
        </w:numPr>
        <w:jc w:val="center"/>
        <w:outlineLvl w:val="0"/>
        <w:rPr>
          <w:noProof/>
        </w:rPr>
      </w:pPr>
      <w:r>
        <w:rPr>
          <w:b/>
          <w:noProof/>
        </w:rPr>
        <w:t>PAKUOTĖS LAPELIS</w:t>
      </w:r>
    </w:p>
    <w:p w14:paraId="4B6855AE" w14:textId="77777777" w:rsidR="00F22FBD" w:rsidRDefault="00D44E4A">
      <w:pPr>
        <w:jc w:val="center"/>
        <w:outlineLvl w:val="0"/>
        <w:rPr>
          <w:b/>
          <w:noProof/>
        </w:rPr>
      </w:pPr>
      <w:r>
        <w:rPr>
          <w:b/>
          <w:noProof/>
        </w:rPr>
        <w:br w:type="page"/>
      </w:r>
      <w:r>
        <w:rPr>
          <w:b/>
        </w:rPr>
        <w:lastRenderedPageBreak/>
        <w:t>Pakuotės lapelis:</w:t>
      </w:r>
      <w:r>
        <w:rPr>
          <w:b/>
          <w:noProof/>
        </w:rPr>
        <w:t xml:space="preserve"> </w:t>
      </w:r>
      <w:r>
        <w:rPr>
          <w:b/>
        </w:rPr>
        <w:t>informacija pacientui</w:t>
      </w:r>
    </w:p>
    <w:p w14:paraId="7CABC9DA" w14:textId="77777777" w:rsidR="00F22FBD" w:rsidRDefault="00F22FBD">
      <w:pPr>
        <w:jc w:val="center"/>
        <w:outlineLvl w:val="0"/>
        <w:rPr>
          <w:b/>
          <w:noProof/>
        </w:rPr>
      </w:pPr>
    </w:p>
    <w:p w14:paraId="656BA1A3" w14:textId="77777777" w:rsidR="00F22FBD" w:rsidRDefault="00D44E4A">
      <w:pPr>
        <w:jc w:val="center"/>
        <w:rPr>
          <w:b/>
          <w:bCs/>
          <w:noProof/>
        </w:rPr>
      </w:pPr>
      <w:r>
        <w:rPr>
          <w:b/>
          <w:bCs/>
          <w:noProof/>
        </w:rPr>
        <w:t>Danengo 75 mg kietosios kapsulės</w:t>
      </w:r>
    </w:p>
    <w:p w14:paraId="6D24C45A" w14:textId="77777777" w:rsidR="00F22FBD" w:rsidRDefault="00D44E4A">
      <w:pPr>
        <w:numPr>
          <w:ilvl w:val="12"/>
          <w:numId w:val="0"/>
        </w:numPr>
        <w:jc w:val="center"/>
        <w:rPr>
          <w:noProof/>
        </w:rPr>
      </w:pPr>
      <w:r>
        <w:rPr>
          <w:noProof/>
        </w:rPr>
        <w:t>dabigatranas eteksilatas</w:t>
      </w:r>
    </w:p>
    <w:p w14:paraId="368D9E3E" w14:textId="77777777" w:rsidR="00F22FBD" w:rsidRDefault="00F22FBD">
      <w:pPr>
        <w:jc w:val="center"/>
        <w:rPr>
          <w:noProof/>
        </w:rPr>
      </w:pPr>
    </w:p>
    <w:p w14:paraId="71FC7993" w14:textId="77777777" w:rsidR="00F22FBD" w:rsidRDefault="00D44E4A">
      <w:pPr>
        <w:suppressAutoHyphens/>
        <w:ind w:left="142" w:hanging="142"/>
      </w:pPr>
      <w:r>
        <w:rPr>
          <w:b/>
          <w:noProof/>
        </w:rPr>
        <w:t>Atidžiai perskaitykite visą šį lapelį, prieš pradėdami vartoti vaistą,</w:t>
      </w:r>
      <w:r>
        <w:rPr>
          <w:b/>
        </w:rPr>
        <w:t xml:space="preserve"> nes jame pateikiama Jums svarbi informacija.</w:t>
      </w:r>
    </w:p>
    <w:p w14:paraId="7DD1006C" w14:textId="77777777" w:rsidR="00F22FBD" w:rsidRDefault="00D44E4A">
      <w:pPr>
        <w:ind w:left="567" w:hanging="567"/>
        <w:rPr>
          <w:noProof/>
        </w:rPr>
      </w:pPr>
      <w:r>
        <w:rPr>
          <w:noProof/>
        </w:rPr>
        <w:t>-</w:t>
      </w:r>
      <w:r>
        <w:rPr>
          <w:noProof/>
        </w:rPr>
        <w:tab/>
        <w:t>Neišmeskite šio lapelio, nes vėl gali prireikti jį perskaityti.</w:t>
      </w:r>
    </w:p>
    <w:p w14:paraId="560A3189" w14:textId="77777777" w:rsidR="00F22FBD" w:rsidRDefault="00D44E4A">
      <w:pPr>
        <w:ind w:left="567" w:hanging="567"/>
        <w:rPr>
          <w:noProof/>
        </w:rPr>
      </w:pPr>
      <w:r>
        <w:rPr>
          <w:noProof/>
        </w:rPr>
        <w:t>-</w:t>
      </w:r>
      <w:r>
        <w:rPr>
          <w:noProof/>
        </w:rPr>
        <w:tab/>
        <w:t>Jeigu kiltų daugiau klausimų, kreipkitės į gydytoją arba vaistininką</w:t>
      </w:r>
      <w:r>
        <w:t>.</w:t>
      </w:r>
    </w:p>
    <w:p w14:paraId="601B29D0" w14:textId="77777777" w:rsidR="00F22FBD" w:rsidRDefault="00D44E4A">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14:paraId="0D1FF0A0" w14:textId="77777777" w:rsidR="00F22FBD" w:rsidRDefault="00D44E4A">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14:paraId="1D5ED85C" w14:textId="77777777" w:rsidR="00F22FBD" w:rsidRDefault="00F22FBD">
      <w:pPr>
        <w:numPr>
          <w:ilvl w:val="12"/>
          <w:numId w:val="0"/>
        </w:numPr>
        <w:ind w:right="-2"/>
        <w:outlineLvl w:val="0"/>
        <w:rPr>
          <w:b/>
          <w:noProof/>
        </w:rPr>
      </w:pPr>
    </w:p>
    <w:p w14:paraId="5A9EF7AB" w14:textId="77777777" w:rsidR="00F22FBD" w:rsidRDefault="00D44E4A">
      <w:pPr>
        <w:ind w:left="567" w:hanging="567"/>
        <w:rPr>
          <w:b/>
          <w:szCs w:val="22"/>
        </w:rPr>
      </w:pPr>
      <w:r>
        <w:rPr>
          <w:b/>
          <w:szCs w:val="22"/>
        </w:rPr>
        <w:t>Apie ką rašoma šiame lapelyje?</w:t>
      </w:r>
    </w:p>
    <w:p w14:paraId="1F904872" w14:textId="77777777" w:rsidR="00F22FBD" w:rsidRDefault="00F22FBD">
      <w:pPr>
        <w:rPr>
          <w:b/>
          <w:noProof/>
        </w:rPr>
      </w:pPr>
    </w:p>
    <w:p w14:paraId="7D37F169" w14:textId="77777777" w:rsidR="00F22FBD" w:rsidRDefault="00D44E4A">
      <w:pPr>
        <w:ind w:left="567" w:hanging="567"/>
        <w:rPr>
          <w:noProof/>
        </w:rPr>
      </w:pPr>
      <w:r>
        <w:rPr>
          <w:noProof/>
        </w:rPr>
        <w:t>1.</w:t>
      </w:r>
      <w:r>
        <w:rPr>
          <w:noProof/>
        </w:rPr>
        <w:tab/>
        <w:t>Kas yra Danengo ir kam jis vartojamas</w:t>
      </w:r>
    </w:p>
    <w:p w14:paraId="66354B98" w14:textId="77777777" w:rsidR="00F22FBD" w:rsidRDefault="00D44E4A">
      <w:pPr>
        <w:ind w:left="567" w:hanging="567"/>
        <w:rPr>
          <w:noProof/>
        </w:rPr>
      </w:pPr>
      <w:r>
        <w:rPr>
          <w:noProof/>
        </w:rPr>
        <w:t>2.</w:t>
      </w:r>
      <w:r>
        <w:rPr>
          <w:noProof/>
        </w:rPr>
        <w:tab/>
        <w:t>Kas žinotina prieš vartojant Danengo</w:t>
      </w:r>
    </w:p>
    <w:p w14:paraId="25A1E933" w14:textId="77777777" w:rsidR="00F22FBD" w:rsidRDefault="00D44E4A">
      <w:pPr>
        <w:ind w:left="567" w:hanging="567"/>
        <w:rPr>
          <w:noProof/>
        </w:rPr>
      </w:pPr>
      <w:r>
        <w:rPr>
          <w:noProof/>
        </w:rPr>
        <w:t>3.</w:t>
      </w:r>
      <w:r>
        <w:rPr>
          <w:noProof/>
        </w:rPr>
        <w:tab/>
        <w:t>Kaip vartoti Danengo</w:t>
      </w:r>
    </w:p>
    <w:p w14:paraId="4F7C2158" w14:textId="77777777" w:rsidR="00F22FBD" w:rsidRDefault="00D44E4A">
      <w:pPr>
        <w:ind w:left="567" w:hanging="567"/>
        <w:rPr>
          <w:noProof/>
        </w:rPr>
      </w:pPr>
      <w:r>
        <w:rPr>
          <w:noProof/>
        </w:rPr>
        <w:t>4.</w:t>
      </w:r>
      <w:r>
        <w:rPr>
          <w:noProof/>
        </w:rPr>
        <w:tab/>
        <w:t>Galimas šalutinis poveikis</w:t>
      </w:r>
    </w:p>
    <w:p w14:paraId="6818024F" w14:textId="77777777" w:rsidR="00F22FBD" w:rsidRDefault="00D44E4A">
      <w:pPr>
        <w:ind w:left="567" w:hanging="567"/>
        <w:rPr>
          <w:noProof/>
        </w:rPr>
      </w:pPr>
      <w:r>
        <w:rPr>
          <w:noProof/>
        </w:rPr>
        <w:t>5.</w:t>
      </w:r>
      <w:r>
        <w:rPr>
          <w:noProof/>
        </w:rPr>
        <w:tab/>
        <w:t>Kaip laikyti Danengo</w:t>
      </w:r>
    </w:p>
    <w:p w14:paraId="7C1D8CA1" w14:textId="77777777" w:rsidR="00F22FBD" w:rsidRDefault="00D44E4A">
      <w:pPr>
        <w:ind w:left="567" w:hanging="567"/>
        <w:rPr>
          <w:noProof/>
        </w:rPr>
      </w:pPr>
      <w:r>
        <w:rPr>
          <w:noProof/>
        </w:rPr>
        <w:t>6.</w:t>
      </w:r>
      <w:r>
        <w:rPr>
          <w:noProof/>
        </w:rPr>
        <w:tab/>
      </w:r>
      <w:r>
        <w:t>Pakuotės turinys ir kita</w:t>
      </w:r>
      <w:r>
        <w:rPr>
          <w:noProof/>
        </w:rPr>
        <w:t xml:space="preserve"> informacija</w:t>
      </w:r>
    </w:p>
    <w:p w14:paraId="14A8E6F7" w14:textId="77777777" w:rsidR="00F22FBD" w:rsidRDefault="00F22FBD">
      <w:pPr>
        <w:numPr>
          <w:ilvl w:val="12"/>
          <w:numId w:val="0"/>
        </w:numPr>
        <w:rPr>
          <w:noProof/>
        </w:rPr>
      </w:pPr>
    </w:p>
    <w:p w14:paraId="2EB1498E" w14:textId="77777777" w:rsidR="00F22FBD" w:rsidRDefault="00F22FBD">
      <w:pPr>
        <w:numPr>
          <w:ilvl w:val="12"/>
          <w:numId w:val="0"/>
        </w:numPr>
        <w:rPr>
          <w:noProof/>
        </w:rPr>
      </w:pPr>
    </w:p>
    <w:p w14:paraId="625F8C6C" w14:textId="77777777" w:rsidR="00F22FBD" w:rsidRDefault="00D44E4A">
      <w:pPr>
        <w:numPr>
          <w:ilvl w:val="12"/>
          <w:numId w:val="0"/>
        </w:numPr>
        <w:ind w:left="567" w:hanging="567"/>
        <w:outlineLvl w:val="0"/>
        <w:rPr>
          <w:b/>
          <w:caps/>
          <w:noProof/>
        </w:rPr>
      </w:pPr>
      <w:r>
        <w:rPr>
          <w:b/>
          <w:noProof/>
        </w:rPr>
        <w:t>1.</w:t>
      </w:r>
      <w:r>
        <w:rPr>
          <w:b/>
          <w:noProof/>
        </w:rPr>
        <w:tab/>
      </w:r>
      <w:r>
        <w:rPr>
          <w:b/>
        </w:rPr>
        <w:t>Kas yra Danengo ir kam jis vartojamas</w:t>
      </w:r>
    </w:p>
    <w:p w14:paraId="069B0226" w14:textId="77777777" w:rsidR="00F22FBD" w:rsidRDefault="00F22FBD">
      <w:pPr>
        <w:ind w:left="567" w:hanging="567"/>
        <w:rPr>
          <w:noProof/>
        </w:rPr>
      </w:pPr>
    </w:p>
    <w:p w14:paraId="03AE2966" w14:textId="77777777" w:rsidR="00F22FBD" w:rsidRDefault="00D44E4A">
      <w:pPr>
        <w:numPr>
          <w:ilvl w:val="12"/>
          <w:numId w:val="0"/>
        </w:numPr>
      </w:pPr>
      <w:r>
        <w:t>Veiklioji Danengo medžiaga yra dabigatrano eteksilatas, priklausantis vaistų, vadinamų antikoaguliantais, grupei. Jis veikia blokuodamas organizmo medžiagos, dalyvaujančios formuojantis kraujo krešuliams, veikimą.</w:t>
      </w:r>
    </w:p>
    <w:p w14:paraId="4B76ED5E" w14:textId="77777777" w:rsidR="00F22FBD" w:rsidRDefault="00F22FBD">
      <w:pPr>
        <w:numPr>
          <w:ilvl w:val="12"/>
          <w:numId w:val="0"/>
        </w:numPr>
      </w:pPr>
    </w:p>
    <w:p w14:paraId="2C7D1BA5" w14:textId="77777777" w:rsidR="00F22FBD" w:rsidRDefault="00D44E4A">
      <w:pPr>
        <w:numPr>
          <w:ilvl w:val="12"/>
          <w:numId w:val="0"/>
        </w:numPr>
      </w:pPr>
      <w:r>
        <w:t>Danengo vartojamas suaugusiesiems:</w:t>
      </w:r>
    </w:p>
    <w:p w14:paraId="569A6361" w14:textId="77777777" w:rsidR="00F22FBD" w:rsidRDefault="00D44E4A">
      <w:pPr>
        <w:widowControl w:val="0"/>
        <w:numPr>
          <w:ilvl w:val="0"/>
          <w:numId w:val="5"/>
        </w:numPr>
        <w:autoSpaceDE w:val="0"/>
        <w:autoSpaceDN w:val="0"/>
        <w:ind w:left="567" w:hanging="567"/>
        <w:rPr>
          <w:color w:val="000000"/>
          <w:szCs w:val="22"/>
          <w:lang w:val="en-US"/>
        </w:rPr>
      </w:pPr>
      <w:r>
        <w:t>kraujo krešulių formavimosi venose po kelio ar klubo sąnario keitimo operacijos profilaktikai.</w:t>
      </w:r>
    </w:p>
    <w:p w14:paraId="7BE3634A" w14:textId="77777777" w:rsidR="00F22FBD" w:rsidRDefault="00F22FBD">
      <w:pPr>
        <w:widowControl w:val="0"/>
        <w:autoSpaceDE w:val="0"/>
        <w:autoSpaceDN w:val="0"/>
      </w:pPr>
    </w:p>
    <w:p w14:paraId="5D651307" w14:textId="77777777" w:rsidR="00F22FBD" w:rsidRDefault="00D44E4A">
      <w:pPr>
        <w:widowControl w:val="0"/>
        <w:autoSpaceDE w:val="0"/>
        <w:autoSpaceDN w:val="0"/>
        <w:rPr>
          <w:color w:val="000000"/>
          <w:szCs w:val="22"/>
          <w:lang w:val="en-US"/>
        </w:rPr>
      </w:pPr>
      <w:r>
        <w:t>Danengo vartojamas vaikams</w:t>
      </w:r>
    </w:p>
    <w:p w14:paraId="0997EB35" w14:textId="77777777" w:rsidR="00F22FBD" w:rsidRDefault="00D44E4A">
      <w:pPr>
        <w:widowControl w:val="0"/>
        <w:numPr>
          <w:ilvl w:val="0"/>
          <w:numId w:val="5"/>
        </w:numPr>
        <w:autoSpaceDE w:val="0"/>
        <w:autoSpaceDN w:val="0"/>
        <w:ind w:left="567" w:hanging="567"/>
        <w:rPr>
          <w:color w:val="000000"/>
          <w:szCs w:val="22"/>
          <w:lang w:val="en-US"/>
        </w:rPr>
      </w:pPr>
      <w:r>
        <w:t>kraujo krešuliams gydyti ir kraujo krešulių kartotiniam susidarymui išvengti.</w:t>
      </w:r>
    </w:p>
    <w:p w14:paraId="242706CE" w14:textId="77777777" w:rsidR="00F22FBD" w:rsidRDefault="00F22FBD">
      <w:pPr>
        <w:numPr>
          <w:ilvl w:val="12"/>
          <w:numId w:val="0"/>
        </w:numPr>
        <w:rPr>
          <w:noProof/>
        </w:rPr>
      </w:pPr>
    </w:p>
    <w:p w14:paraId="083CC94F" w14:textId="77777777" w:rsidR="00F22FBD" w:rsidRDefault="00F22FBD">
      <w:pPr>
        <w:numPr>
          <w:ilvl w:val="12"/>
          <w:numId w:val="0"/>
        </w:numPr>
        <w:rPr>
          <w:noProof/>
        </w:rPr>
      </w:pPr>
    </w:p>
    <w:p w14:paraId="1F037F38" w14:textId="77777777" w:rsidR="00F22FBD" w:rsidRDefault="00D44E4A">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Danengo</w:t>
      </w:r>
    </w:p>
    <w:p w14:paraId="64343E90" w14:textId="77777777" w:rsidR="00F22FBD" w:rsidRDefault="00F22FBD">
      <w:pPr>
        <w:ind w:left="567" w:hanging="567"/>
        <w:rPr>
          <w:noProof/>
        </w:rPr>
      </w:pPr>
    </w:p>
    <w:p w14:paraId="4351157F" w14:textId="77777777" w:rsidR="00F22FBD" w:rsidRDefault="00D44E4A">
      <w:pPr>
        <w:ind w:left="567" w:hanging="567"/>
        <w:rPr>
          <w:b/>
          <w:caps/>
          <w:noProof/>
        </w:rPr>
      </w:pPr>
      <w:r>
        <w:rPr>
          <w:b/>
          <w:bCs/>
          <w:noProof/>
        </w:rPr>
        <w:t>Danengo vartoti draudžiama:</w:t>
      </w:r>
    </w:p>
    <w:p w14:paraId="18B2744B" w14:textId="77777777" w:rsidR="00F22FBD" w:rsidRDefault="00D44E4A">
      <w:pPr>
        <w:numPr>
          <w:ilvl w:val="12"/>
          <w:numId w:val="0"/>
        </w:numPr>
        <w:ind w:left="567" w:hanging="567"/>
        <w:rPr>
          <w:noProof/>
        </w:rPr>
      </w:pPr>
      <w:r>
        <w:rPr>
          <w:noProof/>
        </w:rPr>
        <w:t>-</w:t>
      </w:r>
      <w:r>
        <w:rPr>
          <w:noProof/>
        </w:rPr>
        <w:tab/>
        <w:t xml:space="preserve">jeigu yra alergija </w:t>
      </w:r>
      <w:r>
        <w:rPr>
          <w:szCs w:val="22"/>
        </w:rPr>
        <w:t>dabigatranui</w:t>
      </w:r>
      <w:r>
        <w:rPr>
          <w:noProof/>
        </w:rPr>
        <w:t xml:space="preserve"> arba bet kuriai pagalbinei šio vaisto medžiagai </w:t>
      </w:r>
      <w:r>
        <w:rPr>
          <w:szCs w:val="22"/>
        </w:rPr>
        <w:t>(jos išvardytos 6 skyriuje).</w:t>
      </w:r>
    </w:p>
    <w:p w14:paraId="11241BD8" w14:textId="77777777" w:rsidR="00F22FBD" w:rsidRDefault="00D44E4A">
      <w:pPr>
        <w:widowControl w:val="0"/>
        <w:numPr>
          <w:ilvl w:val="0"/>
          <w:numId w:val="5"/>
        </w:numPr>
        <w:autoSpaceDE w:val="0"/>
        <w:autoSpaceDN w:val="0"/>
        <w:ind w:left="567" w:hanging="567"/>
        <w:rPr>
          <w:color w:val="000000"/>
          <w:szCs w:val="22"/>
          <w:lang w:val="en-US"/>
        </w:rPr>
      </w:pPr>
      <w:r>
        <w:t>jeigu labai susilpnėjusi inkstų funkcija.</w:t>
      </w:r>
    </w:p>
    <w:p w14:paraId="314CE298" w14:textId="77777777" w:rsidR="00F22FBD" w:rsidRDefault="00D44E4A">
      <w:pPr>
        <w:widowControl w:val="0"/>
        <w:numPr>
          <w:ilvl w:val="0"/>
          <w:numId w:val="5"/>
        </w:numPr>
        <w:autoSpaceDE w:val="0"/>
        <w:autoSpaceDN w:val="0"/>
        <w:ind w:left="567" w:hanging="567"/>
        <w:rPr>
          <w:color w:val="000000"/>
          <w:szCs w:val="22"/>
          <w:lang w:val="en-US"/>
        </w:rPr>
      </w:pPr>
      <w:r>
        <w:t>jeigu šiuo metu kraujuojate.</w:t>
      </w:r>
    </w:p>
    <w:p w14:paraId="6D9DB2BD" w14:textId="77777777" w:rsidR="00F22FBD" w:rsidRDefault="00D44E4A">
      <w:pPr>
        <w:widowControl w:val="0"/>
        <w:numPr>
          <w:ilvl w:val="0"/>
          <w:numId w:val="5"/>
        </w:numPr>
        <w:autoSpaceDE w:val="0"/>
        <w:autoSpaceDN w:val="0"/>
        <w:ind w:left="567" w:hanging="567"/>
        <w:rPr>
          <w:color w:val="000000"/>
          <w:szCs w:val="22"/>
          <w:lang w:val="en-US"/>
        </w:rPr>
      </w:pPr>
      <w:r>
        <w:t>jeigu sergate kokio nors organo liga, didinančia pavojingo kraujavimo riziką (tai gali būti skrandžio opa, smegenų pažaida arba kraujavimas, neseniai atlikta galvos smegenų arba akių operacija).</w:t>
      </w:r>
    </w:p>
    <w:p w14:paraId="55DEEE7A" w14:textId="77777777" w:rsidR="00F22FBD" w:rsidRDefault="00D44E4A">
      <w:pPr>
        <w:widowControl w:val="0"/>
        <w:numPr>
          <w:ilvl w:val="0"/>
          <w:numId w:val="5"/>
        </w:numPr>
        <w:autoSpaceDE w:val="0"/>
        <w:autoSpaceDN w:val="0"/>
        <w:ind w:left="567" w:hanging="567"/>
        <w:rPr>
          <w:color w:val="000000"/>
          <w:szCs w:val="22"/>
          <w:lang w:val="en-US"/>
        </w:rPr>
      </w:pPr>
      <w:r>
        <w:t>jeigu yra padidėjęs Jūsų polinkis į kraujavimą. Jis gali būti įgimtas, pasireiškęs dėl nežinomų priežasčių arba sukeltas kitų vaistų.</w:t>
      </w:r>
    </w:p>
    <w:p w14:paraId="646F94DC" w14:textId="77777777" w:rsidR="00F22FBD" w:rsidRDefault="00D44E4A">
      <w:pPr>
        <w:widowControl w:val="0"/>
        <w:numPr>
          <w:ilvl w:val="0"/>
          <w:numId w:val="5"/>
        </w:numPr>
        <w:autoSpaceDE w:val="0"/>
        <w:autoSpaceDN w:val="0"/>
        <w:ind w:left="567" w:hanging="567"/>
        <w:rPr>
          <w:color w:val="000000"/>
          <w:szCs w:val="22"/>
          <w:lang w:val="en-US"/>
        </w:rPr>
      </w:pPr>
      <w:r>
        <w:t>jeigu vartojate vaistų kraujo krešulių formavimosi profilaktikai (pvz., varfarino, rivaroksabano, apiksabano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kateterine abliacija.</w:t>
      </w:r>
    </w:p>
    <w:p w14:paraId="27AEB442" w14:textId="77777777" w:rsidR="00F22FBD" w:rsidRDefault="00D44E4A">
      <w:pPr>
        <w:widowControl w:val="0"/>
        <w:numPr>
          <w:ilvl w:val="0"/>
          <w:numId w:val="5"/>
        </w:numPr>
        <w:autoSpaceDE w:val="0"/>
        <w:autoSpaceDN w:val="0"/>
        <w:ind w:left="567" w:hanging="567"/>
        <w:rPr>
          <w:color w:val="000000"/>
          <w:szCs w:val="22"/>
          <w:lang w:val="en-US"/>
        </w:rPr>
      </w:pPr>
      <w:r>
        <w:t>jeigu labai susilpnėjusi Jūsų kepenų funkcija arba sergate kepenų liga, galinčia sukelti mirtį.</w:t>
      </w:r>
    </w:p>
    <w:p w14:paraId="744616E0" w14:textId="77777777" w:rsidR="00F22FBD" w:rsidRDefault="00D44E4A">
      <w:pPr>
        <w:widowControl w:val="0"/>
        <w:numPr>
          <w:ilvl w:val="0"/>
          <w:numId w:val="5"/>
        </w:numPr>
        <w:autoSpaceDE w:val="0"/>
        <w:autoSpaceDN w:val="0"/>
        <w:ind w:left="567" w:hanging="567"/>
        <w:rPr>
          <w:color w:val="000000"/>
          <w:szCs w:val="22"/>
          <w:lang w:val="en-US"/>
        </w:rPr>
      </w:pPr>
      <w:r>
        <w:t>jeigu vartojate geriamojo ketokonazolo ar itrakonazolo (vaistų, vartojamų grybelinėms ligoms gydyti).</w:t>
      </w:r>
    </w:p>
    <w:p w14:paraId="3FE8737B" w14:textId="77777777" w:rsidR="00F22FBD" w:rsidRDefault="00D44E4A">
      <w:pPr>
        <w:widowControl w:val="0"/>
        <w:numPr>
          <w:ilvl w:val="0"/>
          <w:numId w:val="5"/>
        </w:numPr>
        <w:autoSpaceDE w:val="0"/>
        <w:autoSpaceDN w:val="0"/>
        <w:ind w:left="567" w:hanging="567"/>
        <w:rPr>
          <w:color w:val="000000"/>
          <w:szCs w:val="22"/>
          <w:lang w:val="en-US"/>
        </w:rPr>
      </w:pPr>
      <w:r>
        <w:lastRenderedPageBreak/>
        <w:t>jeigu vartojate geriamojo ciklosporino (vaisto, vartojamo persodinto organo atmetimo profilaktikai).</w:t>
      </w:r>
    </w:p>
    <w:p w14:paraId="53A302EF" w14:textId="77777777" w:rsidR="00F22FBD" w:rsidRDefault="00D44E4A">
      <w:pPr>
        <w:widowControl w:val="0"/>
        <w:numPr>
          <w:ilvl w:val="0"/>
          <w:numId w:val="5"/>
        </w:numPr>
        <w:autoSpaceDE w:val="0"/>
        <w:autoSpaceDN w:val="0"/>
        <w:ind w:left="567" w:hanging="567"/>
        <w:rPr>
          <w:color w:val="000000"/>
          <w:szCs w:val="22"/>
          <w:lang w:val="en-US"/>
        </w:rPr>
      </w:pPr>
      <w:r>
        <w:t>jeigu vartojate dronedarono (vaisto, vartojamo nenormalaus širdies plakimo gydymui).</w:t>
      </w:r>
    </w:p>
    <w:p w14:paraId="2FB46F14" w14:textId="77777777" w:rsidR="00F22FBD" w:rsidRDefault="00D44E4A">
      <w:pPr>
        <w:widowControl w:val="0"/>
        <w:numPr>
          <w:ilvl w:val="0"/>
          <w:numId w:val="5"/>
        </w:numPr>
        <w:autoSpaceDE w:val="0"/>
        <w:autoSpaceDN w:val="0"/>
        <w:ind w:left="567" w:hanging="567"/>
        <w:rPr>
          <w:color w:val="000000"/>
          <w:szCs w:val="22"/>
          <w:lang w:val="en-US"/>
        </w:rPr>
      </w:pPr>
      <w:r>
        <w:t>jeigu vartojate sudėtinį glekapreviro ir pibrentasviro vaistą (priešvirusinį vaistą, vartojamą hepatitui C gydyti).</w:t>
      </w:r>
    </w:p>
    <w:p w14:paraId="38162D74" w14:textId="77777777" w:rsidR="00F22FBD" w:rsidRDefault="00D44E4A">
      <w:pPr>
        <w:widowControl w:val="0"/>
        <w:numPr>
          <w:ilvl w:val="0"/>
          <w:numId w:val="5"/>
        </w:numPr>
        <w:autoSpaceDE w:val="0"/>
        <w:autoSpaceDN w:val="0"/>
        <w:ind w:left="567" w:hanging="567"/>
        <w:rPr>
          <w:color w:val="000000"/>
          <w:szCs w:val="22"/>
          <w:lang w:val="en-US"/>
        </w:rPr>
      </w:pPr>
      <w:r>
        <w:t>jeigu Jums įsiuvo dirbtinį širdies vožtuvą, dėl kurio reikia nuolat skystinti kraują</w:t>
      </w:r>
    </w:p>
    <w:p w14:paraId="45DA9727" w14:textId="77777777" w:rsidR="00F22FBD" w:rsidRDefault="00F22FBD">
      <w:pPr>
        <w:ind w:left="567" w:hanging="567"/>
        <w:rPr>
          <w:noProof/>
        </w:rPr>
      </w:pPr>
    </w:p>
    <w:p w14:paraId="6DE58F1A" w14:textId="77777777" w:rsidR="00F22FBD" w:rsidRDefault="00D44E4A">
      <w:pPr>
        <w:ind w:left="567" w:hanging="567"/>
        <w:rPr>
          <w:b/>
          <w:noProof/>
        </w:rPr>
      </w:pPr>
      <w:r>
        <w:rPr>
          <w:b/>
          <w:noProof/>
        </w:rPr>
        <w:t>Įspėjimai ir atsargumo priemonės</w:t>
      </w:r>
    </w:p>
    <w:p w14:paraId="1AAFD3C8" w14:textId="77777777" w:rsidR="00F22FBD" w:rsidRDefault="00D44E4A">
      <w:pPr>
        <w:rPr>
          <w:szCs w:val="22"/>
        </w:rPr>
      </w:pPr>
      <w:r>
        <w:rPr>
          <w:szCs w:val="22"/>
        </w:rPr>
        <w:t>Pasitarkite su gydytoju, prieš pradėdami vartoti Danengo.</w:t>
      </w:r>
      <w:r>
        <w:t xml:space="preserve"> Su gydytoju gali reikėti pasitarti ir gydymo šiuo vaistu metu tuo atveju, jei atsiranda simptomų ar Jums bus atliekama operacija.</w:t>
      </w:r>
    </w:p>
    <w:p w14:paraId="665C5288" w14:textId="77777777" w:rsidR="00F22FBD" w:rsidRDefault="00F22FBD">
      <w:pPr>
        <w:numPr>
          <w:ilvl w:val="12"/>
          <w:numId w:val="0"/>
        </w:numPr>
        <w:rPr>
          <w:noProof/>
        </w:rPr>
      </w:pPr>
    </w:p>
    <w:p w14:paraId="7ED7120E" w14:textId="77777777" w:rsidR="00F22FBD" w:rsidRDefault="00D44E4A">
      <w:pPr>
        <w:numPr>
          <w:ilvl w:val="12"/>
          <w:numId w:val="0"/>
        </w:numPr>
        <w:ind w:right="-2"/>
        <w:rPr>
          <w:noProof/>
        </w:rPr>
      </w:pPr>
      <w:r>
        <w:t xml:space="preserve">Jeigu yra arba buvo kokių nors sveikatos sutrikimų ar ligų, </w:t>
      </w:r>
      <w:r>
        <w:rPr>
          <w:b/>
          <w:bCs/>
        </w:rPr>
        <w:t>pasakykite savo gydytojui</w:t>
      </w:r>
      <w:r>
        <w:t>, ypač toliau išvardintais atvejais.</w:t>
      </w:r>
    </w:p>
    <w:p w14:paraId="1BDC9D72" w14:textId="77777777" w:rsidR="00F22FBD" w:rsidRDefault="00D44E4A">
      <w:pPr>
        <w:widowControl w:val="0"/>
        <w:numPr>
          <w:ilvl w:val="0"/>
          <w:numId w:val="5"/>
        </w:numPr>
        <w:autoSpaceDE w:val="0"/>
        <w:autoSpaceDN w:val="0"/>
        <w:ind w:left="567" w:hanging="567"/>
        <w:rPr>
          <w:color w:val="000000"/>
          <w:szCs w:val="22"/>
          <w:lang w:val="en-US"/>
        </w:rPr>
      </w:pPr>
      <w:r>
        <w:t>Jeigu padidėjusi kraujavimo rizika, pavyzdžiui:</w:t>
      </w:r>
    </w:p>
    <w:p w14:paraId="7990E9B7"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jeigu neseniai patyrėte kraujavimą.</w:t>
      </w:r>
    </w:p>
    <w:p w14:paraId="47630060"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jeigu paskutinio mėnesio laikotarpiu Jums buvo atlikta biopsija (chirurginiu būdu paimtas organizmo audinio gabalėlis tyrimui).</w:t>
      </w:r>
    </w:p>
    <w:p w14:paraId="3C12361F"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jeigu buvo sunki trauma (pvz., kaulų lūžis, galvos sužeidimas, bet koks kitoks sužeidimas, kurį reikėjo gydyti chirurgine operacija).</w:t>
      </w:r>
    </w:p>
    <w:p w14:paraId="21B31589"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jeigu sergate stemplės ar skrandžio uždegimu.</w:t>
      </w:r>
    </w:p>
    <w:p w14:paraId="6E4DED2D"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jeigu vargina skrandžio sulčių grįžtamasis tekėjimas į stemplę.</w:t>
      </w:r>
    </w:p>
    <w:p w14:paraId="3E90D155"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jeigu vartojate vaistų, galinčių padidinti kraujavimo riziką. Žr. toliau skyrių „Kiti vaistai ir Danengo“.</w:t>
      </w:r>
    </w:p>
    <w:p w14:paraId="54BB78A1"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jeigu vartojate vaistų nuo uždegimo, pavyzdžiui, diklofenako, ibuprofeno, piroksikamo.</w:t>
      </w:r>
    </w:p>
    <w:p w14:paraId="370F8EA8"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jeigu sergate infekcine širdies liga (bakteriniu endokarditu).</w:t>
      </w:r>
    </w:p>
    <w:p w14:paraId="6AE09886"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jeigu nusilpusi inkstų funkcija arba yra dehidratacija (tokie simptomai kaip troškulys, šlapimo kiekio sumažėjimas ir šlapimo patamsėjimas (tapimas koncentruotu) / putojimas).</w:t>
      </w:r>
    </w:p>
    <w:p w14:paraId="4548302F"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jeigu esate vyresnis negu 75 metų.</w:t>
      </w:r>
    </w:p>
    <w:p w14:paraId="7D6D5D4D"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jeigu esate suaugęs pacientas ir sveriate 50 kg arba mažiau.</w:t>
      </w:r>
    </w:p>
    <w:p w14:paraId="67A15831"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tik vartojant vaikams: jeigu vaikas serga galvos smegenų arba aplinkinių sričių infekcine liga.</w:t>
      </w:r>
    </w:p>
    <w:p w14:paraId="33C14E81" w14:textId="77777777" w:rsidR="00F22FBD" w:rsidRDefault="00D44E4A">
      <w:pPr>
        <w:pStyle w:val="Sraopastraipa"/>
        <w:widowControl w:val="0"/>
        <w:numPr>
          <w:ilvl w:val="0"/>
          <w:numId w:val="5"/>
        </w:numPr>
        <w:autoSpaceDE w:val="0"/>
        <w:autoSpaceDN w:val="0"/>
        <w:ind w:left="567" w:hanging="567"/>
        <w:contextualSpacing w:val="0"/>
        <w:rPr>
          <w:color w:val="000000"/>
          <w:szCs w:val="22"/>
          <w:lang w:val="en-US"/>
        </w:rPr>
      </w:pPr>
      <w:r>
        <w:t>Jeigu buvo ištikęs širdies priepuolis arba jeigu Jums buvo nustatytas sutrikimas, didinantis širdies priepuolio pasireiškimo riziką.</w:t>
      </w:r>
    </w:p>
    <w:p w14:paraId="19ED8AA0" w14:textId="77777777" w:rsidR="00F22FBD" w:rsidRDefault="00D44E4A">
      <w:pPr>
        <w:pStyle w:val="Sraopastraipa"/>
        <w:widowControl w:val="0"/>
        <w:numPr>
          <w:ilvl w:val="0"/>
          <w:numId w:val="5"/>
        </w:numPr>
        <w:autoSpaceDE w:val="0"/>
        <w:autoSpaceDN w:val="0"/>
        <w:ind w:left="567" w:hanging="567"/>
        <w:contextualSpacing w:val="0"/>
        <w:rPr>
          <w:color w:val="000000"/>
          <w:szCs w:val="22"/>
          <w:lang w:val="en-US"/>
        </w:rPr>
      </w:pPr>
      <w:r>
        <w:t>Jeigu sergate kepenų liga, susijusia su kraujo tyrimų duomenų pokyčiais. Tokiu atveju šio vaisto vartoti nerekomenduojama.</w:t>
      </w:r>
    </w:p>
    <w:p w14:paraId="48EBD4D8" w14:textId="77777777" w:rsidR="00F22FBD" w:rsidRDefault="00F22FBD">
      <w:pPr>
        <w:widowControl w:val="0"/>
        <w:autoSpaceDE w:val="0"/>
        <w:autoSpaceDN w:val="0"/>
        <w:rPr>
          <w:color w:val="000000"/>
          <w:szCs w:val="22"/>
          <w:lang w:val="en-US"/>
        </w:rPr>
      </w:pPr>
    </w:p>
    <w:p w14:paraId="1A514F91" w14:textId="77777777" w:rsidR="00F22FBD" w:rsidRDefault="00D44E4A">
      <w:pPr>
        <w:widowControl w:val="0"/>
        <w:autoSpaceDE w:val="0"/>
        <w:autoSpaceDN w:val="0"/>
        <w:rPr>
          <w:b/>
          <w:bCs/>
        </w:rPr>
      </w:pPr>
      <w:r>
        <w:rPr>
          <w:b/>
          <w:bCs/>
        </w:rPr>
        <w:t>Specialių atsargumo priemonių vartojant Danengo reikia</w:t>
      </w:r>
    </w:p>
    <w:p w14:paraId="3C663323" w14:textId="77777777" w:rsidR="00F22FBD" w:rsidRDefault="00D44E4A">
      <w:pPr>
        <w:widowControl w:val="0"/>
        <w:numPr>
          <w:ilvl w:val="0"/>
          <w:numId w:val="5"/>
        </w:numPr>
        <w:autoSpaceDE w:val="0"/>
        <w:autoSpaceDN w:val="0"/>
        <w:ind w:left="567" w:hanging="567"/>
        <w:rPr>
          <w:color w:val="000000"/>
          <w:szCs w:val="22"/>
          <w:lang w:val="en-US"/>
        </w:rPr>
      </w:pPr>
      <w:r>
        <w:t>Jeigu Jus reikia operuoti:</w:t>
      </w:r>
    </w:p>
    <w:p w14:paraId="37C487CD" w14:textId="77777777" w:rsidR="00F22FBD" w:rsidRDefault="00D44E4A">
      <w:pPr>
        <w:widowControl w:val="0"/>
        <w:autoSpaceDE w:val="0"/>
        <w:autoSpaceDN w:val="0"/>
        <w:ind w:left="567"/>
      </w:pPr>
      <w:r>
        <w:t>Tokiu atveju dėl kraujavimo rizikos padidėjimo, operacijos metu ir trumpai po jos Danengo vartojimą turėsite laikinai nutraukti. Labai svarbu prieš operaciją ir po jos vartoti Danengo tiksliai gydytojo nurodytu laiku.</w:t>
      </w:r>
    </w:p>
    <w:p w14:paraId="099AA542" w14:textId="77777777" w:rsidR="00F22FBD" w:rsidRDefault="00D44E4A">
      <w:pPr>
        <w:widowControl w:val="0"/>
        <w:numPr>
          <w:ilvl w:val="0"/>
          <w:numId w:val="5"/>
        </w:numPr>
        <w:autoSpaceDE w:val="0"/>
        <w:autoSpaceDN w:val="0"/>
        <w:ind w:left="567" w:hanging="567"/>
        <w:rPr>
          <w:color w:val="000000"/>
          <w:szCs w:val="22"/>
          <w:lang w:val="en-US"/>
        </w:rPr>
      </w:pPr>
      <w:r>
        <w:t>Jeigu operacijos metu į stuburą bus įvestas kateteris arba atliekama injekcija (epidurinei arba spinalinei anestezijai sukelti arba skausmui malšinti):</w:t>
      </w:r>
    </w:p>
    <w:p w14:paraId="0CC28A07"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labai svarbu prieš operaciją ir po jos vartoti Danengo tiksliai gydytojo nurodytu laiku;</w:t>
      </w:r>
    </w:p>
    <w:p w14:paraId="1E35F919" w14:textId="77777777" w:rsidR="00F22FBD" w:rsidRDefault="00D44E4A">
      <w:pPr>
        <w:pStyle w:val="Sraopastraipa"/>
        <w:widowControl w:val="0"/>
        <w:numPr>
          <w:ilvl w:val="0"/>
          <w:numId w:val="5"/>
        </w:numPr>
        <w:autoSpaceDE w:val="0"/>
        <w:autoSpaceDN w:val="0"/>
        <w:ind w:left="1418" w:hanging="567"/>
        <w:contextualSpacing w:val="0"/>
        <w:rPr>
          <w:color w:val="000000"/>
          <w:szCs w:val="22"/>
          <w:lang w:val="en-US"/>
        </w:rPr>
      </w:pPr>
      <w:r>
        <w:t>nedelsdami pasakykite gydytojui, jeigu pasibaigus anestezijai nutirpo arba nusilpo kojos arba atsirado problemų su žarnynu ar šlapimo pūsle, nes gali reikėti skubios medicinos pagalbos.</w:t>
      </w:r>
    </w:p>
    <w:p w14:paraId="17A203A9" w14:textId="77777777" w:rsidR="00F22FBD" w:rsidRDefault="00D44E4A">
      <w:pPr>
        <w:pStyle w:val="Sraopastraipa"/>
        <w:widowControl w:val="0"/>
        <w:numPr>
          <w:ilvl w:val="0"/>
          <w:numId w:val="5"/>
        </w:numPr>
        <w:autoSpaceDE w:val="0"/>
        <w:autoSpaceDN w:val="0"/>
        <w:ind w:left="567" w:hanging="567"/>
        <w:contextualSpacing w:val="0"/>
        <w:rPr>
          <w:color w:val="000000"/>
          <w:szCs w:val="22"/>
          <w:lang w:val="en-US"/>
        </w:rPr>
      </w:pPr>
      <w:r>
        <w:t>Jeigu gydymo metu griuvote arba susižalojote (ypač jei susitrenkėte galvą), nedelsdamas kreipkitės į medikus. Gali padidėti kraujavimo rizika, todėl gali prireikti gydytojo apžiūros.</w:t>
      </w:r>
    </w:p>
    <w:p w14:paraId="3D731A20" w14:textId="77777777" w:rsidR="00F22FBD" w:rsidRDefault="00D44E4A">
      <w:pPr>
        <w:pStyle w:val="Sraopastraipa"/>
        <w:widowControl w:val="0"/>
        <w:numPr>
          <w:ilvl w:val="0"/>
          <w:numId w:val="5"/>
        </w:numPr>
        <w:autoSpaceDE w:val="0"/>
        <w:autoSpaceDN w:val="0"/>
        <w:ind w:left="567" w:hanging="567"/>
        <w:contextualSpacing w:val="0"/>
        <w:rPr>
          <w:color w:val="000000"/>
          <w:szCs w:val="22"/>
          <w:lang w:val="en-US"/>
        </w:rPr>
      </w:pPr>
      <w:r>
        <w:rPr>
          <w:color w:val="000000"/>
          <w:szCs w:val="22"/>
        </w:rPr>
        <w:t>Jeigu žinote, kad sergate liga, vadinama antifosfolipidiniu sindromu (imuninės sistemos sutrikimas, dėl kurio padidėja kraujo krešulių susidarymo rizika), pasakykite apie tai savo gydytojui, kuris nuspręs, ar reikės keisti Jums taikomą gydymą.</w:t>
      </w:r>
    </w:p>
    <w:p w14:paraId="03BE0C27" w14:textId="77777777" w:rsidR="00F22FBD" w:rsidRDefault="00F22FBD">
      <w:pPr>
        <w:widowControl w:val="0"/>
        <w:autoSpaceDE w:val="0"/>
        <w:autoSpaceDN w:val="0"/>
        <w:ind w:left="567"/>
        <w:rPr>
          <w:color w:val="000000"/>
          <w:szCs w:val="22"/>
          <w:lang w:val="en-US"/>
        </w:rPr>
      </w:pPr>
    </w:p>
    <w:p w14:paraId="2CE4F56F" w14:textId="77777777" w:rsidR="00F22FBD" w:rsidRDefault="00D44E4A">
      <w:pPr>
        <w:widowControl w:val="0"/>
        <w:autoSpaceDE w:val="0"/>
        <w:autoSpaceDN w:val="0"/>
        <w:rPr>
          <w:b/>
          <w:bCs/>
        </w:rPr>
      </w:pPr>
      <w:r>
        <w:rPr>
          <w:b/>
          <w:bCs/>
        </w:rPr>
        <w:t>Kiti vaistai ir Danengo</w:t>
      </w:r>
    </w:p>
    <w:p w14:paraId="66A85ED1" w14:textId="77777777" w:rsidR="00F22FBD" w:rsidRDefault="00D44E4A">
      <w:pPr>
        <w:widowControl w:val="0"/>
        <w:autoSpaceDE w:val="0"/>
        <w:autoSpaceDN w:val="0"/>
        <w:rPr>
          <w:color w:val="000000"/>
          <w:szCs w:val="22"/>
          <w:lang w:val="en-US"/>
        </w:rPr>
      </w:pPr>
      <w:r>
        <w:t xml:space="preserve">Jeigu vartojate arba neseniai vartojote kitų vaistų arba dėl to nesate tikri, apie tai pasakykite gydytojui </w:t>
      </w:r>
      <w:r>
        <w:lastRenderedPageBreak/>
        <w:t xml:space="preserve">arba vaistininkui. </w:t>
      </w:r>
      <w:r>
        <w:rPr>
          <w:b/>
          <w:bCs/>
        </w:rPr>
        <w:t>Prieš pradedant vartoti Danengo ypač svarbu pasakyti gydytojui, jeigu vartojate bet kurį iš toliau išvardytų vaistų:</w:t>
      </w:r>
    </w:p>
    <w:p w14:paraId="644A5A4E" w14:textId="77777777" w:rsidR="00F22FBD" w:rsidRDefault="00D44E4A">
      <w:pPr>
        <w:widowControl w:val="0"/>
        <w:numPr>
          <w:ilvl w:val="0"/>
          <w:numId w:val="5"/>
        </w:numPr>
        <w:autoSpaceDE w:val="0"/>
        <w:autoSpaceDN w:val="0"/>
        <w:ind w:left="567" w:hanging="567"/>
        <w:rPr>
          <w:color w:val="000000"/>
          <w:szCs w:val="22"/>
          <w:lang w:val="en-US"/>
        </w:rPr>
      </w:pPr>
      <w:r>
        <w:t>Kraujo krešėjimą mažinančių vaistų (pvz., varfarino, fenprokumono, acenokumarolio, heparino, klopidogrelio, prazugrelio, tikagreloro, rivaroksabano, acetilsalicilo rūgšties).</w:t>
      </w:r>
    </w:p>
    <w:p w14:paraId="13774F23" w14:textId="77777777" w:rsidR="00F22FBD" w:rsidRDefault="00D44E4A">
      <w:pPr>
        <w:widowControl w:val="0"/>
        <w:numPr>
          <w:ilvl w:val="0"/>
          <w:numId w:val="5"/>
        </w:numPr>
        <w:autoSpaceDE w:val="0"/>
        <w:autoSpaceDN w:val="0"/>
        <w:ind w:left="567" w:hanging="567"/>
        <w:rPr>
          <w:color w:val="000000"/>
          <w:szCs w:val="22"/>
          <w:lang w:val="en-US"/>
        </w:rPr>
      </w:pPr>
      <w:r>
        <w:t>Vaistų nuo grybelinių ligų (pvz., ketokonazolo, itrakonazolo), išskyrus vartojamus ant odos.</w:t>
      </w:r>
    </w:p>
    <w:p w14:paraId="63239B4C" w14:textId="77777777" w:rsidR="00F22FBD" w:rsidRDefault="00D44E4A">
      <w:pPr>
        <w:widowControl w:val="0"/>
        <w:numPr>
          <w:ilvl w:val="0"/>
          <w:numId w:val="5"/>
        </w:numPr>
        <w:autoSpaceDE w:val="0"/>
        <w:autoSpaceDN w:val="0"/>
        <w:ind w:left="567" w:hanging="567"/>
        <w:rPr>
          <w:color w:val="000000"/>
          <w:szCs w:val="22"/>
          <w:lang w:val="en-US"/>
        </w:rPr>
      </w:pPr>
      <w:r>
        <w:t>Vaistų nuo nenormalaus širdies plakimo (pvz., amjodarono, dronedarono, chinidino, verapamilio); Jeigu vartojate vaistų, kuriuose yra amjodarono, chinidino arba verapamilio, gydytojas gali nurodyti vartoti mažesnę Danengo dozę, atsižvelgdamas į būklę, dėl kurios Jums paskyrė šį vaistą. Taip pat žr. 3 skyrių.</w:t>
      </w:r>
    </w:p>
    <w:p w14:paraId="6809AB8B" w14:textId="77777777" w:rsidR="00F22FBD" w:rsidRDefault="00D44E4A">
      <w:pPr>
        <w:widowControl w:val="0"/>
        <w:numPr>
          <w:ilvl w:val="0"/>
          <w:numId w:val="5"/>
        </w:numPr>
        <w:autoSpaceDE w:val="0"/>
        <w:autoSpaceDN w:val="0"/>
        <w:ind w:left="567" w:hanging="567"/>
        <w:rPr>
          <w:color w:val="000000"/>
          <w:szCs w:val="22"/>
          <w:lang w:val="en-US"/>
        </w:rPr>
      </w:pPr>
      <w:r>
        <w:t>Vaistų, vartojamų persodinto organo atmetimo profilaktikai (pvz., takrolimuzo, ciklosporino).</w:t>
      </w:r>
    </w:p>
    <w:p w14:paraId="5606D3C7" w14:textId="77777777" w:rsidR="00F22FBD" w:rsidRDefault="00D44E4A">
      <w:pPr>
        <w:widowControl w:val="0"/>
        <w:numPr>
          <w:ilvl w:val="0"/>
          <w:numId w:val="5"/>
        </w:numPr>
        <w:autoSpaceDE w:val="0"/>
        <w:autoSpaceDN w:val="0"/>
        <w:ind w:left="567" w:hanging="567"/>
        <w:rPr>
          <w:color w:val="000000"/>
          <w:szCs w:val="22"/>
          <w:lang w:val="en-US"/>
        </w:rPr>
      </w:pPr>
      <w:r>
        <w:t>Sudėtinio glekapreviro ir pibrentasviro vaisto (priešvirusinio vaisto, vartojamo hepatitui C gydyti).</w:t>
      </w:r>
    </w:p>
    <w:p w14:paraId="5EF762CA" w14:textId="77777777" w:rsidR="00F22FBD" w:rsidRDefault="00D44E4A">
      <w:pPr>
        <w:widowControl w:val="0"/>
        <w:numPr>
          <w:ilvl w:val="0"/>
          <w:numId w:val="5"/>
        </w:numPr>
        <w:autoSpaceDE w:val="0"/>
        <w:autoSpaceDN w:val="0"/>
        <w:ind w:left="567" w:hanging="567"/>
        <w:rPr>
          <w:color w:val="000000"/>
          <w:szCs w:val="22"/>
          <w:lang w:val="en-US"/>
        </w:rPr>
      </w:pPr>
      <w:r>
        <w:t>Vaistų nuo uždegimo ir skausmo (pvz., acetilsalicilo rūgšties, ibuprofeno, diklofenako).</w:t>
      </w:r>
    </w:p>
    <w:p w14:paraId="5395D5FE" w14:textId="77777777" w:rsidR="00F22FBD" w:rsidRDefault="00D44E4A">
      <w:pPr>
        <w:widowControl w:val="0"/>
        <w:numPr>
          <w:ilvl w:val="0"/>
          <w:numId w:val="5"/>
        </w:numPr>
        <w:autoSpaceDE w:val="0"/>
        <w:autoSpaceDN w:val="0"/>
        <w:ind w:left="567" w:hanging="567"/>
        <w:rPr>
          <w:color w:val="000000"/>
          <w:szCs w:val="22"/>
          <w:lang w:val="en-US"/>
        </w:rPr>
      </w:pPr>
      <w:r>
        <w:t>Paprastųjų jonažolių (vaistažolių preparatas nuo depresijos).</w:t>
      </w:r>
    </w:p>
    <w:p w14:paraId="363F5FB8" w14:textId="77777777" w:rsidR="00F22FBD" w:rsidRDefault="00D44E4A">
      <w:pPr>
        <w:widowControl w:val="0"/>
        <w:numPr>
          <w:ilvl w:val="0"/>
          <w:numId w:val="5"/>
        </w:numPr>
        <w:autoSpaceDE w:val="0"/>
        <w:autoSpaceDN w:val="0"/>
        <w:ind w:left="567" w:hanging="567"/>
        <w:rPr>
          <w:color w:val="000000"/>
          <w:szCs w:val="22"/>
          <w:lang w:val="en-US"/>
        </w:rPr>
      </w:pPr>
      <w:r>
        <w:t>Antidepresantų, kurie vadinami selektyviais serotonino reabsorbcijos inhibitoriais arba serotonino ir norepinefrino reabsorbcijos inhibitoriais.</w:t>
      </w:r>
    </w:p>
    <w:p w14:paraId="3847E5A5" w14:textId="77777777" w:rsidR="00F22FBD" w:rsidRDefault="00D44E4A">
      <w:pPr>
        <w:widowControl w:val="0"/>
        <w:numPr>
          <w:ilvl w:val="0"/>
          <w:numId w:val="5"/>
        </w:numPr>
        <w:autoSpaceDE w:val="0"/>
        <w:autoSpaceDN w:val="0"/>
        <w:ind w:left="567" w:hanging="567"/>
        <w:rPr>
          <w:color w:val="000000"/>
          <w:szCs w:val="22"/>
          <w:lang w:val="en-US"/>
        </w:rPr>
      </w:pPr>
      <w:r>
        <w:t>Rifampicino arba klaritromicino (du antibiotikai).</w:t>
      </w:r>
    </w:p>
    <w:p w14:paraId="3941AF94" w14:textId="77777777" w:rsidR="00F22FBD" w:rsidRDefault="00D44E4A">
      <w:pPr>
        <w:widowControl w:val="0"/>
        <w:numPr>
          <w:ilvl w:val="0"/>
          <w:numId w:val="5"/>
        </w:numPr>
        <w:autoSpaceDE w:val="0"/>
        <w:autoSpaceDN w:val="0"/>
        <w:ind w:left="567" w:hanging="567"/>
        <w:rPr>
          <w:color w:val="000000"/>
          <w:szCs w:val="22"/>
          <w:lang w:val="en-US"/>
        </w:rPr>
      </w:pPr>
      <w:r>
        <w:t>Priešvirusinių vaistų nuo AIDS (pvz., ritonaviro).</w:t>
      </w:r>
    </w:p>
    <w:p w14:paraId="27F982EE" w14:textId="77777777" w:rsidR="00F22FBD" w:rsidRDefault="00D44E4A">
      <w:pPr>
        <w:widowControl w:val="0"/>
        <w:numPr>
          <w:ilvl w:val="0"/>
          <w:numId w:val="5"/>
        </w:numPr>
        <w:autoSpaceDE w:val="0"/>
        <w:autoSpaceDN w:val="0"/>
        <w:ind w:left="567" w:hanging="567"/>
        <w:rPr>
          <w:color w:val="000000"/>
          <w:szCs w:val="22"/>
          <w:lang w:val="en-US"/>
        </w:rPr>
      </w:pPr>
      <w:r>
        <w:t>Tam tikrų vaistų, vartojamų epilepsijai gydyti (pvz., karbamazepino, fenitoino).</w:t>
      </w:r>
    </w:p>
    <w:p w14:paraId="2A20A6D9" w14:textId="77777777" w:rsidR="00F22FBD" w:rsidRDefault="00F22FBD">
      <w:pPr>
        <w:widowControl w:val="0"/>
        <w:autoSpaceDE w:val="0"/>
        <w:autoSpaceDN w:val="0"/>
      </w:pPr>
    </w:p>
    <w:p w14:paraId="41ADAA20" w14:textId="77777777" w:rsidR="00F22FBD" w:rsidRDefault="00D44E4A">
      <w:pPr>
        <w:widowControl w:val="0"/>
        <w:autoSpaceDE w:val="0"/>
        <w:autoSpaceDN w:val="0"/>
        <w:rPr>
          <w:b/>
          <w:bCs/>
        </w:rPr>
      </w:pPr>
      <w:r>
        <w:rPr>
          <w:b/>
          <w:bCs/>
        </w:rPr>
        <w:t>Nėštumas ir žindymo laikotarpis</w:t>
      </w:r>
    </w:p>
    <w:p w14:paraId="3E64588E" w14:textId="77777777" w:rsidR="00F22FBD" w:rsidRDefault="00D44E4A">
      <w:pPr>
        <w:widowControl w:val="0"/>
        <w:autoSpaceDE w:val="0"/>
        <w:autoSpaceDN w:val="0"/>
      </w:pPr>
      <w:r>
        <w:t>Danengo poveikis nėštumo eigai ir dar negimusiam vaikui nežinomas. Jeigu esate nėščia, šio vaisto vartoti negalima, išskyrus tuos atvejus, kai Jūsų gydytojas pasako, jog vaisto vartoti yra saugu. Jeigu esate vaisinga moteris, Danengo vartojimo metu turite saugotis nuo pastojimo.</w:t>
      </w:r>
    </w:p>
    <w:p w14:paraId="2AA60BA4" w14:textId="77777777" w:rsidR="00F22FBD" w:rsidRDefault="00F22FBD">
      <w:pPr>
        <w:widowControl w:val="0"/>
        <w:autoSpaceDE w:val="0"/>
        <w:autoSpaceDN w:val="0"/>
      </w:pPr>
    </w:p>
    <w:p w14:paraId="3F195411" w14:textId="77777777" w:rsidR="00F22FBD" w:rsidRDefault="00D44E4A">
      <w:pPr>
        <w:widowControl w:val="0"/>
        <w:autoSpaceDE w:val="0"/>
        <w:autoSpaceDN w:val="0"/>
      </w:pPr>
      <w:r>
        <w:t xml:space="preserve">Danengo vartojimo metu kūdikio žindyti negalima. </w:t>
      </w:r>
    </w:p>
    <w:p w14:paraId="49BAE093" w14:textId="77777777" w:rsidR="00F22FBD" w:rsidRDefault="00F22FBD">
      <w:pPr>
        <w:widowControl w:val="0"/>
        <w:autoSpaceDE w:val="0"/>
        <w:autoSpaceDN w:val="0"/>
      </w:pPr>
    </w:p>
    <w:p w14:paraId="21463D6C" w14:textId="77777777" w:rsidR="00F22FBD" w:rsidRDefault="00D44E4A">
      <w:pPr>
        <w:widowControl w:val="0"/>
        <w:autoSpaceDE w:val="0"/>
        <w:autoSpaceDN w:val="0"/>
        <w:rPr>
          <w:b/>
          <w:bCs/>
        </w:rPr>
      </w:pPr>
      <w:r>
        <w:rPr>
          <w:b/>
          <w:bCs/>
        </w:rPr>
        <w:t>Vairavimas ir mechanizmų valdymas</w:t>
      </w:r>
    </w:p>
    <w:p w14:paraId="1EAF1FCB" w14:textId="77777777" w:rsidR="00F22FBD" w:rsidRDefault="00D44E4A">
      <w:pPr>
        <w:widowControl w:val="0"/>
        <w:autoSpaceDE w:val="0"/>
        <w:autoSpaceDN w:val="0"/>
      </w:pPr>
      <w:r>
        <w:t>Danengo žinomo poveikio gebėjimui vairuoti ir valdyti mechanizmus nedaro.</w:t>
      </w:r>
    </w:p>
    <w:p w14:paraId="3F637421" w14:textId="77777777" w:rsidR="00F22FBD" w:rsidRDefault="00F22FBD">
      <w:pPr>
        <w:widowControl w:val="0"/>
        <w:autoSpaceDE w:val="0"/>
        <w:autoSpaceDN w:val="0"/>
        <w:rPr>
          <w:color w:val="000000"/>
          <w:szCs w:val="22"/>
          <w:lang w:val="en-US"/>
        </w:rPr>
      </w:pPr>
    </w:p>
    <w:p w14:paraId="656AF778" w14:textId="77777777" w:rsidR="00F22FBD" w:rsidRDefault="00F22FBD">
      <w:pPr>
        <w:widowControl w:val="0"/>
        <w:autoSpaceDE w:val="0"/>
        <w:autoSpaceDN w:val="0"/>
        <w:rPr>
          <w:color w:val="000000"/>
          <w:szCs w:val="22"/>
          <w:lang w:val="en-US"/>
        </w:rPr>
      </w:pPr>
    </w:p>
    <w:p w14:paraId="53A49C7F" w14:textId="77777777" w:rsidR="00F22FBD" w:rsidRDefault="00D44E4A">
      <w:pPr>
        <w:numPr>
          <w:ilvl w:val="12"/>
          <w:numId w:val="0"/>
        </w:numPr>
        <w:ind w:left="567" w:hanging="567"/>
        <w:outlineLvl w:val="0"/>
        <w:rPr>
          <w:b/>
          <w:caps/>
          <w:noProof/>
        </w:rPr>
      </w:pPr>
      <w:r>
        <w:rPr>
          <w:b/>
          <w:noProof/>
        </w:rPr>
        <w:t>3.</w:t>
      </w:r>
      <w:r>
        <w:rPr>
          <w:b/>
          <w:noProof/>
        </w:rPr>
        <w:tab/>
      </w:r>
      <w:r>
        <w:rPr>
          <w:b/>
        </w:rPr>
        <w:t xml:space="preserve">Kaip vartoti </w:t>
      </w:r>
      <w:r>
        <w:rPr>
          <w:b/>
          <w:noProof/>
        </w:rPr>
        <w:t>Danengo</w:t>
      </w:r>
    </w:p>
    <w:p w14:paraId="6D148F2C" w14:textId="77777777" w:rsidR="00F22FBD" w:rsidRDefault="00F22FBD">
      <w:pPr>
        <w:ind w:left="567" w:hanging="567"/>
        <w:rPr>
          <w:noProof/>
        </w:rPr>
      </w:pPr>
    </w:p>
    <w:p w14:paraId="48C57F6C" w14:textId="77777777" w:rsidR="00F22FBD" w:rsidRDefault="00D44E4A">
      <w:r>
        <w:t>Danengo kapsules galima skirti suaugusiesiems ir 8 metų arba vyresniems vaikams, kurie gali nuryti visą kapsulę.</w:t>
      </w:r>
    </w:p>
    <w:p w14:paraId="5BB63690" w14:textId="77777777" w:rsidR="00F22FBD" w:rsidRDefault="00F22FBD"/>
    <w:p w14:paraId="78581477" w14:textId="77777777" w:rsidR="00F22FBD" w:rsidRDefault="00D44E4A">
      <w:r>
        <w:t>Jaunesniems kaip 8 metų amžiaus vaikams vaistas tiekiamas kitomis tinkamomis dozavimo formomis.</w:t>
      </w:r>
    </w:p>
    <w:p w14:paraId="6616177C" w14:textId="77777777" w:rsidR="00F22FBD" w:rsidRDefault="00F22FBD"/>
    <w:p w14:paraId="788FCC6E" w14:textId="77777777" w:rsidR="00F22FBD" w:rsidRDefault="00D44E4A">
      <w:r>
        <w:t>Visada vartokite šį vaistą tiksliai, kaip nurodė gydytojas. Jeigu abejojate, kreipkitės į gydytoją arba vaistininką.</w:t>
      </w:r>
    </w:p>
    <w:p w14:paraId="3FA296BD" w14:textId="77777777" w:rsidR="00F22FBD" w:rsidRDefault="00F22FBD">
      <w:pPr>
        <w:rPr>
          <w:noProof/>
        </w:rPr>
      </w:pPr>
    </w:p>
    <w:p w14:paraId="5B7DB763" w14:textId="77777777" w:rsidR="00F22FBD" w:rsidRDefault="00D44E4A">
      <w:pPr>
        <w:numPr>
          <w:ilvl w:val="12"/>
          <w:numId w:val="0"/>
        </w:numPr>
        <w:ind w:right="-2"/>
        <w:rPr>
          <w:b/>
          <w:bCs/>
        </w:rPr>
      </w:pPr>
      <w:r>
        <w:rPr>
          <w:b/>
          <w:bCs/>
        </w:rPr>
        <w:t>Žemiau nurodytų būklių atveju Danengo vartokite taip, kaip rekomenduojama.</w:t>
      </w:r>
    </w:p>
    <w:p w14:paraId="00F12BEF" w14:textId="77777777" w:rsidR="00F22FBD" w:rsidRDefault="00F22FBD">
      <w:pPr>
        <w:numPr>
          <w:ilvl w:val="12"/>
          <w:numId w:val="0"/>
        </w:numPr>
        <w:ind w:right="-2"/>
      </w:pPr>
    </w:p>
    <w:p w14:paraId="3F2F1091" w14:textId="77777777" w:rsidR="00F22FBD" w:rsidRDefault="00D44E4A">
      <w:pPr>
        <w:numPr>
          <w:ilvl w:val="12"/>
          <w:numId w:val="0"/>
        </w:numPr>
        <w:ind w:right="-2"/>
        <w:rPr>
          <w:u w:val="single"/>
        </w:rPr>
      </w:pPr>
      <w:r>
        <w:rPr>
          <w:u w:val="single"/>
        </w:rPr>
        <w:t>Kraujo krešulių formavimosi po kelio ar klubo sąnario keitimo operacijos profilaktika</w:t>
      </w:r>
    </w:p>
    <w:p w14:paraId="0B9B72FB" w14:textId="77777777" w:rsidR="00F22FBD" w:rsidRDefault="00F22FBD">
      <w:pPr>
        <w:numPr>
          <w:ilvl w:val="12"/>
          <w:numId w:val="0"/>
        </w:numPr>
        <w:ind w:right="-2"/>
        <w:rPr>
          <w:u w:val="single"/>
        </w:rPr>
      </w:pPr>
    </w:p>
    <w:p w14:paraId="6596C021" w14:textId="77777777" w:rsidR="00F22FBD" w:rsidRDefault="00D44E4A">
      <w:pPr>
        <w:numPr>
          <w:ilvl w:val="12"/>
          <w:numId w:val="0"/>
        </w:numPr>
        <w:ind w:right="-2"/>
      </w:pPr>
      <w:r>
        <w:t xml:space="preserve">Rekomenduojama dozė yra </w:t>
      </w:r>
      <w:r>
        <w:rPr>
          <w:b/>
          <w:bCs/>
        </w:rPr>
        <w:t>220 mg</w:t>
      </w:r>
      <w:r>
        <w:t xml:space="preserve"> (dvi 110 mg kapsulės) kartą per parą.</w:t>
      </w:r>
    </w:p>
    <w:p w14:paraId="63558DA0" w14:textId="77777777" w:rsidR="00F22FBD" w:rsidRDefault="00F22FBD">
      <w:pPr>
        <w:numPr>
          <w:ilvl w:val="12"/>
          <w:numId w:val="0"/>
        </w:numPr>
        <w:ind w:right="-2"/>
      </w:pPr>
    </w:p>
    <w:p w14:paraId="64271295" w14:textId="77777777" w:rsidR="00F22FBD" w:rsidRDefault="00D44E4A">
      <w:pPr>
        <w:numPr>
          <w:ilvl w:val="12"/>
          <w:numId w:val="0"/>
        </w:numPr>
        <w:ind w:right="-2"/>
      </w:pPr>
      <w:r>
        <w:t xml:space="preserve">Jeigu </w:t>
      </w:r>
      <w:r>
        <w:rPr>
          <w:b/>
          <w:bCs/>
        </w:rPr>
        <w:t>inkstų funkcija susilpnėjusi</w:t>
      </w:r>
      <w:r>
        <w:t xml:space="preserve"> daugiau negu 2 kartus arba jeigu esate 75 metų arba vyresnis, rekomenduojama dozė yra </w:t>
      </w:r>
      <w:r>
        <w:rPr>
          <w:b/>
          <w:bCs/>
        </w:rPr>
        <w:t>150 mg</w:t>
      </w:r>
      <w:r>
        <w:t xml:space="preserve"> (dvi 75 mg kapsulės) kartą per parą.</w:t>
      </w:r>
    </w:p>
    <w:p w14:paraId="4A00C7B4" w14:textId="77777777" w:rsidR="00F22FBD" w:rsidRDefault="00F22FBD">
      <w:pPr>
        <w:numPr>
          <w:ilvl w:val="12"/>
          <w:numId w:val="0"/>
        </w:numPr>
        <w:ind w:right="-2"/>
      </w:pPr>
    </w:p>
    <w:p w14:paraId="1AFA1B9C" w14:textId="77777777" w:rsidR="00F22FBD" w:rsidRDefault="00D44E4A">
      <w:pPr>
        <w:numPr>
          <w:ilvl w:val="12"/>
          <w:numId w:val="0"/>
        </w:numPr>
        <w:ind w:right="-2"/>
      </w:pPr>
      <w:r>
        <w:t xml:space="preserve">Jeigu vartojate vaistų, kuriuose yra </w:t>
      </w:r>
      <w:r>
        <w:rPr>
          <w:b/>
          <w:bCs/>
        </w:rPr>
        <w:t>amjodarono, chinidino arba verapamilio</w:t>
      </w:r>
      <w:r>
        <w:t xml:space="preserve">, rekomenduojama dozė yra </w:t>
      </w:r>
      <w:r>
        <w:rPr>
          <w:b/>
          <w:bCs/>
        </w:rPr>
        <w:t>150 mg</w:t>
      </w:r>
      <w:r>
        <w:t xml:space="preserve"> (dvi 75 mg kapsulės) kartą per parą.</w:t>
      </w:r>
    </w:p>
    <w:p w14:paraId="0801F3A3" w14:textId="77777777" w:rsidR="00F22FBD" w:rsidRDefault="00F22FBD">
      <w:pPr>
        <w:numPr>
          <w:ilvl w:val="12"/>
          <w:numId w:val="0"/>
        </w:numPr>
        <w:ind w:right="-2"/>
      </w:pPr>
    </w:p>
    <w:p w14:paraId="4DEC5E06" w14:textId="77777777" w:rsidR="00F22FBD" w:rsidRDefault="00D44E4A">
      <w:pPr>
        <w:numPr>
          <w:ilvl w:val="12"/>
          <w:numId w:val="0"/>
        </w:numPr>
        <w:ind w:right="-2"/>
      </w:pPr>
      <w:r>
        <w:t xml:space="preserve">Jeigu vartojate </w:t>
      </w:r>
      <w:r>
        <w:rPr>
          <w:b/>
          <w:bCs/>
        </w:rPr>
        <w:t>vaistų, kuriuose yra verapamilio</w:t>
      </w:r>
      <w:r>
        <w:t xml:space="preserve">, ir Jūsų </w:t>
      </w:r>
      <w:r>
        <w:rPr>
          <w:b/>
          <w:bCs/>
        </w:rPr>
        <w:t>inkstų funkcija</w:t>
      </w:r>
      <w:r>
        <w:t xml:space="preserve"> yra daugiau negu du kartus silpnesnė, Jus turi gydyti mažesne, t. y. </w:t>
      </w:r>
      <w:r>
        <w:rPr>
          <w:b/>
          <w:bCs/>
        </w:rPr>
        <w:t>75 mg</w:t>
      </w:r>
      <w:r>
        <w:t>, Danengo doze, kadangi gali padidėti kraujavimo rizika.</w:t>
      </w:r>
    </w:p>
    <w:p w14:paraId="7FDFF3A7" w14:textId="77777777" w:rsidR="00F22FBD" w:rsidRDefault="00F22FBD">
      <w:pPr>
        <w:numPr>
          <w:ilvl w:val="12"/>
          <w:numId w:val="0"/>
        </w:numPr>
        <w:ind w:right="-2"/>
      </w:pPr>
    </w:p>
    <w:p w14:paraId="4D9347F3" w14:textId="77777777" w:rsidR="00F22FBD" w:rsidRDefault="00D44E4A">
      <w:pPr>
        <w:numPr>
          <w:ilvl w:val="12"/>
          <w:numId w:val="0"/>
        </w:numPr>
        <w:ind w:right="-2"/>
        <w:rPr>
          <w:noProof/>
        </w:rPr>
      </w:pPr>
      <w:r>
        <w:lastRenderedPageBreak/>
        <w:t>Jeigu iš operuotos vietos kraujuoja, šiuo vaistu pradėti gydyti negalima nei po klubo, nei po kelio sąnario operacijos. Jei vaisto negalima pradėti vartoti iki kitos dienos po operacijos, tai gydymą reikia pradėti 2 kapsulėmis, vartojamomis kartą per parą.</w:t>
      </w:r>
    </w:p>
    <w:p w14:paraId="263C1FE7" w14:textId="77777777" w:rsidR="00F22FBD" w:rsidRDefault="00F22FBD">
      <w:pPr>
        <w:numPr>
          <w:ilvl w:val="12"/>
          <w:numId w:val="0"/>
        </w:numPr>
        <w:ind w:right="-2"/>
      </w:pPr>
    </w:p>
    <w:p w14:paraId="6BA0A699" w14:textId="77777777" w:rsidR="00F22FBD" w:rsidRDefault="00D44E4A">
      <w:pPr>
        <w:numPr>
          <w:ilvl w:val="12"/>
          <w:numId w:val="0"/>
        </w:numPr>
        <w:ind w:right="-2"/>
        <w:rPr>
          <w:u w:val="single"/>
        </w:rPr>
      </w:pPr>
      <w:r>
        <w:rPr>
          <w:u w:val="single"/>
        </w:rPr>
        <w:t>Po kelio sąnario keitimo operacijos</w:t>
      </w:r>
    </w:p>
    <w:p w14:paraId="0D2438F1" w14:textId="77777777" w:rsidR="00F22FBD" w:rsidRDefault="00F22FBD">
      <w:pPr>
        <w:numPr>
          <w:ilvl w:val="12"/>
          <w:numId w:val="0"/>
        </w:numPr>
        <w:ind w:right="-2"/>
      </w:pPr>
    </w:p>
    <w:p w14:paraId="41A924AE" w14:textId="77777777" w:rsidR="00F22FBD" w:rsidRDefault="00D44E4A">
      <w:pPr>
        <w:numPr>
          <w:ilvl w:val="12"/>
          <w:numId w:val="0"/>
        </w:numPr>
        <w:ind w:right="-2"/>
      </w:pPr>
      <w:r>
        <w:t>Danengo reikia pradėti vartoti per 1-4 val. nuo operacijos pabaigos. Pradžioje reikia gerti vieną kapsulę, po to – po dvi kapsules kartą per parą iš viso 10 parų.</w:t>
      </w:r>
    </w:p>
    <w:p w14:paraId="10F10AB8" w14:textId="77777777" w:rsidR="00F22FBD" w:rsidRDefault="00F22FBD">
      <w:pPr>
        <w:numPr>
          <w:ilvl w:val="12"/>
          <w:numId w:val="0"/>
        </w:numPr>
        <w:ind w:right="-2"/>
      </w:pPr>
    </w:p>
    <w:p w14:paraId="0A34F0B7" w14:textId="77777777" w:rsidR="00F22FBD" w:rsidRDefault="00D44E4A">
      <w:pPr>
        <w:numPr>
          <w:ilvl w:val="12"/>
          <w:numId w:val="0"/>
        </w:numPr>
        <w:ind w:right="-2"/>
        <w:rPr>
          <w:u w:val="single"/>
        </w:rPr>
      </w:pPr>
      <w:r>
        <w:rPr>
          <w:u w:val="single"/>
        </w:rPr>
        <w:t>Po klubo sąnario keitimo operacijos</w:t>
      </w:r>
    </w:p>
    <w:p w14:paraId="2C0354FA" w14:textId="77777777" w:rsidR="00F22FBD" w:rsidRDefault="00F22FBD">
      <w:pPr>
        <w:numPr>
          <w:ilvl w:val="12"/>
          <w:numId w:val="0"/>
        </w:numPr>
        <w:ind w:right="-2"/>
      </w:pPr>
    </w:p>
    <w:p w14:paraId="16DFD304" w14:textId="77777777" w:rsidR="00F22FBD" w:rsidRDefault="00D44E4A">
      <w:pPr>
        <w:numPr>
          <w:ilvl w:val="12"/>
          <w:numId w:val="0"/>
        </w:numPr>
        <w:ind w:right="-2"/>
      </w:pPr>
      <w:r>
        <w:t>Danengo reikia pradėti vartoti per 1-4 val. nuo operacijos pabaigos. Pradžioje reikia gerti vieną kapsulę, po to – po dvi kapsules kartą per parą iš viso 28-35 paras.</w:t>
      </w:r>
    </w:p>
    <w:p w14:paraId="23AEEBEA" w14:textId="77777777" w:rsidR="00F22FBD" w:rsidRDefault="00F22FBD">
      <w:pPr>
        <w:numPr>
          <w:ilvl w:val="12"/>
          <w:numId w:val="0"/>
        </w:numPr>
        <w:ind w:right="-2"/>
      </w:pPr>
    </w:p>
    <w:p w14:paraId="089D30F9" w14:textId="77777777" w:rsidR="00F22FBD" w:rsidRDefault="00D44E4A">
      <w:pPr>
        <w:numPr>
          <w:ilvl w:val="12"/>
          <w:numId w:val="0"/>
        </w:numPr>
        <w:ind w:right="-2"/>
        <w:rPr>
          <w:u w:val="single"/>
        </w:rPr>
      </w:pPr>
      <w:r>
        <w:rPr>
          <w:u w:val="single"/>
        </w:rPr>
        <w:t>Kraujo krešulių gydymas ir kraujo krešulių kartotinio susidarymo profilaktika vaikams</w:t>
      </w:r>
    </w:p>
    <w:p w14:paraId="116C8671" w14:textId="77777777" w:rsidR="00F22FBD" w:rsidRDefault="00F22FBD">
      <w:pPr>
        <w:numPr>
          <w:ilvl w:val="12"/>
          <w:numId w:val="0"/>
        </w:numPr>
        <w:ind w:right="-2"/>
      </w:pPr>
    </w:p>
    <w:p w14:paraId="0B6E698E" w14:textId="77777777" w:rsidR="00F22FBD" w:rsidRDefault="00D44E4A">
      <w:pPr>
        <w:numPr>
          <w:ilvl w:val="12"/>
          <w:numId w:val="0"/>
        </w:numPr>
        <w:ind w:right="-2"/>
      </w:pPr>
      <w:r>
        <w:rPr>
          <w:b/>
          <w:bCs/>
        </w:rPr>
        <w:t>Danengo reikia vartoti du kartus per parą</w:t>
      </w:r>
      <w:r>
        <w:t>: vieną dozę ryte ir vieną dozę vakare, kasdien maždaug tuo pačiu paros laiku. Kiek įmanoma, reikia siekti išlaikyti maždaug 12 valandų dozavimo intervalą.</w:t>
      </w:r>
    </w:p>
    <w:p w14:paraId="25D43186" w14:textId="77777777" w:rsidR="00F22FBD" w:rsidRDefault="00F22FBD">
      <w:pPr>
        <w:numPr>
          <w:ilvl w:val="12"/>
          <w:numId w:val="0"/>
        </w:numPr>
        <w:ind w:right="-2"/>
      </w:pPr>
    </w:p>
    <w:p w14:paraId="587C995A" w14:textId="77777777" w:rsidR="00F22FBD" w:rsidRDefault="00D44E4A">
      <w:pPr>
        <w:numPr>
          <w:ilvl w:val="12"/>
          <w:numId w:val="0"/>
        </w:numPr>
        <w:ind w:right="-2"/>
      </w:pPr>
      <w:r>
        <w:t>Rekomenduojama dozė parenkama pagal kūno svorį ir amžių. Tinkamą dozę nustatys Jūsų gydytojas. Gydymo laikotarpiu Jūsų gydytojas gali dozę pakeisti. Toliau vartokite visus kitus vaistus, jeigu Jūsų gydytojas nenurodė jų nevartoti.</w:t>
      </w:r>
    </w:p>
    <w:p w14:paraId="3F13E9F6" w14:textId="77777777" w:rsidR="00F22FBD" w:rsidRDefault="00F22FBD">
      <w:pPr>
        <w:numPr>
          <w:ilvl w:val="12"/>
          <w:numId w:val="0"/>
        </w:numPr>
        <w:ind w:right="-2"/>
      </w:pPr>
    </w:p>
    <w:p w14:paraId="7A035B27" w14:textId="77777777" w:rsidR="00F22FBD" w:rsidRDefault="00D44E4A">
      <w:pPr>
        <w:numPr>
          <w:ilvl w:val="12"/>
          <w:numId w:val="0"/>
        </w:numPr>
        <w:ind w:right="-2"/>
      </w:pPr>
      <w:r>
        <w:t>1 lentelėje nurodytos Danengo vienkartinė ir suminė paros dozės miligramais (mg). Dozės priklauso nuo paciento kūno svorio kilogramais (kg) ir amžiaus metais.</w:t>
      </w:r>
    </w:p>
    <w:p w14:paraId="6DCCF0BC" w14:textId="77777777" w:rsidR="00F22FBD" w:rsidRDefault="00F22FBD">
      <w:pPr>
        <w:numPr>
          <w:ilvl w:val="12"/>
          <w:numId w:val="0"/>
        </w:numPr>
        <w:ind w:right="-2"/>
      </w:pPr>
    </w:p>
    <w:p w14:paraId="6A3C4904" w14:textId="77777777" w:rsidR="00F22FBD" w:rsidRDefault="00D44E4A">
      <w:pPr>
        <w:numPr>
          <w:ilvl w:val="12"/>
          <w:numId w:val="0"/>
        </w:numPr>
        <w:ind w:right="-2"/>
      </w:pPr>
      <w:r>
        <w:t>1 lentelė. Danengo kapsulių dozavimo lentelė</w:t>
      </w:r>
    </w:p>
    <w:p w14:paraId="25CA0DE0" w14:textId="77777777" w:rsidR="00F22FBD" w:rsidRDefault="00F22FBD">
      <w:pPr>
        <w:numPr>
          <w:ilvl w:val="12"/>
          <w:numId w:val="0"/>
        </w:numPr>
        <w:ind w:right="-2"/>
        <w:rPr>
          <w:noProof/>
        </w:rPr>
      </w:pPr>
    </w:p>
    <w:tbl>
      <w:tblPr>
        <w:tblW w:w="4889"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2"/>
        <w:gridCol w:w="2155"/>
        <w:gridCol w:w="2325"/>
        <w:gridCol w:w="2227"/>
      </w:tblGrid>
      <w:tr w:rsidR="00F22FBD" w14:paraId="68F07B32" w14:textId="77777777">
        <w:trPr>
          <w:trHeight w:val="253"/>
        </w:trPr>
        <w:tc>
          <w:tcPr>
            <w:tcW w:w="2431" w:type="pct"/>
            <w:gridSpan w:val="2"/>
            <w:shd w:val="clear" w:color="auto" w:fill="auto"/>
          </w:tcPr>
          <w:p w14:paraId="538301AC" w14:textId="77777777" w:rsidR="00F22FBD" w:rsidRDefault="00D44E4A">
            <w:pPr>
              <w:widowControl w:val="0"/>
              <w:autoSpaceDE w:val="0"/>
              <w:autoSpaceDN w:val="0"/>
              <w:spacing w:line="234" w:lineRule="exact"/>
              <w:ind w:left="1046"/>
              <w:rPr>
                <w:rFonts w:eastAsia="Calibri"/>
                <w:b/>
                <w:szCs w:val="22"/>
                <w:lang w:val="en-US"/>
              </w:rPr>
            </w:pPr>
            <w:r>
              <w:rPr>
                <w:rFonts w:eastAsia="Calibri"/>
                <w:b/>
                <w:szCs w:val="22"/>
                <w:lang w:val="en-US"/>
              </w:rPr>
              <w:t>Kūno svorio ir amžiaus deriniai</w:t>
            </w:r>
          </w:p>
        </w:tc>
        <w:tc>
          <w:tcPr>
            <w:tcW w:w="1312" w:type="pct"/>
            <w:vMerge w:val="restart"/>
            <w:shd w:val="clear" w:color="auto" w:fill="auto"/>
          </w:tcPr>
          <w:p w14:paraId="63E3FF45" w14:textId="77777777" w:rsidR="00F22FBD" w:rsidRDefault="00D44E4A">
            <w:pPr>
              <w:widowControl w:val="0"/>
              <w:autoSpaceDE w:val="0"/>
              <w:autoSpaceDN w:val="0"/>
              <w:spacing w:line="254" w:lineRule="exact"/>
              <w:ind w:left="862" w:right="585" w:hanging="257"/>
              <w:rPr>
                <w:rFonts w:eastAsia="Calibri"/>
                <w:b/>
                <w:szCs w:val="22"/>
                <w:lang w:val="en-US"/>
              </w:rPr>
            </w:pPr>
            <w:r>
              <w:rPr>
                <w:rFonts w:eastAsia="Calibri"/>
                <w:b/>
                <w:szCs w:val="22"/>
                <w:lang w:val="en-US"/>
              </w:rPr>
              <w:t>Vienkartinė doze mg</w:t>
            </w:r>
          </w:p>
        </w:tc>
        <w:tc>
          <w:tcPr>
            <w:tcW w:w="1257" w:type="pct"/>
            <w:vMerge w:val="restart"/>
            <w:shd w:val="clear" w:color="auto" w:fill="auto"/>
          </w:tcPr>
          <w:p w14:paraId="3CC4E776" w14:textId="77777777" w:rsidR="00F22FBD" w:rsidRDefault="00D44E4A">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F22FBD" w14:paraId="692E8C1B" w14:textId="77777777">
        <w:trPr>
          <w:trHeight w:val="251"/>
        </w:trPr>
        <w:tc>
          <w:tcPr>
            <w:tcW w:w="1215" w:type="pct"/>
            <w:shd w:val="clear" w:color="auto" w:fill="auto"/>
          </w:tcPr>
          <w:p w14:paraId="6CB32B7E" w14:textId="77777777" w:rsidR="00F22FBD" w:rsidRDefault="00D44E4A">
            <w:pPr>
              <w:widowControl w:val="0"/>
              <w:autoSpaceDE w:val="0"/>
              <w:autoSpaceDN w:val="0"/>
              <w:spacing w:line="232" w:lineRule="exact"/>
              <w:ind w:left="107"/>
              <w:rPr>
                <w:rFonts w:eastAsia="Calibri"/>
                <w:b/>
                <w:szCs w:val="22"/>
                <w:lang w:val="en-US"/>
              </w:rPr>
            </w:pPr>
            <w:r>
              <w:rPr>
                <w:rFonts w:eastAsia="Calibri"/>
                <w:b/>
                <w:szCs w:val="22"/>
                <w:lang w:val="en-US"/>
              </w:rPr>
              <w:t>Kūno svoris kilogramais</w:t>
            </w:r>
          </w:p>
        </w:tc>
        <w:tc>
          <w:tcPr>
            <w:tcW w:w="1216" w:type="pct"/>
            <w:shd w:val="clear" w:color="auto" w:fill="auto"/>
          </w:tcPr>
          <w:p w14:paraId="3098640E" w14:textId="77777777" w:rsidR="00F22FBD" w:rsidRDefault="00D44E4A">
            <w:pPr>
              <w:widowControl w:val="0"/>
              <w:autoSpaceDE w:val="0"/>
              <w:autoSpaceDN w:val="0"/>
              <w:spacing w:line="232" w:lineRule="exact"/>
              <w:ind w:left="107"/>
              <w:rPr>
                <w:rFonts w:eastAsia="Calibri"/>
                <w:b/>
                <w:szCs w:val="22"/>
                <w:lang w:val="en-US"/>
              </w:rPr>
            </w:pPr>
            <w:r>
              <w:rPr>
                <w:rFonts w:eastAsia="Calibri"/>
                <w:b/>
                <w:szCs w:val="22"/>
                <w:lang w:val="en-US"/>
              </w:rPr>
              <w:t>Amžius metais</w:t>
            </w:r>
          </w:p>
        </w:tc>
        <w:tc>
          <w:tcPr>
            <w:tcW w:w="1312" w:type="pct"/>
            <w:vMerge/>
            <w:tcBorders>
              <w:top w:val="nil"/>
            </w:tcBorders>
            <w:shd w:val="clear" w:color="auto" w:fill="auto"/>
          </w:tcPr>
          <w:p w14:paraId="61433A7C" w14:textId="77777777" w:rsidR="00F22FBD" w:rsidRDefault="00F22FBD">
            <w:pPr>
              <w:widowControl w:val="0"/>
              <w:autoSpaceDE w:val="0"/>
              <w:autoSpaceDN w:val="0"/>
              <w:rPr>
                <w:rFonts w:eastAsia="Calibri"/>
                <w:sz w:val="2"/>
                <w:szCs w:val="2"/>
                <w:lang w:val="en-US"/>
              </w:rPr>
            </w:pPr>
          </w:p>
        </w:tc>
        <w:tc>
          <w:tcPr>
            <w:tcW w:w="1257" w:type="pct"/>
            <w:vMerge/>
            <w:tcBorders>
              <w:top w:val="nil"/>
            </w:tcBorders>
            <w:shd w:val="clear" w:color="auto" w:fill="auto"/>
          </w:tcPr>
          <w:p w14:paraId="6B27993C" w14:textId="77777777" w:rsidR="00F22FBD" w:rsidRDefault="00F22FBD">
            <w:pPr>
              <w:widowControl w:val="0"/>
              <w:autoSpaceDE w:val="0"/>
              <w:autoSpaceDN w:val="0"/>
              <w:rPr>
                <w:rFonts w:eastAsia="Calibri"/>
                <w:sz w:val="2"/>
                <w:szCs w:val="2"/>
                <w:lang w:val="en-US"/>
              </w:rPr>
            </w:pPr>
          </w:p>
        </w:tc>
      </w:tr>
      <w:tr w:rsidR="00F22FBD" w14:paraId="5D4ED7FB" w14:textId="77777777">
        <w:trPr>
          <w:trHeight w:val="254"/>
        </w:trPr>
        <w:tc>
          <w:tcPr>
            <w:tcW w:w="1215" w:type="pct"/>
            <w:shd w:val="clear" w:color="auto" w:fill="auto"/>
          </w:tcPr>
          <w:p w14:paraId="39C1C4A5"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11 iki mažiau kaip 13 kg</w:t>
            </w:r>
          </w:p>
        </w:tc>
        <w:tc>
          <w:tcPr>
            <w:tcW w:w="1216" w:type="pct"/>
            <w:shd w:val="clear" w:color="auto" w:fill="auto"/>
          </w:tcPr>
          <w:p w14:paraId="59A1C9CD" w14:textId="77777777" w:rsidR="00F22FBD" w:rsidRDefault="00D44E4A">
            <w:pPr>
              <w:widowControl w:val="0"/>
              <w:autoSpaceDE w:val="0"/>
              <w:autoSpaceDN w:val="0"/>
              <w:spacing w:line="234" w:lineRule="exact"/>
              <w:ind w:left="107"/>
              <w:rPr>
                <w:rFonts w:eastAsia="Calibri"/>
                <w:szCs w:val="22"/>
                <w:lang w:val="en-US"/>
              </w:rPr>
            </w:pPr>
            <w:r>
              <w:t>nuo 8 iki jaunesniems kaip 9 metų</w:t>
            </w:r>
          </w:p>
        </w:tc>
        <w:tc>
          <w:tcPr>
            <w:tcW w:w="1312" w:type="pct"/>
            <w:shd w:val="clear" w:color="auto" w:fill="auto"/>
          </w:tcPr>
          <w:p w14:paraId="2EC7B1D6"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1257" w:type="pct"/>
            <w:shd w:val="clear" w:color="auto" w:fill="auto"/>
          </w:tcPr>
          <w:p w14:paraId="3DFE3BF4"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F22FBD" w14:paraId="0BAE65C0" w14:textId="77777777">
        <w:trPr>
          <w:trHeight w:val="253"/>
        </w:trPr>
        <w:tc>
          <w:tcPr>
            <w:tcW w:w="1215" w:type="pct"/>
            <w:shd w:val="clear" w:color="auto" w:fill="auto"/>
          </w:tcPr>
          <w:p w14:paraId="34C097F1"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13 iki mažiau kaip 16 kg</w:t>
            </w:r>
          </w:p>
        </w:tc>
        <w:tc>
          <w:tcPr>
            <w:tcW w:w="1216" w:type="pct"/>
            <w:shd w:val="clear" w:color="auto" w:fill="auto"/>
          </w:tcPr>
          <w:p w14:paraId="5B91D7A2" w14:textId="77777777" w:rsidR="00F22FBD" w:rsidRDefault="00D44E4A">
            <w:pPr>
              <w:widowControl w:val="0"/>
              <w:autoSpaceDE w:val="0"/>
              <w:autoSpaceDN w:val="0"/>
              <w:spacing w:line="234" w:lineRule="exact"/>
              <w:ind w:left="107"/>
              <w:rPr>
                <w:rFonts w:eastAsia="Calibri"/>
                <w:szCs w:val="22"/>
                <w:lang w:val="en-US"/>
              </w:rPr>
            </w:pPr>
            <w:r>
              <w:t>nuo 8 iki jaunesniems kaip 11 metų</w:t>
            </w:r>
          </w:p>
        </w:tc>
        <w:tc>
          <w:tcPr>
            <w:tcW w:w="1312" w:type="pct"/>
            <w:shd w:val="clear" w:color="auto" w:fill="auto"/>
          </w:tcPr>
          <w:p w14:paraId="050A4EF3"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14:paraId="778385BC"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F22FBD" w14:paraId="05B0F9E8" w14:textId="77777777">
        <w:trPr>
          <w:trHeight w:val="251"/>
        </w:trPr>
        <w:tc>
          <w:tcPr>
            <w:tcW w:w="1215" w:type="pct"/>
            <w:shd w:val="clear" w:color="auto" w:fill="auto"/>
          </w:tcPr>
          <w:p w14:paraId="3C823252" w14:textId="77777777" w:rsidR="00F22FBD" w:rsidRDefault="00D44E4A">
            <w:pPr>
              <w:widowControl w:val="0"/>
              <w:autoSpaceDE w:val="0"/>
              <w:autoSpaceDN w:val="0"/>
              <w:spacing w:line="232" w:lineRule="exact"/>
              <w:ind w:left="107"/>
              <w:rPr>
                <w:rFonts w:eastAsia="Calibri"/>
                <w:szCs w:val="22"/>
                <w:lang w:val="en-US"/>
              </w:rPr>
            </w:pPr>
            <w:r>
              <w:rPr>
                <w:rFonts w:eastAsia="Calibri"/>
                <w:szCs w:val="22"/>
                <w:lang w:val="en-US"/>
              </w:rPr>
              <w:t>nuo 16 iki mažiau kaip 21 kg</w:t>
            </w:r>
          </w:p>
        </w:tc>
        <w:tc>
          <w:tcPr>
            <w:tcW w:w="1216" w:type="pct"/>
            <w:shd w:val="clear" w:color="auto" w:fill="auto"/>
          </w:tcPr>
          <w:p w14:paraId="69D136C6" w14:textId="77777777" w:rsidR="00F22FBD" w:rsidRDefault="00D44E4A">
            <w:pPr>
              <w:widowControl w:val="0"/>
              <w:autoSpaceDE w:val="0"/>
              <w:autoSpaceDN w:val="0"/>
              <w:spacing w:line="232" w:lineRule="exact"/>
              <w:ind w:left="107"/>
              <w:rPr>
                <w:rFonts w:eastAsia="Calibri"/>
                <w:szCs w:val="22"/>
                <w:lang w:val="en-US"/>
              </w:rPr>
            </w:pPr>
            <w:r>
              <w:t>nuo 8 iki jaunesniems kaip 14 metų</w:t>
            </w:r>
          </w:p>
        </w:tc>
        <w:tc>
          <w:tcPr>
            <w:tcW w:w="1312" w:type="pct"/>
            <w:shd w:val="clear" w:color="auto" w:fill="auto"/>
          </w:tcPr>
          <w:p w14:paraId="1A2F329B"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14:paraId="1FB534A2"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F22FBD" w14:paraId="77C0F019" w14:textId="77777777">
        <w:trPr>
          <w:trHeight w:val="253"/>
        </w:trPr>
        <w:tc>
          <w:tcPr>
            <w:tcW w:w="1215" w:type="pct"/>
            <w:shd w:val="clear" w:color="auto" w:fill="auto"/>
          </w:tcPr>
          <w:p w14:paraId="716FDE98"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21 iki mažiau kaip 26 kg</w:t>
            </w:r>
          </w:p>
        </w:tc>
        <w:tc>
          <w:tcPr>
            <w:tcW w:w="1216" w:type="pct"/>
            <w:shd w:val="clear" w:color="auto" w:fill="auto"/>
          </w:tcPr>
          <w:p w14:paraId="6BBB5897" w14:textId="77777777" w:rsidR="00F22FBD" w:rsidRDefault="00D44E4A">
            <w:pPr>
              <w:widowControl w:val="0"/>
              <w:autoSpaceDE w:val="0"/>
              <w:autoSpaceDN w:val="0"/>
              <w:spacing w:line="234" w:lineRule="exact"/>
              <w:ind w:left="107"/>
              <w:rPr>
                <w:rFonts w:eastAsia="Calibri"/>
                <w:szCs w:val="22"/>
                <w:lang w:val="en-US"/>
              </w:rPr>
            </w:pPr>
            <w:r>
              <w:t>nuo 8 iki jaunesniems kaip 16 metų</w:t>
            </w:r>
          </w:p>
        </w:tc>
        <w:tc>
          <w:tcPr>
            <w:tcW w:w="1312" w:type="pct"/>
            <w:shd w:val="clear" w:color="auto" w:fill="auto"/>
          </w:tcPr>
          <w:p w14:paraId="0D427DF0"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14:paraId="4AE61503"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F22FBD" w14:paraId="465EA692" w14:textId="77777777">
        <w:trPr>
          <w:trHeight w:val="251"/>
        </w:trPr>
        <w:tc>
          <w:tcPr>
            <w:tcW w:w="1215" w:type="pct"/>
            <w:shd w:val="clear" w:color="auto" w:fill="auto"/>
          </w:tcPr>
          <w:p w14:paraId="3FC7F162" w14:textId="77777777" w:rsidR="00F22FBD" w:rsidRDefault="00D44E4A">
            <w:pPr>
              <w:widowControl w:val="0"/>
              <w:autoSpaceDE w:val="0"/>
              <w:autoSpaceDN w:val="0"/>
              <w:spacing w:line="232" w:lineRule="exact"/>
              <w:ind w:left="107"/>
              <w:rPr>
                <w:rFonts w:eastAsia="Calibri"/>
                <w:szCs w:val="22"/>
                <w:lang w:val="en-US"/>
              </w:rPr>
            </w:pPr>
            <w:r>
              <w:rPr>
                <w:rFonts w:eastAsia="Calibri"/>
                <w:szCs w:val="22"/>
                <w:lang w:val="en-US"/>
              </w:rPr>
              <w:t>nuo 26</w:t>
            </w:r>
            <w:r>
              <w:rPr>
                <w:szCs w:val="22"/>
                <w:lang w:val="sl-SI" w:eastAsia="sl-SI"/>
              </w:rPr>
              <w:t xml:space="preserve"> iki mažiau kaip</w:t>
            </w:r>
            <w:r>
              <w:rPr>
                <w:rFonts w:eastAsia="Calibri"/>
                <w:szCs w:val="22"/>
                <w:lang w:val="en-US"/>
              </w:rPr>
              <w:t xml:space="preserve"> 31 kg</w:t>
            </w:r>
          </w:p>
        </w:tc>
        <w:tc>
          <w:tcPr>
            <w:tcW w:w="1216" w:type="pct"/>
            <w:shd w:val="clear" w:color="auto" w:fill="auto"/>
          </w:tcPr>
          <w:p w14:paraId="748411A4" w14:textId="77777777" w:rsidR="00F22FBD" w:rsidRDefault="00D44E4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09A5C701"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14:paraId="37D01FBF"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F22FBD" w14:paraId="034546BE" w14:textId="77777777">
        <w:trPr>
          <w:trHeight w:val="253"/>
        </w:trPr>
        <w:tc>
          <w:tcPr>
            <w:tcW w:w="1215" w:type="pct"/>
            <w:shd w:val="clear" w:color="auto" w:fill="auto"/>
          </w:tcPr>
          <w:p w14:paraId="3829141E"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31 iki mažiau kaip 41  kg</w:t>
            </w:r>
          </w:p>
        </w:tc>
        <w:tc>
          <w:tcPr>
            <w:tcW w:w="1216" w:type="pct"/>
            <w:shd w:val="clear" w:color="auto" w:fill="auto"/>
          </w:tcPr>
          <w:p w14:paraId="1AF59E04" w14:textId="77777777" w:rsidR="00F22FBD" w:rsidRDefault="00D44E4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14:paraId="5BBBAE22"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1257" w:type="pct"/>
            <w:shd w:val="clear" w:color="auto" w:fill="auto"/>
          </w:tcPr>
          <w:p w14:paraId="4A142E69"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F22FBD" w14:paraId="5C130E48" w14:textId="77777777">
        <w:trPr>
          <w:trHeight w:val="251"/>
        </w:trPr>
        <w:tc>
          <w:tcPr>
            <w:tcW w:w="1215" w:type="pct"/>
            <w:shd w:val="clear" w:color="auto" w:fill="auto"/>
          </w:tcPr>
          <w:p w14:paraId="13B79D46" w14:textId="77777777" w:rsidR="00F22FBD" w:rsidRDefault="00D44E4A">
            <w:pPr>
              <w:widowControl w:val="0"/>
              <w:autoSpaceDE w:val="0"/>
              <w:autoSpaceDN w:val="0"/>
              <w:spacing w:line="232" w:lineRule="exact"/>
              <w:ind w:left="107"/>
              <w:rPr>
                <w:rFonts w:eastAsia="Calibri"/>
                <w:szCs w:val="22"/>
                <w:lang w:val="en-US"/>
              </w:rPr>
            </w:pPr>
            <w:r>
              <w:rPr>
                <w:rFonts w:eastAsia="Calibri"/>
                <w:szCs w:val="22"/>
                <w:lang w:val="en-US"/>
              </w:rPr>
              <w:t>nuo 41 iki mažiau kaip 51 kg</w:t>
            </w:r>
          </w:p>
        </w:tc>
        <w:tc>
          <w:tcPr>
            <w:tcW w:w="1216" w:type="pct"/>
            <w:shd w:val="clear" w:color="auto" w:fill="auto"/>
          </w:tcPr>
          <w:p w14:paraId="06194D65" w14:textId="77777777" w:rsidR="00F22FBD" w:rsidRDefault="00D44E4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13BAC056"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1257" w:type="pct"/>
            <w:shd w:val="clear" w:color="auto" w:fill="auto"/>
          </w:tcPr>
          <w:p w14:paraId="7E714FE5"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F22FBD" w14:paraId="0F328988" w14:textId="77777777">
        <w:trPr>
          <w:trHeight w:val="254"/>
        </w:trPr>
        <w:tc>
          <w:tcPr>
            <w:tcW w:w="1215" w:type="pct"/>
            <w:shd w:val="clear" w:color="auto" w:fill="auto"/>
          </w:tcPr>
          <w:p w14:paraId="6217D75E"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51 iki mažiau kaip 61 kg</w:t>
            </w:r>
          </w:p>
        </w:tc>
        <w:tc>
          <w:tcPr>
            <w:tcW w:w="1216" w:type="pct"/>
            <w:shd w:val="clear" w:color="auto" w:fill="auto"/>
          </w:tcPr>
          <w:p w14:paraId="47AE0A9D" w14:textId="77777777" w:rsidR="00F22FBD" w:rsidRDefault="00D44E4A">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14:paraId="7AD9FE3A"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1257" w:type="pct"/>
            <w:shd w:val="clear" w:color="auto" w:fill="auto"/>
          </w:tcPr>
          <w:p w14:paraId="17FAE511"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F22FBD" w14:paraId="56E9A89F" w14:textId="77777777">
        <w:trPr>
          <w:trHeight w:val="253"/>
        </w:trPr>
        <w:tc>
          <w:tcPr>
            <w:tcW w:w="1215" w:type="pct"/>
            <w:shd w:val="clear" w:color="auto" w:fill="auto"/>
          </w:tcPr>
          <w:p w14:paraId="20D2DD68"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nuo 61 iki mažiau kaip 71 kg</w:t>
            </w:r>
          </w:p>
        </w:tc>
        <w:tc>
          <w:tcPr>
            <w:tcW w:w="1216" w:type="pct"/>
            <w:shd w:val="clear" w:color="auto" w:fill="auto"/>
          </w:tcPr>
          <w:p w14:paraId="54849EB2" w14:textId="77777777" w:rsidR="00F22FBD" w:rsidRDefault="00D44E4A">
            <w:pPr>
              <w:widowControl w:val="0"/>
              <w:autoSpaceDE w:val="0"/>
              <w:autoSpaceDN w:val="0"/>
              <w:spacing w:line="234" w:lineRule="exact"/>
              <w:ind w:left="107"/>
              <w:rPr>
                <w:rFonts w:eastAsia="Calibri"/>
                <w:szCs w:val="22"/>
                <w:lang w:val="en-US"/>
              </w:rPr>
            </w:pPr>
            <w:r>
              <w:t>nuo 8 iki jaunesniems kaip 18 metų</w:t>
            </w:r>
            <w:r>
              <w:rPr>
                <w:rFonts w:eastAsia="Calibri"/>
                <w:szCs w:val="22"/>
                <w:lang w:val="en-US"/>
              </w:rPr>
              <w:t xml:space="preserve"> years</w:t>
            </w:r>
          </w:p>
        </w:tc>
        <w:tc>
          <w:tcPr>
            <w:tcW w:w="1312" w:type="pct"/>
            <w:shd w:val="clear" w:color="auto" w:fill="auto"/>
          </w:tcPr>
          <w:p w14:paraId="7EC8EA2D"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7CCCC68A"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F22FBD" w14:paraId="6308A3B9" w14:textId="77777777">
        <w:trPr>
          <w:trHeight w:val="251"/>
        </w:trPr>
        <w:tc>
          <w:tcPr>
            <w:tcW w:w="1215" w:type="pct"/>
            <w:shd w:val="clear" w:color="auto" w:fill="auto"/>
          </w:tcPr>
          <w:p w14:paraId="5CF6CBC7" w14:textId="77777777" w:rsidR="00F22FBD" w:rsidRDefault="00D44E4A">
            <w:pPr>
              <w:widowControl w:val="0"/>
              <w:autoSpaceDE w:val="0"/>
              <w:autoSpaceDN w:val="0"/>
              <w:spacing w:line="232" w:lineRule="exact"/>
              <w:ind w:left="107"/>
              <w:rPr>
                <w:rFonts w:eastAsia="Calibri"/>
                <w:szCs w:val="22"/>
                <w:lang w:val="en-US"/>
              </w:rPr>
            </w:pPr>
            <w:r>
              <w:rPr>
                <w:rFonts w:eastAsia="Calibri"/>
                <w:szCs w:val="22"/>
                <w:lang w:val="en-US"/>
              </w:rPr>
              <w:t>nuo 71 iki mažiau kaip 81 kg</w:t>
            </w:r>
          </w:p>
        </w:tc>
        <w:tc>
          <w:tcPr>
            <w:tcW w:w="1216" w:type="pct"/>
            <w:shd w:val="clear" w:color="auto" w:fill="auto"/>
          </w:tcPr>
          <w:p w14:paraId="02F48057" w14:textId="77777777" w:rsidR="00F22FBD" w:rsidRDefault="00D44E4A">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78EC446C"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1B09D3A2" w14:textId="77777777" w:rsidR="00F22FBD" w:rsidRDefault="00D44E4A">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F22FBD" w14:paraId="6AB35CC6" w14:textId="77777777">
        <w:trPr>
          <w:trHeight w:val="253"/>
        </w:trPr>
        <w:tc>
          <w:tcPr>
            <w:tcW w:w="1215" w:type="pct"/>
            <w:shd w:val="clear" w:color="auto" w:fill="auto"/>
          </w:tcPr>
          <w:p w14:paraId="5D7DE10C" w14:textId="77777777" w:rsidR="00F22FBD" w:rsidRDefault="00D44E4A">
            <w:pPr>
              <w:widowControl w:val="0"/>
              <w:autoSpaceDE w:val="0"/>
              <w:autoSpaceDN w:val="0"/>
              <w:spacing w:line="234" w:lineRule="exact"/>
              <w:ind w:left="107"/>
              <w:rPr>
                <w:rFonts w:eastAsia="Calibri"/>
                <w:szCs w:val="22"/>
                <w:lang w:val="en-US"/>
              </w:rPr>
            </w:pPr>
            <w:r>
              <w:rPr>
                <w:rFonts w:eastAsia="Calibri"/>
                <w:szCs w:val="22"/>
                <w:lang w:val="en-US"/>
              </w:rPr>
              <w:t>81 kg arba daugiau</w:t>
            </w:r>
          </w:p>
        </w:tc>
        <w:tc>
          <w:tcPr>
            <w:tcW w:w="1216" w:type="pct"/>
            <w:shd w:val="clear" w:color="auto" w:fill="auto"/>
          </w:tcPr>
          <w:p w14:paraId="412F7854" w14:textId="77777777" w:rsidR="00F22FBD" w:rsidRDefault="00D44E4A">
            <w:pPr>
              <w:widowControl w:val="0"/>
              <w:autoSpaceDE w:val="0"/>
              <w:autoSpaceDN w:val="0"/>
              <w:spacing w:line="234" w:lineRule="exact"/>
              <w:ind w:left="107"/>
              <w:rPr>
                <w:rFonts w:eastAsia="Calibri"/>
                <w:szCs w:val="22"/>
                <w:lang w:val="en-US"/>
              </w:rPr>
            </w:pPr>
            <w:r>
              <w:t>nuo 10 iki jaunesniems kaip 18 metų</w:t>
            </w:r>
          </w:p>
        </w:tc>
        <w:tc>
          <w:tcPr>
            <w:tcW w:w="1312" w:type="pct"/>
            <w:shd w:val="clear" w:color="auto" w:fill="auto"/>
          </w:tcPr>
          <w:p w14:paraId="552808BA"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7BE3BC15" w14:textId="77777777" w:rsidR="00F22FBD" w:rsidRDefault="00D44E4A">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14:paraId="7DFB0E8A" w14:textId="77777777" w:rsidR="00F22FBD" w:rsidRDefault="00D44E4A">
      <w:pPr>
        <w:numPr>
          <w:ilvl w:val="12"/>
          <w:numId w:val="0"/>
        </w:numPr>
        <w:ind w:right="-2"/>
      </w:pPr>
      <w:r>
        <w:t>Vienkartinės dozės, kurioms reikia vartoti daugiau kaip vieną kapsulę:</w:t>
      </w:r>
    </w:p>
    <w:p w14:paraId="2369B294" w14:textId="77777777" w:rsidR="00F22FBD" w:rsidRDefault="00D44E4A">
      <w:pPr>
        <w:widowControl w:val="0"/>
        <w:tabs>
          <w:tab w:val="left" w:pos="1351"/>
        </w:tabs>
        <w:autoSpaceDE w:val="0"/>
        <w:autoSpaceDN w:val="0"/>
        <w:ind w:left="1351" w:right="4941" w:hanging="1133"/>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14:paraId="28F4A7B7" w14:textId="77777777" w:rsidR="00F22FBD" w:rsidRDefault="00D44E4A">
      <w:pPr>
        <w:widowControl w:val="0"/>
        <w:autoSpaceDE w:val="0"/>
        <w:autoSpaceDN w:val="0"/>
        <w:spacing w:line="252" w:lineRule="exact"/>
        <w:ind w:left="1351"/>
        <w:rPr>
          <w:szCs w:val="22"/>
          <w:lang w:val="en-US"/>
        </w:rPr>
      </w:pPr>
      <w:r>
        <w:rPr>
          <w:szCs w:val="22"/>
          <w:lang w:val="en-US"/>
        </w:rPr>
        <w:t>keturios 75 mg kapsulės</w:t>
      </w:r>
    </w:p>
    <w:p w14:paraId="4CD2EA0D" w14:textId="77777777" w:rsidR="00F22FBD" w:rsidRDefault="00D44E4A">
      <w:pPr>
        <w:widowControl w:val="0"/>
        <w:tabs>
          <w:tab w:val="left" w:pos="1351"/>
        </w:tabs>
        <w:autoSpaceDE w:val="0"/>
        <w:autoSpaceDN w:val="0"/>
        <w:ind w:left="1351" w:hanging="1133"/>
        <w:rPr>
          <w:szCs w:val="22"/>
          <w:lang w:val="en-US"/>
        </w:rPr>
      </w:pPr>
      <w:r>
        <w:rPr>
          <w:szCs w:val="22"/>
          <w:lang w:val="en-US"/>
        </w:rPr>
        <w:t>260</w:t>
      </w:r>
      <w:r>
        <w:rPr>
          <w:spacing w:val="-3"/>
          <w:szCs w:val="22"/>
          <w:lang w:val="en-US"/>
        </w:rPr>
        <w:t> </w:t>
      </w:r>
      <w:r>
        <w:rPr>
          <w:szCs w:val="22"/>
          <w:lang w:val="en-US"/>
        </w:rPr>
        <w:t>mg:</w:t>
      </w:r>
      <w:r>
        <w:rPr>
          <w:szCs w:val="22"/>
          <w:lang w:val="en-US"/>
        </w:rPr>
        <w:tab/>
        <w:t xml:space="preserve">viena110 mg plius viena 150 mg kapsulė arba </w:t>
      </w:r>
    </w:p>
    <w:p w14:paraId="5269D501" w14:textId="77777777" w:rsidR="00F22FBD" w:rsidRDefault="00D44E4A">
      <w:pPr>
        <w:widowControl w:val="0"/>
        <w:tabs>
          <w:tab w:val="left" w:pos="1351"/>
        </w:tabs>
        <w:autoSpaceDE w:val="0"/>
        <w:autoSpaceDN w:val="0"/>
        <w:ind w:left="1351" w:hanging="1133"/>
        <w:rPr>
          <w:szCs w:val="22"/>
          <w:lang w:val="en-US"/>
        </w:rPr>
      </w:pPr>
      <w:r>
        <w:rPr>
          <w:szCs w:val="22"/>
          <w:lang w:val="en-US"/>
        </w:rPr>
        <w:tab/>
        <w:t>viena 110 mg plius dvi 75 mg</w:t>
      </w:r>
      <w:r>
        <w:rPr>
          <w:spacing w:val="-9"/>
          <w:szCs w:val="22"/>
          <w:lang w:val="en-US"/>
        </w:rPr>
        <w:t xml:space="preserve"> </w:t>
      </w:r>
      <w:r>
        <w:rPr>
          <w:szCs w:val="22"/>
          <w:lang w:val="en-US"/>
        </w:rPr>
        <w:t>kapsulės</w:t>
      </w:r>
    </w:p>
    <w:p w14:paraId="411D70DD" w14:textId="77777777" w:rsidR="00F22FBD" w:rsidRDefault="00D44E4A">
      <w:pPr>
        <w:widowControl w:val="0"/>
        <w:tabs>
          <w:tab w:val="left" w:pos="1351"/>
        </w:tabs>
        <w:autoSpaceDE w:val="0"/>
        <w:autoSpaceDN w:val="0"/>
        <w:spacing w:line="252" w:lineRule="exact"/>
        <w:ind w:left="218"/>
        <w:rPr>
          <w:szCs w:val="22"/>
          <w:lang w:val="en-US"/>
        </w:rPr>
      </w:pPr>
      <w:r>
        <w:rPr>
          <w:szCs w:val="22"/>
          <w:lang w:val="en-US"/>
        </w:rPr>
        <w:lastRenderedPageBreak/>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14:paraId="217F9E89" w14:textId="77777777" w:rsidR="00F22FBD" w:rsidRDefault="00D44E4A">
      <w:pPr>
        <w:widowControl w:val="0"/>
        <w:tabs>
          <w:tab w:val="left" w:pos="1351"/>
        </w:tabs>
        <w:autoSpaceDE w:val="0"/>
        <w:autoSpaceDN w:val="0"/>
        <w:ind w:left="218" w:right="1871"/>
        <w:rPr>
          <w:szCs w:val="22"/>
          <w:lang w:val="en-US"/>
        </w:rPr>
      </w:pPr>
      <w:r>
        <w:rPr>
          <w:szCs w:val="22"/>
          <w:lang w:val="en-US"/>
        </w:rPr>
        <w:t>185</w:t>
      </w:r>
      <w:r>
        <w:rPr>
          <w:spacing w:val="-3"/>
          <w:szCs w:val="22"/>
          <w:lang w:val="en-US"/>
        </w:rPr>
        <w:t> </w:t>
      </w:r>
      <w:r>
        <w:rPr>
          <w:szCs w:val="22"/>
          <w:lang w:val="en-US"/>
        </w:rPr>
        <w:t>mg:</w:t>
      </w:r>
      <w:r>
        <w:rPr>
          <w:szCs w:val="22"/>
          <w:lang w:val="en-US"/>
        </w:rPr>
        <w:tab/>
        <w:t xml:space="preserve">viena 75 mg plius viena 110 mg kapsulė </w:t>
      </w:r>
    </w:p>
    <w:p w14:paraId="37F1B5DA" w14:textId="77777777" w:rsidR="00F22FBD" w:rsidRDefault="00D44E4A">
      <w:pPr>
        <w:widowControl w:val="0"/>
        <w:tabs>
          <w:tab w:val="left" w:pos="1351"/>
        </w:tabs>
        <w:autoSpaceDE w:val="0"/>
        <w:autoSpaceDN w:val="0"/>
        <w:ind w:left="218" w:right="1871"/>
        <w:rPr>
          <w:szCs w:val="22"/>
          <w:lang w:val="en-US"/>
        </w:rPr>
      </w:pPr>
      <w:r>
        <w:rPr>
          <w:szCs w:val="22"/>
          <w:lang w:val="en-US"/>
        </w:rPr>
        <w:t>150</w:t>
      </w:r>
      <w:r>
        <w:rPr>
          <w:spacing w:val="-3"/>
          <w:szCs w:val="22"/>
          <w:lang w:val="en-US"/>
        </w:rPr>
        <w:t> </w:t>
      </w:r>
      <w:r>
        <w:rPr>
          <w:szCs w:val="22"/>
          <w:lang w:val="en-US"/>
        </w:rPr>
        <w:t>mg:</w:t>
      </w:r>
      <w:r>
        <w:rPr>
          <w:szCs w:val="22"/>
          <w:lang w:val="en-US"/>
        </w:rPr>
        <w:tab/>
        <w:t xml:space="preserve">viena 150 mg kapsulė arba </w:t>
      </w:r>
    </w:p>
    <w:p w14:paraId="4EDA3BFE" w14:textId="77777777" w:rsidR="00F22FBD" w:rsidRDefault="00D44E4A">
      <w:pPr>
        <w:widowControl w:val="0"/>
        <w:tabs>
          <w:tab w:val="left" w:pos="1351"/>
        </w:tabs>
        <w:autoSpaceDE w:val="0"/>
        <w:autoSpaceDN w:val="0"/>
        <w:ind w:left="218" w:right="1871"/>
        <w:rPr>
          <w:szCs w:val="22"/>
          <w:lang w:val="en-US"/>
        </w:rPr>
      </w:pPr>
      <w:r>
        <w:rPr>
          <w:szCs w:val="22"/>
          <w:lang w:val="en-US"/>
        </w:rPr>
        <w:tab/>
        <w:t>dvi 75 mg kapsulės</w:t>
      </w:r>
    </w:p>
    <w:p w14:paraId="253C6A46" w14:textId="77777777" w:rsidR="00F22FBD" w:rsidRDefault="00F22FBD">
      <w:pPr>
        <w:numPr>
          <w:ilvl w:val="12"/>
          <w:numId w:val="0"/>
        </w:numPr>
        <w:ind w:right="-2"/>
      </w:pPr>
    </w:p>
    <w:p w14:paraId="19C5C198" w14:textId="77777777" w:rsidR="00F22FBD" w:rsidRDefault="00D44E4A">
      <w:pPr>
        <w:numPr>
          <w:ilvl w:val="12"/>
          <w:numId w:val="0"/>
        </w:numPr>
        <w:ind w:right="-2"/>
        <w:rPr>
          <w:b/>
          <w:bCs/>
        </w:rPr>
      </w:pPr>
      <w:r>
        <w:rPr>
          <w:b/>
          <w:bCs/>
        </w:rPr>
        <w:t>Kaip vartoti Danengo</w:t>
      </w:r>
    </w:p>
    <w:p w14:paraId="52A0A69B" w14:textId="77777777" w:rsidR="00F22FBD" w:rsidRDefault="00D44E4A">
      <w:pPr>
        <w:numPr>
          <w:ilvl w:val="12"/>
          <w:numId w:val="0"/>
        </w:numPr>
        <w:ind w:right="-2"/>
      </w:pPr>
      <w:r>
        <w:t>Danengo galima vartoti valgio metu arba nevalgius. Reikia nuryti visą kapsulę, užgeriant stikline vandens, kad būtų garantuotas patekimas į skrandį. Kapsulių negalima nei laužyti, nei kramtyti, nei iš jų granules išpilti, kadangi dėl to gali padidėti kraujavimo rizika.</w:t>
      </w:r>
    </w:p>
    <w:p w14:paraId="78245F99" w14:textId="77777777" w:rsidR="00F22FBD" w:rsidRDefault="00F22FBD">
      <w:pPr>
        <w:numPr>
          <w:ilvl w:val="12"/>
          <w:numId w:val="0"/>
        </w:numPr>
        <w:ind w:right="-2"/>
      </w:pPr>
    </w:p>
    <w:p w14:paraId="267461E0" w14:textId="77777777" w:rsidR="00F22FBD" w:rsidRDefault="00D44E4A">
      <w:pPr>
        <w:numPr>
          <w:ilvl w:val="12"/>
          <w:numId w:val="0"/>
        </w:numPr>
        <w:ind w:right="-2"/>
      </w:pPr>
      <w:r>
        <w:t>Lizdinės plokštelės atidarymo instrukcija</w:t>
      </w:r>
    </w:p>
    <w:p w14:paraId="59DB9A6D" w14:textId="77777777" w:rsidR="00F22FBD" w:rsidRDefault="00D44E4A">
      <w:pPr>
        <w:numPr>
          <w:ilvl w:val="12"/>
          <w:numId w:val="0"/>
        </w:numPr>
        <w:ind w:right="-2"/>
      </w:pPr>
      <w:r>
        <w:t>Šios piktogramos parodo, kaip Danengo kapsules išimti iš lizdinės plokštelės.</w:t>
      </w:r>
    </w:p>
    <w:p w14:paraId="58C02F72" w14:textId="77777777" w:rsidR="00F22FBD" w:rsidRDefault="00F22FBD">
      <w:pPr>
        <w:numPr>
          <w:ilvl w:val="12"/>
          <w:numId w:val="0"/>
        </w:numPr>
        <w:ind w:right="-2"/>
        <w:rPr>
          <w:noProof/>
        </w:rPr>
      </w:pPr>
    </w:p>
    <w:p w14:paraId="5FE91F2C" w14:textId="77777777" w:rsidR="00F22FBD" w:rsidRDefault="00D44E4A">
      <w:pPr>
        <w:numPr>
          <w:ilvl w:val="12"/>
          <w:numId w:val="0"/>
        </w:numPr>
        <w:ind w:right="-2"/>
        <w:rPr>
          <w:noProof/>
        </w:rPr>
      </w:pPr>
      <w:r>
        <w:rPr>
          <w:noProof/>
        </w:rPr>
        <w:t>Norėdami išimti kapsulę iš lizdinės plokštelės:</w:t>
      </w:r>
    </w:p>
    <w:p w14:paraId="0D5DD75E" w14:textId="77777777" w:rsidR="00F22FBD" w:rsidRDefault="00D44E4A">
      <w:pPr>
        <w:pStyle w:val="Sraopastraipa"/>
        <w:widowControl w:val="0"/>
        <w:numPr>
          <w:ilvl w:val="0"/>
          <w:numId w:val="9"/>
        </w:numPr>
        <w:kinsoku w:val="0"/>
        <w:overflowPunct w:val="0"/>
        <w:autoSpaceDE w:val="0"/>
        <w:autoSpaceDN w:val="0"/>
        <w:adjustRightInd w:val="0"/>
        <w:rPr>
          <w:noProof/>
        </w:rPr>
      </w:pPr>
      <w:r>
        <w:rPr>
          <w:noProof/>
        </w:rPr>
        <w:t>Laikykite lizdinę plokštelę už kraštų ir atskirkite vieną lizdinės plokštelės dalomąją dalį, švelniai lenkdami ir nuplėšdami išilgai perforuotų linijų.</w:t>
      </w:r>
    </w:p>
    <w:p w14:paraId="641BF8B4" w14:textId="77777777" w:rsidR="00F22FBD" w:rsidRDefault="00D44E4A">
      <w:pPr>
        <w:pStyle w:val="Sraopastraipa"/>
        <w:widowControl w:val="0"/>
        <w:numPr>
          <w:ilvl w:val="0"/>
          <w:numId w:val="9"/>
        </w:numPr>
        <w:kinsoku w:val="0"/>
        <w:overflowPunct w:val="0"/>
        <w:autoSpaceDE w:val="0"/>
        <w:autoSpaceDN w:val="0"/>
        <w:adjustRightInd w:val="0"/>
        <w:rPr>
          <w:noProof/>
        </w:rPr>
      </w:pPr>
      <w:r>
        <w:rPr>
          <w:noProof/>
        </w:rPr>
        <w:t>Patraukite folijos kraštą ir visiškai nulupkite foliją.</w:t>
      </w:r>
    </w:p>
    <w:p w14:paraId="2020FD24" w14:textId="77777777" w:rsidR="00F22FBD" w:rsidRDefault="00D44E4A">
      <w:pPr>
        <w:pStyle w:val="Sraopastraipa"/>
        <w:widowControl w:val="0"/>
        <w:numPr>
          <w:ilvl w:val="0"/>
          <w:numId w:val="9"/>
        </w:numPr>
        <w:kinsoku w:val="0"/>
        <w:overflowPunct w:val="0"/>
        <w:autoSpaceDE w:val="0"/>
        <w:autoSpaceDN w:val="0"/>
        <w:adjustRightInd w:val="0"/>
        <w:rPr>
          <w:noProof/>
        </w:rPr>
      </w:pPr>
      <w:r>
        <w:rPr>
          <w:noProof/>
        </w:rPr>
        <w:t>Išmeskite kapsulę ant rankos.</w:t>
      </w:r>
    </w:p>
    <w:p w14:paraId="2C9C0933" w14:textId="77777777" w:rsidR="00F22FBD" w:rsidRDefault="00D44E4A">
      <w:pPr>
        <w:pStyle w:val="Sraopastraipa"/>
        <w:widowControl w:val="0"/>
        <w:numPr>
          <w:ilvl w:val="0"/>
          <w:numId w:val="9"/>
        </w:numPr>
        <w:kinsoku w:val="0"/>
        <w:overflowPunct w:val="0"/>
        <w:autoSpaceDE w:val="0"/>
        <w:autoSpaceDN w:val="0"/>
        <w:adjustRightInd w:val="0"/>
        <w:rPr>
          <w:noProof/>
        </w:rPr>
      </w:pPr>
      <w:r>
        <w:rPr>
          <w:noProof/>
        </w:rPr>
        <w:t>Nurykite visas kapsules, užsigerdami stikline vandens.</w:t>
      </w:r>
    </w:p>
    <w:p w14:paraId="7919A910" w14:textId="77777777" w:rsidR="00F22FBD" w:rsidRDefault="00F22FBD">
      <w:pPr>
        <w:numPr>
          <w:ilvl w:val="12"/>
          <w:numId w:val="0"/>
        </w:numPr>
        <w:ind w:right="-2"/>
        <w:rPr>
          <w:noProof/>
        </w:rPr>
      </w:pPr>
    </w:p>
    <w:p w14:paraId="6877CC36" w14:textId="77777777" w:rsidR="00F22FBD" w:rsidRDefault="00D44E4A">
      <w:pPr>
        <w:numPr>
          <w:ilvl w:val="0"/>
          <w:numId w:val="5"/>
        </w:numPr>
        <w:autoSpaceDE w:val="0"/>
        <w:autoSpaceDN w:val="0"/>
        <w:adjustRightInd w:val="0"/>
        <w:ind w:left="567" w:hanging="567"/>
        <w:rPr>
          <w:color w:val="000000"/>
          <w:szCs w:val="22"/>
          <w:lang w:val="sl-SI" w:eastAsia="sl-SI"/>
        </w:rPr>
      </w:pPr>
      <w:r>
        <w:rPr>
          <w:noProof/>
        </w:rPr>
        <w:t xml:space="preserve">Nespauskite kapsulių per lizdinės plokštelės foliją </w:t>
      </w:r>
    </w:p>
    <w:p w14:paraId="56E22821" w14:textId="77777777" w:rsidR="00F22FBD" w:rsidRDefault="00D44E4A">
      <w:pPr>
        <w:numPr>
          <w:ilvl w:val="0"/>
          <w:numId w:val="5"/>
        </w:numPr>
        <w:autoSpaceDE w:val="0"/>
        <w:autoSpaceDN w:val="0"/>
        <w:adjustRightInd w:val="0"/>
        <w:ind w:left="567" w:hanging="567"/>
        <w:rPr>
          <w:color w:val="000000"/>
          <w:szCs w:val="22"/>
          <w:lang w:val="sl-SI" w:eastAsia="sl-SI"/>
        </w:rPr>
      </w:pPr>
      <w:r>
        <w:rPr>
          <w:noProof/>
        </w:rPr>
        <w:t>Nenuplėškite lizdinės plokštelės folijos, kol neprireiks kapsulės.</w:t>
      </w:r>
    </w:p>
    <w:p w14:paraId="3D2A6523" w14:textId="77777777" w:rsidR="00F22FBD" w:rsidRDefault="00F22FBD">
      <w:pPr>
        <w:autoSpaceDE w:val="0"/>
        <w:autoSpaceDN w:val="0"/>
        <w:adjustRightInd w:val="0"/>
        <w:rPr>
          <w:color w:val="000000"/>
          <w:szCs w:val="22"/>
          <w:lang w:val="sl-SI" w:eastAsia="sl-SI"/>
        </w:rPr>
      </w:pPr>
    </w:p>
    <w:p w14:paraId="1E76BFD1" w14:textId="77777777" w:rsidR="00F22FBD" w:rsidRDefault="00D44E4A">
      <w:pPr>
        <w:numPr>
          <w:ilvl w:val="12"/>
          <w:numId w:val="0"/>
        </w:numPr>
        <w:ind w:right="-2"/>
        <w:rPr>
          <w:noProof/>
        </w:rPr>
      </w:pPr>
      <w:r>
        <w:rPr>
          <w:noProof/>
          <w:lang w:eastAsia="lt-LT"/>
        </w:rPr>
        <w:drawing>
          <wp:inline distT="0" distB="0" distL="0" distR="0" wp14:anchorId="5D7733F4" wp14:editId="4110ECFC">
            <wp:extent cx="6057265" cy="1400175"/>
            <wp:effectExtent l="0" t="0" r="635"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265" cy="1400175"/>
                    </a:xfrm>
                    <a:prstGeom prst="rect">
                      <a:avLst/>
                    </a:prstGeom>
                    <a:noFill/>
                  </pic:spPr>
                </pic:pic>
              </a:graphicData>
            </a:graphic>
          </wp:inline>
        </w:drawing>
      </w:r>
    </w:p>
    <w:p w14:paraId="4CA96F12" w14:textId="77777777" w:rsidR="00F22FBD" w:rsidRDefault="00F22FBD">
      <w:pPr>
        <w:numPr>
          <w:ilvl w:val="12"/>
          <w:numId w:val="0"/>
        </w:numPr>
        <w:ind w:right="-2"/>
        <w:rPr>
          <w:noProof/>
        </w:rPr>
      </w:pPr>
    </w:p>
    <w:p w14:paraId="1B16DD95" w14:textId="77777777" w:rsidR="00F22FBD" w:rsidRDefault="00D44E4A">
      <w:pPr>
        <w:numPr>
          <w:ilvl w:val="12"/>
          <w:numId w:val="0"/>
        </w:numPr>
        <w:ind w:right="-2"/>
        <w:rPr>
          <w:b/>
          <w:bCs/>
          <w:noProof/>
        </w:rPr>
      </w:pPr>
      <w:r>
        <w:rPr>
          <w:b/>
          <w:bCs/>
          <w:noProof/>
        </w:rPr>
        <w:t>Talpyklės naudojimo instrukcijos</w:t>
      </w:r>
    </w:p>
    <w:p w14:paraId="573F6103" w14:textId="77777777" w:rsidR="00F22FBD" w:rsidRDefault="00D44E4A">
      <w:pPr>
        <w:widowControl w:val="0"/>
        <w:numPr>
          <w:ilvl w:val="0"/>
          <w:numId w:val="5"/>
        </w:numPr>
        <w:autoSpaceDE w:val="0"/>
        <w:autoSpaceDN w:val="0"/>
        <w:ind w:left="567" w:hanging="567"/>
        <w:rPr>
          <w:color w:val="000000"/>
          <w:szCs w:val="22"/>
          <w:lang w:val="en-US"/>
        </w:rPr>
      </w:pPr>
      <w:r>
        <w:rPr>
          <w:noProof/>
        </w:rPr>
        <w:t>Paspauskite ir pasukite, kad atidarytumėte.</w:t>
      </w:r>
    </w:p>
    <w:p w14:paraId="35799FA9" w14:textId="77777777" w:rsidR="00F22FBD" w:rsidRDefault="00D44E4A">
      <w:pPr>
        <w:widowControl w:val="0"/>
        <w:numPr>
          <w:ilvl w:val="0"/>
          <w:numId w:val="5"/>
        </w:numPr>
        <w:autoSpaceDE w:val="0"/>
        <w:autoSpaceDN w:val="0"/>
        <w:ind w:left="567" w:hanging="567"/>
        <w:rPr>
          <w:color w:val="000000"/>
          <w:szCs w:val="22"/>
          <w:lang w:val="en-US"/>
        </w:rPr>
      </w:pPr>
      <w:r>
        <w:rPr>
          <w:noProof/>
        </w:rPr>
        <w:t>Kapsulę išėmę, uždėkite dangtelį ant talpyklės ir iškart po dozės išgėrimo sandariai uždarykite talpyklę.</w:t>
      </w:r>
    </w:p>
    <w:p w14:paraId="15EEDBA2" w14:textId="77777777" w:rsidR="00F22FBD" w:rsidRDefault="00F22FBD">
      <w:pPr>
        <w:numPr>
          <w:ilvl w:val="12"/>
          <w:numId w:val="0"/>
        </w:numPr>
        <w:ind w:right="-2"/>
      </w:pPr>
    </w:p>
    <w:p w14:paraId="076C8309" w14:textId="77777777" w:rsidR="00F22FBD" w:rsidRDefault="00D44E4A">
      <w:pPr>
        <w:numPr>
          <w:ilvl w:val="12"/>
          <w:numId w:val="0"/>
        </w:numPr>
        <w:ind w:right="-2"/>
        <w:rPr>
          <w:b/>
          <w:bCs/>
        </w:rPr>
      </w:pPr>
      <w:r>
        <w:rPr>
          <w:b/>
          <w:bCs/>
        </w:rPr>
        <w:t>Gydymo antikoaguliantais keitimas</w:t>
      </w:r>
    </w:p>
    <w:p w14:paraId="68EBB80C" w14:textId="77777777" w:rsidR="00F22FBD" w:rsidRDefault="00D44E4A">
      <w:pPr>
        <w:numPr>
          <w:ilvl w:val="12"/>
          <w:numId w:val="0"/>
        </w:numPr>
        <w:ind w:right="-2"/>
      </w:pPr>
      <w:r>
        <w:t>Nekeiskite gydymo antikoaguliantais be konkrečių gydytojo nurodymų.</w:t>
      </w:r>
    </w:p>
    <w:p w14:paraId="3600A503" w14:textId="77777777" w:rsidR="00F22FBD" w:rsidRDefault="00F22FBD">
      <w:pPr>
        <w:numPr>
          <w:ilvl w:val="12"/>
          <w:numId w:val="0"/>
        </w:numPr>
        <w:ind w:right="-2"/>
      </w:pPr>
    </w:p>
    <w:p w14:paraId="51C73935" w14:textId="77777777" w:rsidR="00F22FBD" w:rsidRDefault="00D44E4A">
      <w:pPr>
        <w:numPr>
          <w:ilvl w:val="12"/>
          <w:numId w:val="0"/>
        </w:numPr>
        <w:ind w:right="-2"/>
        <w:rPr>
          <w:b/>
          <w:bCs/>
        </w:rPr>
      </w:pPr>
      <w:r>
        <w:rPr>
          <w:b/>
          <w:bCs/>
        </w:rPr>
        <w:t>Ką daryti pavartojus per didelę Danengo dozę</w:t>
      </w:r>
    </w:p>
    <w:p w14:paraId="62EA8D47" w14:textId="77777777" w:rsidR="00F22FBD" w:rsidRDefault="00D44E4A">
      <w:pPr>
        <w:numPr>
          <w:ilvl w:val="12"/>
          <w:numId w:val="0"/>
        </w:numPr>
        <w:ind w:right="-2"/>
      </w:pPr>
      <w:r>
        <w:t>Pavartojus šio vaisto per daug, padidėja kraujavimo rizika. Jeigu suvartojote per daug kapsulių, nedelsdami kreipkitės į gydytoją. Tokiu atveju galima taikyti specialius gydymo metodus.</w:t>
      </w:r>
    </w:p>
    <w:p w14:paraId="5B3AD3A1" w14:textId="77777777" w:rsidR="00F22FBD" w:rsidRDefault="00F22FBD">
      <w:pPr>
        <w:numPr>
          <w:ilvl w:val="12"/>
          <w:numId w:val="0"/>
        </w:numPr>
        <w:ind w:right="-2"/>
      </w:pPr>
    </w:p>
    <w:p w14:paraId="7AD5A479" w14:textId="77777777" w:rsidR="00F22FBD" w:rsidRDefault="00D44E4A">
      <w:pPr>
        <w:numPr>
          <w:ilvl w:val="12"/>
          <w:numId w:val="0"/>
        </w:numPr>
        <w:ind w:right="-2"/>
        <w:rPr>
          <w:b/>
          <w:bCs/>
        </w:rPr>
      </w:pPr>
      <w:r>
        <w:rPr>
          <w:b/>
          <w:bCs/>
        </w:rPr>
        <w:t>Pamiršus pavartoti Danengo</w:t>
      </w:r>
    </w:p>
    <w:p w14:paraId="71139FC1" w14:textId="77777777" w:rsidR="00F22FBD" w:rsidRDefault="00D44E4A">
      <w:pPr>
        <w:numPr>
          <w:ilvl w:val="12"/>
          <w:numId w:val="0"/>
        </w:numPr>
        <w:ind w:right="-2"/>
        <w:rPr>
          <w:u w:val="single"/>
        </w:rPr>
      </w:pPr>
      <w:r>
        <w:rPr>
          <w:u w:val="single"/>
        </w:rPr>
        <w:t>Kraujo krešulių formavimosi po kelio ar klubo sąnario keitimo operacijos profilaktika</w:t>
      </w:r>
    </w:p>
    <w:p w14:paraId="18E49B3D" w14:textId="77777777" w:rsidR="00F22FBD" w:rsidRDefault="00D44E4A">
      <w:pPr>
        <w:numPr>
          <w:ilvl w:val="12"/>
          <w:numId w:val="0"/>
        </w:numPr>
        <w:ind w:right="-2"/>
      </w:pPr>
      <w:r>
        <w:t>Tokiu pačiu laiku kitą dieną gerkite kitą Danengo paros dozę. Negalima vartoti dvigubos dozės norint kompensuoti pamirštą dozę.</w:t>
      </w:r>
    </w:p>
    <w:p w14:paraId="15242AD6" w14:textId="77777777" w:rsidR="00F22FBD" w:rsidRDefault="00F22FBD">
      <w:pPr>
        <w:numPr>
          <w:ilvl w:val="12"/>
          <w:numId w:val="0"/>
        </w:numPr>
        <w:ind w:right="-2"/>
      </w:pPr>
    </w:p>
    <w:p w14:paraId="278C05A5" w14:textId="77777777" w:rsidR="00F22FBD" w:rsidRDefault="00D44E4A">
      <w:pPr>
        <w:numPr>
          <w:ilvl w:val="12"/>
          <w:numId w:val="0"/>
        </w:numPr>
        <w:ind w:right="-2"/>
      </w:pPr>
      <w:r>
        <w:rPr>
          <w:u w:val="single"/>
        </w:rPr>
        <w:t>Kraujo krešulių gydymas ir kraujo krešulių kartotinio susidarymo profilaktika vaikams</w:t>
      </w:r>
    </w:p>
    <w:p w14:paraId="41C163BB" w14:textId="77777777" w:rsidR="00F22FBD" w:rsidRDefault="00D44E4A">
      <w:pPr>
        <w:numPr>
          <w:ilvl w:val="12"/>
          <w:numId w:val="0"/>
        </w:numPr>
        <w:ind w:right="-2"/>
      </w:pPr>
      <w:r>
        <w:t>Pamirštą dozę galima gerti, jeigu iki kitos dozės vartojimo laiko yra likusios ne mažiau kaip 6 valandos. Pamirštą dozę reikia praleisti, jeigu iki kitos dozės vartojimo laiko likusios mažiau kaip 6 valandos. Negalima vartoti dvigubos dozės norint kompensuoti praleistą dozę.</w:t>
      </w:r>
    </w:p>
    <w:p w14:paraId="331BE024" w14:textId="77777777" w:rsidR="00F22FBD" w:rsidRDefault="00F22FBD">
      <w:pPr>
        <w:numPr>
          <w:ilvl w:val="12"/>
          <w:numId w:val="0"/>
        </w:numPr>
        <w:ind w:right="-2"/>
      </w:pPr>
    </w:p>
    <w:p w14:paraId="4F728B6F" w14:textId="77777777" w:rsidR="00F22FBD" w:rsidRDefault="00D44E4A">
      <w:pPr>
        <w:numPr>
          <w:ilvl w:val="12"/>
          <w:numId w:val="0"/>
        </w:numPr>
        <w:ind w:right="-2"/>
        <w:rPr>
          <w:b/>
          <w:bCs/>
        </w:rPr>
      </w:pPr>
      <w:r>
        <w:rPr>
          <w:b/>
          <w:bCs/>
        </w:rPr>
        <w:t>Nustojus vartoti Danengo</w:t>
      </w:r>
    </w:p>
    <w:p w14:paraId="785C10AA" w14:textId="77777777" w:rsidR="00F22FBD" w:rsidRDefault="00D44E4A">
      <w:pPr>
        <w:numPr>
          <w:ilvl w:val="12"/>
          <w:numId w:val="0"/>
        </w:numPr>
        <w:ind w:right="-2"/>
      </w:pPr>
      <w:r>
        <w:lastRenderedPageBreak/>
        <w:t>Danengo vartokite tiksliai kaip nurodė gydytojas. Iš pradžių nepasitarę su gydytoju, šio vaisto vartojimo nenutraukite, nes per anksti nutraukus gydymą gali padidėti kraujo krešulio susidarymo rizika. Jeigu suvartojus Danengo pasireiškė nevirškinimas, kreipkitės į gydytoją.</w:t>
      </w:r>
    </w:p>
    <w:p w14:paraId="7EF846CF" w14:textId="77777777" w:rsidR="00F22FBD" w:rsidRDefault="00F22FBD">
      <w:pPr>
        <w:numPr>
          <w:ilvl w:val="12"/>
          <w:numId w:val="0"/>
        </w:numPr>
        <w:ind w:right="-2"/>
      </w:pPr>
    </w:p>
    <w:p w14:paraId="15C1798C" w14:textId="77777777" w:rsidR="00F22FBD" w:rsidRDefault="00D44E4A">
      <w:pPr>
        <w:numPr>
          <w:ilvl w:val="12"/>
          <w:numId w:val="0"/>
        </w:numPr>
        <w:ind w:right="-2"/>
      </w:pPr>
      <w:r>
        <w:t>Jeigu kiltų daugiau klausimų dėl šio vaisto vartojimo, kreipkitės į gydytoją arba vaistininką.</w:t>
      </w:r>
    </w:p>
    <w:p w14:paraId="3A60BD90" w14:textId="77777777" w:rsidR="00F22FBD" w:rsidRDefault="00F22FBD">
      <w:pPr>
        <w:numPr>
          <w:ilvl w:val="12"/>
          <w:numId w:val="0"/>
        </w:numPr>
        <w:ind w:right="-2"/>
        <w:rPr>
          <w:noProof/>
        </w:rPr>
      </w:pPr>
    </w:p>
    <w:p w14:paraId="2C54FEA7" w14:textId="77777777" w:rsidR="00F22FBD" w:rsidRDefault="00F22FBD">
      <w:pPr>
        <w:numPr>
          <w:ilvl w:val="12"/>
          <w:numId w:val="0"/>
        </w:numPr>
        <w:ind w:right="-2"/>
        <w:rPr>
          <w:noProof/>
        </w:rPr>
      </w:pPr>
    </w:p>
    <w:p w14:paraId="53BA0F21" w14:textId="77777777" w:rsidR="00F22FBD" w:rsidRDefault="00D44E4A">
      <w:pPr>
        <w:numPr>
          <w:ilvl w:val="12"/>
          <w:numId w:val="0"/>
        </w:numPr>
        <w:ind w:left="567" w:hanging="567"/>
        <w:outlineLvl w:val="0"/>
        <w:rPr>
          <w:b/>
          <w:caps/>
          <w:noProof/>
        </w:rPr>
      </w:pPr>
      <w:r>
        <w:rPr>
          <w:b/>
          <w:caps/>
          <w:noProof/>
        </w:rPr>
        <w:t>4.</w:t>
      </w:r>
      <w:r>
        <w:rPr>
          <w:b/>
          <w:caps/>
          <w:noProof/>
        </w:rPr>
        <w:tab/>
      </w:r>
      <w:r>
        <w:rPr>
          <w:b/>
        </w:rPr>
        <w:t>Galimas šalutinis poveikis</w:t>
      </w:r>
    </w:p>
    <w:p w14:paraId="23E34340" w14:textId="77777777" w:rsidR="00F22FBD" w:rsidRDefault="00F22FBD">
      <w:pPr>
        <w:ind w:left="567" w:hanging="567"/>
        <w:rPr>
          <w:noProof/>
        </w:rPr>
      </w:pPr>
    </w:p>
    <w:p w14:paraId="6097B50E" w14:textId="77777777" w:rsidR="00F22FBD" w:rsidRDefault="00D44E4A">
      <w:pPr>
        <w:ind w:left="567" w:hanging="567"/>
        <w:rPr>
          <w:noProof/>
        </w:rPr>
      </w:pPr>
      <w:r>
        <w:rPr>
          <w:noProof/>
        </w:rPr>
        <w:t>Šis vaistas, kaip ir visi kiti, gali sukelti šalutinį poveikį, nors jis pasireiškia ne visiems žmonėms.</w:t>
      </w:r>
    </w:p>
    <w:p w14:paraId="3709CCE0" w14:textId="77777777" w:rsidR="00F22FBD" w:rsidRDefault="00F22FBD">
      <w:pPr>
        <w:ind w:left="567" w:hanging="567"/>
        <w:rPr>
          <w:noProof/>
        </w:rPr>
      </w:pPr>
    </w:p>
    <w:p w14:paraId="0E0591B5" w14:textId="77777777" w:rsidR="00F22FBD" w:rsidRDefault="00D44E4A">
      <w:pPr>
        <w:numPr>
          <w:ilvl w:val="12"/>
          <w:numId w:val="0"/>
        </w:numPr>
        <w:ind w:right="-2"/>
      </w:pPr>
      <w:r>
        <w:t>Danengo veikia kraujo krešėjimą, todėl dauguma šalutinio poveikio yra susiję su požymiais, tokiais kaip mėlynės ar kraujavimas.</w:t>
      </w:r>
    </w:p>
    <w:p w14:paraId="06B3888D" w14:textId="77777777" w:rsidR="00F22FBD" w:rsidRDefault="00D44E4A">
      <w:pPr>
        <w:numPr>
          <w:ilvl w:val="12"/>
          <w:numId w:val="0"/>
        </w:numPr>
        <w:ind w:right="-2"/>
      </w:pPr>
      <w:r>
        <w:t>Gali pasireikšti didysis arba sunkus kraujavimas. Tai pavojingiausias šalutinis poveikis, kuris nepaisant pasireiškimo vietos gali lemti neįgalumą, pavojų gyvybei ar net mirtį. Kartais minėtų rūšių kraujavimas gali nebūti akivaizdus.</w:t>
      </w:r>
    </w:p>
    <w:p w14:paraId="308A3AC0" w14:textId="77777777" w:rsidR="00F22FBD" w:rsidRDefault="00F22FBD">
      <w:pPr>
        <w:numPr>
          <w:ilvl w:val="12"/>
          <w:numId w:val="0"/>
        </w:numPr>
        <w:ind w:right="-2"/>
      </w:pPr>
    </w:p>
    <w:p w14:paraId="41FCB410" w14:textId="77777777" w:rsidR="00F22FBD" w:rsidRDefault="00D44E4A">
      <w:pPr>
        <w:numPr>
          <w:ilvl w:val="12"/>
          <w:numId w:val="0"/>
        </w:numPr>
        <w:ind w:right="-2"/>
      </w:pPr>
      <w:r>
        <w:t>Jeigu Jums pasireiškė bet koks kraujavimas, kuris savaime nesustoja, arba jeigu patiriate gausaus kraujavimo požymių (nepaprastą silpnumą, nuovargį, blyškumą, svaigulį, galvos skausmą ar dėl neaiškių priežasčių atsiradusį patinimą), nedelsdami kreipkitės į savo gydytoją. Jūsų gydytojas gali nuspręsti Jus atidžiai stebėti arba keisti Jūsų vartojamą vaistą.</w:t>
      </w:r>
    </w:p>
    <w:p w14:paraId="16949B43" w14:textId="77777777" w:rsidR="00F22FBD" w:rsidRDefault="00F22FBD">
      <w:pPr>
        <w:numPr>
          <w:ilvl w:val="12"/>
          <w:numId w:val="0"/>
        </w:numPr>
        <w:ind w:right="-2"/>
      </w:pPr>
    </w:p>
    <w:p w14:paraId="5E151DD3" w14:textId="77777777" w:rsidR="00F22FBD" w:rsidRDefault="00D44E4A">
      <w:pPr>
        <w:numPr>
          <w:ilvl w:val="12"/>
          <w:numId w:val="0"/>
        </w:numPr>
        <w:ind w:right="-2"/>
      </w:pPr>
      <w:r>
        <w:t>Nedelsdami kreipkitės į savo gydytoją, jei Jums pasireiškė sunkios alerginės reakcijos sukeltas kvėpavimo pasunkėjimas arba svaigulys.</w:t>
      </w:r>
    </w:p>
    <w:p w14:paraId="6B26023D" w14:textId="77777777" w:rsidR="00F22FBD" w:rsidRDefault="00F22FBD">
      <w:pPr>
        <w:numPr>
          <w:ilvl w:val="12"/>
          <w:numId w:val="0"/>
        </w:numPr>
        <w:ind w:right="-2"/>
      </w:pPr>
    </w:p>
    <w:p w14:paraId="2C30CF27" w14:textId="77777777" w:rsidR="00F22FBD" w:rsidRDefault="00D44E4A">
      <w:pPr>
        <w:numPr>
          <w:ilvl w:val="12"/>
          <w:numId w:val="0"/>
        </w:numPr>
        <w:ind w:right="-2"/>
        <w:rPr>
          <w:noProof/>
        </w:rPr>
      </w:pPr>
      <w:r>
        <w:t>Toliau išvardytas galimas šalutinis poveikis yra sugrupuotas pagal tikėtiną pasireiškimo dažnį.</w:t>
      </w:r>
    </w:p>
    <w:p w14:paraId="6787E1B5" w14:textId="77777777" w:rsidR="00F22FBD" w:rsidRDefault="00F22FBD">
      <w:pPr>
        <w:numPr>
          <w:ilvl w:val="12"/>
          <w:numId w:val="0"/>
        </w:numPr>
        <w:ind w:right="-2"/>
      </w:pPr>
    </w:p>
    <w:p w14:paraId="62EAD516" w14:textId="77777777" w:rsidR="00F22FBD" w:rsidRDefault="00D44E4A">
      <w:pPr>
        <w:numPr>
          <w:ilvl w:val="12"/>
          <w:numId w:val="0"/>
        </w:numPr>
        <w:ind w:right="-2"/>
        <w:rPr>
          <w:u w:val="single"/>
        </w:rPr>
      </w:pPr>
      <w:r>
        <w:rPr>
          <w:u w:val="single"/>
        </w:rPr>
        <w:t>Kraujo krešulių formavimosi po kelio ar klubo sąnario keitimo operacijos profilaktika</w:t>
      </w:r>
    </w:p>
    <w:p w14:paraId="65FDA241" w14:textId="77777777" w:rsidR="00F22FBD" w:rsidRDefault="00F22FBD">
      <w:pPr>
        <w:numPr>
          <w:ilvl w:val="12"/>
          <w:numId w:val="0"/>
        </w:numPr>
        <w:ind w:right="-2"/>
        <w:rPr>
          <w:b/>
          <w:bCs/>
          <w:noProof/>
          <w:snapToGrid w:val="0"/>
          <w:szCs w:val="22"/>
        </w:rPr>
      </w:pPr>
    </w:p>
    <w:p w14:paraId="4E467BB8" w14:textId="77777777" w:rsidR="00F22FBD" w:rsidRDefault="00D44E4A">
      <w:pPr>
        <w:numPr>
          <w:ilvl w:val="12"/>
          <w:numId w:val="0"/>
        </w:numPr>
        <w:ind w:right="-2"/>
        <w:rPr>
          <w:noProof/>
          <w:snapToGrid w:val="0"/>
          <w:szCs w:val="22"/>
        </w:rPr>
      </w:pPr>
      <w:r>
        <w:rPr>
          <w:noProof/>
          <w:snapToGrid w:val="0"/>
          <w:szCs w:val="22"/>
        </w:rPr>
        <w:t>Dažni šalutinio poveikio reiškiniai (gali pasireikšti rečiau kaip 1 iš 10 asmenų):</w:t>
      </w:r>
    </w:p>
    <w:p w14:paraId="01050F19" w14:textId="77777777" w:rsidR="00F22FBD" w:rsidRDefault="00D44E4A">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3A20EFF9" w14:textId="77777777" w:rsidR="00F22FBD" w:rsidRDefault="00D44E4A">
      <w:pPr>
        <w:widowControl w:val="0"/>
        <w:numPr>
          <w:ilvl w:val="0"/>
          <w:numId w:val="5"/>
        </w:numPr>
        <w:autoSpaceDE w:val="0"/>
        <w:autoSpaceDN w:val="0"/>
        <w:ind w:left="567" w:hanging="567"/>
        <w:rPr>
          <w:color w:val="000000"/>
          <w:szCs w:val="22"/>
          <w:lang w:val="en-US"/>
        </w:rPr>
      </w:pPr>
      <w:r>
        <w:t>Neįprasti kepenų funkcijos laboratorinių tyrimų rezultatai.</w:t>
      </w:r>
    </w:p>
    <w:p w14:paraId="1CA2FEA6" w14:textId="77777777" w:rsidR="00F22FBD" w:rsidRDefault="00F22FBD">
      <w:pPr>
        <w:numPr>
          <w:ilvl w:val="12"/>
          <w:numId w:val="0"/>
        </w:numPr>
        <w:ind w:left="567" w:right="-2" w:hanging="567"/>
        <w:rPr>
          <w:b/>
          <w:noProof/>
        </w:rPr>
      </w:pPr>
    </w:p>
    <w:p w14:paraId="340FE76B" w14:textId="77777777" w:rsidR="00F22FBD" w:rsidRDefault="00D44E4A">
      <w:pPr>
        <w:numPr>
          <w:ilvl w:val="12"/>
          <w:numId w:val="0"/>
        </w:numPr>
        <w:ind w:left="567" w:right="-2" w:hanging="567"/>
        <w:rPr>
          <w:noProof/>
        </w:rPr>
      </w:pPr>
      <w:r>
        <w:rPr>
          <w:noProof/>
          <w:snapToGrid w:val="0"/>
          <w:szCs w:val="22"/>
        </w:rPr>
        <w:t>Nedažni šalutinio poveikio reiškiniai (gali pasireikšti rečiau kaip 1 iš 100 asmenų):</w:t>
      </w:r>
    </w:p>
    <w:p w14:paraId="612DC7CA" w14:textId="77777777" w:rsidR="00F22FBD" w:rsidRDefault="00D44E4A">
      <w:pPr>
        <w:widowControl w:val="0"/>
        <w:numPr>
          <w:ilvl w:val="0"/>
          <w:numId w:val="5"/>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iš hemorojinių mazgų, iš tiesiosios žarnos, į poodį, į sąnarį, iš sužeidimo ar po jo arba po operacijos.</w:t>
      </w:r>
    </w:p>
    <w:p w14:paraId="34567B02" w14:textId="77777777" w:rsidR="00F22FBD" w:rsidRDefault="00D44E4A">
      <w:pPr>
        <w:widowControl w:val="0"/>
        <w:numPr>
          <w:ilvl w:val="0"/>
          <w:numId w:val="5"/>
        </w:numPr>
        <w:autoSpaceDE w:val="0"/>
        <w:autoSpaceDN w:val="0"/>
        <w:ind w:left="567" w:hanging="567"/>
        <w:rPr>
          <w:color w:val="000000"/>
          <w:szCs w:val="22"/>
          <w:lang w:val="en-US"/>
        </w:rPr>
      </w:pPr>
      <w:r>
        <w:t>Hematomos (kraujosruvos) susiformavimas arba mėlynės po operacijos.</w:t>
      </w:r>
    </w:p>
    <w:p w14:paraId="74B9C168" w14:textId="77777777" w:rsidR="00F22FBD" w:rsidRDefault="00D44E4A">
      <w:pPr>
        <w:widowControl w:val="0"/>
        <w:numPr>
          <w:ilvl w:val="0"/>
          <w:numId w:val="5"/>
        </w:numPr>
        <w:autoSpaceDE w:val="0"/>
        <w:autoSpaceDN w:val="0"/>
        <w:ind w:left="567" w:hanging="567"/>
        <w:rPr>
          <w:color w:val="000000"/>
          <w:szCs w:val="22"/>
          <w:lang w:val="en-US"/>
        </w:rPr>
      </w:pPr>
      <w:r>
        <w:t>Kraujas išmatose, nustatomas laboratoriniu tyrimu.</w:t>
      </w:r>
    </w:p>
    <w:p w14:paraId="153DB024" w14:textId="77777777" w:rsidR="00F22FBD" w:rsidRDefault="00D44E4A">
      <w:pPr>
        <w:widowControl w:val="0"/>
        <w:numPr>
          <w:ilvl w:val="0"/>
          <w:numId w:val="5"/>
        </w:numPr>
        <w:autoSpaceDE w:val="0"/>
        <w:autoSpaceDN w:val="0"/>
        <w:ind w:left="567" w:hanging="567"/>
        <w:rPr>
          <w:color w:val="000000"/>
          <w:szCs w:val="22"/>
          <w:lang w:val="en-US"/>
        </w:rPr>
      </w:pPr>
      <w:r>
        <w:t>Raudonųjų kraujo ląstelių skaičiaus sumažėjimas kraujyje.</w:t>
      </w:r>
    </w:p>
    <w:p w14:paraId="7A9B0434" w14:textId="77777777" w:rsidR="00F22FBD" w:rsidRDefault="00D44E4A">
      <w:pPr>
        <w:widowControl w:val="0"/>
        <w:numPr>
          <w:ilvl w:val="0"/>
          <w:numId w:val="5"/>
        </w:numPr>
        <w:autoSpaceDE w:val="0"/>
        <w:autoSpaceDN w:val="0"/>
        <w:ind w:left="567" w:hanging="567"/>
        <w:rPr>
          <w:color w:val="000000"/>
          <w:szCs w:val="22"/>
          <w:lang w:val="en-US"/>
        </w:rPr>
      </w:pPr>
      <w:r>
        <w:t>Kraujo ląstelių procento sumažėjimas.</w:t>
      </w:r>
    </w:p>
    <w:p w14:paraId="27FD48C3" w14:textId="77777777" w:rsidR="00F22FBD" w:rsidRDefault="00D44E4A">
      <w:pPr>
        <w:widowControl w:val="0"/>
        <w:numPr>
          <w:ilvl w:val="0"/>
          <w:numId w:val="5"/>
        </w:numPr>
        <w:autoSpaceDE w:val="0"/>
        <w:autoSpaceDN w:val="0"/>
        <w:ind w:left="567" w:hanging="567"/>
        <w:rPr>
          <w:color w:val="000000"/>
          <w:szCs w:val="22"/>
          <w:lang w:val="en-US"/>
        </w:rPr>
      </w:pPr>
      <w:r>
        <w:t>Alerginė reakcija.</w:t>
      </w:r>
    </w:p>
    <w:p w14:paraId="3ADD1CB5" w14:textId="77777777" w:rsidR="00F22FBD" w:rsidRDefault="00D44E4A">
      <w:pPr>
        <w:widowControl w:val="0"/>
        <w:numPr>
          <w:ilvl w:val="0"/>
          <w:numId w:val="5"/>
        </w:numPr>
        <w:autoSpaceDE w:val="0"/>
        <w:autoSpaceDN w:val="0"/>
        <w:ind w:left="567" w:hanging="567"/>
        <w:rPr>
          <w:color w:val="000000"/>
          <w:szCs w:val="22"/>
          <w:lang w:val="en-US"/>
        </w:rPr>
      </w:pPr>
      <w:r>
        <w:t>Vėmimas.</w:t>
      </w:r>
    </w:p>
    <w:p w14:paraId="4FA32A9D" w14:textId="77777777" w:rsidR="00F22FBD" w:rsidRDefault="00D44E4A">
      <w:pPr>
        <w:widowControl w:val="0"/>
        <w:numPr>
          <w:ilvl w:val="0"/>
          <w:numId w:val="5"/>
        </w:numPr>
        <w:autoSpaceDE w:val="0"/>
        <w:autoSpaceDN w:val="0"/>
        <w:ind w:left="567" w:hanging="567"/>
        <w:rPr>
          <w:color w:val="000000"/>
          <w:szCs w:val="22"/>
          <w:lang w:val="en-US"/>
        </w:rPr>
      </w:pPr>
      <w:r>
        <w:t>Dažnas tuštinimasis skystomis arba vandeningomis išmatomis.</w:t>
      </w:r>
    </w:p>
    <w:p w14:paraId="41A6A13A" w14:textId="77777777" w:rsidR="00F22FBD" w:rsidRDefault="00D44E4A">
      <w:pPr>
        <w:widowControl w:val="0"/>
        <w:numPr>
          <w:ilvl w:val="0"/>
          <w:numId w:val="5"/>
        </w:numPr>
        <w:autoSpaceDE w:val="0"/>
        <w:autoSpaceDN w:val="0"/>
        <w:ind w:left="567" w:hanging="567"/>
        <w:rPr>
          <w:color w:val="000000"/>
          <w:szCs w:val="22"/>
          <w:lang w:val="en-US"/>
        </w:rPr>
      </w:pPr>
      <w:r>
        <w:t>Pykinimas.</w:t>
      </w:r>
    </w:p>
    <w:p w14:paraId="3083FFE5" w14:textId="77777777" w:rsidR="00F22FBD" w:rsidRDefault="00D44E4A">
      <w:pPr>
        <w:widowControl w:val="0"/>
        <w:numPr>
          <w:ilvl w:val="0"/>
          <w:numId w:val="5"/>
        </w:numPr>
        <w:autoSpaceDE w:val="0"/>
        <w:autoSpaceDN w:val="0"/>
        <w:ind w:left="567" w:hanging="567"/>
        <w:rPr>
          <w:color w:val="000000"/>
          <w:szCs w:val="22"/>
          <w:lang w:val="en-US"/>
        </w:rPr>
      </w:pPr>
      <w:r>
        <w:t>Žaizdos sekrecija (skysčio išsiskyrimas iš chirurginės žaizdos).</w:t>
      </w:r>
    </w:p>
    <w:p w14:paraId="52FCB527" w14:textId="77777777" w:rsidR="00F22FBD" w:rsidRDefault="00D44E4A">
      <w:pPr>
        <w:widowControl w:val="0"/>
        <w:numPr>
          <w:ilvl w:val="0"/>
          <w:numId w:val="5"/>
        </w:numPr>
        <w:autoSpaceDE w:val="0"/>
        <w:autoSpaceDN w:val="0"/>
        <w:ind w:left="567" w:hanging="567"/>
        <w:rPr>
          <w:color w:val="000000"/>
          <w:szCs w:val="22"/>
          <w:lang w:val="en-US"/>
        </w:rPr>
      </w:pPr>
      <w:r>
        <w:t>Kepenų fermentų padaugėjimas kraujyje.</w:t>
      </w:r>
    </w:p>
    <w:p w14:paraId="43BE8584" w14:textId="77777777" w:rsidR="00F22FBD" w:rsidRDefault="00D44E4A">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7F14E574" w14:textId="77777777" w:rsidR="00F22FBD" w:rsidRDefault="00F22FBD">
      <w:pPr>
        <w:numPr>
          <w:ilvl w:val="12"/>
          <w:numId w:val="0"/>
        </w:numPr>
        <w:ind w:left="567" w:right="-2" w:hanging="567"/>
        <w:rPr>
          <w:b/>
          <w:noProof/>
        </w:rPr>
      </w:pPr>
    </w:p>
    <w:p w14:paraId="5FB37E70" w14:textId="77777777" w:rsidR="00F22FBD" w:rsidRDefault="00D44E4A">
      <w:pPr>
        <w:numPr>
          <w:ilvl w:val="12"/>
          <w:numId w:val="0"/>
        </w:numPr>
        <w:ind w:left="567" w:right="-2" w:hanging="567"/>
        <w:rPr>
          <w:noProof/>
        </w:rPr>
      </w:pPr>
      <w:r>
        <w:rPr>
          <w:noProof/>
          <w:snapToGrid w:val="0"/>
          <w:szCs w:val="22"/>
        </w:rPr>
        <w:t>Reti šalutinio poveikio reiškiniai (gali pasireikšti rečiau kaip 1 iš 1 000 asmenų):</w:t>
      </w:r>
    </w:p>
    <w:p w14:paraId="04066CBA" w14:textId="77777777" w:rsidR="00F22FBD" w:rsidRDefault="00D44E4A">
      <w:pPr>
        <w:widowControl w:val="0"/>
        <w:numPr>
          <w:ilvl w:val="0"/>
          <w:numId w:val="5"/>
        </w:numPr>
        <w:autoSpaceDE w:val="0"/>
        <w:autoSpaceDN w:val="0"/>
        <w:ind w:left="567" w:hanging="567"/>
        <w:rPr>
          <w:color w:val="000000"/>
          <w:szCs w:val="22"/>
          <w:lang w:val="en-US"/>
        </w:rPr>
      </w:pPr>
      <w:r>
        <w:t>Kraujavimas.</w:t>
      </w:r>
    </w:p>
    <w:p w14:paraId="0585CD7A" w14:textId="77777777" w:rsidR="00F22FBD" w:rsidRDefault="00D44E4A">
      <w:pPr>
        <w:widowControl w:val="0"/>
        <w:numPr>
          <w:ilvl w:val="0"/>
          <w:numId w:val="5"/>
        </w:numPr>
        <w:autoSpaceDE w:val="0"/>
        <w:autoSpaceDN w:val="0"/>
        <w:ind w:left="567" w:hanging="567"/>
        <w:rPr>
          <w:color w:val="000000"/>
          <w:szCs w:val="22"/>
          <w:lang w:val="en-US"/>
        </w:rPr>
      </w:pPr>
      <w:r>
        <w:t>Kraujavimas į smegenis, iš chirurginio pjūvio, injekcijos vietos ar kateterio įvedimo į veną vietos.</w:t>
      </w:r>
    </w:p>
    <w:p w14:paraId="792873BE" w14:textId="77777777" w:rsidR="00F22FBD" w:rsidRDefault="00D44E4A">
      <w:pPr>
        <w:widowControl w:val="0"/>
        <w:numPr>
          <w:ilvl w:val="0"/>
          <w:numId w:val="5"/>
        </w:numPr>
        <w:autoSpaceDE w:val="0"/>
        <w:autoSpaceDN w:val="0"/>
        <w:ind w:left="567" w:hanging="567"/>
        <w:rPr>
          <w:color w:val="000000"/>
          <w:szCs w:val="22"/>
          <w:lang w:val="en-US"/>
        </w:rPr>
      </w:pPr>
      <w:r>
        <w:t>Kraujingos išskyros iš kateterio įvedimo į veną vietos.</w:t>
      </w:r>
    </w:p>
    <w:p w14:paraId="1FED4998" w14:textId="77777777" w:rsidR="00F22FBD" w:rsidRDefault="00D44E4A">
      <w:pPr>
        <w:widowControl w:val="0"/>
        <w:numPr>
          <w:ilvl w:val="0"/>
          <w:numId w:val="5"/>
        </w:numPr>
        <w:autoSpaceDE w:val="0"/>
        <w:autoSpaceDN w:val="0"/>
        <w:ind w:left="567" w:hanging="567"/>
        <w:rPr>
          <w:color w:val="000000"/>
          <w:szCs w:val="22"/>
          <w:lang w:val="en-US"/>
        </w:rPr>
      </w:pPr>
      <w:r>
        <w:t>Kraujo arba kraujingų skreplių atkosėjimas.</w:t>
      </w:r>
    </w:p>
    <w:p w14:paraId="6D2D1293" w14:textId="77777777" w:rsidR="00F22FBD" w:rsidRDefault="00D44E4A">
      <w:pPr>
        <w:widowControl w:val="0"/>
        <w:numPr>
          <w:ilvl w:val="0"/>
          <w:numId w:val="5"/>
        </w:numPr>
        <w:autoSpaceDE w:val="0"/>
        <w:autoSpaceDN w:val="0"/>
        <w:ind w:left="567" w:hanging="567"/>
        <w:rPr>
          <w:color w:val="000000"/>
          <w:szCs w:val="22"/>
          <w:lang w:val="en-US"/>
        </w:rPr>
      </w:pPr>
      <w:r>
        <w:t>Trombocitų skaičiaus sumažėjimas kraujyje.</w:t>
      </w:r>
    </w:p>
    <w:p w14:paraId="752E80BE" w14:textId="77777777" w:rsidR="00F22FBD" w:rsidRDefault="00D44E4A">
      <w:pPr>
        <w:widowControl w:val="0"/>
        <w:numPr>
          <w:ilvl w:val="0"/>
          <w:numId w:val="5"/>
        </w:numPr>
        <w:autoSpaceDE w:val="0"/>
        <w:autoSpaceDN w:val="0"/>
        <w:ind w:left="567" w:hanging="567"/>
        <w:rPr>
          <w:color w:val="000000"/>
          <w:szCs w:val="22"/>
          <w:lang w:val="en-US"/>
        </w:rPr>
      </w:pPr>
      <w:r>
        <w:t>Raudonųjų kraujo ląstelių skaičiaus sumažėjimas kraujyje po operacijos.</w:t>
      </w:r>
    </w:p>
    <w:p w14:paraId="140DF63B" w14:textId="77777777" w:rsidR="00F22FBD" w:rsidRDefault="00D44E4A">
      <w:pPr>
        <w:widowControl w:val="0"/>
        <w:numPr>
          <w:ilvl w:val="0"/>
          <w:numId w:val="5"/>
        </w:numPr>
        <w:autoSpaceDE w:val="0"/>
        <w:autoSpaceDN w:val="0"/>
        <w:ind w:left="567" w:hanging="567"/>
        <w:rPr>
          <w:color w:val="000000"/>
          <w:szCs w:val="22"/>
          <w:lang w:val="en-US"/>
        </w:rPr>
      </w:pPr>
      <w:r>
        <w:lastRenderedPageBreak/>
        <w:t>Sunki alerginė reakcija, sukelianti kvėpavimo pasunkėjimą arba svaigulį.</w:t>
      </w:r>
    </w:p>
    <w:p w14:paraId="76ABFCFD" w14:textId="77777777" w:rsidR="00F22FBD" w:rsidRDefault="00D44E4A">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3F1561A8" w14:textId="77777777" w:rsidR="00F22FBD" w:rsidRDefault="00D44E4A">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32504BAA" w14:textId="77777777" w:rsidR="00F22FBD" w:rsidRDefault="00D44E4A">
      <w:pPr>
        <w:widowControl w:val="0"/>
        <w:numPr>
          <w:ilvl w:val="0"/>
          <w:numId w:val="5"/>
        </w:numPr>
        <w:autoSpaceDE w:val="0"/>
        <w:autoSpaceDN w:val="0"/>
        <w:ind w:left="567" w:hanging="567"/>
        <w:rPr>
          <w:color w:val="000000"/>
          <w:szCs w:val="22"/>
          <w:lang w:val="en-US"/>
        </w:rPr>
      </w:pPr>
      <w:r>
        <w:t>Staigus odos pokytis, veikiantis jos spalvą ir išvaizdą.</w:t>
      </w:r>
    </w:p>
    <w:p w14:paraId="4D73863C" w14:textId="77777777" w:rsidR="00F22FBD" w:rsidRDefault="00D44E4A">
      <w:pPr>
        <w:widowControl w:val="0"/>
        <w:numPr>
          <w:ilvl w:val="0"/>
          <w:numId w:val="5"/>
        </w:numPr>
        <w:autoSpaceDE w:val="0"/>
        <w:autoSpaceDN w:val="0"/>
        <w:ind w:left="567" w:hanging="567"/>
        <w:rPr>
          <w:color w:val="000000"/>
          <w:szCs w:val="22"/>
          <w:lang w:val="en-US"/>
        </w:rPr>
      </w:pPr>
      <w:r>
        <w:t>Niežulys.</w:t>
      </w:r>
    </w:p>
    <w:p w14:paraId="63F17E97" w14:textId="77777777" w:rsidR="00F22FBD" w:rsidRDefault="00D44E4A">
      <w:pPr>
        <w:widowControl w:val="0"/>
        <w:numPr>
          <w:ilvl w:val="0"/>
          <w:numId w:val="5"/>
        </w:numPr>
        <w:autoSpaceDE w:val="0"/>
        <w:autoSpaceDN w:val="0"/>
        <w:ind w:left="567" w:hanging="567"/>
        <w:rPr>
          <w:color w:val="000000"/>
          <w:szCs w:val="22"/>
          <w:lang w:val="en-US"/>
        </w:rPr>
      </w:pPr>
      <w:r>
        <w:t>Skrandžio arba žarnų opa (įskaitant stemplės opą).</w:t>
      </w:r>
    </w:p>
    <w:p w14:paraId="42925C0B" w14:textId="77777777" w:rsidR="00F22FBD" w:rsidRDefault="00D44E4A">
      <w:pPr>
        <w:widowControl w:val="0"/>
        <w:numPr>
          <w:ilvl w:val="0"/>
          <w:numId w:val="5"/>
        </w:numPr>
        <w:autoSpaceDE w:val="0"/>
        <w:autoSpaceDN w:val="0"/>
        <w:ind w:left="567" w:hanging="567"/>
        <w:rPr>
          <w:color w:val="000000"/>
          <w:szCs w:val="22"/>
          <w:lang w:val="en-US"/>
        </w:rPr>
      </w:pPr>
      <w:r>
        <w:t>Stemplės ir skrandžio uždegimas.</w:t>
      </w:r>
    </w:p>
    <w:p w14:paraId="03E1EF23" w14:textId="77777777" w:rsidR="00F22FBD" w:rsidRDefault="00D44E4A">
      <w:pPr>
        <w:widowControl w:val="0"/>
        <w:numPr>
          <w:ilvl w:val="0"/>
          <w:numId w:val="5"/>
        </w:numPr>
        <w:autoSpaceDE w:val="0"/>
        <w:autoSpaceDN w:val="0"/>
        <w:ind w:left="567" w:hanging="567"/>
        <w:rPr>
          <w:color w:val="000000"/>
          <w:szCs w:val="22"/>
          <w:lang w:val="en-US"/>
        </w:rPr>
      </w:pPr>
      <w:r>
        <w:t>Grįžtamasis skrandžio sulčių tekėjimas į stemplę.</w:t>
      </w:r>
    </w:p>
    <w:p w14:paraId="0D9FBCBA" w14:textId="77777777" w:rsidR="00F22FBD" w:rsidRDefault="00D44E4A">
      <w:pPr>
        <w:widowControl w:val="0"/>
        <w:numPr>
          <w:ilvl w:val="0"/>
          <w:numId w:val="5"/>
        </w:numPr>
        <w:autoSpaceDE w:val="0"/>
        <w:autoSpaceDN w:val="0"/>
        <w:ind w:left="567" w:hanging="567"/>
        <w:rPr>
          <w:color w:val="000000"/>
          <w:szCs w:val="22"/>
          <w:lang w:val="en-US"/>
        </w:rPr>
      </w:pPr>
      <w:r>
        <w:t>Pilvo arba skrandžio skausmas.</w:t>
      </w:r>
    </w:p>
    <w:p w14:paraId="4417E916" w14:textId="77777777" w:rsidR="00F22FBD" w:rsidRDefault="00D44E4A">
      <w:pPr>
        <w:widowControl w:val="0"/>
        <w:numPr>
          <w:ilvl w:val="0"/>
          <w:numId w:val="5"/>
        </w:numPr>
        <w:autoSpaceDE w:val="0"/>
        <w:autoSpaceDN w:val="0"/>
        <w:ind w:left="567" w:hanging="567"/>
        <w:rPr>
          <w:color w:val="000000"/>
          <w:szCs w:val="22"/>
          <w:lang w:val="en-US"/>
        </w:rPr>
      </w:pPr>
      <w:r>
        <w:t>Nevirškinimas.</w:t>
      </w:r>
    </w:p>
    <w:p w14:paraId="6455CFB3" w14:textId="77777777" w:rsidR="00F22FBD" w:rsidRDefault="00D44E4A">
      <w:pPr>
        <w:widowControl w:val="0"/>
        <w:numPr>
          <w:ilvl w:val="0"/>
          <w:numId w:val="5"/>
        </w:numPr>
        <w:autoSpaceDE w:val="0"/>
        <w:autoSpaceDN w:val="0"/>
        <w:ind w:left="567" w:hanging="567"/>
        <w:rPr>
          <w:color w:val="000000"/>
          <w:szCs w:val="22"/>
          <w:lang w:val="en-US"/>
        </w:rPr>
      </w:pPr>
      <w:r>
        <w:t>Rijimo pasunkėjimas.</w:t>
      </w:r>
    </w:p>
    <w:p w14:paraId="4B0DF6A5" w14:textId="77777777" w:rsidR="00F22FBD" w:rsidRDefault="00D44E4A">
      <w:pPr>
        <w:widowControl w:val="0"/>
        <w:numPr>
          <w:ilvl w:val="0"/>
          <w:numId w:val="5"/>
        </w:numPr>
        <w:autoSpaceDE w:val="0"/>
        <w:autoSpaceDN w:val="0"/>
        <w:ind w:left="567" w:hanging="567"/>
        <w:rPr>
          <w:color w:val="000000"/>
          <w:szCs w:val="22"/>
          <w:lang w:val="en-US"/>
        </w:rPr>
      </w:pPr>
      <w:r>
        <w:t>Skysčio tekėjimas iš žaizdos.</w:t>
      </w:r>
    </w:p>
    <w:p w14:paraId="71BBF201" w14:textId="77777777" w:rsidR="00F22FBD" w:rsidRDefault="00D44E4A">
      <w:pPr>
        <w:widowControl w:val="0"/>
        <w:numPr>
          <w:ilvl w:val="0"/>
          <w:numId w:val="5"/>
        </w:numPr>
        <w:autoSpaceDE w:val="0"/>
        <w:autoSpaceDN w:val="0"/>
        <w:ind w:left="567" w:hanging="567"/>
        <w:rPr>
          <w:color w:val="000000"/>
          <w:szCs w:val="22"/>
          <w:lang w:val="en-US"/>
        </w:rPr>
      </w:pPr>
      <w:r>
        <w:t>Skysčio tekėjimas iš žaizdos po operacijos</w:t>
      </w:r>
    </w:p>
    <w:p w14:paraId="523FF6F0" w14:textId="77777777" w:rsidR="00F22FBD" w:rsidRDefault="00F22FBD">
      <w:pPr>
        <w:numPr>
          <w:ilvl w:val="12"/>
          <w:numId w:val="0"/>
        </w:numPr>
        <w:ind w:left="567" w:right="-2" w:hanging="567"/>
        <w:rPr>
          <w:b/>
          <w:bCs/>
          <w:noProof/>
          <w:snapToGrid w:val="0"/>
          <w:szCs w:val="22"/>
        </w:rPr>
      </w:pPr>
    </w:p>
    <w:p w14:paraId="7AF148A6" w14:textId="77777777" w:rsidR="00F22FBD" w:rsidRDefault="00D44E4A">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157D04FD" w14:textId="77777777" w:rsidR="00F22FBD" w:rsidRDefault="00D44E4A">
      <w:pPr>
        <w:widowControl w:val="0"/>
        <w:numPr>
          <w:ilvl w:val="0"/>
          <w:numId w:val="5"/>
        </w:numPr>
        <w:autoSpaceDE w:val="0"/>
        <w:autoSpaceDN w:val="0"/>
        <w:ind w:left="567" w:hanging="567"/>
        <w:rPr>
          <w:color w:val="000000"/>
          <w:szCs w:val="22"/>
          <w:lang w:val="en-US"/>
        </w:rPr>
      </w:pPr>
      <w:r>
        <w:t>Apsunkintas kvėpavimas arba švokštimas.</w:t>
      </w:r>
    </w:p>
    <w:p w14:paraId="78351AF9" w14:textId="77777777" w:rsidR="00F22FBD" w:rsidRDefault="00D44E4A">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 ar netgi jų trūkumas.</w:t>
      </w:r>
    </w:p>
    <w:p w14:paraId="2858C416" w14:textId="77777777" w:rsidR="00F22FBD" w:rsidRDefault="00D44E4A">
      <w:pPr>
        <w:widowControl w:val="0"/>
        <w:numPr>
          <w:ilvl w:val="0"/>
          <w:numId w:val="5"/>
        </w:numPr>
        <w:autoSpaceDE w:val="0"/>
        <w:autoSpaceDN w:val="0"/>
        <w:ind w:left="567" w:hanging="567"/>
        <w:rPr>
          <w:color w:val="000000"/>
          <w:szCs w:val="22"/>
          <w:lang w:val="en-US"/>
        </w:rPr>
      </w:pPr>
      <w:r>
        <w:t>Nuplikimas.</w:t>
      </w:r>
    </w:p>
    <w:p w14:paraId="70673CC2" w14:textId="77777777" w:rsidR="00F22FBD" w:rsidRDefault="00F22FBD">
      <w:pPr>
        <w:widowControl w:val="0"/>
        <w:autoSpaceDE w:val="0"/>
        <w:autoSpaceDN w:val="0"/>
      </w:pPr>
    </w:p>
    <w:p w14:paraId="4392C43B" w14:textId="77777777" w:rsidR="00F22FBD" w:rsidRDefault="00D44E4A">
      <w:pPr>
        <w:widowControl w:val="0"/>
        <w:autoSpaceDE w:val="0"/>
        <w:autoSpaceDN w:val="0"/>
        <w:rPr>
          <w:u w:val="single"/>
        </w:rPr>
      </w:pPr>
      <w:r>
        <w:rPr>
          <w:u w:val="single"/>
        </w:rPr>
        <w:t>Kraujo krešulių gydymas ir kraujo krešulių kartotinio susidarymo profilaktika vaikams</w:t>
      </w:r>
    </w:p>
    <w:p w14:paraId="707ED8AF" w14:textId="77777777" w:rsidR="00F22FBD" w:rsidRDefault="00F22FBD">
      <w:pPr>
        <w:numPr>
          <w:ilvl w:val="12"/>
          <w:numId w:val="0"/>
        </w:numPr>
        <w:ind w:right="-2"/>
        <w:rPr>
          <w:noProof/>
          <w:snapToGrid w:val="0"/>
          <w:szCs w:val="22"/>
        </w:rPr>
      </w:pPr>
    </w:p>
    <w:p w14:paraId="4D4B95D4" w14:textId="77777777" w:rsidR="00F22FBD" w:rsidRDefault="00D44E4A">
      <w:pPr>
        <w:numPr>
          <w:ilvl w:val="12"/>
          <w:numId w:val="0"/>
        </w:numPr>
        <w:ind w:right="-2"/>
        <w:rPr>
          <w:noProof/>
          <w:snapToGrid w:val="0"/>
          <w:szCs w:val="22"/>
        </w:rPr>
      </w:pPr>
      <w:r>
        <w:rPr>
          <w:noProof/>
          <w:snapToGrid w:val="0"/>
          <w:szCs w:val="22"/>
        </w:rPr>
        <w:t>Dažni šalutinio poveikio reiškiniai (gali pasireikšti rečiau kaip 1 iš 10 asmenų):</w:t>
      </w:r>
    </w:p>
    <w:p w14:paraId="67BFC15A" w14:textId="77777777" w:rsidR="00F22FBD" w:rsidRDefault="00D44E4A">
      <w:pPr>
        <w:widowControl w:val="0"/>
        <w:numPr>
          <w:ilvl w:val="0"/>
          <w:numId w:val="5"/>
        </w:numPr>
        <w:autoSpaceDE w:val="0"/>
        <w:autoSpaceDN w:val="0"/>
        <w:ind w:left="567" w:hanging="567"/>
        <w:rPr>
          <w:color w:val="000000"/>
          <w:szCs w:val="22"/>
          <w:lang w:val="en-US"/>
        </w:rPr>
      </w:pPr>
      <w:bookmarkStart w:id="9" w:name="_Hlk147321356"/>
      <w:r>
        <w:t>Raudonųjų kraujo ląstelių skaičiaus sumažėjimas kraujyje.</w:t>
      </w:r>
    </w:p>
    <w:bookmarkEnd w:id="9"/>
    <w:p w14:paraId="426983A5" w14:textId="77777777" w:rsidR="00F22FBD" w:rsidRDefault="00D44E4A">
      <w:pPr>
        <w:widowControl w:val="0"/>
        <w:numPr>
          <w:ilvl w:val="0"/>
          <w:numId w:val="5"/>
        </w:numPr>
        <w:autoSpaceDE w:val="0"/>
        <w:autoSpaceDN w:val="0"/>
        <w:ind w:left="567" w:hanging="567"/>
        <w:rPr>
          <w:color w:val="000000"/>
          <w:szCs w:val="22"/>
          <w:lang w:val="en-US"/>
        </w:rPr>
      </w:pPr>
      <w:r>
        <w:t>Trombocitų skaičiaus sumažėjimas kraujyje.</w:t>
      </w:r>
    </w:p>
    <w:p w14:paraId="64EC24A2" w14:textId="77777777" w:rsidR="00F22FBD" w:rsidRDefault="00D44E4A">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524656EF" w14:textId="77777777" w:rsidR="00F22FBD" w:rsidRDefault="00D44E4A">
      <w:pPr>
        <w:widowControl w:val="0"/>
        <w:numPr>
          <w:ilvl w:val="0"/>
          <w:numId w:val="5"/>
        </w:numPr>
        <w:autoSpaceDE w:val="0"/>
        <w:autoSpaceDN w:val="0"/>
        <w:ind w:left="567" w:hanging="567"/>
        <w:rPr>
          <w:color w:val="000000"/>
          <w:szCs w:val="22"/>
          <w:lang w:val="en-US"/>
        </w:rPr>
      </w:pPr>
      <w:r>
        <w:t>Staigus odos pokytis, veikiantis jos spalvą ir išvaizdą.</w:t>
      </w:r>
    </w:p>
    <w:p w14:paraId="6F81E0DE" w14:textId="77777777" w:rsidR="00F22FBD" w:rsidRDefault="00D44E4A">
      <w:pPr>
        <w:widowControl w:val="0"/>
        <w:numPr>
          <w:ilvl w:val="0"/>
          <w:numId w:val="5"/>
        </w:numPr>
        <w:autoSpaceDE w:val="0"/>
        <w:autoSpaceDN w:val="0"/>
        <w:ind w:left="567" w:hanging="567"/>
        <w:rPr>
          <w:color w:val="000000"/>
          <w:szCs w:val="22"/>
          <w:lang w:val="en-US"/>
        </w:rPr>
      </w:pPr>
      <w:r>
        <w:t>Hematomos (kraujosruvos) formavimasis.</w:t>
      </w:r>
    </w:p>
    <w:p w14:paraId="649CA0E1" w14:textId="77777777" w:rsidR="00F22FBD" w:rsidRDefault="00D44E4A">
      <w:pPr>
        <w:widowControl w:val="0"/>
        <w:numPr>
          <w:ilvl w:val="0"/>
          <w:numId w:val="5"/>
        </w:numPr>
        <w:autoSpaceDE w:val="0"/>
        <w:autoSpaceDN w:val="0"/>
        <w:ind w:left="567" w:hanging="567"/>
        <w:rPr>
          <w:color w:val="000000"/>
          <w:szCs w:val="22"/>
          <w:lang w:val="en-US"/>
        </w:rPr>
      </w:pPr>
      <w:r>
        <w:t>Kraujavimas iš nosies.</w:t>
      </w:r>
    </w:p>
    <w:p w14:paraId="67D4B7DF" w14:textId="77777777" w:rsidR="00F22FBD" w:rsidRDefault="00D44E4A">
      <w:pPr>
        <w:widowControl w:val="0"/>
        <w:numPr>
          <w:ilvl w:val="0"/>
          <w:numId w:val="5"/>
        </w:numPr>
        <w:autoSpaceDE w:val="0"/>
        <w:autoSpaceDN w:val="0"/>
        <w:ind w:left="567" w:hanging="567"/>
        <w:rPr>
          <w:color w:val="000000"/>
          <w:szCs w:val="22"/>
          <w:lang w:val="en-US"/>
        </w:rPr>
      </w:pPr>
      <w:r>
        <w:t>Grįžtamasis skrandžio sulčių tekėjimas į stemplę.</w:t>
      </w:r>
    </w:p>
    <w:p w14:paraId="669EC192" w14:textId="77777777" w:rsidR="00F22FBD" w:rsidRDefault="00D44E4A">
      <w:pPr>
        <w:widowControl w:val="0"/>
        <w:numPr>
          <w:ilvl w:val="0"/>
          <w:numId w:val="5"/>
        </w:numPr>
        <w:autoSpaceDE w:val="0"/>
        <w:autoSpaceDN w:val="0"/>
        <w:ind w:left="567" w:hanging="567"/>
        <w:rPr>
          <w:color w:val="000000"/>
          <w:szCs w:val="22"/>
          <w:lang w:val="en-US"/>
        </w:rPr>
      </w:pPr>
      <w:r>
        <w:t>Vėmimas.</w:t>
      </w:r>
    </w:p>
    <w:p w14:paraId="7374FCE4" w14:textId="77777777" w:rsidR="00F22FBD" w:rsidRDefault="00D44E4A">
      <w:pPr>
        <w:widowControl w:val="0"/>
        <w:numPr>
          <w:ilvl w:val="0"/>
          <w:numId w:val="5"/>
        </w:numPr>
        <w:autoSpaceDE w:val="0"/>
        <w:autoSpaceDN w:val="0"/>
        <w:ind w:left="567" w:hanging="567"/>
        <w:rPr>
          <w:color w:val="000000"/>
          <w:szCs w:val="22"/>
          <w:lang w:val="en-US"/>
        </w:rPr>
      </w:pPr>
      <w:r>
        <w:t>Pykinimas.</w:t>
      </w:r>
    </w:p>
    <w:p w14:paraId="6A16A485" w14:textId="77777777" w:rsidR="00F22FBD" w:rsidRDefault="00D44E4A">
      <w:pPr>
        <w:widowControl w:val="0"/>
        <w:numPr>
          <w:ilvl w:val="0"/>
          <w:numId w:val="5"/>
        </w:numPr>
        <w:autoSpaceDE w:val="0"/>
        <w:autoSpaceDN w:val="0"/>
        <w:ind w:left="567" w:hanging="567"/>
        <w:rPr>
          <w:color w:val="000000"/>
          <w:szCs w:val="22"/>
          <w:lang w:val="en-US"/>
        </w:rPr>
      </w:pPr>
      <w:r>
        <w:t>Dažnas tuštinimasis skystomis arba vandeningomis išmatomis.</w:t>
      </w:r>
    </w:p>
    <w:p w14:paraId="01B27F87" w14:textId="77777777" w:rsidR="00F22FBD" w:rsidRDefault="00D44E4A">
      <w:pPr>
        <w:widowControl w:val="0"/>
        <w:numPr>
          <w:ilvl w:val="0"/>
          <w:numId w:val="5"/>
        </w:numPr>
        <w:autoSpaceDE w:val="0"/>
        <w:autoSpaceDN w:val="0"/>
        <w:ind w:left="567" w:hanging="567"/>
        <w:rPr>
          <w:color w:val="000000"/>
          <w:szCs w:val="22"/>
          <w:lang w:val="en-US"/>
        </w:rPr>
      </w:pPr>
      <w:r>
        <w:t>Nevirškinimas.</w:t>
      </w:r>
    </w:p>
    <w:p w14:paraId="37D2FF29" w14:textId="77777777" w:rsidR="00F22FBD" w:rsidRDefault="00D44E4A">
      <w:pPr>
        <w:widowControl w:val="0"/>
        <w:numPr>
          <w:ilvl w:val="0"/>
          <w:numId w:val="5"/>
        </w:numPr>
        <w:autoSpaceDE w:val="0"/>
        <w:autoSpaceDN w:val="0"/>
        <w:ind w:left="567" w:hanging="567"/>
        <w:rPr>
          <w:color w:val="000000"/>
          <w:szCs w:val="22"/>
          <w:lang w:val="en-US"/>
        </w:rPr>
      </w:pPr>
      <w:r>
        <w:t>Nuplikimas.</w:t>
      </w:r>
    </w:p>
    <w:p w14:paraId="3493ACAD" w14:textId="77777777" w:rsidR="00F22FBD" w:rsidRDefault="00D44E4A">
      <w:pPr>
        <w:widowControl w:val="0"/>
        <w:numPr>
          <w:ilvl w:val="0"/>
          <w:numId w:val="5"/>
        </w:numPr>
        <w:autoSpaceDE w:val="0"/>
        <w:autoSpaceDN w:val="0"/>
        <w:ind w:left="567" w:hanging="567"/>
        <w:rPr>
          <w:color w:val="000000"/>
          <w:szCs w:val="22"/>
          <w:lang w:val="en-US"/>
        </w:rPr>
      </w:pPr>
      <w:r>
        <w:t>Kepenų fermentų padaugėjimas kraujyje.</w:t>
      </w:r>
    </w:p>
    <w:p w14:paraId="20543F18" w14:textId="77777777" w:rsidR="00F22FBD" w:rsidRDefault="00F22FBD">
      <w:pPr>
        <w:widowControl w:val="0"/>
        <w:autoSpaceDE w:val="0"/>
        <w:autoSpaceDN w:val="0"/>
        <w:rPr>
          <w:color w:val="000000"/>
          <w:szCs w:val="22"/>
          <w:lang w:val="en-US"/>
        </w:rPr>
      </w:pPr>
    </w:p>
    <w:p w14:paraId="5B0531D1" w14:textId="77777777" w:rsidR="00F22FBD" w:rsidRDefault="00D44E4A">
      <w:pPr>
        <w:numPr>
          <w:ilvl w:val="12"/>
          <w:numId w:val="0"/>
        </w:numPr>
        <w:ind w:left="567" w:right="-2" w:hanging="567"/>
        <w:rPr>
          <w:noProof/>
        </w:rPr>
      </w:pPr>
      <w:r>
        <w:rPr>
          <w:noProof/>
          <w:snapToGrid w:val="0"/>
          <w:szCs w:val="22"/>
        </w:rPr>
        <w:t>Nedažni šalutinio poveikio reiškiniai (gali pasireikšti rečiau kaip 1 iš 100 asmenų):</w:t>
      </w:r>
    </w:p>
    <w:p w14:paraId="7154FE4F" w14:textId="77777777" w:rsidR="00F22FBD" w:rsidRDefault="00D44E4A">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w:t>
      </w:r>
    </w:p>
    <w:p w14:paraId="64ACFF4E" w14:textId="77777777" w:rsidR="00F22FBD" w:rsidRDefault="00D44E4A">
      <w:pPr>
        <w:widowControl w:val="0"/>
        <w:numPr>
          <w:ilvl w:val="0"/>
          <w:numId w:val="5"/>
        </w:numPr>
        <w:autoSpaceDE w:val="0"/>
        <w:autoSpaceDN w:val="0"/>
        <w:ind w:left="567" w:hanging="567"/>
        <w:rPr>
          <w:color w:val="000000"/>
          <w:szCs w:val="22"/>
          <w:lang w:val="en-US"/>
        </w:rPr>
      </w:pPr>
      <w:r>
        <w:t>Kraujavimas į skrandį arba žarnas, iš galvos smegenų, iš tiesiosios žarnos, iš varpos, makšties ar šlapimo organų (įskaitant kraują šlapime, nudažantį šlapimą rausva arba raudona spalva) arba į poodį.</w:t>
      </w:r>
    </w:p>
    <w:p w14:paraId="5BCB2EAC" w14:textId="77777777" w:rsidR="00F22FBD" w:rsidRDefault="00D44E4A">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1CCA666F" w14:textId="77777777" w:rsidR="00F22FBD" w:rsidRDefault="00D44E4A">
      <w:pPr>
        <w:widowControl w:val="0"/>
        <w:numPr>
          <w:ilvl w:val="0"/>
          <w:numId w:val="5"/>
        </w:numPr>
        <w:autoSpaceDE w:val="0"/>
        <w:autoSpaceDN w:val="0"/>
        <w:ind w:left="567" w:hanging="567"/>
        <w:rPr>
          <w:color w:val="000000"/>
          <w:szCs w:val="22"/>
          <w:lang w:val="en-US"/>
        </w:rPr>
      </w:pPr>
      <w:r>
        <w:t>Kraujo ląstelių procento sumažėjimas.</w:t>
      </w:r>
    </w:p>
    <w:p w14:paraId="1BC88406" w14:textId="77777777" w:rsidR="00F22FBD" w:rsidRDefault="00D44E4A">
      <w:pPr>
        <w:widowControl w:val="0"/>
        <w:numPr>
          <w:ilvl w:val="0"/>
          <w:numId w:val="5"/>
        </w:numPr>
        <w:autoSpaceDE w:val="0"/>
        <w:autoSpaceDN w:val="0"/>
        <w:ind w:left="567" w:hanging="567"/>
        <w:rPr>
          <w:color w:val="000000"/>
          <w:szCs w:val="22"/>
          <w:lang w:val="en-US"/>
        </w:rPr>
      </w:pPr>
      <w:r>
        <w:t>Niežulys.</w:t>
      </w:r>
    </w:p>
    <w:p w14:paraId="767D8988" w14:textId="77777777" w:rsidR="00F22FBD" w:rsidRDefault="00D44E4A">
      <w:pPr>
        <w:widowControl w:val="0"/>
        <w:numPr>
          <w:ilvl w:val="0"/>
          <w:numId w:val="5"/>
        </w:numPr>
        <w:autoSpaceDE w:val="0"/>
        <w:autoSpaceDN w:val="0"/>
        <w:ind w:left="567" w:hanging="567"/>
        <w:rPr>
          <w:color w:val="000000"/>
          <w:szCs w:val="22"/>
          <w:lang w:val="en-US"/>
        </w:rPr>
      </w:pPr>
      <w:r>
        <w:t>Kraujo arba kraujingų skreplių atkosėjimas.</w:t>
      </w:r>
    </w:p>
    <w:p w14:paraId="49121ED1" w14:textId="77777777" w:rsidR="00F22FBD" w:rsidRDefault="00D44E4A">
      <w:pPr>
        <w:widowControl w:val="0"/>
        <w:numPr>
          <w:ilvl w:val="0"/>
          <w:numId w:val="5"/>
        </w:numPr>
        <w:autoSpaceDE w:val="0"/>
        <w:autoSpaceDN w:val="0"/>
        <w:ind w:left="567" w:hanging="567"/>
        <w:rPr>
          <w:color w:val="000000"/>
          <w:szCs w:val="22"/>
          <w:lang w:val="en-US"/>
        </w:rPr>
      </w:pPr>
      <w:r>
        <w:t>Pilvo arba skrandžio skausmas.</w:t>
      </w:r>
    </w:p>
    <w:p w14:paraId="57350DDE" w14:textId="77777777" w:rsidR="00F22FBD" w:rsidRDefault="00D44E4A">
      <w:pPr>
        <w:widowControl w:val="0"/>
        <w:numPr>
          <w:ilvl w:val="0"/>
          <w:numId w:val="5"/>
        </w:numPr>
        <w:autoSpaceDE w:val="0"/>
        <w:autoSpaceDN w:val="0"/>
        <w:ind w:left="567" w:hanging="567"/>
        <w:rPr>
          <w:color w:val="000000"/>
          <w:szCs w:val="22"/>
          <w:lang w:val="en-US"/>
        </w:rPr>
      </w:pPr>
      <w:r>
        <w:t>Stemplės ir skrandžio uždegimas.</w:t>
      </w:r>
    </w:p>
    <w:p w14:paraId="2961E49A" w14:textId="77777777" w:rsidR="00F22FBD" w:rsidRDefault="00D44E4A">
      <w:pPr>
        <w:widowControl w:val="0"/>
        <w:numPr>
          <w:ilvl w:val="0"/>
          <w:numId w:val="5"/>
        </w:numPr>
        <w:autoSpaceDE w:val="0"/>
        <w:autoSpaceDN w:val="0"/>
        <w:ind w:left="567" w:hanging="567"/>
        <w:rPr>
          <w:color w:val="000000"/>
          <w:szCs w:val="22"/>
          <w:lang w:val="en-US"/>
        </w:rPr>
      </w:pPr>
      <w:r>
        <w:t>Alerginė reakcija.</w:t>
      </w:r>
    </w:p>
    <w:p w14:paraId="2B8BB174" w14:textId="77777777" w:rsidR="00F22FBD" w:rsidRDefault="00D44E4A">
      <w:pPr>
        <w:widowControl w:val="0"/>
        <w:numPr>
          <w:ilvl w:val="0"/>
          <w:numId w:val="5"/>
        </w:numPr>
        <w:autoSpaceDE w:val="0"/>
        <w:autoSpaceDN w:val="0"/>
        <w:ind w:left="567" w:hanging="567"/>
        <w:rPr>
          <w:color w:val="000000"/>
          <w:szCs w:val="22"/>
          <w:lang w:val="en-US"/>
        </w:rPr>
      </w:pPr>
      <w:r>
        <w:t>Rijimo pasunkėjimas.</w:t>
      </w:r>
    </w:p>
    <w:p w14:paraId="292369E3" w14:textId="77777777" w:rsidR="00F22FBD" w:rsidRDefault="00D44E4A">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4EA1EC86" w14:textId="77777777" w:rsidR="00F22FBD" w:rsidRDefault="00F22FBD">
      <w:pPr>
        <w:widowControl w:val="0"/>
        <w:autoSpaceDE w:val="0"/>
        <w:autoSpaceDN w:val="0"/>
        <w:rPr>
          <w:color w:val="000000"/>
          <w:szCs w:val="22"/>
          <w:lang w:val="en-US"/>
        </w:rPr>
      </w:pPr>
    </w:p>
    <w:p w14:paraId="34FBC053" w14:textId="77777777" w:rsidR="00F22FBD" w:rsidRDefault="00D44E4A">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390DFC5B" w14:textId="77777777" w:rsidR="00F22FBD" w:rsidRDefault="00D44E4A">
      <w:pPr>
        <w:widowControl w:val="0"/>
        <w:numPr>
          <w:ilvl w:val="0"/>
          <w:numId w:val="5"/>
        </w:numPr>
        <w:autoSpaceDE w:val="0"/>
        <w:autoSpaceDN w:val="0"/>
        <w:ind w:left="567" w:hanging="567"/>
        <w:rPr>
          <w:color w:val="000000"/>
          <w:szCs w:val="22"/>
          <w:lang w:val="en-US"/>
        </w:rPr>
      </w:pPr>
      <w:r>
        <w:t>Baltųjų kraujo ląstelių (padedančių kovoti su infekcija) trūkumas.</w:t>
      </w:r>
    </w:p>
    <w:p w14:paraId="6896FE7B" w14:textId="77777777" w:rsidR="00F22FBD" w:rsidRDefault="00D44E4A">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03ADA335" w14:textId="77777777" w:rsidR="00F22FBD" w:rsidRDefault="00D44E4A">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375AD8A9" w14:textId="77777777" w:rsidR="00F22FBD" w:rsidRDefault="00D44E4A">
      <w:pPr>
        <w:widowControl w:val="0"/>
        <w:numPr>
          <w:ilvl w:val="0"/>
          <w:numId w:val="5"/>
        </w:numPr>
        <w:autoSpaceDE w:val="0"/>
        <w:autoSpaceDN w:val="0"/>
        <w:ind w:left="567" w:hanging="567"/>
        <w:rPr>
          <w:color w:val="000000"/>
          <w:szCs w:val="22"/>
          <w:lang w:val="en-US"/>
        </w:rPr>
      </w:pPr>
      <w:r>
        <w:t>Apsunkintas kvėpavimas arba švokštimas.</w:t>
      </w:r>
    </w:p>
    <w:p w14:paraId="33368BE9" w14:textId="77777777" w:rsidR="00F22FBD" w:rsidRDefault="00D44E4A">
      <w:pPr>
        <w:widowControl w:val="0"/>
        <w:numPr>
          <w:ilvl w:val="0"/>
          <w:numId w:val="5"/>
        </w:numPr>
        <w:autoSpaceDE w:val="0"/>
        <w:autoSpaceDN w:val="0"/>
        <w:ind w:left="567" w:hanging="567"/>
        <w:rPr>
          <w:color w:val="000000"/>
          <w:szCs w:val="22"/>
          <w:lang w:val="en-US"/>
        </w:rPr>
      </w:pPr>
      <w:r>
        <w:lastRenderedPageBreak/>
        <w:t>Kraujavimas.</w:t>
      </w:r>
    </w:p>
    <w:p w14:paraId="4EA22C2E" w14:textId="77777777" w:rsidR="00F22FBD" w:rsidRDefault="00D44E4A">
      <w:pPr>
        <w:widowControl w:val="0"/>
        <w:numPr>
          <w:ilvl w:val="0"/>
          <w:numId w:val="5"/>
        </w:numPr>
        <w:autoSpaceDE w:val="0"/>
        <w:autoSpaceDN w:val="0"/>
        <w:ind w:left="567" w:hanging="567"/>
        <w:rPr>
          <w:color w:val="000000"/>
          <w:szCs w:val="22"/>
          <w:lang w:val="en-US"/>
        </w:rPr>
      </w:pPr>
      <w:r>
        <w:t>Kraujavimas į sąnarį arba iš žaizdos, iš chirurginio pjūvio, iš injekcijos vietos arba iš kateterio įvedimo į veną vietos.</w:t>
      </w:r>
    </w:p>
    <w:p w14:paraId="3E85C5F1" w14:textId="77777777" w:rsidR="00F22FBD" w:rsidRDefault="00D44E4A">
      <w:pPr>
        <w:widowControl w:val="0"/>
        <w:numPr>
          <w:ilvl w:val="0"/>
          <w:numId w:val="5"/>
        </w:numPr>
        <w:autoSpaceDE w:val="0"/>
        <w:autoSpaceDN w:val="0"/>
        <w:ind w:left="567" w:hanging="567"/>
        <w:rPr>
          <w:color w:val="000000"/>
          <w:szCs w:val="22"/>
          <w:lang w:val="en-US"/>
        </w:rPr>
      </w:pPr>
      <w:r>
        <w:t>Kraujavimas iš hemorojinių mazgų.</w:t>
      </w:r>
    </w:p>
    <w:p w14:paraId="2D07713D" w14:textId="77777777" w:rsidR="00F22FBD" w:rsidRDefault="00D44E4A">
      <w:pPr>
        <w:widowControl w:val="0"/>
        <w:numPr>
          <w:ilvl w:val="0"/>
          <w:numId w:val="5"/>
        </w:numPr>
        <w:autoSpaceDE w:val="0"/>
        <w:autoSpaceDN w:val="0"/>
        <w:ind w:left="567" w:hanging="567"/>
        <w:rPr>
          <w:color w:val="000000"/>
          <w:szCs w:val="22"/>
          <w:lang w:val="en-US"/>
        </w:rPr>
      </w:pPr>
      <w:r>
        <w:t>Skrandžio arba žarnų opa (įskaitant stemplės opą).</w:t>
      </w:r>
    </w:p>
    <w:p w14:paraId="118FFDF7" w14:textId="77777777" w:rsidR="00F22FBD" w:rsidRDefault="00D44E4A">
      <w:pPr>
        <w:widowControl w:val="0"/>
        <w:numPr>
          <w:ilvl w:val="0"/>
          <w:numId w:val="5"/>
        </w:numPr>
        <w:autoSpaceDE w:val="0"/>
        <w:autoSpaceDN w:val="0"/>
        <w:ind w:left="567" w:hanging="567"/>
        <w:rPr>
          <w:color w:val="000000"/>
          <w:szCs w:val="22"/>
          <w:lang w:val="en-US"/>
        </w:rPr>
      </w:pPr>
      <w:r>
        <w:t>Neįprasti kepenų funkcijos laboratorinių tyrimų rezultatai.</w:t>
      </w:r>
    </w:p>
    <w:p w14:paraId="5C0EA72C" w14:textId="77777777" w:rsidR="00F22FBD" w:rsidRDefault="00F22FBD">
      <w:pPr>
        <w:widowControl w:val="0"/>
        <w:autoSpaceDE w:val="0"/>
        <w:autoSpaceDN w:val="0"/>
        <w:rPr>
          <w:color w:val="000000"/>
          <w:szCs w:val="22"/>
          <w:lang w:val="en-US"/>
        </w:rPr>
      </w:pPr>
    </w:p>
    <w:p w14:paraId="393036E6" w14:textId="77777777" w:rsidR="00F22FBD" w:rsidRDefault="00D44E4A">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13" w:history="1">
        <w:r>
          <w:rPr>
            <w:snapToGrid w:val="0"/>
            <w:color w:val="0000FF"/>
            <w:szCs w:val="20"/>
            <w:u w:val="single"/>
          </w:rPr>
          <w:t>https://www.vvkt.lt/index.php?4004286486</w:t>
        </w:r>
      </w:hyperlink>
      <w:r>
        <w:rPr>
          <w:snapToGrid w:val="0"/>
          <w:szCs w:val="20"/>
        </w:rPr>
        <w:t xml:space="preserve">, ir atsiunčiant elektroniniu paštu (adresu </w:t>
      </w:r>
      <w:hyperlink r:id="rId14"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14:paraId="09B6EF53" w14:textId="77777777" w:rsidR="00F22FBD" w:rsidRDefault="00F22FBD">
      <w:pPr>
        <w:widowControl w:val="0"/>
        <w:autoSpaceDE w:val="0"/>
        <w:autoSpaceDN w:val="0"/>
        <w:rPr>
          <w:color w:val="000000"/>
          <w:szCs w:val="22"/>
          <w:lang w:val="en-US"/>
        </w:rPr>
      </w:pPr>
    </w:p>
    <w:p w14:paraId="4A07E77E" w14:textId="77777777" w:rsidR="00F22FBD" w:rsidRDefault="00F22FBD">
      <w:pPr>
        <w:widowControl w:val="0"/>
        <w:autoSpaceDE w:val="0"/>
        <w:autoSpaceDN w:val="0"/>
        <w:rPr>
          <w:color w:val="000000"/>
          <w:szCs w:val="22"/>
          <w:lang w:val="en-US"/>
        </w:rPr>
      </w:pPr>
    </w:p>
    <w:p w14:paraId="2C48AA49" w14:textId="77777777" w:rsidR="00F22FBD" w:rsidRDefault="00D44E4A">
      <w:pPr>
        <w:numPr>
          <w:ilvl w:val="12"/>
          <w:numId w:val="0"/>
        </w:numPr>
        <w:ind w:left="567" w:right="-2" w:hanging="567"/>
        <w:rPr>
          <w:noProof/>
        </w:rPr>
      </w:pPr>
      <w:r>
        <w:rPr>
          <w:b/>
          <w:noProof/>
        </w:rPr>
        <w:t>5.</w:t>
      </w:r>
      <w:r>
        <w:rPr>
          <w:b/>
          <w:noProof/>
        </w:rPr>
        <w:tab/>
        <w:t>Kaip laikyti Danengo</w:t>
      </w:r>
    </w:p>
    <w:p w14:paraId="7AB9805E" w14:textId="77777777" w:rsidR="00F22FBD" w:rsidRDefault="00F22FBD">
      <w:pPr>
        <w:numPr>
          <w:ilvl w:val="12"/>
          <w:numId w:val="0"/>
        </w:numPr>
        <w:ind w:right="-2"/>
        <w:rPr>
          <w:noProof/>
        </w:rPr>
      </w:pPr>
    </w:p>
    <w:p w14:paraId="397E8BC9" w14:textId="77777777" w:rsidR="00F22FBD" w:rsidRDefault="00D44E4A">
      <w:pPr>
        <w:numPr>
          <w:ilvl w:val="12"/>
          <w:numId w:val="0"/>
        </w:numPr>
        <w:ind w:right="-2"/>
        <w:rPr>
          <w:noProof/>
        </w:rPr>
      </w:pPr>
      <w:r>
        <w:t>Šį vaistą laikykite</w:t>
      </w:r>
      <w:r>
        <w:rPr>
          <w:noProof/>
        </w:rPr>
        <w:t xml:space="preserve"> vaikams nepastebimoje ir nepasiekiamoje vietoje.</w:t>
      </w:r>
    </w:p>
    <w:p w14:paraId="46C57EC0" w14:textId="77777777" w:rsidR="00F22FBD" w:rsidRDefault="00F22FBD">
      <w:pPr>
        <w:numPr>
          <w:ilvl w:val="12"/>
          <w:numId w:val="0"/>
        </w:numPr>
        <w:ind w:right="-2"/>
        <w:rPr>
          <w:noProof/>
        </w:rPr>
      </w:pPr>
    </w:p>
    <w:p w14:paraId="219C78B3" w14:textId="77777777" w:rsidR="00F22FBD" w:rsidRDefault="00D44E4A">
      <w:pPr>
        <w:pStyle w:val="Pagrindinistekstas"/>
        <w:rPr>
          <w:i w:val="0"/>
          <w:iCs/>
          <w:noProof/>
          <w:color w:val="auto"/>
          <w:lang w:val="lt-LT"/>
        </w:rPr>
      </w:pPr>
      <w:r>
        <w:rPr>
          <w:i w:val="0"/>
          <w:iCs/>
          <w:noProof/>
          <w:color w:val="auto"/>
          <w:lang w:val="lt-LT"/>
        </w:rPr>
        <w:t>Ant dėžutės ir lizdinės plokštelės arba talpyklės po „EXP“ nurodytam tinkamumo laikui pasibaigus, šio vaisto vartoti negalima. Vaistas tinkamas vartoti iki paskutinės nurodyto mėnesio dienos.</w:t>
      </w:r>
    </w:p>
    <w:p w14:paraId="0ACF228E" w14:textId="77777777" w:rsidR="00F22FBD" w:rsidRDefault="00F22FBD">
      <w:pPr>
        <w:numPr>
          <w:ilvl w:val="12"/>
          <w:numId w:val="0"/>
        </w:numPr>
        <w:ind w:right="-2"/>
        <w:rPr>
          <w:noProof/>
        </w:rPr>
      </w:pPr>
    </w:p>
    <w:p w14:paraId="476D458D" w14:textId="77777777" w:rsidR="00F22FBD" w:rsidRDefault="00D44E4A">
      <w:pPr>
        <w:numPr>
          <w:ilvl w:val="12"/>
          <w:numId w:val="0"/>
        </w:numPr>
        <w:ind w:right="-2"/>
        <w:rPr>
          <w:noProof/>
          <w:u w:val="single"/>
        </w:rPr>
      </w:pPr>
      <w:r>
        <w:rPr>
          <w:noProof/>
          <w:u w:val="single"/>
        </w:rPr>
        <w:t>Lizdinė plokštelė:</w:t>
      </w:r>
    </w:p>
    <w:p w14:paraId="46121341" w14:textId="77777777" w:rsidR="00F22FBD" w:rsidRDefault="00D44E4A">
      <w:pPr>
        <w:numPr>
          <w:ilvl w:val="12"/>
          <w:numId w:val="0"/>
        </w:numPr>
        <w:ind w:right="-2"/>
        <w:rPr>
          <w:noProof/>
        </w:rPr>
      </w:pPr>
      <w:r>
        <w:rPr>
          <w:noProof/>
        </w:rPr>
        <w:t>Šiam vaistui specialių temperatūros laikymo sąlygų nereikia.</w:t>
      </w:r>
    </w:p>
    <w:p w14:paraId="3E798712" w14:textId="77777777" w:rsidR="00F22FBD" w:rsidRDefault="00D44E4A">
      <w:pPr>
        <w:numPr>
          <w:ilvl w:val="12"/>
          <w:numId w:val="0"/>
        </w:numPr>
        <w:ind w:right="-2"/>
        <w:rPr>
          <w:noProof/>
        </w:rPr>
      </w:pPr>
      <w:r>
        <w:rPr>
          <w:noProof/>
        </w:rPr>
        <w:t>Laikyti gamintojo pakuotėje, kad vaistas būtų apsaugotas nuo šviesos ir drėgmės.</w:t>
      </w:r>
    </w:p>
    <w:p w14:paraId="573F8AF0" w14:textId="77777777" w:rsidR="00F22FBD" w:rsidRDefault="00F22FBD">
      <w:pPr>
        <w:numPr>
          <w:ilvl w:val="12"/>
          <w:numId w:val="0"/>
        </w:numPr>
        <w:ind w:right="-2"/>
        <w:rPr>
          <w:noProof/>
        </w:rPr>
      </w:pPr>
    </w:p>
    <w:p w14:paraId="3BC20B61" w14:textId="77777777" w:rsidR="00F22FBD" w:rsidRDefault="00D44E4A">
      <w:pPr>
        <w:numPr>
          <w:ilvl w:val="12"/>
          <w:numId w:val="0"/>
        </w:numPr>
        <w:ind w:right="-2"/>
        <w:rPr>
          <w:noProof/>
          <w:u w:val="single"/>
        </w:rPr>
      </w:pPr>
      <w:r>
        <w:rPr>
          <w:noProof/>
          <w:u w:val="single"/>
        </w:rPr>
        <w:t>Talpyklė:</w:t>
      </w:r>
    </w:p>
    <w:p w14:paraId="1E3B5B30" w14:textId="77777777" w:rsidR="00F22FBD" w:rsidRDefault="00D44E4A">
      <w:pPr>
        <w:numPr>
          <w:ilvl w:val="12"/>
          <w:numId w:val="0"/>
        </w:numPr>
        <w:ind w:right="-2"/>
        <w:rPr>
          <w:noProof/>
        </w:rPr>
      </w:pPr>
      <w:r>
        <w:rPr>
          <w:noProof/>
        </w:rPr>
        <w:t>Šiam vaistui specialių temperatūros laikymo sąlygų nereikia.</w:t>
      </w:r>
    </w:p>
    <w:p w14:paraId="6625F6D5" w14:textId="77777777" w:rsidR="00F22FBD" w:rsidRDefault="00D44E4A">
      <w:pPr>
        <w:numPr>
          <w:ilvl w:val="12"/>
          <w:numId w:val="0"/>
        </w:numPr>
        <w:ind w:right="-2"/>
        <w:rPr>
          <w:noProof/>
        </w:rPr>
      </w:pPr>
      <w:r>
        <w:rPr>
          <w:noProof/>
        </w:rPr>
        <w:t>Laikyti gamintojo pakuotėje, kad vaistas būtų apsaugotas nuo šviesos ir drėgmės.</w:t>
      </w:r>
    </w:p>
    <w:p w14:paraId="597B44A2" w14:textId="77777777" w:rsidR="00F22FBD" w:rsidRDefault="00D44E4A">
      <w:pPr>
        <w:numPr>
          <w:ilvl w:val="12"/>
          <w:numId w:val="0"/>
        </w:numPr>
        <w:ind w:right="-2"/>
        <w:rPr>
          <w:noProof/>
        </w:rPr>
      </w:pPr>
      <w:r>
        <w:rPr>
          <w:noProof/>
        </w:rPr>
        <w:t>Talpyklę laikyti sandariai uždarytą.</w:t>
      </w:r>
    </w:p>
    <w:p w14:paraId="6904F356" w14:textId="77777777" w:rsidR="00F22FBD" w:rsidRDefault="00F22FBD">
      <w:pPr>
        <w:numPr>
          <w:ilvl w:val="12"/>
          <w:numId w:val="0"/>
        </w:numPr>
        <w:ind w:right="-2"/>
        <w:rPr>
          <w:noProof/>
        </w:rPr>
      </w:pPr>
    </w:p>
    <w:p w14:paraId="7DF80713" w14:textId="77777777" w:rsidR="00F22FBD" w:rsidRDefault="00D44E4A">
      <w:pPr>
        <w:numPr>
          <w:ilvl w:val="12"/>
          <w:numId w:val="0"/>
        </w:numPr>
        <w:ind w:right="-2"/>
      </w:pPr>
      <w:r>
        <w:t>Vaistų negalima išmesti į kanalizaciją. Kaip išmesti nereikalingus vaistus, klauskite vaistininko. Šios priemonės padės apsaugoti aplinką.</w:t>
      </w:r>
    </w:p>
    <w:p w14:paraId="2F346621" w14:textId="77777777" w:rsidR="00F22FBD" w:rsidRDefault="00F22FBD">
      <w:pPr>
        <w:numPr>
          <w:ilvl w:val="12"/>
          <w:numId w:val="0"/>
        </w:numPr>
        <w:ind w:right="-2"/>
      </w:pPr>
    </w:p>
    <w:p w14:paraId="083ECE24" w14:textId="77777777" w:rsidR="00F22FBD" w:rsidRDefault="00F22FBD">
      <w:pPr>
        <w:numPr>
          <w:ilvl w:val="12"/>
          <w:numId w:val="0"/>
        </w:numPr>
        <w:ind w:right="-2"/>
        <w:rPr>
          <w:noProof/>
        </w:rPr>
      </w:pPr>
    </w:p>
    <w:p w14:paraId="6C76FFDC" w14:textId="77777777" w:rsidR="00F22FBD" w:rsidRDefault="00D44E4A">
      <w:pPr>
        <w:numPr>
          <w:ilvl w:val="12"/>
          <w:numId w:val="0"/>
        </w:numPr>
        <w:ind w:right="-2"/>
        <w:rPr>
          <w:b/>
          <w:noProof/>
        </w:rPr>
      </w:pPr>
      <w:r>
        <w:rPr>
          <w:b/>
          <w:noProof/>
        </w:rPr>
        <w:t>6.</w:t>
      </w:r>
      <w:r>
        <w:rPr>
          <w:b/>
          <w:noProof/>
        </w:rPr>
        <w:tab/>
        <w:t>Pakuotės turinys ir kita informacija</w:t>
      </w:r>
    </w:p>
    <w:p w14:paraId="2C429163" w14:textId="77777777" w:rsidR="00F22FBD" w:rsidRDefault="00F22FBD">
      <w:pPr>
        <w:numPr>
          <w:ilvl w:val="12"/>
          <w:numId w:val="0"/>
        </w:numPr>
        <w:ind w:right="-2"/>
        <w:rPr>
          <w:noProof/>
        </w:rPr>
      </w:pPr>
    </w:p>
    <w:p w14:paraId="10D03D30" w14:textId="77777777" w:rsidR="00F22FBD" w:rsidRDefault="00D44E4A">
      <w:pPr>
        <w:numPr>
          <w:ilvl w:val="12"/>
          <w:numId w:val="0"/>
        </w:numPr>
        <w:ind w:right="-2"/>
        <w:rPr>
          <w:noProof/>
          <w:u w:val="single"/>
        </w:rPr>
      </w:pPr>
      <w:r>
        <w:rPr>
          <w:b/>
          <w:bCs/>
          <w:noProof/>
        </w:rPr>
        <w:t>Danengo sudėtis</w:t>
      </w:r>
    </w:p>
    <w:p w14:paraId="1FC81316" w14:textId="5D789777" w:rsidR="00F22FBD" w:rsidRDefault="00D44E4A">
      <w:pPr>
        <w:numPr>
          <w:ilvl w:val="0"/>
          <w:numId w:val="1"/>
        </w:numPr>
        <w:ind w:left="567" w:right="-2" w:hanging="567"/>
        <w:rPr>
          <w:i/>
          <w:iCs/>
          <w:noProof/>
        </w:rPr>
      </w:pPr>
      <w:r>
        <w:rPr>
          <w:noProof/>
        </w:rPr>
        <w:t>Veiklioji medžiaga yra dabigatrano eteksilatas. Kiekvienoje kietojoje kapsulėje yra 75 mg dabigatrano eteksilato (dabigatrano eteksilato mesilato pavidalu).</w:t>
      </w:r>
    </w:p>
    <w:p w14:paraId="5990F2C1" w14:textId="77777777" w:rsidR="00F22FBD" w:rsidRDefault="00D44E4A">
      <w:pPr>
        <w:numPr>
          <w:ilvl w:val="0"/>
          <w:numId w:val="1"/>
        </w:numPr>
        <w:ind w:left="567" w:right="-2" w:hanging="567"/>
        <w:rPr>
          <w:noProof/>
        </w:rPr>
      </w:pPr>
      <w:r>
        <w:rPr>
          <w:noProof/>
        </w:rPr>
        <w:t xml:space="preserve">Pagalbinės medžiagos yra vyno rūgštis, hipromeliozė, </w:t>
      </w:r>
      <w:r>
        <w:t>hidroksipropilceliuliozė ir talkas kapsulės turinyje.</w:t>
      </w:r>
    </w:p>
    <w:p w14:paraId="28BDC60F" w14:textId="77777777" w:rsidR="00F22FBD" w:rsidRDefault="00D44E4A">
      <w:pPr>
        <w:numPr>
          <w:ilvl w:val="0"/>
          <w:numId w:val="1"/>
        </w:numPr>
        <w:ind w:left="567" w:right="-2" w:hanging="567"/>
        <w:rPr>
          <w:noProof/>
        </w:rPr>
      </w:pPr>
      <w:bookmarkStart w:id="10" w:name="_Hlk147389003"/>
      <w:r>
        <w:rPr>
          <w:noProof/>
        </w:rPr>
        <w:t>Pagalbinės medžiagos yra t</w:t>
      </w:r>
      <w:bookmarkEnd w:id="10"/>
      <w:r>
        <w:rPr>
          <w:noProof/>
        </w:rPr>
        <w:t xml:space="preserve">itano dioksidas (E 171), </w:t>
      </w:r>
      <w:r>
        <w:t>karagenanas, kalio chloridas ir hipromeliozė kapsulės apvalkale.</w:t>
      </w:r>
    </w:p>
    <w:p w14:paraId="1363EF2A" w14:textId="77777777" w:rsidR="00F22FBD" w:rsidRDefault="00D44E4A">
      <w:pPr>
        <w:numPr>
          <w:ilvl w:val="0"/>
          <w:numId w:val="1"/>
        </w:numPr>
        <w:ind w:left="567" w:right="-2" w:hanging="567"/>
        <w:rPr>
          <w:noProof/>
        </w:rPr>
      </w:pPr>
      <w:r>
        <w:rPr>
          <w:noProof/>
        </w:rPr>
        <w:t>Pagalbinės medžiagos yra</w:t>
      </w:r>
      <w:r>
        <w:t xml:space="preserve"> šelakas, juodojo geležies oksidas ir kalio hidroksidas juodame rašale.</w:t>
      </w:r>
    </w:p>
    <w:p w14:paraId="7BDADD32" w14:textId="77777777" w:rsidR="00F22FBD" w:rsidRDefault="00F22FBD">
      <w:pPr>
        <w:ind w:right="-2"/>
        <w:rPr>
          <w:noProof/>
        </w:rPr>
      </w:pPr>
    </w:p>
    <w:p w14:paraId="1664B72F" w14:textId="77777777" w:rsidR="00F22FBD" w:rsidRDefault="00D44E4A">
      <w:pPr>
        <w:numPr>
          <w:ilvl w:val="12"/>
          <w:numId w:val="0"/>
        </w:numPr>
        <w:ind w:right="-2"/>
        <w:rPr>
          <w:b/>
          <w:bCs/>
          <w:noProof/>
        </w:rPr>
      </w:pPr>
      <w:r>
        <w:rPr>
          <w:b/>
          <w:bCs/>
          <w:noProof/>
        </w:rPr>
        <w:t xml:space="preserve">Danengo išvaizda ir kiekis pakuotėje </w:t>
      </w:r>
    </w:p>
    <w:p w14:paraId="30D44ED5" w14:textId="77777777" w:rsidR="00F22FBD" w:rsidRDefault="00D44E4A">
      <w:pPr>
        <w:numPr>
          <w:ilvl w:val="12"/>
          <w:numId w:val="0"/>
        </w:numPr>
        <w:ind w:right="-2"/>
        <w:rPr>
          <w:noProof/>
        </w:rPr>
      </w:pPr>
      <w:r>
        <w:rPr>
          <w:noProof/>
        </w:rPr>
        <w:t>Danengo 75 mg kietosios kapsulės (kapsulės): Kapsulės dangtelis yra baltas arba beveik baltas, kapsulės korpusas yra baltas arba beveik baltas su išilgine juoda žyme 75, maždaug 18 mm ilgio. Kapsulės turinį sudaro gelsvai baltos arba šviesiai geltonos spalvos granulės.</w:t>
      </w:r>
    </w:p>
    <w:p w14:paraId="5BE1032A" w14:textId="77777777" w:rsidR="00F22FBD" w:rsidRDefault="00F22FBD">
      <w:pPr>
        <w:numPr>
          <w:ilvl w:val="12"/>
          <w:numId w:val="0"/>
        </w:numPr>
        <w:ind w:right="-2"/>
        <w:rPr>
          <w:noProof/>
        </w:rPr>
      </w:pPr>
    </w:p>
    <w:p w14:paraId="62434E87" w14:textId="77777777" w:rsidR="00F22FBD" w:rsidRDefault="00D44E4A">
      <w:pPr>
        <w:numPr>
          <w:ilvl w:val="12"/>
          <w:numId w:val="0"/>
        </w:numPr>
        <w:ind w:right="-2"/>
        <w:rPr>
          <w:noProof/>
        </w:rPr>
      </w:pPr>
      <w:r>
        <w:rPr>
          <w:noProof/>
        </w:rPr>
        <w:t>Danengo 75 mg kietosios kapsulės tiekiamos dėžutėse, kuriose yra:</w:t>
      </w:r>
    </w:p>
    <w:p w14:paraId="4B287CF0" w14:textId="77777777" w:rsidR="00F22FBD" w:rsidRDefault="00D44E4A">
      <w:pPr>
        <w:widowControl w:val="0"/>
        <w:numPr>
          <w:ilvl w:val="0"/>
          <w:numId w:val="10"/>
        </w:numPr>
        <w:ind w:left="567" w:hanging="567"/>
        <w:rPr>
          <w:bCs/>
          <w:noProof/>
          <w:color w:val="000000"/>
          <w:szCs w:val="22"/>
          <w:lang w:val="en-GB" w:eastAsia="sl-SI"/>
        </w:rPr>
      </w:pPr>
      <w:r>
        <w:rPr>
          <w:bCs/>
          <w:noProof/>
          <w:color w:val="000000"/>
          <w:szCs w:val="22"/>
          <w:lang w:val="en-GB" w:eastAsia="sl-SI"/>
        </w:rPr>
        <w:t>10 x 1</w:t>
      </w:r>
      <w:r>
        <w:rPr>
          <w:noProof/>
        </w:rPr>
        <w:t>, 30 x 1, 60 x 1, 100 x 1 arba sudėtinės pakuotės po 100 (2 pakuotės po 50 x 1) arba 180 (3 pakuotės po 60 x 1) kietųjų kapsulių perforuotoje dalomojoje nuplėšiamoje lizdinėje plokštelėje.</w:t>
      </w:r>
    </w:p>
    <w:p w14:paraId="6B4DF29B" w14:textId="77777777" w:rsidR="00F22FBD" w:rsidRDefault="00D44E4A">
      <w:pPr>
        <w:widowControl w:val="0"/>
        <w:numPr>
          <w:ilvl w:val="0"/>
          <w:numId w:val="10"/>
        </w:numPr>
        <w:ind w:left="567" w:hanging="567"/>
        <w:rPr>
          <w:bCs/>
          <w:noProof/>
          <w:color w:val="000000"/>
          <w:szCs w:val="22"/>
          <w:lang w:val="en-GB" w:eastAsia="sl-SI"/>
        </w:rPr>
      </w:pPr>
      <w:r>
        <w:rPr>
          <w:noProof/>
        </w:rPr>
        <w:lastRenderedPageBreak/>
        <w:t>60 kietųjų kapsulių talpyklėje su vaikų sunkiai atidaromu , pirmąjį atidarymą rodančiu dangteliu.</w:t>
      </w:r>
    </w:p>
    <w:p w14:paraId="286101F9" w14:textId="77777777" w:rsidR="00F22FBD" w:rsidRDefault="00D44E4A">
      <w:pPr>
        <w:widowControl w:val="0"/>
        <w:numPr>
          <w:ilvl w:val="0"/>
          <w:numId w:val="10"/>
        </w:numPr>
        <w:ind w:left="567" w:hanging="567"/>
        <w:rPr>
          <w:bCs/>
          <w:noProof/>
          <w:color w:val="000000"/>
          <w:szCs w:val="22"/>
          <w:lang w:val="en-GB" w:eastAsia="sl-SI"/>
        </w:rPr>
      </w:pPr>
      <w:r>
        <w:rPr>
          <w:noProof/>
        </w:rPr>
        <w:t xml:space="preserve">Arba </w:t>
      </w:r>
      <w:r>
        <w:rPr>
          <w:noProof/>
          <w:lang w:val="en-US"/>
        </w:rPr>
        <w:t>3</w:t>
      </w:r>
      <w:r>
        <w:rPr>
          <w:noProof/>
        </w:rPr>
        <w:t xml:space="preserve"> talpyklės su 60 kietųjų kapsulių su vaikų sunkiai atidaromu, pirmąjį atidarymą rodančiu dangteliu.</w:t>
      </w:r>
    </w:p>
    <w:p w14:paraId="2C956308" w14:textId="77777777" w:rsidR="00F22FBD" w:rsidRDefault="00F22FBD">
      <w:pPr>
        <w:widowControl w:val="0"/>
        <w:rPr>
          <w:bCs/>
          <w:noProof/>
          <w:color w:val="000000"/>
          <w:szCs w:val="22"/>
          <w:lang w:val="en-GB" w:eastAsia="sl-SI"/>
        </w:rPr>
      </w:pPr>
    </w:p>
    <w:p w14:paraId="7A04FEDF" w14:textId="77777777" w:rsidR="00F22FBD" w:rsidRDefault="00D44E4A">
      <w:pPr>
        <w:widowControl w:val="0"/>
        <w:rPr>
          <w:bCs/>
          <w:noProof/>
          <w:color w:val="000000"/>
          <w:szCs w:val="22"/>
          <w:lang w:val="en-GB" w:eastAsia="sl-SI"/>
        </w:rPr>
      </w:pPr>
      <w:r>
        <w:rPr>
          <w:bCs/>
          <w:noProof/>
          <w:color w:val="000000"/>
          <w:szCs w:val="22"/>
          <w:lang w:val="en-GB" w:eastAsia="sl-SI"/>
        </w:rPr>
        <w:t>Gali būti tiekiamos ne visų dydžių pakuotės.</w:t>
      </w:r>
    </w:p>
    <w:p w14:paraId="2CB2B077" w14:textId="77777777" w:rsidR="00F22FBD" w:rsidRDefault="00F22FBD">
      <w:pPr>
        <w:widowControl w:val="0"/>
        <w:rPr>
          <w:bCs/>
          <w:noProof/>
          <w:color w:val="000000"/>
          <w:szCs w:val="22"/>
          <w:lang w:val="en-GB" w:eastAsia="sl-SI"/>
        </w:rPr>
      </w:pPr>
    </w:p>
    <w:p w14:paraId="5E289E05" w14:textId="77777777" w:rsidR="00F22FBD" w:rsidRDefault="00D44E4A">
      <w:pPr>
        <w:numPr>
          <w:ilvl w:val="12"/>
          <w:numId w:val="0"/>
        </w:numPr>
        <w:ind w:right="-2"/>
        <w:rPr>
          <w:b/>
          <w:bCs/>
          <w:noProof/>
        </w:rPr>
      </w:pPr>
      <w:r>
        <w:rPr>
          <w:b/>
          <w:bCs/>
          <w:noProof/>
        </w:rPr>
        <w:t>Registruotojas ir gamintojas</w:t>
      </w:r>
    </w:p>
    <w:p w14:paraId="57430905" w14:textId="77777777" w:rsidR="00F22FBD" w:rsidRDefault="00F22FBD">
      <w:pPr>
        <w:numPr>
          <w:ilvl w:val="12"/>
          <w:numId w:val="0"/>
        </w:numPr>
        <w:ind w:right="-2"/>
        <w:rPr>
          <w:noProof/>
        </w:rPr>
      </w:pPr>
    </w:p>
    <w:p w14:paraId="41BDF18A" w14:textId="77777777" w:rsidR="00F22FBD" w:rsidRDefault="00D44E4A">
      <w:pPr>
        <w:widowControl w:val="0"/>
        <w:rPr>
          <w:i/>
          <w:iCs/>
          <w:noProof/>
          <w:szCs w:val="22"/>
          <w:lang w:eastAsia="sl-SI"/>
        </w:rPr>
      </w:pPr>
      <w:r>
        <w:rPr>
          <w:i/>
          <w:iCs/>
          <w:noProof/>
          <w:szCs w:val="22"/>
          <w:lang w:eastAsia="sl-SI"/>
        </w:rPr>
        <w:t>Registruotojas</w:t>
      </w:r>
    </w:p>
    <w:p w14:paraId="2EE8041D" w14:textId="77777777" w:rsidR="00F22FBD" w:rsidRDefault="00D44E4A">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15F2A33B" w14:textId="77777777" w:rsidR="00F22FBD" w:rsidRDefault="00D44E4A">
      <w:pPr>
        <w:widowControl w:val="0"/>
        <w:rPr>
          <w:noProof/>
          <w:szCs w:val="22"/>
          <w:lang w:eastAsia="sl-SI"/>
        </w:rPr>
      </w:pPr>
      <w:r>
        <w:rPr>
          <w:noProof/>
          <w:szCs w:val="22"/>
          <w:lang w:eastAsia="sl-SI"/>
        </w:rPr>
        <w:t>Heinz-Lohmann-Straße 5</w:t>
      </w:r>
    </w:p>
    <w:p w14:paraId="186CC7FB" w14:textId="77777777" w:rsidR="00F22FBD" w:rsidRDefault="00D44E4A">
      <w:pPr>
        <w:widowControl w:val="0"/>
        <w:rPr>
          <w:noProof/>
          <w:szCs w:val="22"/>
          <w:lang w:eastAsia="sl-SI"/>
        </w:rPr>
      </w:pPr>
      <w:r>
        <w:rPr>
          <w:noProof/>
          <w:szCs w:val="22"/>
          <w:lang w:eastAsia="sl-SI"/>
        </w:rPr>
        <w:t>27472 Cuxhaven</w:t>
      </w:r>
    </w:p>
    <w:p w14:paraId="2040AED8" w14:textId="77777777" w:rsidR="00F22FBD" w:rsidRDefault="00D44E4A">
      <w:pPr>
        <w:widowControl w:val="0"/>
        <w:rPr>
          <w:noProof/>
          <w:szCs w:val="22"/>
          <w:lang w:eastAsia="sl-SI"/>
        </w:rPr>
      </w:pPr>
      <w:r>
        <w:rPr>
          <w:noProof/>
          <w:szCs w:val="22"/>
          <w:lang w:eastAsia="sl-SI"/>
        </w:rPr>
        <w:t>Vokietija</w:t>
      </w:r>
    </w:p>
    <w:p w14:paraId="6C8052F5" w14:textId="77777777" w:rsidR="00F22FBD" w:rsidRDefault="00F22FBD">
      <w:pPr>
        <w:numPr>
          <w:ilvl w:val="12"/>
          <w:numId w:val="0"/>
        </w:numPr>
        <w:ind w:right="-2"/>
        <w:rPr>
          <w:noProof/>
        </w:rPr>
      </w:pPr>
    </w:p>
    <w:p w14:paraId="11FB6D94" w14:textId="77777777" w:rsidR="00F22FBD" w:rsidRDefault="00D44E4A">
      <w:pPr>
        <w:widowControl w:val="0"/>
        <w:tabs>
          <w:tab w:val="left" w:pos="567"/>
        </w:tabs>
        <w:rPr>
          <w:i/>
          <w:iCs/>
          <w:szCs w:val="20"/>
          <w:lang w:eastAsia="sl-SI"/>
        </w:rPr>
      </w:pPr>
      <w:r>
        <w:rPr>
          <w:i/>
          <w:iCs/>
          <w:szCs w:val="20"/>
          <w:lang w:eastAsia="sl-SI"/>
        </w:rPr>
        <w:t>Gamintojas</w:t>
      </w:r>
    </w:p>
    <w:p w14:paraId="75A781E2" w14:textId="77777777" w:rsidR="00F22FBD" w:rsidRDefault="00D44E4A">
      <w:pPr>
        <w:widowControl w:val="0"/>
        <w:tabs>
          <w:tab w:val="left" w:pos="567"/>
        </w:tabs>
        <w:rPr>
          <w:szCs w:val="20"/>
          <w:lang w:eastAsia="sl-SI"/>
        </w:rPr>
      </w:pPr>
      <w:r>
        <w:rPr>
          <w:szCs w:val="20"/>
          <w:lang w:eastAsia="sl-SI"/>
        </w:rPr>
        <w:t>KRKA</w:t>
      </w:r>
      <w:r>
        <w:rPr>
          <w:snapToGrid w:val="0"/>
          <w:szCs w:val="22"/>
        </w:rPr>
        <w:t>, d.d., Novo mesto</w:t>
      </w:r>
    </w:p>
    <w:p w14:paraId="362EA101" w14:textId="77777777" w:rsidR="00F22FBD" w:rsidRDefault="00D44E4A">
      <w:pPr>
        <w:widowControl w:val="0"/>
        <w:tabs>
          <w:tab w:val="left" w:pos="567"/>
        </w:tabs>
        <w:rPr>
          <w:szCs w:val="20"/>
          <w:lang w:eastAsia="sl-SI"/>
        </w:rPr>
      </w:pPr>
      <w:r>
        <w:rPr>
          <w:snapToGrid w:val="0"/>
          <w:szCs w:val="22"/>
        </w:rPr>
        <w:t>Šmarješka cesta 6</w:t>
      </w:r>
    </w:p>
    <w:p w14:paraId="35E37E67" w14:textId="77777777" w:rsidR="00F22FBD" w:rsidRDefault="00D44E4A">
      <w:pPr>
        <w:widowControl w:val="0"/>
        <w:tabs>
          <w:tab w:val="left" w:pos="567"/>
        </w:tabs>
        <w:rPr>
          <w:szCs w:val="20"/>
          <w:lang w:eastAsia="sl-SI"/>
        </w:rPr>
      </w:pPr>
      <w:r>
        <w:rPr>
          <w:snapToGrid w:val="0"/>
          <w:szCs w:val="22"/>
        </w:rPr>
        <w:t>8501 Novo mesto</w:t>
      </w:r>
    </w:p>
    <w:p w14:paraId="7375037E" w14:textId="77777777" w:rsidR="00F22FBD" w:rsidRDefault="00D44E4A">
      <w:pPr>
        <w:widowControl w:val="0"/>
        <w:tabs>
          <w:tab w:val="left" w:pos="567"/>
        </w:tabs>
        <w:rPr>
          <w:snapToGrid w:val="0"/>
          <w:szCs w:val="22"/>
        </w:rPr>
      </w:pPr>
      <w:r>
        <w:rPr>
          <w:snapToGrid w:val="0"/>
          <w:szCs w:val="22"/>
        </w:rPr>
        <w:t>Slovėnija</w:t>
      </w:r>
    </w:p>
    <w:p w14:paraId="6B13DCF3" w14:textId="77777777" w:rsidR="00F22FBD" w:rsidRDefault="00F22FBD">
      <w:pPr>
        <w:widowControl w:val="0"/>
        <w:tabs>
          <w:tab w:val="left" w:pos="567"/>
        </w:tabs>
        <w:rPr>
          <w:snapToGrid w:val="0"/>
          <w:szCs w:val="22"/>
        </w:rPr>
      </w:pPr>
    </w:p>
    <w:p w14:paraId="741050EF" w14:textId="77777777" w:rsidR="00F22FBD" w:rsidRDefault="00F22FBD">
      <w:pPr>
        <w:numPr>
          <w:ilvl w:val="12"/>
          <w:numId w:val="0"/>
        </w:numPr>
        <w:ind w:right="-2"/>
        <w:rPr>
          <w:noProof/>
        </w:rPr>
      </w:pPr>
    </w:p>
    <w:p w14:paraId="30FDC800" w14:textId="77777777" w:rsidR="00F22FBD" w:rsidRDefault="00F22FBD">
      <w:pPr>
        <w:numPr>
          <w:ilvl w:val="12"/>
          <w:numId w:val="0"/>
        </w:numPr>
        <w:ind w:right="-2"/>
        <w:rPr>
          <w:noProof/>
        </w:rPr>
      </w:pPr>
    </w:p>
    <w:p w14:paraId="12EE867D" w14:textId="77777777" w:rsidR="00F22FBD" w:rsidRDefault="00D44E4A">
      <w:pPr>
        <w:numPr>
          <w:ilvl w:val="12"/>
          <w:numId w:val="0"/>
        </w:numPr>
        <w:ind w:right="-2"/>
      </w:pPr>
      <w:r>
        <w:rPr>
          <w:b/>
        </w:rPr>
        <w:t>Šis vaistas Europos ekonominės erdvės valstybėse narėse registruotas tokiais pavadinimais:</w:t>
      </w:r>
    </w:p>
    <w:p w14:paraId="63AA1EC2" w14:textId="77777777" w:rsidR="00F22FBD" w:rsidRDefault="00F22FBD">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F22FBD" w14:paraId="749DF91A" w14:textId="77777777">
        <w:tc>
          <w:tcPr>
            <w:tcW w:w="4698" w:type="dxa"/>
            <w:shd w:val="clear" w:color="auto" w:fill="auto"/>
          </w:tcPr>
          <w:p w14:paraId="106ADEE8" w14:textId="77777777" w:rsidR="00F22FBD" w:rsidRDefault="00D44E4A">
            <w:pPr>
              <w:widowControl w:val="0"/>
              <w:tabs>
                <w:tab w:val="left" w:pos="567"/>
              </w:tabs>
              <w:rPr>
                <w:snapToGrid w:val="0"/>
                <w:szCs w:val="22"/>
              </w:rPr>
            </w:pPr>
            <w:r>
              <w:rPr>
                <w:snapToGrid w:val="0"/>
                <w:szCs w:val="22"/>
              </w:rPr>
              <w:t>Valstybės narės pavadinimas</w:t>
            </w:r>
          </w:p>
        </w:tc>
        <w:tc>
          <w:tcPr>
            <w:tcW w:w="4254" w:type="dxa"/>
            <w:shd w:val="clear" w:color="auto" w:fill="auto"/>
          </w:tcPr>
          <w:p w14:paraId="6EF6295E" w14:textId="77777777" w:rsidR="00F22FBD" w:rsidRDefault="00D44E4A">
            <w:pPr>
              <w:widowControl w:val="0"/>
              <w:tabs>
                <w:tab w:val="left" w:pos="567"/>
              </w:tabs>
              <w:rPr>
                <w:snapToGrid w:val="0"/>
                <w:szCs w:val="22"/>
              </w:rPr>
            </w:pPr>
            <w:r>
              <w:rPr>
                <w:snapToGrid w:val="0"/>
                <w:szCs w:val="22"/>
              </w:rPr>
              <w:t>Vaisto pavadinimas</w:t>
            </w:r>
          </w:p>
        </w:tc>
      </w:tr>
      <w:tr w:rsidR="00F22FBD" w14:paraId="7827581C" w14:textId="77777777">
        <w:tc>
          <w:tcPr>
            <w:tcW w:w="4698" w:type="dxa"/>
            <w:shd w:val="clear" w:color="auto" w:fill="auto"/>
          </w:tcPr>
          <w:p w14:paraId="6B6A4152" w14:textId="77777777" w:rsidR="00F22FBD" w:rsidRDefault="00D44E4A">
            <w:pPr>
              <w:widowControl w:val="0"/>
              <w:tabs>
                <w:tab w:val="left" w:pos="567"/>
              </w:tabs>
              <w:rPr>
                <w:snapToGrid w:val="0"/>
                <w:szCs w:val="22"/>
              </w:rPr>
            </w:pPr>
            <w:r>
              <w:rPr>
                <w:snapToGrid w:val="0"/>
                <w:szCs w:val="22"/>
              </w:rPr>
              <w:t>Čekija, Estija, Vengrija, Lietuva, Latvija, Lenkija, Slovakija, Slovėnija</w:t>
            </w:r>
          </w:p>
        </w:tc>
        <w:tc>
          <w:tcPr>
            <w:tcW w:w="4254" w:type="dxa"/>
            <w:shd w:val="clear" w:color="auto" w:fill="auto"/>
          </w:tcPr>
          <w:p w14:paraId="6658CFC3" w14:textId="77777777" w:rsidR="00F22FBD" w:rsidRDefault="00D44E4A">
            <w:pPr>
              <w:widowControl w:val="0"/>
              <w:tabs>
                <w:tab w:val="left" w:pos="567"/>
              </w:tabs>
              <w:rPr>
                <w:snapToGrid w:val="0"/>
                <w:szCs w:val="22"/>
              </w:rPr>
            </w:pPr>
            <w:r>
              <w:rPr>
                <w:snapToGrid w:val="0"/>
                <w:szCs w:val="22"/>
              </w:rPr>
              <w:t>Danengo</w:t>
            </w:r>
          </w:p>
        </w:tc>
      </w:tr>
    </w:tbl>
    <w:p w14:paraId="186C1612" w14:textId="77777777" w:rsidR="00F22FBD" w:rsidRDefault="00F22FBD">
      <w:pPr>
        <w:numPr>
          <w:ilvl w:val="12"/>
          <w:numId w:val="0"/>
        </w:numPr>
        <w:ind w:right="-2"/>
        <w:rPr>
          <w:noProof/>
        </w:rPr>
      </w:pPr>
    </w:p>
    <w:p w14:paraId="05977999" w14:textId="7657A02C" w:rsidR="00F22FBD" w:rsidRDefault="00D44E4A">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2025-04-18</w:t>
      </w:r>
      <w:r>
        <w:rPr>
          <w:snapToGrid w:val="0"/>
          <w:szCs w:val="20"/>
        </w:rPr>
        <w:t>.</w:t>
      </w:r>
    </w:p>
    <w:p w14:paraId="1F2099E2" w14:textId="77777777" w:rsidR="00F22FBD" w:rsidRDefault="00F22FBD">
      <w:pPr>
        <w:numPr>
          <w:ilvl w:val="12"/>
          <w:numId w:val="0"/>
        </w:numPr>
        <w:ind w:right="-2"/>
        <w:rPr>
          <w:noProof/>
        </w:rPr>
      </w:pPr>
    </w:p>
    <w:p w14:paraId="40BC2887" w14:textId="77777777" w:rsidR="00F22FBD" w:rsidRDefault="00F22FBD">
      <w:pPr>
        <w:widowControl w:val="0"/>
        <w:numPr>
          <w:ilvl w:val="12"/>
          <w:numId w:val="0"/>
        </w:numPr>
        <w:tabs>
          <w:tab w:val="left" w:pos="567"/>
        </w:tabs>
        <w:ind w:right="-2"/>
        <w:rPr>
          <w:i/>
          <w:szCs w:val="20"/>
          <w:lang w:eastAsia="sl-SI"/>
        </w:rPr>
      </w:pPr>
    </w:p>
    <w:p w14:paraId="0D6B8A14" w14:textId="77777777" w:rsidR="00F22FBD" w:rsidRDefault="00D44E4A">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15" w:history="1">
        <w:r>
          <w:rPr>
            <w:rFonts w:eastAsia="SimSun"/>
            <w:color w:val="0000FF"/>
            <w:szCs w:val="20"/>
            <w:u w:val="single"/>
            <w:lang w:eastAsia="sl-SI"/>
          </w:rPr>
          <w:t>http://www.vvkt.lt/</w:t>
        </w:r>
      </w:hyperlink>
      <w:r>
        <w:rPr>
          <w:szCs w:val="20"/>
          <w:lang w:eastAsia="sl-SI"/>
        </w:rPr>
        <w:t>.</w:t>
      </w:r>
    </w:p>
    <w:p w14:paraId="719CDC3B" w14:textId="77777777" w:rsidR="00F22FBD" w:rsidRDefault="00F22FBD">
      <w:pPr>
        <w:ind w:left="567" w:hanging="567"/>
      </w:pPr>
    </w:p>
    <w:sectPr w:rsidR="00F22FBD">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B7FF3" w14:textId="77777777" w:rsidR="00306DAB" w:rsidRDefault="00306DAB">
      <w:r>
        <w:separator/>
      </w:r>
    </w:p>
  </w:endnote>
  <w:endnote w:type="continuationSeparator" w:id="0">
    <w:p w14:paraId="70ADB436" w14:textId="77777777" w:rsidR="00306DAB" w:rsidRDefault="00306DAB">
      <w:r>
        <w:continuationSeparator/>
      </w:r>
    </w:p>
  </w:endnote>
  <w:endnote w:type="continuationNotice" w:id="1">
    <w:p w14:paraId="15BF7674" w14:textId="77777777" w:rsidR="00306DAB" w:rsidRDefault="00306D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857D" w14:textId="77777777" w:rsidR="00F22FBD" w:rsidRDefault="00D44E4A">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605ED251" w14:textId="77777777" w:rsidR="00F22FBD" w:rsidRDefault="00F22FBD">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A8E36" w14:textId="1EA601C6" w:rsidR="00F22FBD" w:rsidRDefault="00D44E4A">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BF6733">
      <w:rPr>
        <w:rStyle w:val="Puslapionumeris"/>
        <w:rFonts w:ascii="Arial" w:hAnsi="Arial" w:cs="Arial"/>
        <w:noProof/>
        <w:lang w:val="lt-LT"/>
      </w:rPr>
      <w:t>2</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BDB69" w14:textId="77777777" w:rsidR="00F22FBD" w:rsidRDefault="00F22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48630" w14:textId="77777777" w:rsidR="00306DAB" w:rsidRDefault="00306DAB">
      <w:r>
        <w:separator/>
      </w:r>
    </w:p>
  </w:footnote>
  <w:footnote w:type="continuationSeparator" w:id="0">
    <w:p w14:paraId="6CCF1CAF" w14:textId="77777777" w:rsidR="00306DAB" w:rsidRDefault="00306DAB">
      <w:r>
        <w:continuationSeparator/>
      </w:r>
    </w:p>
  </w:footnote>
  <w:footnote w:type="continuationNotice" w:id="1">
    <w:p w14:paraId="024C617C" w14:textId="77777777" w:rsidR="00306DAB" w:rsidRDefault="00306DA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5DEAA" w14:textId="77777777" w:rsidR="00F22FBD" w:rsidRDefault="00F22F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A5A7B" w14:textId="77777777" w:rsidR="00F22FBD" w:rsidRDefault="00F22FB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240CD" w14:textId="77777777" w:rsidR="00F22FBD" w:rsidRDefault="00F22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1445A38"/>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5" w15:restartNumberingAfterBreak="0">
    <w:nsid w:val="3B5D244A"/>
    <w:multiLevelType w:val="hybridMultilevel"/>
    <w:tmpl w:val="19DEA898"/>
    <w:lvl w:ilvl="0" w:tplc="1AAA7572">
      <w:start w:val="1"/>
      <w:numFmt w:val="decimal"/>
      <w:lvlText w:val="%1."/>
      <w:lvlJc w:val="left"/>
      <w:pPr>
        <w:ind w:left="570" w:hanging="57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542C649D"/>
    <w:multiLevelType w:val="hybridMultilevel"/>
    <w:tmpl w:val="09A08D68"/>
    <w:lvl w:ilvl="0" w:tplc="B1B87C68">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4736E8E"/>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A100D28"/>
    <w:multiLevelType w:val="hybridMultilevel"/>
    <w:tmpl w:val="2F94C0BA"/>
    <w:lvl w:ilvl="0" w:tplc="8D324940">
      <w:start w:val="1"/>
      <w:numFmt w:val="upperLetter"/>
      <w:lvlText w:val="%1."/>
      <w:lvlJc w:val="left"/>
      <w:pPr>
        <w:ind w:left="5670" w:hanging="5670"/>
      </w:pPr>
      <w:rPr>
        <w:rFonts w:hint="default"/>
        <w:b/>
      </w:rPr>
    </w:lvl>
    <w:lvl w:ilvl="1" w:tplc="7A74512E">
      <w:start w:val="1"/>
      <w:numFmt w:val="decimal"/>
      <w:lvlText w:val="%2."/>
      <w:lvlJc w:val="left"/>
      <w:pPr>
        <w:ind w:left="1650" w:hanging="570"/>
      </w:pPr>
      <w:rPr>
        <w:rFonts w:hint="default"/>
        <w:b/>
        <w:i w:val="0"/>
      </w:rPr>
    </w:lvl>
    <w:lvl w:ilvl="2" w:tplc="CBF2B4F8" w:tentative="1">
      <w:start w:val="1"/>
      <w:numFmt w:val="lowerRoman"/>
      <w:lvlText w:val="%3."/>
      <w:lvlJc w:val="right"/>
      <w:pPr>
        <w:ind w:left="2160" w:hanging="180"/>
      </w:pPr>
    </w:lvl>
    <w:lvl w:ilvl="3" w:tplc="277C2EBC" w:tentative="1">
      <w:start w:val="1"/>
      <w:numFmt w:val="decimal"/>
      <w:lvlText w:val="%4."/>
      <w:lvlJc w:val="left"/>
      <w:pPr>
        <w:ind w:left="2880" w:hanging="360"/>
      </w:pPr>
    </w:lvl>
    <w:lvl w:ilvl="4" w:tplc="2EAE23F2" w:tentative="1">
      <w:start w:val="1"/>
      <w:numFmt w:val="lowerLetter"/>
      <w:lvlText w:val="%5."/>
      <w:lvlJc w:val="left"/>
      <w:pPr>
        <w:ind w:left="3600" w:hanging="360"/>
      </w:pPr>
    </w:lvl>
    <w:lvl w:ilvl="5" w:tplc="60F880CA" w:tentative="1">
      <w:start w:val="1"/>
      <w:numFmt w:val="lowerRoman"/>
      <w:lvlText w:val="%6."/>
      <w:lvlJc w:val="right"/>
      <w:pPr>
        <w:ind w:left="4320" w:hanging="180"/>
      </w:pPr>
    </w:lvl>
    <w:lvl w:ilvl="6" w:tplc="51D48620" w:tentative="1">
      <w:start w:val="1"/>
      <w:numFmt w:val="decimal"/>
      <w:lvlText w:val="%7."/>
      <w:lvlJc w:val="left"/>
      <w:pPr>
        <w:ind w:left="5040" w:hanging="360"/>
      </w:pPr>
    </w:lvl>
    <w:lvl w:ilvl="7" w:tplc="0514117A" w:tentative="1">
      <w:start w:val="1"/>
      <w:numFmt w:val="lowerLetter"/>
      <w:lvlText w:val="%8."/>
      <w:lvlJc w:val="left"/>
      <w:pPr>
        <w:ind w:left="5760" w:hanging="360"/>
      </w:pPr>
    </w:lvl>
    <w:lvl w:ilvl="8" w:tplc="D0F015C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0"/>
    <w:lvlOverride w:ilvl="0">
      <w:lvl w:ilvl="0">
        <w:start w:val="1"/>
        <w:numFmt w:val="bullet"/>
        <w:lvlText w:val="-"/>
        <w:lvlJc w:val="left"/>
        <w:pPr>
          <w:ind w:left="360" w:hanging="360"/>
        </w:pPr>
      </w:lvl>
    </w:lvlOverride>
  </w:num>
  <w:num w:numId="4">
    <w:abstractNumId w:val="9"/>
  </w:num>
  <w:num w:numId="5">
    <w:abstractNumId w:val="4"/>
  </w:num>
  <w:num w:numId="6">
    <w:abstractNumId w:val="5"/>
  </w:num>
  <w:num w:numId="7">
    <w:abstractNumId w:val="3"/>
  </w:num>
  <w:num w:numId="8">
    <w:abstractNumId w:val="8"/>
  </w:num>
  <w:num w:numId="9">
    <w:abstractNumId w:val="1"/>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F22FBD"/>
    <w:rsid w:val="0000204B"/>
    <w:rsid w:val="00002F63"/>
    <w:rsid w:val="00003019"/>
    <w:rsid w:val="00004D90"/>
    <w:rsid w:val="00004E26"/>
    <w:rsid w:val="000125E7"/>
    <w:rsid w:val="00014287"/>
    <w:rsid w:val="0001634D"/>
    <w:rsid w:val="00016E21"/>
    <w:rsid w:val="00017F9E"/>
    <w:rsid w:val="000211D3"/>
    <w:rsid w:val="00023910"/>
    <w:rsid w:val="00030B75"/>
    <w:rsid w:val="00032720"/>
    <w:rsid w:val="00036F18"/>
    <w:rsid w:val="00037CCB"/>
    <w:rsid w:val="00040B62"/>
    <w:rsid w:val="00041C6A"/>
    <w:rsid w:val="00041FC5"/>
    <w:rsid w:val="000433F6"/>
    <w:rsid w:val="00045986"/>
    <w:rsid w:val="000475AA"/>
    <w:rsid w:val="00047C97"/>
    <w:rsid w:val="00052EC3"/>
    <w:rsid w:val="0005309D"/>
    <w:rsid w:val="00053222"/>
    <w:rsid w:val="000627AF"/>
    <w:rsid w:val="0006312B"/>
    <w:rsid w:val="00067B16"/>
    <w:rsid w:val="000728B7"/>
    <w:rsid w:val="00074F96"/>
    <w:rsid w:val="00083BA1"/>
    <w:rsid w:val="00091DF1"/>
    <w:rsid w:val="00092335"/>
    <w:rsid w:val="000943D6"/>
    <w:rsid w:val="000946D8"/>
    <w:rsid w:val="00097725"/>
    <w:rsid w:val="000A2222"/>
    <w:rsid w:val="000A7F88"/>
    <w:rsid w:val="000B05C6"/>
    <w:rsid w:val="000B1819"/>
    <w:rsid w:val="000B1D93"/>
    <w:rsid w:val="000B36A3"/>
    <w:rsid w:val="000B4850"/>
    <w:rsid w:val="000B4F2C"/>
    <w:rsid w:val="000B5417"/>
    <w:rsid w:val="000B7739"/>
    <w:rsid w:val="000C0E02"/>
    <w:rsid w:val="000C3234"/>
    <w:rsid w:val="000C442B"/>
    <w:rsid w:val="000C7D8A"/>
    <w:rsid w:val="000D222A"/>
    <w:rsid w:val="000D2355"/>
    <w:rsid w:val="000D345A"/>
    <w:rsid w:val="000D42C0"/>
    <w:rsid w:val="000D6017"/>
    <w:rsid w:val="000E4BF1"/>
    <w:rsid w:val="000F4774"/>
    <w:rsid w:val="000F4CB4"/>
    <w:rsid w:val="00103206"/>
    <w:rsid w:val="00105473"/>
    <w:rsid w:val="00116E9C"/>
    <w:rsid w:val="00124161"/>
    <w:rsid w:val="00124F5A"/>
    <w:rsid w:val="001251BD"/>
    <w:rsid w:val="00126CD9"/>
    <w:rsid w:val="00134568"/>
    <w:rsid w:val="001405CB"/>
    <w:rsid w:val="00140AAE"/>
    <w:rsid w:val="001415B7"/>
    <w:rsid w:val="00143345"/>
    <w:rsid w:val="00147273"/>
    <w:rsid w:val="00161616"/>
    <w:rsid w:val="00162B47"/>
    <w:rsid w:val="00163A77"/>
    <w:rsid w:val="0016477B"/>
    <w:rsid w:val="00171BC6"/>
    <w:rsid w:val="00175C56"/>
    <w:rsid w:val="0019275D"/>
    <w:rsid w:val="00192A75"/>
    <w:rsid w:val="00193E60"/>
    <w:rsid w:val="00196B5C"/>
    <w:rsid w:val="001A412C"/>
    <w:rsid w:val="001A5D9C"/>
    <w:rsid w:val="001B1667"/>
    <w:rsid w:val="001B167F"/>
    <w:rsid w:val="001B23E8"/>
    <w:rsid w:val="001B49D9"/>
    <w:rsid w:val="001B509E"/>
    <w:rsid w:val="001C0645"/>
    <w:rsid w:val="001C6901"/>
    <w:rsid w:val="001D388C"/>
    <w:rsid w:val="001D5F3B"/>
    <w:rsid w:val="001E0E35"/>
    <w:rsid w:val="001E0E87"/>
    <w:rsid w:val="001E49C4"/>
    <w:rsid w:val="001E7E1C"/>
    <w:rsid w:val="001F3857"/>
    <w:rsid w:val="001F4088"/>
    <w:rsid w:val="002016F8"/>
    <w:rsid w:val="00202342"/>
    <w:rsid w:val="00204B39"/>
    <w:rsid w:val="00212A17"/>
    <w:rsid w:val="00213729"/>
    <w:rsid w:val="0022256E"/>
    <w:rsid w:val="0022282D"/>
    <w:rsid w:val="00222D8D"/>
    <w:rsid w:val="0022411F"/>
    <w:rsid w:val="00226BCE"/>
    <w:rsid w:val="00236020"/>
    <w:rsid w:val="00236ED5"/>
    <w:rsid w:val="00244587"/>
    <w:rsid w:val="00245CA4"/>
    <w:rsid w:val="002503BF"/>
    <w:rsid w:val="00250F42"/>
    <w:rsid w:val="0025349D"/>
    <w:rsid w:val="00264756"/>
    <w:rsid w:val="0026645A"/>
    <w:rsid w:val="002701E1"/>
    <w:rsid w:val="00273EF4"/>
    <w:rsid w:val="00276F8E"/>
    <w:rsid w:val="002826EC"/>
    <w:rsid w:val="00284E44"/>
    <w:rsid w:val="0028698D"/>
    <w:rsid w:val="00287D38"/>
    <w:rsid w:val="0029417D"/>
    <w:rsid w:val="002A242C"/>
    <w:rsid w:val="002C0072"/>
    <w:rsid w:val="002C2015"/>
    <w:rsid w:val="002C230F"/>
    <w:rsid w:val="002C6E10"/>
    <w:rsid w:val="002D2EF4"/>
    <w:rsid w:val="002D5788"/>
    <w:rsid w:val="002D64BA"/>
    <w:rsid w:val="002F3F0B"/>
    <w:rsid w:val="002F44DB"/>
    <w:rsid w:val="002F555C"/>
    <w:rsid w:val="003025F5"/>
    <w:rsid w:val="00302B51"/>
    <w:rsid w:val="003057E1"/>
    <w:rsid w:val="00306DAB"/>
    <w:rsid w:val="00314ECE"/>
    <w:rsid w:val="00324596"/>
    <w:rsid w:val="003345BC"/>
    <w:rsid w:val="003346AC"/>
    <w:rsid w:val="0033528F"/>
    <w:rsid w:val="00335CED"/>
    <w:rsid w:val="003372EC"/>
    <w:rsid w:val="00337757"/>
    <w:rsid w:val="003429FD"/>
    <w:rsid w:val="00342DDA"/>
    <w:rsid w:val="00344D05"/>
    <w:rsid w:val="003452D6"/>
    <w:rsid w:val="00345F79"/>
    <w:rsid w:val="00350AA3"/>
    <w:rsid w:val="00361BD9"/>
    <w:rsid w:val="0036347C"/>
    <w:rsid w:val="003649E9"/>
    <w:rsid w:val="0037036B"/>
    <w:rsid w:val="00376ED0"/>
    <w:rsid w:val="003811C4"/>
    <w:rsid w:val="00391A76"/>
    <w:rsid w:val="003A71BE"/>
    <w:rsid w:val="003B2800"/>
    <w:rsid w:val="003B3227"/>
    <w:rsid w:val="003C01B6"/>
    <w:rsid w:val="003C3186"/>
    <w:rsid w:val="003C4965"/>
    <w:rsid w:val="003D05EA"/>
    <w:rsid w:val="003D1AAD"/>
    <w:rsid w:val="003D2582"/>
    <w:rsid w:val="003D337B"/>
    <w:rsid w:val="003D4D9A"/>
    <w:rsid w:val="003E5F12"/>
    <w:rsid w:val="003E654B"/>
    <w:rsid w:val="003E66F4"/>
    <w:rsid w:val="003F3A5A"/>
    <w:rsid w:val="00403FE3"/>
    <w:rsid w:val="00405164"/>
    <w:rsid w:val="00406079"/>
    <w:rsid w:val="004070C0"/>
    <w:rsid w:val="00410C62"/>
    <w:rsid w:val="00414BA8"/>
    <w:rsid w:val="004257F9"/>
    <w:rsid w:val="00427A80"/>
    <w:rsid w:val="00441153"/>
    <w:rsid w:val="004422EC"/>
    <w:rsid w:val="00443021"/>
    <w:rsid w:val="00447B74"/>
    <w:rsid w:val="00451940"/>
    <w:rsid w:val="0045238D"/>
    <w:rsid w:val="00452424"/>
    <w:rsid w:val="004530B6"/>
    <w:rsid w:val="004636DB"/>
    <w:rsid w:val="0046671F"/>
    <w:rsid w:val="00467588"/>
    <w:rsid w:val="004753A0"/>
    <w:rsid w:val="00482673"/>
    <w:rsid w:val="00482D11"/>
    <w:rsid w:val="00482EC4"/>
    <w:rsid w:val="00483D0D"/>
    <w:rsid w:val="00485F41"/>
    <w:rsid w:val="0048736F"/>
    <w:rsid w:val="00491C04"/>
    <w:rsid w:val="004B121D"/>
    <w:rsid w:val="004B266E"/>
    <w:rsid w:val="004B3207"/>
    <w:rsid w:val="004B3850"/>
    <w:rsid w:val="004B38F1"/>
    <w:rsid w:val="004B6A2F"/>
    <w:rsid w:val="004B6B8C"/>
    <w:rsid w:val="004C2CA6"/>
    <w:rsid w:val="004C3C15"/>
    <w:rsid w:val="004C5BF3"/>
    <w:rsid w:val="004C6334"/>
    <w:rsid w:val="004D243F"/>
    <w:rsid w:val="004D2F39"/>
    <w:rsid w:val="004D32D1"/>
    <w:rsid w:val="004D7A90"/>
    <w:rsid w:val="004E5158"/>
    <w:rsid w:val="004E5580"/>
    <w:rsid w:val="004E791C"/>
    <w:rsid w:val="004F1E8F"/>
    <w:rsid w:val="00501A7C"/>
    <w:rsid w:val="005115CD"/>
    <w:rsid w:val="00515760"/>
    <w:rsid w:val="00517957"/>
    <w:rsid w:val="00520FED"/>
    <w:rsid w:val="00522D26"/>
    <w:rsid w:val="00522E10"/>
    <w:rsid w:val="00525790"/>
    <w:rsid w:val="0052605D"/>
    <w:rsid w:val="00526CEC"/>
    <w:rsid w:val="00530EAA"/>
    <w:rsid w:val="00533E6F"/>
    <w:rsid w:val="00537697"/>
    <w:rsid w:val="00540194"/>
    <w:rsid w:val="0054086A"/>
    <w:rsid w:val="00541718"/>
    <w:rsid w:val="00550536"/>
    <w:rsid w:val="005509C2"/>
    <w:rsid w:val="0055255F"/>
    <w:rsid w:val="0055319E"/>
    <w:rsid w:val="005555EC"/>
    <w:rsid w:val="0055625B"/>
    <w:rsid w:val="00564AA2"/>
    <w:rsid w:val="00565A98"/>
    <w:rsid w:val="005666F3"/>
    <w:rsid w:val="00567367"/>
    <w:rsid w:val="00573EB7"/>
    <w:rsid w:val="00575020"/>
    <w:rsid w:val="00575337"/>
    <w:rsid w:val="005766E4"/>
    <w:rsid w:val="0057717C"/>
    <w:rsid w:val="005836BE"/>
    <w:rsid w:val="00590303"/>
    <w:rsid w:val="005916DE"/>
    <w:rsid w:val="005923F3"/>
    <w:rsid w:val="00593029"/>
    <w:rsid w:val="0059570C"/>
    <w:rsid w:val="00597DE4"/>
    <w:rsid w:val="005A1DCD"/>
    <w:rsid w:val="005A34D8"/>
    <w:rsid w:val="005A78E7"/>
    <w:rsid w:val="005B22F4"/>
    <w:rsid w:val="005C4A63"/>
    <w:rsid w:val="005E0ED4"/>
    <w:rsid w:val="005E495E"/>
    <w:rsid w:val="005E55EB"/>
    <w:rsid w:val="005E6837"/>
    <w:rsid w:val="005F0450"/>
    <w:rsid w:val="005F3836"/>
    <w:rsid w:val="005F7106"/>
    <w:rsid w:val="005F7690"/>
    <w:rsid w:val="00601F40"/>
    <w:rsid w:val="00607EB1"/>
    <w:rsid w:val="00610043"/>
    <w:rsid w:val="00610C5E"/>
    <w:rsid w:val="006120BF"/>
    <w:rsid w:val="0061211B"/>
    <w:rsid w:val="0061755A"/>
    <w:rsid w:val="0061759C"/>
    <w:rsid w:val="006177E8"/>
    <w:rsid w:val="00624BA1"/>
    <w:rsid w:val="0062548B"/>
    <w:rsid w:val="00626C69"/>
    <w:rsid w:val="006278F5"/>
    <w:rsid w:val="0063396A"/>
    <w:rsid w:val="00640ADA"/>
    <w:rsid w:val="006430E6"/>
    <w:rsid w:val="00643FC2"/>
    <w:rsid w:val="00644137"/>
    <w:rsid w:val="006535C0"/>
    <w:rsid w:val="006550CD"/>
    <w:rsid w:val="00664295"/>
    <w:rsid w:val="006675A2"/>
    <w:rsid w:val="00670E6D"/>
    <w:rsid w:val="006760D3"/>
    <w:rsid w:val="006801B2"/>
    <w:rsid w:val="00690585"/>
    <w:rsid w:val="00690A9F"/>
    <w:rsid w:val="006A2C3C"/>
    <w:rsid w:val="006B17B1"/>
    <w:rsid w:val="006B210D"/>
    <w:rsid w:val="006B223A"/>
    <w:rsid w:val="006D6F34"/>
    <w:rsid w:val="006D7CBC"/>
    <w:rsid w:val="006E0B52"/>
    <w:rsid w:val="006E0D88"/>
    <w:rsid w:val="006E4F4D"/>
    <w:rsid w:val="006E5DA7"/>
    <w:rsid w:val="006E691C"/>
    <w:rsid w:val="006E7EB0"/>
    <w:rsid w:val="006F1605"/>
    <w:rsid w:val="006F19FC"/>
    <w:rsid w:val="006F29A7"/>
    <w:rsid w:val="006F331D"/>
    <w:rsid w:val="006F69A1"/>
    <w:rsid w:val="00701509"/>
    <w:rsid w:val="007025F1"/>
    <w:rsid w:val="00704EEC"/>
    <w:rsid w:val="0070561D"/>
    <w:rsid w:val="00705CCB"/>
    <w:rsid w:val="00711668"/>
    <w:rsid w:val="007153D2"/>
    <w:rsid w:val="00721A06"/>
    <w:rsid w:val="00730014"/>
    <w:rsid w:val="007332BE"/>
    <w:rsid w:val="007333D1"/>
    <w:rsid w:val="0074030E"/>
    <w:rsid w:val="007417BE"/>
    <w:rsid w:val="00745295"/>
    <w:rsid w:val="00756BFC"/>
    <w:rsid w:val="007620E0"/>
    <w:rsid w:val="00765373"/>
    <w:rsid w:val="00771259"/>
    <w:rsid w:val="0077377D"/>
    <w:rsid w:val="00777769"/>
    <w:rsid w:val="00777DA4"/>
    <w:rsid w:val="007839AF"/>
    <w:rsid w:val="007854B5"/>
    <w:rsid w:val="0078640E"/>
    <w:rsid w:val="0078649E"/>
    <w:rsid w:val="007872C1"/>
    <w:rsid w:val="007906F3"/>
    <w:rsid w:val="007919A1"/>
    <w:rsid w:val="00792AF1"/>
    <w:rsid w:val="00795830"/>
    <w:rsid w:val="007A1B82"/>
    <w:rsid w:val="007A1BEF"/>
    <w:rsid w:val="007B6369"/>
    <w:rsid w:val="007B773A"/>
    <w:rsid w:val="007C29B8"/>
    <w:rsid w:val="007D181E"/>
    <w:rsid w:val="007D5239"/>
    <w:rsid w:val="007D6963"/>
    <w:rsid w:val="007D7D77"/>
    <w:rsid w:val="007E14A4"/>
    <w:rsid w:val="007E729F"/>
    <w:rsid w:val="007F0B6F"/>
    <w:rsid w:val="007F1700"/>
    <w:rsid w:val="007F2E70"/>
    <w:rsid w:val="007F34F5"/>
    <w:rsid w:val="007F4913"/>
    <w:rsid w:val="007F6DAF"/>
    <w:rsid w:val="00803E2C"/>
    <w:rsid w:val="00805C06"/>
    <w:rsid w:val="00806EC7"/>
    <w:rsid w:val="00810608"/>
    <w:rsid w:val="00811DEA"/>
    <w:rsid w:val="0081487C"/>
    <w:rsid w:val="0082146A"/>
    <w:rsid w:val="00832079"/>
    <w:rsid w:val="0083748B"/>
    <w:rsid w:val="00840684"/>
    <w:rsid w:val="008436CE"/>
    <w:rsid w:val="00843761"/>
    <w:rsid w:val="00845DEE"/>
    <w:rsid w:val="00852291"/>
    <w:rsid w:val="0085325E"/>
    <w:rsid w:val="008534DB"/>
    <w:rsid w:val="00855D06"/>
    <w:rsid w:val="00862708"/>
    <w:rsid w:val="0086609F"/>
    <w:rsid w:val="008663B5"/>
    <w:rsid w:val="00875DFD"/>
    <w:rsid w:val="00887B61"/>
    <w:rsid w:val="008932F1"/>
    <w:rsid w:val="008A0BD5"/>
    <w:rsid w:val="008A0CE8"/>
    <w:rsid w:val="008A2986"/>
    <w:rsid w:val="008B20AC"/>
    <w:rsid w:val="008B385E"/>
    <w:rsid w:val="008C1892"/>
    <w:rsid w:val="008C5C27"/>
    <w:rsid w:val="008D489B"/>
    <w:rsid w:val="008E4745"/>
    <w:rsid w:val="008E61A4"/>
    <w:rsid w:val="008E68F5"/>
    <w:rsid w:val="00904935"/>
    <w:rsid w:val="00905489"/>
    <w:rsid w:val="00915493"/>
    <w:rsid w:val="00922886"/>
    <w:rsid w:val="009231FC"/>
    <w:rsid w:val="0092519B"/>
    <w:rsid w:val="00926B84"/>
    <w:rsid w:val="00926EE2"/>
    <w:rsid w:val="00927EB9"/>
    <w:rsid w:val="009414E9"/>
    <w:rsid w:val="00951D90"/>
    <w:rsid w:val="00951EDB"/>
    <w:rsid w:val="00952237"/>
    <w:rsid w:val="0095705B"/>
    <w:rsid w:val="00967989"/>
    <w:rsid w:val="009712FA"/>
    <w:rsid w:val="00972D30"/>
    <w:rsid w:val="00974C66"/>
    <w:rsid w:val="00975855"/>
    <w:rsid w:val="00983FBE"/>
    <w:rsid w:val="00991F2F"/>
    <w:rsid w:val="00997985"/>
    <w:rsid w:val="009A61C1"/>
    <w:rsid w:val="009A7545"/>
    <w:rsid w:val="009B21DD"/>
    <w:rsid w:val="009B5AE9"/>
    <w:rsid w:val="009B5DD9"/>
    <w:rsid w:val="009B712A"/>
    <w:rsid w:val="009C41B2"/>
    <w:rsid w:val="009C6F3D"/>
    <w:rsid w:val="009C7E4B"/>
    <w:rsid w:val="009D1068"/>
    <w:rsid w:val="009D292A"/>
    <w:rsid w:val="009D4188"/>
    <w:rsid w:val="009D6029"/>
    <w:rsid w:val="009E131D"/>
    <w:rsid w:val="009E1ADC"/>
    <w:rsid w:val="009E2599"/>
    <w:rsid w:val="009E7EBB"/>
    <w:rsid w:val="009F1DD7"/>
    <w:rsid w:val="009F7BB9"/>
    <w:rsid w:val="00A05BD0"/>
    <w:rsid w:val="00A070ED"/>
    <w:rsid w:val="00A1219D"/>
    <w:rsid w:val="00A121AE"/>
    <w:rsid w:val="00A15FAF"/>
    <w:rsid w:val="00A26F79"/>
    <w:rsid w:val="00A34A38"/>
    <w:rsid w:val="00A35603"/>
    <w:rsid w:val="00A35F6E"/>
    <w:rsid w:val="00A36E03"/>
    <w:rsid w:val="00A459A9"/>
    <w:rsid w:val="00A45A85"/>
    <w:rsid w:val="00A53309"/>
    <w:rsid w:val="00A54E75"/>
    <w:rsid w:val="00A5600D"/>
    <w:rsid w:val="00A633CE"/>
    <w:rsid w:val="00A7538E"/>
    <w:rsid w:val="00A81754"/>
    <w:rsid w:val="00A843CD"/>
    <w:rsid w:val="00A969DF"/>
    <w:rsid w:val="00AB4A4D"/>
    <w:rsid w:val="00AB5CE5"/>
    <w:rsid w:val="00AC004F"/>
    <w:rsid w:val="00AC352D"/>
    <w:rsid w:val="00AC7770"/>
    <w:rsid w:val="00AD4ED1"/>
    <w:rsid w:val="00AE5631"/>
    <w:rsid w:val="00AE5FAA"/>
    <w:rsid w:val="00AE767F"/>
    <w:rsid w:val="00AF29D7"/>
    <w:rsid w:val="00AF5A8A"/>
    <w:rsid w:val="00B000EE"/>
    <w:rsid w:val="00B071C3"/>
    <w:rsid w:val="00B076F0"/>
    <w:rsid w:val="00B1068E"/>
    <w:rsid w:val="00B10D5B"/>
    <w:rsid w:val="00B117DB"/>
    <w:rsid w:val="00B14E06"/>
    <w:rsid w:val="00B22761"/>
    <w:rsid w:val="00B25986"/>
    <w:rsid w:val="00B26896"/>
    <w:rsid w:val="00B31A72"/>
    <w:rsid w:val="00B3598C"/>
    <w:rsid w:val="00B36B46"/>
    <w:rsid w:val="00B36FEC"/>
    <w:rsid w:val="00B40B80"/>
    <w:rsid w:val="00B41D72"/>
    <w:rsid w:val="00B436EB"/>
    <w:rsid w:val="00B4372F"/>
    <w:rsid w:val="00B4739D"/>
    <w:rsid w:val="00B47F5C"/>
    <w:rsid w:val="00B50BC2"/>
    <w:rsid w:val="00B55350"/>
    <w:rsid w:val="00B5734F"/>
    <w:rsid w:val="00B70991"/>
    <w:rsid w:val="00B76FAA"/>
    <w:rsid w:val="00B770D8"/>
    <w:rsid w:val="00B82FFB"/>
    <w:rsid w:val="00B833CA"/>
    <w:rsid w:val="00B84282"/>
    <w:rsid w:val="00B95EF6"/>
    <w:rsid w:val="00BA42FB"/>
    <w:rsid w:val="00BA7ED3"/>
    <w:rsid w:val="00BB1094"/>
    <w:rsid w:val="00BB1287"/>
    <w:rsid w:val="00BB4522"/>
    <w:rsid w:val="00BB71BD"/>
    <w:rsid w:val="00BB7B3C"/>
    <w:rsid w:val="00BC07E5"/>
    <w:rsid w:val="00BC12F2"/>
    <w:rsid w:val="00BC6041"/>
    <w:rsid w:val="00BD04B8"/>
    <w:rsid w:val="00BD2024"/>
    <w:rsid w:val="00BD4EA3"/>
    <w:rsid w:val="00BD7834"/>
    <w:rsid w:val="00BE57D9"/>
    <w:rsid w:val="00BE5F56"/>
    <w:rsid w:val="00BE6CE3"/>
    <w:rsid w:val="00BE77D3"/>
    <w:rsid w:val="00BF111F"/>
    <w:rsid w:val="00BF195B"/>
    <w:rsid w:val="00BF1BE9"/>
    <w:rsid w:val="00BF6733"/>
    <w:rsid w:val="00C06E23"/>
    <w:rsid w:val="00C149F8"/>
    <w:rsid w:val="00C156C4"/>
    <w:rsid w:val="00C168CD"/>
    <w:rsid w:val="00C179AF"/>
    <w:rsid w:val="00C228D7"/>
    <w:rsid w:val="00C2353E"/>
    <w:rsid w:val="00C2648A"/>
    <w:rsid w:val="00C3092D"/>
    <w:rsid w:val="00C343C4"/>
    <w:rsid w:val="00C370A0"/>
    <w:rsid w:val="00C378CA"/>
    <w:rsid w:val="00C47674"/>
    <w:rsid w:val="00C503A7"/>
    <w:rsid w:val="00C51DB3"/>
    <w:rsid w:val="00C5208E"/>
    <w:rsid w:val="00C57232"/>
    <w:rsid w:val="00C6665B"/>
    <w:rsid w:val="00C679EA"/>
    <w:rsid w:val="00C721F7"/>
    <w:rsid w:val="00C751B8"/>
    <w:rsid w:val="00C76592"/>
    <w:rsid w:val="00C77108"/>
    <w:rsid w:val="00C77458"/>
    <w:rsid w:val="00C853DC"/>
    <w:rsid w:val="00C937E7"/>
    <w:rsid w:val="00C96204"/>
    <w:rsid w:val="00C96D9A"/>
    <w:rsid w:val="00CA008C"/>
    <w:rsid w:val="00CA0EEF"/>
    <w:rsid w:val="00CA3D39"/>
    <w:rsid w:val="00CB3F19"/>
    <w:rsid w:val="00CB6908"/>
    <w:rsid w:val="00CC1C41"/>
    <w:rsid w:val="00CD1FE9"/>
    <w:rsid w:val="00CD2E85"/>
    <w:rsid w:val="00CE534E"/>
    <w:rsid w:val="00CF6B84"/>
    <w:rsid w:val="00CF6FB2"/>
    <w:rsid w:val="00D04112"/>
    <w:rsid w:val="00D05799"/>
    <w:rsid w:val="00D07227"/>
    <w:rsid w:val="00D11DC6"/>
    <w:rsid w:val="00D1525E"/>
    <w:rsid w:val="00D17FA4"/>
    <w:rsid w:val="00D24401"/>
    <w:rsid w:val="00D26934"/>
    <w:rsid w:val="00D31381"/>
    <w:rsid w:val="00D401DD"/>
    <w:rsid w:val="00D42160"/>
    <w:rsid w:val="00D44E4A"/>
    <w:rsid w:val="00D45FAF"/>
    <w:rsid w:val="00D53B1A"/>
    <w:rsid w:val="00D65DBE"/>
    <w:rsid w:val="00D679CB"/>
    <w:rsid w:val="00D7371C"/>
    <w:rsid w:val="00D74D15"/>
    <w:rsid w:val="00D74FAB"/>
    <w:rsid w:val="00D81C86"/>
    <w:rsid w:val="00D84CC2"/>
    <w:rsid w:val="00D9777F"/>
    <w:rsid w:val="00D97997"/>
    <w:rsid w:val="00DA2D8C"/>
    <w:rsid w:val="00DA5050"/>
    <w:rsid w:val="00DA71B7"/>
    <w:rsid w:val="00DB4C61"/>
    <w:rsid w:val="00DB4EF5"/>
    <w:rsid w:val="00DB5A54"/>
    <w:rsid w:val="00DB76C9"/>
    <w:rsid w:val="00DC33AD"/>
    <w:rsid w:val="00DC7D20"/>
    <w:rsid w:val="00DD1C7F"/>
    <w:rsid w:val="00DD27EA"/>
    <w:rsid w:val="00DE4BC1"/>
    <w:rsid w:val="00DE4CBE"/>
    <w:rsid w:val="00DE6860"/>
    <w:rsid w:val="00DF0945"/>
    <w:rsid w:val="00DF2B6F"/>
    <w:rsid w:val="00DF7E1E"/>
    <w:rsid w:val="00E02BC2"/>
    <w:rsid w:val="00E041B4"/>
    <w:rsid w:val="00E12B53"/>
    <w:rsid w:val="00E16FC6"/>
    <w:rsid w:val="00E20392"/>
    <w:rsid w:val="00E20F80"/>
    <w:rsid w:val="00E21D80"/>
    <w:rsid w:val="00E24608"/>
    <w:rsid w:val="00E305E7"/>
    <w:rsid w:val="00E42BC1"/>
    <w:rsid w:val="00E47BC4"/>
    <w:rsid w:val="00E51CEC"/>
    <w:rsid w:val="00E5468F"/>
    <w:rsid w:val="00E60AC7"/>
    <w:rsid w:val="00E62BB0"/>
    <w:rsid w:val="00E66518"/>
    <w:rsid w:val="00E66EC6"/>
    <w:rsid w:val="00E67680"/>
    <w:rsid w:val="00E74F28"/>
    <w:rsid w:val="00E75C9B"/>
    <w:rsid w:val="00E8169F"/>
    <w:rsid w:val="00E8429E"/>
    <w:rsid w:val="00E845B3"/>
    <w:rsid w:val="00E84D4D"/>
    <w:rsid w:val="00E900B6"/>
    <w:rsid w:val="00E9015B"/>
    <w:rsid w:val="00E942CA"/>
    <w:rsid w:val="00E94588"/>
    <w:rsid w:val="00EA0242"/>
    <w:rsid w:val="00EA2B53"/>
    <w:rsid w:val="00EB0E9A"/>
    <w:rsid w:val="00EB4119"/>
    <w:rsid w:val="00EB41B5"/>
    <w:rsid w:val="00EC1761"/>
    <w:rsid w:val="00EC2959"/>
    <w:rsid w:val="00EC3596"/>
    <w:rsid w:val="00EC420A"/>
    <w:rsid w:val="00ED2971"/>
    <w:rsid w:val="00EE10EB"/>
    <w:rsid w:val="00EE6D10"/>
    <w:rsid w:val="00EF2D61"/>
    <w:rsid w:val="00EF32C3"/>
    <w:rsid w:val="00EF6DDE"/>
    <w:rsid w:val="00F03003"/>
    <w:rsid w:val="00F06AA4"/>
    <w:rsid w:val="00F12063"/>
    <w:rsid w:val="00F13CA2"/>
    <w:rsid w:val="00F160B9"/>
    <w:rsid w:val="00F16BE5"/>
    <w:rsid w:val="00F16D09"/>
    <w:rsid w:val="00F17226"/>
    <w:rsid w:val="00F17492"/>
    <w:rsid w:val="00F20CF3"/>
    <w:rsid w:val="00F214E9"/>
    <w:rsid w:val="00F22FBD"/>
    <w:rsid w:val="00F244B7"/>
    <w:rsid w:val="00F258C1"/>
    <w:rsid w:val="00F25B51"/>
    <w:rsid w:val="00F26223"/>
    <w:rsid w:val="00F26694"/>
    <w:rsid w:val="00F32D95"/>
    <w:rsid w:val="00F34187"/>
    <w:rsid w:val="00F37CE1"/>
    <w:rsid w:val="00F41FAA"/>
    <w:rsid w:val="00F4415A"/>
    <w:rsid w:val="00F50EC3"/>
    <w:rsid w:val="00F53906"/>
    <w:rsid w:val="00F60AAC"/>
    <w:rsid w:val="00F61D4F"/>
    <w:rsid w:val="00F66DD2"/>
    <w:rsid w:val="00F66ECE"/>
    <w:rsid w:val="00F67E89"/>
    <w:rsid w:val="00F72602"/>
    <w:rsid w:val="00F726DA"/>
    <w:rsid w:val="00F76E03"/>
    <w:rsid w:val="00F77607"/>
    <w:rsid w:val="00F77B54"/>
    <w:rsid w:val="00F8451F"/>
    <w:rsid w:val="00F851EB"/>
    <w:rsid w:val="00F8583C"/>
    <w:rsid w:val="00F858CE"/>
    <w:rsid w:val="00F859BF"/>
    <w:rsid w:val="00F906A4"/>
    <w:rsid w:val="00F931D9"/>
    <w:rsid w:val="00F94160"/>
    <w:rsid w:val="00F9492B"/>
    <w:rsid w:val="00F95E3A"/>
    <w:rsid w:val="00FA3CF2"/>
    <w:rsid w:val="00FA4EDC"/>
    <w:rsid w:val="00FA5146"/>
    <w:rsid w:val="00FA5CA5"/>
    <w:rsid w:val="00FA6FA3"/>
    <w:rsid w:val="00FA7C3B"/>
    <w:rsid w:val="00FB33D7"/>
    <w:rsid w:val="00FB3E24"/>
    <w:rsid w:val="00FB3EB5"/>
    <w:rsid w:val="00FC357E"/>
    <w:rsid w:val="00FC35CA"/>
    <w:rsid w:val="00FC7014"/>
    <w:rsid w:val="00FD57FE"/>
    <w:rsid w:val="00FE0DF7"/>
    <w:rsid w:val="00FE2692"/>
    <w:rsid w:val="00FE5645"/>
    <w:rsid w:val="00FF082B"/>
    <w:rsid w:val="00FF5B99"/>
    <w:rsid w:val="00FF69C2"/>
    <w:rsid w:val="00FF6F32"/>
    <w:rsid w:val="00FF7777"/>
    <w:rsid w:val="00FF79F8"/>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A9383D"/>
  <w15:docId w15:val="{62A95E42-60E6-49D2-A04F-B5A0CF11B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link w:val="PagrindinistekstasDiagrama"/>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Sraopastraipa">
    <w:name w:val="List Paragraph"/>
    <w:basedOn w:val="prastasis"/>
    <w:uiPriority w:val="1"/>
    <w:qFormat/>
    <w:pPr>
      <w:ind w:left="720"/>
      <w:contextualSpacing/>
    </w:pPr>
  </w:style>
  <w:style w:type="character" w:customStyle="1" w:styleId="PagrindinistekstasDiagrama">
    <w:name w:val="Pagrindinis tekstas Diagrama"/>
    <w:basedOn w:val="Numatytasispastraiposriftas"/>
    <w:link w:val="Pagrindinistekstas"/>
    <w:rPr>
      <w:i/>
      <w:color w:val="008000"/>
      <w:sz w:val="22"/>
      <w:lang w:val="en-GB" w:eastAsia="en-US"/>
    </w:rPr>
  </w:style>
  <w:style w:type="paragraph" w:styleId="prastasiniatinklio">
    <w:name w:val="Normal (Web)"/>
    <w:basedOn w:val="prastasis"/>
    <w:uiPriority w:val="99"/>
    <w:unhideWhenUsed/>
    <w:pPr>
      <w:spacing w:after="143"/>
    </w:pPr>
    <w:rPr>
      <w:rFonts w:eastAsia="Calibri"/>
      <w:sz w:val="24"/>
      <w:lang w:val="sl-SI" w:eastAsia="sl-SI"/>
    </w:rPr>
  </w:style>
  <w:style w:type="paragraph" w:styleId="Pataisymai">
    <w:name w:val="Revision"/>
    <w:hidden/>
    <w:uiPriority w:val="99"/>
    <w:semiHidden/>
    <w:rPr>
      <w:sz w:val="22"/>
      <w:szCs w:val="24"/>
      <w:lang w:eastAsia="en-US"/>
    </w:rPr>
  </w:style>
  <w:style w:type="paragraph" w:styleId="Paprastasistekstas">
    <w:name w:val="Plain Text"/>
    <w:basedOn w:val="prastasis"/>
    <w:link w:val="PaprastasistekstasDiagrama"/>
    <w:uiPriority w:val="99"/>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332342">
      <w:bodyDiv w:val="1"/>
      <w:marLeft w:val="0"/>
      <w:marRight w:val="0"/>
      <w:marTop w:val="0"/>
      <w:marBottom w:val="0"/>
      <w:divBdr>
        <w:top w:val="none" w:sz="0" w:space="0" w:color="auto"/>
        <w:left w:val="none" w:sz="0" w:space="0" w:color="auto"/>
        <w:bottom w:val="none" w:sz="0" w:space="0" w:color="auto"/>
        <w:right w:val="none" w:sz="0" w:space="0" w:color="auto"/>
      </w:divBdr>
    </w:div>
    <w:div w:id="258369299">
      <w:bodyDiv w:val="1"/>
      <w:marLeft w:val="0"/>
      <w:marRight w:val="0"/>
      <w:marTop w:val="0"/>
      <w:marBottom w:val="0"/>
      <w:divBdr>
        <w:top w:val="none" w:sz="0" w:space="0" w:color="auto"/>
        <w:left w:val="none" w:sz="0" w:space="0" w:color="auto"/>
        <w:bottom w:val="none" w:sz="0" w:space="0" w:color="auto"/>
        <w:right w:val="none" w:sz="0" w:space="0" w:color="auto"/>
      </w:divBdr>
    </w:div>
    <w:div w:id="420226110">
      <w:bodyDiv w:val="1"/>
      <w:marLeft w:val="0"/>
      <w:marRight w:val="0"/>
      <w:marTop w:val="0"/>
      <w:marBottom w:val="0"/>
      <w:divBdr>
        <w:top w:val="none" w:sz="0" w:space="0" w:color="auto"/>
        <w:left w:val="none" w:sz="0" w:space="0" w:color="auto"/>
        <w:bottom w:val="none" w:sz="0" w:space="0" w:color="auto"/>
        <w:right w:val="none" w:sz="0" w:space="0" w:color="auto"/>
      </w:divBdr>
    </w:div>
    <w:div w:id="581646540">
      <w:bodyDiv w:val="1"/>
      <w:marLeft w:val="0"/>
      <w:marRight w:val="0"/>
      <w:marTop w:val="0"/>
      <w:marBottom w:val="0"/>
      <w:divBdr>
        <w:top w:val="none" w:sz="0" w:space="0" w:color="auto"/>
        <w:left w:val="none" w:sz="0" w:space="0" w:color="auto"/>
        <w:bottom w:val="none" w:sz="0" w:space="0" w:color="auto"/>
        <w:right w:val="none" w:sz="0" w:space="0" w:color="auto"/>
      </w:divBdr>
    </w:div>
    <w:div w:id="1046107145">
      <w:bodyDiv w:val="1"/>
      <w:marLeft w:val="0"/>
      <w:marRight w:val="0"/>
      <w:marTop w:val="0"/>
      <w:marBottom w:val="0"/>
      <w:divBdr>
        <w:top w:val="none" w:sz="0" w:space="0" w:color="auto"/>
        <w:left w:val="none" w:sz="0" w:space="0" w:color="auto"/>
        <w:bottom w:val="none" w:sz="0" w:space="0" w:color="auto"/>
        <w:right w:val="none" w:sz="0" w:space="0" w:color="auto"/>
      </w:divBdr>
    </w:div>
    <w:div w:id="1131556446">
      <w:bodyDiv w:val="1"/>
      <w:marLeft w:val="0"/>
      <w:marRight w:val="0"/>
      <w:marTop w:val="0"/>
      <w:marBottom w:val="0"/>
      <w:divBdr>
        <w:top w:val="none" w:sz="0" w:space="0" w:color="auto"/>
        <w:left w:val="none" w:sz="0" w:space="0" w:color="auto"/>
        <w:bottom w:val="none" w:sz="0" w:space="0" w:color="auto"/>
        <w:right w:val="none" w:sz="0" w:space="0" w:color="auto"/>
      </w:divBdr>
    </w:div>
    <w:div w:id="1710838041">
      <w:bodyDiv w:val="1"/>
      <w:marLeft w:val="0"/>
      <w:marRight w:val="0"/>
      <w:marTop w:val="0"/>
      <w:marBottom w:val="0"/>
      <w:divBdr>
        <w:top w:val="none" w:sz="0" w:space="0" w:color="auto"/>
        <w:left w:val="none" w:sz="0" w:space="0" w:color="auto"/>
        <w:bottom w:val="none" w:sz="0" w:space="0" w:color="auto"/>
        <w:right w:val="none" w:sz="0" w:space="0" w:color="auto"/>
      </w:divBdr>
    </w:div>
    <w:div w:id="212090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81338-ECE3-4986-BC5D-D552F040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15292</Words>
  <Characters>105465</Characters>
  <Application>Microsoft Office Word</Application>
  <DocSecurity>4</DocSecurity>
  <Lines>878</Lines>
  <Paragraphs>241</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100</vt:i4>
      </vt:variant>
      <vt:variant>
        <vt:lpstr>Naslov</vt:lpstr>
      </vt:variant>
      <vt:variant>
        <vt:i4>1</vt:i4>
      </vt:variant>
    </vt:vector>
  </HeadingPairs>
  <TitlesOfParts>
    <vt:vector size="103" baseType="lpstr">
      <vt:lpstr>mutual-recognition-decentralised-referral-pi-template-version-42_en_CLEAN_LT</vt:lpstr>
      <vt:lpstr>mutual-recognition-decentralised-referral-pi-template-version-42_en_CLEAN_LT</vt:lpstr>
      <vt:lpstr>    I PRIEDAS</vt:lpstr>
      <vt:lpstr>2 lentelė:	Dabigatrano eteksilato vienkartinė ir suminė paros dozės miligramais </vt:lpstr>
      <vt:lpstr/>
      <vt:lpstr>4 lentelė:	Suaugusių pacientų krešėjimo rodiklių, nustatytų tuo metu, kai koncet</vt:lpstr>
      <vt:lpstr>6.6	Specialūs reikalavimai atliekoms tvarkyti</vt:lpstr>
      <vt:lpstr/>
      <vt:lpstr/>
      <vt:lpstr/>
      <vt:lpstr/>
      <vt:lpstr/>
      <vt:lpstr/>
      <vt:lpstr>    III PRIEDAS</vt:lpstr>
      <vt:lpstr>    ŽENKLINIMAS IR PAKUOTĖS LAPELIS</vt:lpstr>
      <vt:lpstr>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mutual-recognition-decentralised-referral-pi-template-version-42_en_CLEAN_LT</vt:lpstr>
    </vt:vector>
  </TitlesOfParts>
  <Company>CDT</Company>
  <LinksUpToDate>false</LinksUpToDate>
  <CharactersWithSpaces>120516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2</cp:revision>
  <cp:lastPrinted>2019-11-28T11:21:00Z</cp:lastPrinted>
  <dcterms:created xsi:type="dcterms:W3CDTF">2025-05-06T08:03:00Z</dcterms:created>
  <dcterms:modified xsi:type="dcterms:W3CDTF">2025-05-06T08:03:00Z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