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121F8" w14:textId="77777777" w:rsidR="00CB542F" w:rsidRDefault="00CB542F">
      <w:pPr>
        <w:ind w:left="567" w:hanging="567"/>
      </w:pPr>
      <w:bookmarkStart w:id="0" w:name="_GoBack"/>
      <w:bookmarkEnd w:id="0"/>
    </w:p>
    <w:p w14:paraId="6930DCBD" w14:textId="77777777" w:rsidR="00CB542F" w:rsidRDefault="00CB542F">
      <w:pPr>
        <w:ind w:left="567" w:hanging="567"/>
      </w:pPr>
    </w:p>
    <w:p w14:paraId="129140F7" w14:textId="77777777" w:rsidR="00CB542F" w:rsidRDefault="00CB542F">
      <w:pPr>
        <w:ind w:left="567" w:hanging="567"/>
      </w:pPr>
    </w:p>
    <w:p w14:paraId="6975F255" w14:textId="77777777" w:rsidR="00CB542F" w:rsidRDefault="00CB542F">
      <w:pPr>
        <w:ind w:left="567" w:hanging="567"/>
      </w:pPr>
    </w:p>
    <w:p w14:paraId="6CDEA654" w14:textId="77777777" w:rsidR="00CB542F" w:rsidRDefault="00CB542F">
      <w:pPr>
        <w:ind w:left="567" w:hanging="567"/>
      </w:pPr>
    </w:p>
    <w:p w14:paraId="349FE398" w14:textId="77777777" w:rsidR="00CB542F" w:rsidRDefault="00CB542F">
      <w:pPr>
        <w:ind w:left="567" w:hanging="567"/>
      </w:pPr>
    </w:p>
    <w:p w14:paraId="74EB1A74" w14:textId="77777777" w:rsidR="00CB542F" w:rsidRDefault="00CB542F">
      <w:pPr>
        <w:ind w:left="567" w:hanging="567"/>
      </w:pPr>
    </w:p>
    <w:p w14:paraId="7A62C4FB" w14:textId="77777777" w:rsidR="00CB542F" w:rsidRDefault="00CB542F">
      <w:pPr>
        <w:ind w:left="567" w:hanging="567"/>
      </w:pPr>
    </w:p>
    <w:p w14:paraId="3A2BC04E" w14:textId="77777777" w:rsidR="00CB542F" w:rsidRDefault="00CB542F">
      <w:pPr>
        <w:ind w:left="567" w:hanging="567"/>
      </w:pPr>
    </w:p>
    <w:p w14:paraId="3B7D3233" w14:textId="77777777" w:rsidR="00CB542F" w:rsidRDefault="00CB542F">
      <w:pPr>
        <w:ind w:left="567" w:hanging="567"/>
      </w:pPr>
    </w:p>
    <w:p w14:paraId="4CFB9B67" w14:textId="77777777" w:rsidR="00CB542F" w:rsidRDefault="00CB542F">
      <w:pPr>
        <w:ind w:left="567" w:hanging="567"/>
      </w:pPr>
    </w:p>
    <w:p w14:paraId="6B85A631" w14:textId="77777777" w:rsidR="00CB542F" w:rsidRDefault="00CB542F">
      <w:pPr>
        <w:ind w:left="567" w:hanging="567"/>
      </w:pPr>
    </w:p>
    <w:p w14:paraId="01459599" w14:textId="77777777" w:rsidR="00CB542F" w:rsidRDefault="00CB542F">
      <w:pPr>
        <w:ind w:left="567" w:hanging="567"/>
      </w:pPr>
    </w:p>
    <w:p w14:paraId="6588C25B" w14:textId="77777777" w:rsidR="00CB542F" w:rsidRDefault="00CB542F">
      <w:pPr>
        <w:ind w:left="567" w:hanging="567"/>
      </w:pPr>
    </w:p>
    <w:p w14:paraId="4A950A9B" w14:textId="77777777" w:rsidR="00CB542F" w:rsidRDefault="00CB542F">
      <w:pPr>
        <w:ind w:left="567" w:hanging="567"/>
      </w:pPr>
    </w:p>
    <w:p w14:paraId="52C4B0AD" w14:textId="77777777" w:rsidR="00CB542F" w:rsidRDefault="00CB542F">
      <w:pPr>
        <w:ind w:left="567" w:hanging="567"/>
      </w:pPr>
    </w:p>
    <w:p w14:paraId="5EBACAEA" w14:textId="77777777" w:rsidR="00CB542F" w:rsidRDefault="00CB542F">
      <w:pPr>
        <w:ind w:left="567" w:hanging="567"/>
      </w:pPr>
    </w:p>
    <w:p w14:paraId="3F076CB1" w14:textId="77777777" w:rsidR="00CB542F" w:rsidRDefault="00CB542F">
      <w:pPr>
        <w:ind w:left="567" w:hanging="567"/>
      </w:pPr>
    </w:p>
    <w:p w14:paraId="1AE19B8B" w14:textId="77777777" w:rsidR="00CB542F" w:rsidRDefault="00CB542F">
      <w:pPr>
        <w:ind w:left="567" w:hanging="567"/>
      </w:pPr>
    </w:p>
    <w:p w14:paraId="5C18E3C8" w14:textId="77777777" w:rsidR="00CB542F" w:rsidRDefault="00CB542F">
      <w:pPr>
        <w:ind w:left="567" w:hanging="567"/>
      </w:pPr>
    </w:p>
    <w:p w14:paraId="41E76A04" w14:textId="77777777" w:rsidR="00CB542F" w:rsidRDefault="00CB542F">
      <w:pPr>
        <w:ind w:left="567" w:hanging="567"/>
      </w:pPr>
    </w:p>
    <w:p w14:paraId="65DAE6AE" w14:textId="77777777" w:rsidR="00CB542F" w:rsidRDefault="00573A58">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19D08924" w14:textId="77777777" w:rsidR="00CB542F" w:rsidRDefault="00CB542F">
      <w:pPr>
        <w:ind w:left="567" w:hanging="567"/>
      </w:pPr>
    </w:p>
    <w:p w14:paraId="7029DB14" w14:textId="77777777" w:rsidR="00CB542F" w:rsidRDefault="00573A58">
      <w:pPr>
        <w:ind w:left="567" w:hanging="567"/>
        <w:jc w:val="center"/>
      </w:pPr>
      <w:r>
        <w:rPr>
          <w:b/>
          <w:bCs/>
        </w:rPr>
        <w:t>PREPARATO CHARAKTERISTIKŲ SANTRAUKA</w:t>
      </w:r>
    </w:p>
    <w:p w14:paraId="10C68687" w14:textId="77777777" w:rsidR="00CB542F" w:rsidRDefault="00573A58">
      <w:pPr>
        <w:rPr>
          <w:szCs w:val="22"/>
        </w:rPr>
      </w:pPr>
      <w:r>
        <w:br w:type="page"/>
      </w:r>
    </w:p>
    <w:p w14:paraId="2B23B10D" w14:textId="77777777" w:rsidR="00CB542F" w:rsidRDefault="00573A58">
      <w:pPr>
        <w:ind w:left="567" w:hanging="567"/>
        <w:rPr>
          <w:b/>
        </w:rPr>
      </w:pPr>
      <w:r>
        <w:rPr>
          <w:b/>
        </w:rPr>
        <w:lastRenderedPageBreak/>
        <w:t>1.</w:t>
      </w:r>
      <w:r>
        <w:rPr>
          <w:b/>
        </w:rPr>
        <w:tab/>
      </w:r>
      <w:r>
        <w:rPr>
          <w:b/>
          <w:caps/>
        </w:rPr>
        <w:t>VAISTINIO</w:t>
      </w:r>
      <w:r>
        <w:rPr>
          <w:b/>
        </w:rPr>
        <w:t xml:space="preserve"> PREPARATO PAVADINIMAS</w:t>
      </w:r>
    </w:p>
    <w:p w14:paraId="134C088E" w14:textId="77777777" w:rsidR="00CB542F" w:rsidRDefault="00CB542F">
      <w:pPr>
        <w:ind w:left="567" w:hanging="567"/>
      </w:pPr>
    </w:p>
    <w:p w14:paraId="66F0F857" w14:textId="77777777" w:rsidR="00CB542F" w:rsidRDefault="00573A58">
      <w:pPr>
        <w:ind w:left="567" w:hanging="567"/>
      </w:pPr>
      <w:r>
        <w:t>Danengo 150 mg kietosios kapsulės</w:t>
      </w:r>
    </w:p>
    <w:p w14:paraId="457409C1" w14:textId="77777777" w:rsidR="00CB542F" w:rsidRDefault="00CB542F">
      <w:pPr>
        <w:ind w:left="567" w:hanging="567"/>
      </w:pPr>
    </w:p>
    <w:p w14:paraId="0FA71D63" w14:textId="77777777" w:rsidR="00CB542F" w:rsidRDefault="00573A58">
      <w:pPr>
        <w:ind w:left="567" w:hanging="567"/>
        <w:rPr>
          <w:b/>
          <w:caps/>
        </w:rPr>
      </w:pPr>
      <w:r>
        <w:rPr>
          <w:b/>
          <w:caps/>
        </w:rPr>
        <w:t>2.</w:t>
      </w:r>
      <w:r>
        <w:rPr>
          <w:b/>
          <w:caps/>
        </w:rPr>
        <w:tab/>
        <w:t>kokybinė ir kiekybinė sudėtis</w:t>
      </w:r>
    </w:p>
    <w:p w14:paraId="191F2480" w14:textId="77777777" w:rsidR="00CB542F" w:rsidRDefault="00CB542F"/>
    <w:p w14:paraId="5AC80B8E" w14:textId="77777777" w:rsidR="00CB542F" w:rsidRDefault="00573A58">
      <w:r>
        <w:t>Kiekvienoje kietojoje kapsulėje yra 150 mg dabigatrano eteksilato (dabigatrano eteksilato mesilato pavidalu).</w:t>
      </w:r>
    </w:p>
    <w:p w14:paraId="4770243F" w14:textId="77777777" w:rsidR="00CB542F" w:rsidRDefault="00CB542F"/>
    <w:p w14:paraId="342B60AD" w14:textId="77777777" w:rsidR="00CB542F" w:rsidRDefault="00573A58">
      <w:r>
        <w:t>Visos pagalbinės medžiagos išvardytos 6.1 skyriuje.</w:t>
      </w:r>
    </w:p>
    <w:p w14:paraId="7F2893E0" w14:textId="77777777" w:rsidR="00CB542F" w:rsidRDefault="00CB542F">
      <w:pPr>
        <w:ind w:left="567" w:hanging="567"/>
      </w:pPr>
    </w:p>
    <w:p w14:paraId="52BE0012" w14:textId="77777777" w:rsidR="00CB542F" w:rsidRDefault="00573A58">
      <w:pPr>
        <w:ind w:left="567" w:hanging="567"/>
        <w:rPr>
          <w:b/>
          <w:caps/>
        </w:rPr>
      </w:pPr>
      <w:r>
        <w:rPr>
          <w:b/>
          <w:caps/>
        </w:rPr>
        <w:t>3.</w:t>
      </w:r>
      <w:r>
        <w:rPr>
          <w:b/>
          <w:caps/>
        </w:rPr>
        <w:tab/>
      </w:r>
      <w:r>
        <w:rPr>
          <w:b/>
          <w:caps/>
          <w:noProof/>
        </w:rPr>
        <w:t>FARMACINĖ</w:t>
      </w:r>
      <w:r>
        <w:rPr>
          <w:b/>
          <w:caps/>
        </w:rPr>
        <w:t xml:space="preserve"> forma</w:t>
      </w:r>
    </w:p>
    <w:p w14:paraId="5E158A94" w14:textId="77777777" w:rsidR="00CB542F" w:rsidRDefault="00CB542F">
      <w:pPr>
        <w:rPr>
          <w:highlight w:val="yellow"/>
        </w:rPr>
      </w:pPr>
    </w:p>
    <w:p w14:paraId="7B723A03" w14:textId="77777777" w:rsidR="00CB542F" w:rsidRDefault="00573A58">
      <w:r>
        <w:t>Kietoji kapsulė (kapsulė)</w:t>
      </w:r>
    </w:p>
    <w:p w14:paraId="682874A8" w14:textId="77777777" w:rsidR="00CB542F" w:rsidRDefault="00CB542F"/>
    <w:p w14:paraId="73103CB3" w14:textId="77777777" w:rsidR="00CB542F" w:rsidRDefault="00573A58">
      <w:r>
        <w:rPr>
          <w:noProof/>
        </w:rPr>
        <w:t>Kapsulės dangtelis mėlynas, kapsulės korpusas nuo baltos iki beveik baltos spalvos su išilgine juoda žyma 150. Kapsulės turinys yra gelsvai baltos arba šviesiai geltonos spalvos granulės. Kapsulės dydis: 0 pailgos, maždaug 24 mm ilgio.</w:t>
      </w:r>
    </w:p>
    <w:p w14:paraId="50F59FE7" w14:textId="77777777" w:rsidR="00CB542F" w:rsidRDefault="00CB542F">
      <w:pPr>
        <w:ind w:left="567" w:hanging="567"/>
      </w:pPr>
    </w:p>
    <w:p w14:paraId="7A044AF0" w14:textId="77777777" w:rsidR="00CB542F" w:rsidRDefault="00573A58">
      <w:pPr>
        <w:ind w:left="567" w:hanging="567"/>
        <w:rPr>
          <w:b/>
          <w:caps/>
        </w:rPr>
      </w:pPr>
      <w:r>
        <w:rPr>
          <w:b/>
          <w:caps/>
        </w:rPr>
        <w:t>4.</w:t>
      </w:r>
      <w:r>
        <w:rPr>
          <w:b/>
          <w:caps/>
        </w:rPr>
        <w:tab/>
        <w:t>klinikinĖ informacija</w:t>
      </w:r>
    </w:p>
    <w:p w14:paraId="11BBDA38" w14:textId="77777777" w:rsidR="00CB542F" w:rsidRDefault="00CB542F">
      <w:pPr>
        <w:ind w:left="567" w:hanging="567"/>
      </w:pPr>
    </w:p>
    <w:p w14:paraId="6EAF41BA" w14:textId="77777777" w:rsidR="00CB542F" w:rsidRDefault="00573A58">
      <w:pPr>
        <w:ind w:left="567" w:hanging="567"/>
        <w:rPr>
          <w:b/>
        </w:rPr>
      </w:pPr>
      <w:r>
        <w:rPr>
          <w:b/>
        </w:rPr>
        <w:t>4.1</w:t>
      </w:r>
      <w:r>
        <w:rPr>
          <w:b/>
        </w:rPr>
        <w:tab/>
        <w:t>Terapinės indikacijos</w:t>
      </w:r>
    </w:p>
    <w:p w14:paraId="54795CED" w14:textId="77777777" w:rsidR="00CB542F" w:rsidRDefault="00CB542F">
      <w:pPr>
        <w:ind w:left="567" w:hanging="567"/>
      </w:pPr>
    </w:p>
    <w:p w14:paraId="4EEEE0B7" w14:textId="77777777" w:rsidR="00CB542F" w:rsidRDefault="00573A58">
      <w:r>
        <w:t>Insulto ir sisteminės embolijos profilaktika suaugusiems pacientams, sergantiems su vožtuvų liga nesusijusiu prieširdžių virpėjimu (NVPV), jeigu yra vienas arba daugiau rizikos veiksnių, tokių kaip ankstesnis insultas ar praeinantysis smegenų išemijos priepuolis (PSIP), ≥ 75 metų amžius, širdies nepakankamumas (≥ 2 klasės pagal NYHA klasifikaciją), cukrinis diabetas, hipertenzija.</w:t>
      </w:r>
    </w:p>
    <w:p w14:paraId="3D2FA68B" w14:textId="77777777" w:rsidR="00CB542F" w:rsidRDefault="00CB542F"/>
    <w:p w14:paraId="68150912" w14:textId="77777777" w:rsidR="00CB542F" w:rsidRDefault="00573A58">
      <w:r>
        <w:t>Giliųjų venų trombozės (GVT) ir plaučių embolijos (PE) gydymas bei pasikartojančių GVT ir PE profilaktika suaugusiesiems.</w:t>
      </w:r>
    </w:p>
    <w:p w14:paraId="0A09EAEF" w14:textId="77777777" w:rsidR="00CB542F" w:rsidRDefault="00CB542F"/>
    <w:p w14:paraId="39867BD0" w14:textId="77777777" w:rsidR="00CB542F" w:rsidRDefault="00573A58">
      <w:r>
        <w:t>Venų tromboembolinių (VTE) reiškinių gydymas ir VTE pasikartojimo profilaktika pacientams vaikams nuo gimimo iki jaunesniems kaip 18 metų.</w:t>
      </w:r>
    </w:p>
    <w:p w14:paraId="77489BBF" w14:textId="77777777" w:rsidR="00CB542F" w:rsidRDefault="00CB542F"/>
    <w:p w14:paraId="378BEFA4" w14:textId="77777777" w:rsidR="00CB542F" w:rsidRDefault="00573A58">
      <w:pPr>
        <w:rPr>
          <w:noProof/>
          <w:szCs w:val="22"/>
        </w:rPr>
      </w:pPr>
      <w:r>
        <w:t>Kokios farmacinės formos dozės tinka atitinkamam amžiui, žr. 4.2 skyriuje.</w:t>
      </w:r>
    </w:p>
    <w:p w14:paraId="0E7526CC" w14:textId="77777777" w:rsidR="00CB542F" w:rsidRDefault="00CB542F">
      <w:pPr>
        <w:ind w:left="567" w:hanging="567"/>
      </w:pPr>
    </w:p>
    <w:p w14:paraId="3F5E06C6" w14:textId="77777777" w:rsidR="00CB542F" w:rsidRDefault="00573A58">
      <w:pPr>
        <w:ind w:left="567" w:hanging="567"/>
        <w:rPr>
          <w:b/>
        </w:rPr>
      </w:pPr>
      <w:r>
        <w:rPr>
          <w:b/>
        </w:rPr>
        <w:t>4.2</w:t>
      </w:r>
      <w:r>
        <w:rPr>
          <w:b/>
        </w:rPr>
        <w:tab/>
        <w:t>Dozavimas ir vartojimo metodas</w:t>
      </w:r>
    </w:p>
    <w:p w14:paraId="1536A948" w14:textId="77777777" w:rsidR="00CB542F" w:rsidRDefault="00CB542F">
      <w:pPr>
        <w:ind w:left="567" w:hanging="567"/>
        <w:rPr>
          <w:b/>
        </w:rPr>
      </w:pPr>
    </w:p>
    <w:p w14:paraId="6D08F057" w14:textId="77777777" w:rsidR="00CB542F" w:rsidRDefault="00573A58">
      <w:pPr>
        <w:rPr>
          <w:noProof/>
          <w:szCs w:val="22"/>
          <w:u w:val="single"/>
        </w:rPr>
      </w:pPr>
      <w:r>
        <w:rPr>
          <w:noProof/>
          <w:szCs w:val="22"/>
          <w:u w:val="single"/>
        </w:rPr>
        <w:t>Dozavimas</w:t>
      </w:r>
    </w:p>
    <w:p w14:paraId="0AF93ADC" w14:textId="77777777" w:rsidR="00CB542F" w:rsidRDefault="00CB542F"/>
    <w:p w14:paraId="1653CA23" w14:textId="77777777" w:rsidR="00CB542F" w:rsidRDefault="00573A58">
      <w:r>
        <w:t>Danengo kapsules galima skirti suaugusiesiems ir pacientams vaikams, kurie yra 8 metų amžiaus arba vyresni ir kurie gali nuryti visą kapsulę. Yra ir kitų amžių atitinkančių dozių formų, skirtų jaunesniems nei 8 metų vaikams gydyti.</w:t>
      </w:r>
    </w:p>
    <w:p w14:paraId="277E6DBE" w14:textId="77777777" w:rsidR="00CB542F" w:rsidRDefault="00CB542F"/>
    <w:p w14:paraId="3844E160" w14:textId="77777777" w:rsidR="00CB542F" w:rsidRDefault="00573A58">
      <w:r>
        <w:t>Keičiant vienos formos vaistinį preparatą kita, gali reikėti pakeisti skiriamą dozę. Dozę, nurodytą atitinkamos formos dozavimo lentelėje, reikia skirti atsižvelgiant į vaiko kūno svorį ir amžių.</w:t>
      </w:r>
    </w:p>
    <w:p w14:paraId="4586E110" w14:textId="77777777" w:rsidR="00CB542F" w:rsidRDefault="00CB542F">
      <w:pPr>
        <w:rPr>
          <w:noProof/>
          <w:szCs w:val="22"/>
        </w:rPr>
      </w:pPr>
    </w:p>
    <w:p w14:paraId="6274FDB3" w14:textId="77777777" w:rsidR="00CB542F" w:rsidRDefault="00573A58">
      <w:pPr>
        <w:rPr>
          <w:b/>
          <w:bCs/>
          <w:u w:val="single"/>
        </w:rPr>
      </w:pPr>
      <w:r>
        <w:rPr>
          <w:b/>
          <w:bCs/>
          <w:u w:val="single"/>
        </w:rPr>
        <w:t>Insulto ir sisteminės embolijos profilaktika suaugusiems pacientams, sergantiems NVPV, jeigu yra vienas arba daugiau rizikos veiksnių (insulto profilaktika esant prieširdžių virpėjimui – IPPV)</w:t>
      </w:r>
    </w:p>
    <w:p w14:paraId="3D35A288" w14:textId="77777777" w:rsidR="00CB542F" w:rsidRDefault="00573A58">
      <w:pPr>
        <w:rPr>
          <w:b/>
          <w:bCs/>
          <w:u w:val="single"/>
        </w:rPr>
      </w:pPr>
      <w:r>
        <w:rPr>
          <w:b/>
          <w:bCs/>
          <w:u w:val="single"/>
        </w:rPr>
        <w:t>GVT ir PE gydymas bei recidyvinių GVT ir PE (GVT/PE) profilaktika suaugusiesiems</w:t>
      </w:r>
    </w:p>
    <w:p w14:paraId="4DA90177" w14:textId="77777777" w:rsidR="00CB542F" w:rsidRDefault="00CB542F"/>
    <w:p w14:paraId="67AA05B3" w14:textId="77777777" w:rsidR="00CB542F" w:rsidRDefault="00573A58">
      <w:r>
        <w:t>Rekomenduojamos dabigatrano eteksilato dozės IPPV, GVT ir PE indikacijoms nurodytos 1 lentelėje.</w:t>
      </w:r>
    </w:p>
    <w:p w14:paraId="00A98B35" w14:textId="77777777" w:rsidR="00CB542F" w:rsidRDefault="00CB542F"/>
    <w:p w14:paraId="034E284E" w14:textId="77777777" w:rsidR="00CB542F" w:rsidRDefault="00573A58">
      <w:pPr>
        <w:rPr>
          <w:b/>
          <w:bCs/>
        </w:rPr>
      </w:pPr>
      <w:r>
        <w:rPr>
          <w:b/>
          <w:bCs/>
        </w:rPr>
        <w:t>1 lentelė. Dozės rekomendacijos IPPV, GVT ir PE</w:t>
      </w:r>
    </w:p>
    <w:p w14:paraId="686CE6B7" w14:textId="77777777" w:rsidR="00CB542F" w:rsidRDefault="00CB542F">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19"/>
        <w:gridCol w:w="5102"/>
      </w:tblGrid>
      <w:tr w:rsidR="00CB542F" w14:paraId="507A7EBB" w14:textId="77777777">
        <w:trPr>
          <w:trHeight w:val="371"/>
        </w:trPr>
        <w:tc>
          <w:tcPr>
            <w:tcW w:w="4219" w:type="dxa"/>
            <w:shd w:val="clear" w:color="auto" w:fill="auto"/>
          </w:tcPr>
          <w:p w14:paraId="34DBF087" w14:textId="77777777" w:rsidR="00CB542F" w:rsidRDefault="00CB542F">
            <w:pPr>
              <w:widowControl w:val="0"/>
              <w:kinsoku w:val="0"/>
              <w:overflowPunct w:val="0"/>
              <w:autoSpaceDE w:val="0"/>
              <w:autoSpaceDN w:val="0"/>
              <w:adjustRightInd w:val="0"/>
              <w:rPr>
                <w:color w:val="000000"/>
                <w:szCs w:val="22"/>
                <w:lang w:val="sl-SI" w:eastAsia="sl-SI"/>
              </w:rPr>
            </w:pPr>
          </w:p>
        </w:tc>
        <w:tc>
          <w:tcPr>
            <w:tcW w:w="5102" w:type="dxa"/>
            <w:shd w:val="clear" w:color="auto" w:fill="auto"/>
          </w:tcPr>
          <w:p w14:paraId="74A747CD" w14:textId="77777777" w:rsidR="00CB542F" w:rsidRDefault="00573A58">
            <w:pPr>
              <w:widowControl w:val="0"/>
              <w:kinsoku w:val="0"/>
              <w:overflowPunct w:val="0"/>
              <w:autoSpaceDE w:val="0"/>
              <w:autoSpaceDN w:val="0"/>
              <w:adjustRightInd w:val="0"/>
              <w:spacing w:line="251" w:lineRule="exact"/>
              <w:ind w:left="107"/>
              <w:jc w:val="center"/>
              <w:rPr>
                <w:b/>
                <w:bCs/>
                <w:color w:val="000000"/>
                <w:szCs w:val="22"/>
                <w:lang w:val="sl-SI" w:eastAsia="sl-SI"/>
              </w:rPr>
            </w:pPr>
            <w:r>
              <w:rPr>
                <w:b/>
                <w:bCs/>
              </w:rPr>
              <w:t>Rekomenduojama dozė</w:t>
            </w:r>
          </w:p>
        </w:tc>
      </w:tr>
      <w:tr w:rsidR="00CB542F" w14:paraId="57A1B27C" w14:textId="77777777">
        <w:trPr>
          <w:trHeight w:val="880"/>
        </w:trPr>
        <w:tc>
          <w:tcPr>
            <w:tcW w:w="4219" w:type="dxa"/>
            <w:shd w:val="clear" w:color="auto" w:fill="auto"/>
          </w:tcPr>
          <w:p w14:paraId="065C9E22" w14:textId="77777777" w:rsidR="00CB542F" w:rsidRDefault="00573A58">
            <w:pPr>
              <w:widowControl w:val="0"/>
              <w:kinsoku w:val="0"/>
              <w:overflowPunct w:val="0"/>
              <w:autoSpaceDE w:val="0"/>
              <w:autoSpaceDN w:val="0"/>
              <w:adjustRightInd w:val="0"/>
              <w:ind w:left="107"/>
              <w:rPr>
                <w:color w:val="000000"/>
                <w:szCs w:val="22"/>
                <w:lang w:val="sl-SI" w:eastAsia="sl-SI"/>
              </w:rPr>
            </w:pPr>
            <w:r>
              <w:rPr>
                <w:color w:val="000000"/>
                <w:szCs w:val="22"/>
                <w:lang w:val="sl-SI" w:eastAsia="sl-SI"/>
              </w:rPr>
              <w:lastRenderedPageBreak/>
              <w:t>Insulto ir sisteminės embolijos profilaktika suaugusiems pacientams, sergantiems NVPV, jeigu yra vienas arba daugiau rizikos veiksnių (IPPV)</w:t>
            </w:r>
          </w:p>
        </w:tc>
        <w:tc>
          <w:tcPr>
            <w:tcW w:w="5102" w:type="dxa"/>
            <w:shd w:val="clear" w:color="auto" w:fill="auto"/>
          </w:tcPr>
          <w:p w14:paraId="2A2B3BCB"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t>300 mg dabigatrano eteksilato, vartojamo po vieną 150 mg kapsulę du kartus per parą</w:t>
            </w:r>
          </w:p>
        </w:tc>
      </w:tr>
      <w:tr w:rsidR="00CB542F" w14:paraId="64B42CED" w14:textId="77777777">
        <w:trPr>
          <w:trHeight w:val="1130"/>
        </w:trPr>
        <w:tc>
          <w:tcPr>
            <w:tcW w:w="4219" w:type="dxa"/>
            <w:shd w:val="clear" w:color="auto" w:fill="auto"/>
          </w:tcPr>
          <w:p w14:paraId="714933C8" w14:textId="77777777" w:rsidR="00CB542F" w:rsidRDefault="00573A58">
            <w:pPr>
              <w:widowControl w:val="0"/>
              <w:kinsoku w:val="0"/>
              <w:overflowPunct w:val="0"/>
              <w:autoSpaceDE w:val="0"/>
              <w:autoSpaceDN w:val="0"/>
              <w:adjustRightInd w:val="0"/>
              <w:ind w:left="107"/>
              <w:rPr>
                <w:color w:val="000000"/>
                <w:szCs w:val="22"/>
                <w:lang w:val="sl-SI" w:eastAsia="sl-SI"/>
              </w:rPr>
            </w:pPr>
            <w:r>
              <w:t>GVT ir PE gydymas bei recidyvinių GVT ir PE (GVT/PE) profilaktika suaugusiesiems</w:t>
            </w:r>
          </w:p>
        </w:tc>
        <w:tc>
          <w:tcPr>
            <w:tcW w:w="5102" w:type="dxa"/>
            <w:shd w:val="clear" w:color="auto" w:fill="auto"/>
          </w:tcPr>
          <w:p w14:paraId="20547FB6" w14:textId="77777777" w:rsidR="00CB542F" w:rsidRDefault="00573A58">
            <w:pPr>
              <w:widowControl w:val="0"/>
              <w:kinsoku w:val="0"/>
              <w:overflowPunct w:val="0"/>
              <w:autoSpaceDE w:val="0"/>
              <w:autoSpaceDN w:val="0"/>
              <w:adjustRightInd w:val="0"/>
              <w:spacing w:before="121"/>
              <w:ind w:left="107"/>
              <w:jc w:val="center"/>
              <w:rPr>
                <w:color w:val="000000"/>
                <w:szCs w:val="22"/>
                <w:lang w:val="sl-SI" w:eastAsia="sl-SI"/>
              </w:rPr>
            </w:pPr>
            <w:r>
              <w:t>300 mg dabigatrano eteksilato, vartojamo po vieną 150 mg kapsulę du kartus per parą po ne mažiau kaip 5 parų gydymo parenteriniu būdu vartojamais antikoaguliantais</w:t>
            </w:r>
          </w:p>
        </w:tc>
      </w:tr>
      <w:tr w:rsidR="00CB542F" w14:paraId="044CD6DA" w14:textId="77777777">
        <w:trPr>
          <w:trHeight w:val="493"/>
        </w:trPr>
        <w:tc>
          <w:tcPr>
            <w:tcW w:w="4219" w:type="dxa"/>
            <w:shd w:val="clear" w:color="auto" w:fill="auto"/>
          </w:tcPr>
          <w:p w14:paraId="6F2C68B2" w14:textId="77777777" w:rsidR="00CB542F" w:rsidRDefault="00573A58">
            <w:pPr>
              <w:widowControl w:val="0"/>
              <w:kinsoku w:val="0"/>
              <w:overflowPunct w:val="0"/>
              <w:autoSpaceDE w:val="0"/>
              <w:autoSpaceDN w:val="0"/>
              <w:adjustRightInd w:val="0"/>
              <w:spacing w:before="121"/>
              <w:ind w:left="107"/>
              <w:rPr>
                <w:b/>
                <w:bCs/>
                <w:i/>
                <w:iCs/>
                <w:color w:val="000000"/>
                <w:szCs w:val="22"/>
                <w:lang w:val="sl-SI" w:eastAsia="sl-SI"/>
              </w:rPr>
            </w:pPr>
            <w:r>
              <w:rPr>
                <w:b/>
                <w:bCs/>
                <w:i/>
                <w:iCs/>
                <w:color w:val="000000"/>
                <w:szCs w:val="22"/>
                <w:u w:val="thick"/>
                <w:lang w:val="sl-SI" w:eastAsia="sl-SI"/>
              </w:rPr>
              <w:t>Rekomenduojamas dozės mažinimas</w:t>
            </w:r>
          </w:p>
        </w:tc>
        <w:tc>
          <w:tcPr>
            <w:tcW w:w="5102" w:type="dxa"/>
            <w:shd w:val="clear" w:color="auto" w:fill="auto"/>
          </w:tcPr>
          <w:p w14:paraId="15B96463"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269544F7" w14:textId="77777777">
        <w:trPr>
          <w:trHeight w:val="374"/>
        </w:trPr>
        <w:tc>
          <w:tcPr>
            <w:tcW w:w="4219" w:type="dxa"/>
            <w:shd w:val="clear" w:color="auto" w:fill="auto"/>
          </w:tcPr>
          <w:p w14:paraId="12DB151B"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Pacientams, kuriems ≥ 80 metų</w:t>
            </w:r>
          </w:p>
        </w:tc>
        <w:tc>
          <w:tcPr>
            <w:tcW w:w="5102" w:type="dxa"/>
            <w:vMerge w:val="restart"/>
            <w:shd w:val="clear" w:color="auto" w:fill="auto"/>
          </w:tcPr>
          <w:p w14:paraId="79C57137" w14:textId="77777777" w:rsidR="00CB542F" w:rsidRDefault="00573A58">
            <w:pPr>
              <w:widowControl w:val="0"/>
              <w:kinsoku w:val="0"/>
              <w:overflowPunct w:val="0"/>
              <w:autoSpaceDE w:val="0"/>
              <w:autoSpaceDN w:val="0"/>
              <w:adjustRightInd w:val="0"/>
              <w:spacing w:before="118"/>
              <w:ind w:left="107"/>
              <w:jc w:val="center"/>
              <w:rPr>
                <w:color w:val="000000"/>
                <w:szCs w:val="22"/>
                <w:lang w:val="sl-SI" w:eastAsia="sl-SI"/>
              </w:rPr>
            </w:pPr>
            <w:r>
              <w:t>220 mg dabigatrano eteksilato paros dozė, vartojama po vieną 110 mg kapsulę du kartus per parą</w:t>
            </w:r>
          </w:p>
        </w:tc>
      </w:tr>
      <w:tr w:rsidR="00CB542F" w14:paraId="53D36AB0" w14:textId="77777777">
        <w:trPr>
          <w:trHeight w:val="371"/>
        </w:trPr>
        <w:tc>
          <w:tcPr>
            <w:tcW w:w="4219" w:type="dxa"/>
            <w:shd w:val="clear" w:color="auto" w:fill="auto"/>
          </w:tcPr>
          <w:p w14:paraId="4783867B"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Pacientams, kartu vartojantiems verapamilio</w:t>
            </w:r>
          </w:p>
        </w:tc>
        <w:tc>
          <w:tcPr>
            <w:tcW w:w="5102" w:type="dxa"/>
            <w:vMerge/>
            <w:shd w:val="clear" w:color="auto" w:fill="auto"/>
          </w:tcPr>
          <w:p w14:paraId="1BCAF2DB" w14:textId="77777777" w:rsidR="00CB542F" w:rsidRDefault="00CB542F">
            <w:pPr>
              <w:widowControl w:val="0"/>
              <w:kinsoku w:val="0"/>
              <w:overflowPunct w:val="0"/>
              <w:autoSpaceDE w:val="0"/>
              <w:autoSpaceDN w:val="0"/>
              <w:adjustRightInd w:val="0"/>
              <w:spacing w:before="1"/>
              <w:jc w:val="center"/>
              <w:rPr>
                <w:b/>
                <w:bCs/>
                <w:color w:val="000000"/>
                <w:szCs w:val="22"/>
                <w:lang w:val="sl-SI" w:eastAsia="sl-SI"/>
              </w:rPr>
            </w:pPr>
          </w:p>
        </w:tc>
      </w:tr>
      <w:tr w:rsidR="00CB542F" w14:paraId="592E4317" w14:textId="77777777">
        <w:trPr>
          <w:trHeight w:val="493"/>
        </w:trPr>
        <w:tc>
          <w:tcPr>
            <w:tcW w:w="4219" w:type="dxa"/>
            <w:shd w:val="clear" w:color="auto" w:fill="auto"/>
          </w:tcPr>
          <w:p w14:paraId="70B0C571" w14:textId="77777777" w:rsidR="00CB542F" w:rsidRDefault="00573A58">
            <w:pPr>
              <w:widowControl w:val="0"/>
              <w:kinsoku w:val="0"/>
              <w:overflowPunct w:val="0"/>
              <w:autoSpaceDE w:val="0"/>
              <w:autoSpaceDN w:val="0"/>
              <w:adjustRightInd w:val="0"/>
              <w:spacing w:before="118"/>
              <w:ind w:left="107"/>
              <w:rPr>
                <w:b/>
                <w:bCs/>
                <w:i/>
                <w:iCs/>
                <w:color w:val="000000"/>
                <w:szCs w:val="22"/>
                <w:lang w:val="sl-SI" w:eastAsia="sl-SI"/>
              </w:rPr>
            </w:pPr>
            <w:r>
              <w:rPr>
                <w:b/>
                <w:bCs/>
              </w:rPr>
              <w:t>Apsvarstyti dozės mažinimą</w:t>
            </w:r>
          </w:p>
        </w:tc>
        <w:tc>
          <w:tcPr>
            <w:tcW w:w="5102" w:type="dxa"/>
            <w:shd w:val="clear" w:color="auto" w:fill="auto"/>
          </w:tcPr>
          <w:p w14:paraId="48936248"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21F5F75F" w14:textId="77777777">
        <w:trPr>
          <w:trHeight w:val="371"/>
        </w:trPr>
        <w:tc>
          <w:tcPr>
            <w:tcW w:w="4219" w:type="dxa"/>
            <w:shd w:val="clear" w:color="auto" w:fill="auto"/>
          </w:tcPr>
          <w:p w14:paraId="5ED0A883"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Pacientams nuo 75 iki 80 metų</w:t>
            </w:r>
          </w:p>
        </w:tc>
        <w:tc>
          <w:tcPr>
            <w:tcW w:w="5102" w:type="dxa"/>
            <w:vMerge w:val="restart"/>
            <w:shd w:val="clear" w:color="auto" w:fill="auto"/>
          </w:tcPr>
          <w:p w14:paraId="05DD9DA8" w14:textId="77777777" w:rsidR="00CB542F" w:rsidRDefault="00573A58">
            <w:pPr>
              <w:widowControl w:val="0"/>
              <w:kinsoku w:val="0"/>
              <w:overflowPunct w:val="0"/>
              <w:autoSpaceDE w:val="0"/>
              <w:autoSpaceDN w:val="0"/>
              <w:adjustRightInd w:val="0"/>
              <w:jc w:val="center"/>
              <w:rPr>
                <w:color w:val="000000"/>
                <w:szCs w:val="22"/>
                <w:lang w:val="sl-SI" w:eastAsia="sl-SI"/>
              </w:rPr>
            </w:pPr>
            <w:r>
              <w:t>reikia rinktis 300 mg arba 220 mg dabigatrano eteksilato paros dozę, atsižvelgiant į konkrečiam pacientui kylančią tromboembolijos riziką ir kraujavimo riziką</w:t>
            </w:r>
          </w:p>
        </w:tc>
      </w:tr>
      <w:tr w:rsidR="00CB542F" w14:paraId="0EB450CE" w14:textId="77777777">
        <w:trPr>
          <w:trHeight w:val="626"/>
        </w:trPr>
        <w:tc>
          <w:tcPr>
            <w:tcW w:w="4219" w:type="dxa"/>
            <w:shd w:val="clear" w:color="auto" w:fill="auto"/>
          </w:tcPr>
          <w:p w14:paraId="741FB9F8" w14:textId="77777777" w:rsidR="00CB542F" w:rsidRDefault="00573A58">
            <w:pPr>
              <w:widowControl w:val="0"/>
              <w:kinsoku w:val="0"/>
              <w:overflowPunct w:val="0"/>
              <w:autoSpaceDE w:val="0"/>
              <w:autoSpaceDN w:val="0"/>
              <w:adjustRightInd w:val="0"/>
              <w:ind w:left="107"/>
              <w:rPr>
                <w:color w:val="000000"/>
                <w:szCs w:val="22"/>
                <w:lang w:val="sl-SI" w:eastAsia="sl-SI"/>
              </w:rPr>
            </w:pPr>
            <w:r>
              <w:t>Pacientams, kuriems yra vidutinio sunkumo inkstų funkcijos sutrikimas (KrKl 30-50 ml/min.)</w:t>
            </w:r>
          </w:p>
        </w:tc>
        <w:tc>
          <w:tcPr>
            <w:tcW w:w="5102" w:type="dxa"/>
            <w:vMerge/>
            <w:shd w:val="clear" w:color="auto" w:fill="auto"/>
          </w:tcPr>
          <w:p w14:paraId="002E63B9" w14:textId="77777777" w:rsidR="00CB542F" w:rsidRDefault="00CB542F">
            <w:pPr>
              <w:widowControl w:val="0"/>
              <w:kinsoku w:val="0"/>
              <w:overflowPunct w:val="0"/>
              <w:autoSpaceDE w:val="0"/>
              <w:autoSpaceDN w:val="0"/>
              <w:adjustRightInd w:val="0"/>
              <w:spacing w:before="1"/>
              <w:rPr>
                <w:b/>
                <w:bCs/>
                <w:color w:val="000000"/>
                <w:szCs w:val="22"/>
                <w:lang w:val="sl-SI" w:eastAsia="sl-SI"/>
              </w:rPr>
            </w:pPr>
          </w:p>
        </w:tc>
      </w:tr>
      <w:tr w:rsidR="00CB542F" w14:paraId="2DD92225" w14:textId="77777777">
        <w:trPr>
          <w:trHeight w:val="625"/>
        </w:trPr>
        <w:tc>
          <w:tcPr>
            <w:tcW w:w="4219" w:type="dxa"/>
            <w:shd w:val="clear" w:color="auto" w:fill="auto"/>
          </w:tcPr>
          <w:p w14:paraId="368CA2D7" w14:textId="77777777" w:rsidR="00CB542F" w:rsidRDefault="00573A58">
            <w:pPr>
              <w:widowControl w:val="0"/>
              <w:kinsoku w:val="0"/>
              <w:overflowPunct w:val="0"/>
              <w:autoSpaceDE w:val="0"/>
              <w:autoSpaceDN w:val="0"/>
              <w:adjustRightInd w:val="0"/>
              <w:ind w:left="107"/>
              <w:rPr>
                <w:color w:val="000000"/>
                <w:szCs w:val="22"/>
                <w:lang w:val="sl-SI" w:eastAsia="sl-SI"/>
              </w:rPr>
            </w:pPr>
            <w:r>
              <w:t>Pacientams, sergantiems gastritu, ezofagitu arba gastroezofaginiu refliuksu</w:t>
            </w:r>
          </w:p>
        </w:tc>
        <w:tc>
          <w:tcPr>
            <w:tcW w:w="5102" w:type="dxa"/>
            <w:vMerge/>
            <w:shd w:val="clear" w:color="auto" w:fill="auto"/>
          </w:tcPr>
          <w:p w14:paraId="4C4FD632" w14:textId="77777777" w:rsidR="00CB542F" w:rsidRDefault="00CB542F">
            <w:pPr>
              <w:widowControl w:val="0"/>
              <w:kinsoku w:val="0"/>
              <w:overflowPunct w:val="0"/>
              <w:autoSpaceDE w:val="0"/>
              <w:autoSpaceDN w:val="0"/>
              <w:adjustRightInd w:val="0"/>
              <w:spacing w:before="1"/>
              <w:rPr>
                <w:b/>
                <w:bCs/>
                <w:color w:val="000000"/>
                <w:szCs w:val="22"/>
                <w:lang w:val="sl-SI" w:eastAsia="sl-SI"/>
              </w:rPr>
            </w:pPr>
          </w:p>
        </w:tc>
      </w:tr>
      <w:tr w:rsidR="00CB542F" w14:paraId="19B9328C" w14:textId="77777777">
        <w:trPr>
          <w:trHeight w:val="374"/>
        </w:trPr>
        <w:tc>
          <w:tcPr>
            <w:tcW w:w="4219" w:type="dxa"/>
            <w:shd w:val="clear" w:color="auto" w:fill="auto"/>
          </w:tcPr>
          <w:p w14:paraId="7DFFA115"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Kitiems pacientams, kuriems kyla didesnė kraujavimo rizika</w:t>
            </w:r>
          </w:p>
        </w:tc>
        <w:tc>
          <w:tcPr>
            <w:tcW w:w="5102" w:type="dxa"/>
            <w:vMerge/>
            <w:shd w:val="clear" w:color="auto" w:fill="auto"/>
          </w:tcPr>
          <w:p w14:paraId="52D392F2" w14:textId="77777777" w:rsidR="00CB542F" w:rsidRDefault="00CB542F">
            <w:pPr>
              <w:widowControl w:val="0"/>
              <w:kinsoku w:val="0"/>
              <w:overflowPunct w:val="0"/>
              <w:autoSpaceDE w:val="0"/>
              <w:autoSpaceDN w:val="0"/>
              <w:adjustRightInd w:val="0"/>
              <w:spacing w:before="1"/>
              <w:rPr>
                <w:b/>
                <w:bCs/>
                <w:color w:val="000000"/>
                <w:szCs w:val="22"/>
                <w:lang w:val="sl-SI" w:eastAsia="sl-SI"/>
              </w:rPr>
            </w:pPr>
          </w:p>
        </w:tc>
      </w:tr>
    </w:tbl>
    <w:p w14:paraId="70D4D629" w14:textId="77777777" w:rsidR="00CB542F" w:rsidRDefault="00573A58">
      <w:pPr>
        <w:widowControl w:val="0"/>
        <w:kinsoku w:val="0"/>
        <w:overflowPunct w:val="0"/>
        <w:autoSpaceDE w:val="0"/>
        <w:autoSpaceDN w:val="0"/>
        <w:adjustRightInd w:val="0"/>
        <w:spacing w:before="75"/>
        <w:outlineLvl w:val="0"/>
      </w:pPr>
      <w:r>
        <w:t>Rekomendacija GVT/PE gydyti 220 mg dabigatrano eteksilato doze, kuri vartojama po vieną 110 mg kapsulę 2 kartus per parą, yra paremta farmakokinetikos ir farmakodinamikos analize, šios klinikinės programos metu toks gydymas netirtas. Daugiau informacijos pateikta toliau bei 4.4, 4.5, 5.1 ir 5.2 skyriuose.</w:t>
      </w:r>
    </w:p>
    <w:p w14:paraId="3028D0AA" w14:textId="77777777" w:rsidR="00CB542F" w:rsidRDefault="00573A58">
      <w:pPr>
        <w:widowControl w:val="0"/>
        <w:kinsoku w:val="0"/>
        <w:overflowPunct w:val="0"/>
        <w:autoSpaceDE w:val="0"/>
        <w:autoSpaceDN w:val="0"/>
        <w:adjustRightInd w:val="0"/>
        <w:spacing w:before="75"/>
        <w:outlineLvl w:val="0"/>
      </w:pPr>
      <w:r>
        <w:t>Pacientą reikia informuoti, kad pasireiškus dabigatrano eteksilato netoleravimui būtina nedelsiant kreiptis į gydantį gydytoją, kad skirtų kitokį priimtiną gydymą su prieširdžių virpėjimu susijusio insulto ir sisteminės embolijos profilaktikai arba dėl GVT/PE.</w:t>
      </w:r>
    </w:p>
    <w:p w14:paraId="28D9E7A5" w14:textId="77777777" w:rsidR="00CB542F" w:rsidRDefault="00CB542F">
      <w:pPr>
        <w:widowControl w:val="0"/>
        <w:kinsoku w:val="0"/>
        <w:overflowPunct w:val="0"/>
        <w:autoSpaceDE w:val="0"/>
        <w:autoSpaceDN w:val="0"/>
        <w:adjustRightInd w:val="0"/>
        <w:spacing w:before="75"/>
        <w:outlineLvl w:val="0"/>
        <w:rPr>
          <w:b/>
          <w:color w:val="000000"/>
          <w:szCs w:val="22"/>
          <w:lang w:val="en-US" w:eastAsia="sl-SI"/>
        </w:rPr>
      </w:pPr>
    </w:p>
    <w:p w14:paraId="4A986F45" w14:textId="77777777" w:rsidR="00CB542F" w:rsidRDefault="00573A58">
      <w:pPr>
        <w:widowControl w:val="0"/>
        <w:kinsoku w:val="0"/>
        <w:overflowPunct w:val="0"/>
        <w:autoSpaceDE w:val="0"/>
        <w:autoSpaceDN w:val="0"/>
        <w:adjustRightInd w:val="0"/>
        <w:spacing w:before="75"/>
        <w:outlineLvl w:val="0"/>
        <w:rPr>
          <w:u w:val="single"/>
        </w:rPr>
      </w:pPr>
      <w:r>
        <w:rPr>
          <w:u w:val="single"/>
        </w:rPr>
        <w:t>Inkstų funkcijos vertinimas prieš gydymą dabigatrano eteksilatu ir jo metu</w:t>
      </w:r>
    </w:p>
    <w:p w14:paraId="54F18B19" w14:textId="77777777" w:rsidR="00CB542F" w:rsidRDefault="00CB542F">
      <w:pPr>
        <w:widowControl w:val="0"/>
        <w:kinsoku w:val="0"/>
        <w:overflowPunct w:val="0"/>
        <w:autoSpaceDE w:val="0"/>
        <w:autoSpaceDN w:val="0"/>
        <w:adjustRightInd w:val="0"/>
        <w:spacing w:before="75"/>
        <w:outlineLvl w:val="0"/>
      </w:pPr>
    </w:p>
    <w:p w14:paraId="51722089" w14:textId="77777777" w:rsidR="00CB542F" w:rsidRDefault="00573A58">
      <w:pPr>
        <w:widowControl w:val="0"/>
        <w:kinsoku w:val="0"/>
        <w:overflowPunct w:val="0"/>
        <w:autoSpaceDE w:val="0"/>
        <w:autoSpaceDN w:val="0"/>
        <w:adjustRightInd w:val="0"/>
        <w:spacing w:before="75"/>
        <w:outlineLvl w:val="0"/>
        <w:rPr>
          <w:b/>
          <w:color w:val="000000"/>
          <w:szCs w:val="22"/>
          <w:lang w:val="en-US" w:eastAsia="sl-SI"/>
        </w:rPr>
      </w:pPr>
      <w:r>
        <w:t>Visiems pacientams, o ypač senyviems (&gt; 75 metų), nes šioje amžiaus grupėje gali būti dažnai sutrikusi inkstų funkcija:</w:t>
      </w:r>
    </w:p>
    <w:p w14:paraId="22571B89" w14:textId="77777777" w:rsidR="00CB542F" w:rsidRDefault="00573A58">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 5.2 skyrius).</w:t>
      </w:r>
    </w:p>
    <w:p w14:paraId="02C8229A" w14:textId="77777777" w:rsidR="00CB542F" w:rsidRDefault="00573A58">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 pasireiškia hipovolemija, dehidratacija ar kartu vartojama tam tikrų vaistinių preparatų).</w:t>
      </w:r>
    </w:p>
    <w:p w14:paraId="52E41A87" w14:textId="77777777" w:rsidR="00CB542F" w:rsidRDefault="00CB542F">
      <w:pPr>
        <w:widowControl w:val="0"/>
        <w:autoSpaceDE w:val="0"/>
        <w:autoSpaceDN w:val="0"/>
      </w:pPr>
    </w:p>
    <w:p w14:paraId="13DA89CF" w14:textId="77777777" w:rsidR="00CB542F" w:rsidRDefault="00573A58">
      <w:pPr>
        <w:widowControl w:val="0"/>
        <w:autoSpaceDE w:val="0"/>
        <w:autoSpaceDN w:val="0"/>
      </w:pPr>
      <w:r>
        <w:t>Papildomi reikalavimai pacientams, kuriems yra lengvas ar vidutinio sunkumo inkstų funkcijos sutrikimas, ir pacientams, kurie yra vyresni kaip 75 metų:</w:t>
      </w:r>
    </w:p>
    <w:p w14:paraId="41E58FBC" w14:textId="77777777" w:rsidR="00CB542F" w:rsidRDefault="00573A58">
      <w:pPr>
        <w:widowControl w:val="0"/>
        <w:numPr>
          <w:ilvl w:val="0"/>
          <w:numId w:val="5"/>
        </w:numPr>
        <w:autoSpaceDE w:val="0"/>
        <w:autoSpaceDN w:val="0"/>
        <w:ind w:left="567" w:hanging="567"/>
        <w:rPr>
          <w:color w:val="000000"/>
          <w:szCs w:val="22"/>
          <w:lang w:val="en-US"/>
        </w:rPr>
      </w:pPr>
      <w:r>
        <w:t>Gydymo dabigatrano eteksilatu metu inkstų funkciją reikia tirti mažiausiai kartą per metus arba pagal poreikį dažniau, jei yra tam tikra klinikinė būklė ir manoma, kad inkstų funkcija pablogėjo ar sutriko (pvz., pasireiškia hipovolemija, dehidratacija ar kartu vartojama tam tikrų vaistinių preparatų).</w:t>
      </w:r>
    </w:p>
    <w:p w14:paraId="1EC7E85B" w14:textId="77777777" w:rsidR="00CB542F" w:rsidRDefault="00CB542F">
      <w:pPr>
        <w:widowControl w:val="0"/>
        <w:autoSpaceDE w:val="0"/>
        <w:autoSpaceDN w:val="0"/>
      </w:pPr>
    </w:p>
    <w:p w14:paraId="7629A25A" w14:textId="77777777" w:rsidR="00CB542F" w:rsidRDefault="00573A58">
      <w:pPr>
        <w:widowControl w:val="0"/>
        <w:autoSpaceDE w:val="0"/>
        <w:autoSpaceDN w:val="0"/>
      </w:pPr>
      <w:r>
        <w:t xml:space="preserve">Inkstų funkciją (KrKl ml/min.) reikia įvertinti </w:t>
      </w:r>
      <w:r>
        <w:rPr>
          <w:i/>
        </w:rPr>
        <w:t>Cockcroft-Gault</w:t>
      </w:r>
      <w:r>
        <w:t xml:space="preserve"> metodu.</w:t>
      </w:r>
    </w:p>
    <w:p w14:paraId="364658D9" w14:textId="77777777" w:rsidR="00CB542F" w:rsidRDefault="00CB542F">
      <w:pPr>
        <w:widowControl w:val="0"/>
        <w:autoSpaceDE w:val="0"/>
        <w:autoSpaceDN w:val="0"/>
      </w:pPr>
    </w:p>
    <w:p w14:paraId="43CB43F0" w14:textId="77777777" w:rsidR="00CB542F" w:rsidRDefault="00573A58">
      <w:pPr>
        <w:widowControl w:val="0"/>
        <w:autoSpaceDE w:val="0"/>
        <w:autoSpaceDN w:val="0"/>
        <w:rPr>
          <w:i/>
          <w:iCs/>
          <w:u w:val="single"/>
        </w:rPr>
      </w:pPr>
      <w:r>
        <w:rPr>
          <w:i/>
          <w:iCs/>
          <w:u w:val="single"/>
        </w:rPr>
        <w:t>Vartojimo trukmė</w:t>
      </w:r>
    </w:p>
    <w:p w14:paraId="67FA367C" w14:textId="77777777" w:rsidR="00CB542F" w:rsidRDefault="00CB542F">
      <w:pPr>
        <w:widowControl w:val="0"/>
        <w:autoSpaceDE w:val="0"/>
        <w:autoSpaceDN w:val="0"/>
      </w:pPr>
    </w:p>
    <w:p w14:paraId="05092D42" w14:textId="77777777" w:rsidR="00CB542F" w:rsidRDefault="00573A58">
      <w:pPr>
        <w:widowControl w:val="0"/>
        <w:autoSpaceDE w:val="0"/>
        <w:autoSpaceDN w:val="0"/>
      </w:pPr>
      <w:r>
        <w:lastRenderedPageBreak/>
        <w:t>Dabigatrano eteksilato vartojimo trukmė IPPV, GVT ir PE indikacijoms nurodyta 2 lentelėje.</w:t>
      </w:r>
    </w:p>
    <w:p w14:paraId="4C19FA44" w14:textId="77777777" w:rsidR="00CB542F" w:rsidRDefault="00CB542F">
      <w:pPr>
        <w:widowControl w:val="0"/>
        <w:autoSpaceDE w:val="0"/>
        <w:autoSpaceDN w:val="0"/>
      </w:pPr>
    </w:p>
    <w:p w14:paraId="1BA2F2E0" w14:textId="77777777" w:rsidR="00CB542F" w:rsidRDefault="00573A58">
      <w:pPr>
        <w:widowControl w:val="0"/>
        <w:autoSpaceDE w:val="0"/>
        <w:autoSpaceDN w:val="0"/>
        <w:rPr>
          <w:b/>
          <w:bCs/>
        </w:rPr>
      </w:pPr>
      <w:r>
        <w:rPr>
          <w:b/>
          <w:bCs/>
        </w:rPr>
        <w:t>2 lentelė. Vartojimo trukmė gydant IPPV ir GVT/PE</w:t>
      </w:r>
    </w:p>
    <w:p w14:paraId="554C2BA1"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5"/>
        <w:gridCol w:w="7901"/>
      </w:tblGrid>
      <w:tr w:rsidR="00CB542F" w14:paraId="4D20FD23" w14:textId="77777777">
        <w:trPr>
          <w:trHeight w:val="374"/>
        </w:trPr>
        <w:tc>
          <w:tcPr>
            <w:tcW w:w="1385" w:type="dxa"/>
            <w:shd w:val="clear" w:color="auto" w:fill="auto"/>
          </w:tcPr>
          <w:p w14:paraId="6632986D" w14:textId="77777777" w:rsidR="00CB542F" w:rsidRDefault="00573A58">
            <w:pPr>
              <w:widowControl w:val="0"/>
              <w:kinsoku w:val="0"/>
              <w:overflowPunct w:val="0"/>
              <w:autoSpaceDE w:val="0"/>
              <w:autoSpaceDN w:val="0"/>
              <w:adjustRightInd w:val="0"/>
              <w:spacing w:before="1"/>
              <w:ind w:left="107"/>
              <w:rPr>
                <w:b/>
                <w:bCs/>
                <w:color w:val="000000"/>
                <w:szCs w:val="22"/>
                <w:lang w:val="sl-SI" w:eastAsia="sl-SI"/>
              </w:rPr>
            </w:pPr>
            <w:r>
              <w:rPr>
                <w:b/>
                <w:bCs/>
                <w:color w:val="000000"/>
                <w:szCs w:val="22"/>
                <w:lang w:val="sl-SI" w:eastAsia="sl-SI"/>
              </w:rPr>
              <w:t>Indikacija</w:t>
            </w:r>
          </w:p>
        </w:tc>
        <w:tc>
          <w:tcPr>
            <w:tcW w:w="7901" w:type="dxa"/>
            <w:shd w:val="clear" w:color="auto" w:fill="auto"/>
          </w:tcPr>
          <w:p w14:paraId="3E0E7EBD" w14:textId="77777777" w:rsidR="00CB542F" w:rsidRDefault="00573A58">
            <w:pPr>
              <w:widowControl w:val="0"/>
              <w:kinsoku w:val="0"/>
              <w:overflowPunct w:val="0"/>
              <w:autoSpaceDE w:val="0"/>
              <w:autoSpaceDN w:val="0"/>
              <w:adjustRightInd w:val="0"/>
              <w:spacing w:before="1"/>
              <w:ind w:left="105"/>
              <w:rPr>
                <w:b/>
                <w:bCs/>
                <w:color w:val="000000"/>
                <w:szCs w:val="22"/>
                <w:lang w:val="sl-SI" w:eastAsia="sl-SI"/>
              </w:rPr>
            </w:pPr>
            <w:r>
              <w:rPr>
                <w:b/>
                <w:bCs/>
                <w:color w:val="000000"/>
                <w:szCs w:val="22"/>
                <w:lang w:val="sl-SI" w:eastAsia="sl-SI"/>
              </w:rPr>
              <w:t>Vartojimo trukmė</w:t>
            </w:r>
          </w:p>
        </w:tc>
      </w:tr>
      <w:tr w:rsidR="00CB542F" w14:paraId="491A74E5" w14:textId="77777777">
        <w:trPr>
          <w:trHeight w:val="373"/>
        </w:trPr>
        <w:tc>
          <w:tcPr>
            <w:tcW w:w="1385" w:type="dxa"/>
            <w:shd w:val="clear" w:color="auto" w:fill="auto"/>
          </w:tcPr>
          <w:p w14:paraId="059C17D0"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IPPV</w:t>
            </w:r>
          </w:p>
        </w:tc>
        <w:tc>
          <w:tcPr>
            <w:tcW w:w="7901" w:type="dxa"/>
            <w:shd w:val="clear" w:color="auto" w:fill="auto"/>
          </w:tcPr>
          <w:p w14:paraId="504A2FD9" w14:textId="77777777" w:rsidR="00CB542F" w:rsidRDefault="00573A58">
            <w:pPr>
              <w:widowControl w:val="0"/>
              <w:kinsoku w:val="0"/>
              <w:overflowPunct w:val="0"/>
              <w:autoSpaceDE w:val="0"/>
              <w:autoSpaceDN w:val="0"/>
              <w:adjustRightInd w:val="0"/>
              <w:spacing w:line="247" w:lineRule="exact"/>
              <w:ind w:left="105"/>
              <w:rPr>
                <w:color w:val="000000"/>
                <w:szCs w:val="22"/>
                <w:lang w:val="sl-SI" w:eastAsia="sl-SI"/>
              </w:rPr>
            </w:pPr>
            <w:r>
              <w:t>Gydymas tęsiamas ilgai.</w:t>
            </w:r>
          </w:p>
        </w:tc>
      </w:tr>
      <w:tr w:rsidR="00CB542F" w14:paraId="3B2B7D10" w14:textId="77777777">
        <w:trPr>
          <w:trHeight w:val="1504"/>
        </w:trPr>
        <w:tc>
          <w:tcPr>
            <w:tcW w:w="1385" w:type="dxa"/>
            <w:shd w:val="clear" w:color="auto" w:fill="auto"/>
          </w:tcPr>
          <w:p w14:paraId="17033F99"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GVT/PE</w:t>
            </w:r>
          </w:p>
        </w:tc>
        <w:tc>
          <w:tcPr>
            <w:tcW w:w="7901" w:type="dxa"/>
            <w:shd w:val="clear" w:color="auto" w:fill="auto"/>
          </w:tcPr>
          <w:p w14:paraId="72AB9237" w14:textId="77777777" w:rsidR="00CB542F" w:rsidRDefault="00573A58">
            <w:pPr>
              <w:widowControl w:val="0"/>
              <w:kinsoku w:val="0"/>
              <w:overflowPunct w:val="0"/>
              <w:autoSpaceDE w:val="0"/>
              <w:autoSpaceDN w:val="0"/>
              <w:adjustRightInd w:val="0"/>
              <w:spacing w:before="111"/>
              <w:ind w:left="105"/>
              <w:jc w:val="both"/>
            </w:pPr>
            <w:r>
              <w:t>Gydymo trukmę kiekvienam pacientui reikia nustatyti atskirai, atidžiai įvertinus gydymo naudą, palyginti su kraujavimo rizika (žr. 4.4 skyrių).</w:t>
            </w:r>
          </w:p>
          <w:p w14:paraId="3B154CAE" w14:textId="77777777" w:rsidR="00CB542F" w:rsidRDefault="00573A58">
            <w:pPr>
              <w:widowControl w:val="0"/>
              <w:kinsoku w:val="0"/>
              <w:overflowPunct w:val="0"/>
              <w:autoSpaceDE w:val="0"/>
              <w:autoSpaceDN w:val="0"/>
              <w:adjustRightInd w:val="0"/>
              <w:spacing w:before="111"/>
              <w:ind w:left="105"/>
              <w:jc w:val="both"/>
              <w:rPr>
                <w:color w:val="000000"/>
                <w:szCs w:val="22"/>
                <w:lang w:val="sl-SI" w:eastAsia="sl-SI"/>
              </w:rPr>
            </w:pPr>
            <w:r>
              <w:t>Trumpalaikis (bent 3 mėnesių) gydymas turi būti paremtas laikinais rizikos veiksniais (pvz., neseniai patirta operacija, trauma, imobilizacija), ilgesnės trukmės ‒ nuolatiniais rizikos veiksniais arba idiopatine GVT ar PE.</w:t>
            </w:r>
          </w:p>
        </w:tc>
      </w:tr>
    </w:tbl>
    <w:p w14:paraId="0E699E17" w14:textId="77777777" w:rsidR="00CB542F" w:rsidRDefault="00CB542F">
      <w:pPr>
        <w:widowControl w:val="0"/>
        <w:autoSpaceDE w:val="0"/>
        <w:autoSpaceDN w:val="0"/>
      </w:pPr>
    </w:p>
    <w:p w14:paraId="04E29294" w14:textId="77777777" w:rsidR="00CB542F" w:rsidRDefault="00573A58">
      <w:pPr>
        <w:widowControl w:val="0"/>
        <w:autoSpaceDE w:val="0"/>
        <w:autoSpaceDN w:val="0"/>
        <w:rPr>
          <w:i/>
          <w:iCs/>
          <w:u w:val="single"/>
        </w:rPr>
      </w:pPr>
      <w:r>
        <w:rPr>
          <w:i/>
          <w:iCs/>
          <w:u w:val="single"/>
        </w:rPr>
        <w:t>Praleista dozė</w:t>
      </w:r>
    </w:p>
    <w:p w14:paraId="031DF06A" w14:textId="77777777" w:rsidR="00CB542F" w:rsidRDefault="00CB542F">
      <w:pPr>
        <w:widowControl w:val="0"/>
        <w:autoSpaceDE w:val="0"/>
        <w:autoSpaceDN w:val="0"/>
      </w:pPr>
    </w:p>
    <w:p w14:paraId="2E9CD246" w14:textId="77777777" w:rsidR="00CB542F" w:rsidRDefault="00573A58">
      <w:pPr>
        <w:widowControl w:val="0"/>
        <w:autoSpaceDE w:val="0"/>
        <w:autoSpaceDN w:val="0"/>
      </w:pPr>
      <w:r>
        <w:t>Praleistą dabigatrano eteksilato dozę galima gerti, jeigu iki kitos dozės vartojimo laiko yra likusios ne mažiau kaip 6 val. Likus 6 valandoms arba mažiau, pamirštą dozę reikia praleisti.</w:t>
      </w:r>
    </w:p>
    <w:p w14:paraId="513B9103" w14:textId="77777777" w:rsidR="00CB542F" w:rsidRDefault="00CB542F">
      <w:pPr>
        <w:widowControl w:val="0"/>
        <w:autoSpaceDE w:val="0"/>
        <w:autoSpaceDN w:val="0"/>
      </w:pPr>
    </w:p>
    <w:p w14:paraId="7536F8CD" w14:textId="77777777" w:rsidR="00CB542F" w:rsidRDefault="00573A58">
      <w:pPr>
        <w:widowControl w:val="0"/>
        <w:autoSpaceDE w:val="0"/>
        <w:autoSpaceDN w:val="0"/>
      </w:pPr>
      <w:r>
        <w:t>Negalima vartoti dvigubos dozės norint kompensuoti praleistą dozę.</w:t>
      </w:r>
    </w:p>
    <w:p w14:paraId="58F3D312" w14:textId="77777777" w:rsidR="00CB542F" w:rsidRDefault="00CB542F">
      <w:pPr>
        <w:widowControl w:val="0"/>
        <w:autoSpaceDE w:val="0"/>
        <w:autoSpaceDN w:val="0"/>
      </w:pPr>
    </w:p>
    <w:p w14:paraId="1CF54A75" w14:textId="77777777" w:rsidR="00CB542F" w:rsidRDefault="00573A58">
      <w:pPr>
        <w:widowControl w:val="0"/>
        <w:autoSpaceDE w:val="0"/>
        <w:autoSpaceDN w:val="0"/>
        <w:rPr>
          <w:i/>
          <w:iCs/>
          <w:u w:val="single"/>
        </w:rPr>
      </w:pPr>
      <w:r>
        <w:rPr>
          <w:i/>
          <w:iCs/>
          <w:u w:val="single"/>
        </w:rPr>
        <w:t>Dabigatrano eteksilato vartojimo nutraukimas</w:t>
      </w:r>
    </w:p>
    <w:p w14:paraId="09363A15" w14:textId="77777777" w:rsidR="00CB542F" w:rsidRDefault="00CB542F">
      <w:pPr>
        <w:widowControl w:val="0"/>
        <w:autoSpaceDE w:val="0"/>
        <w:autoSpaceDN w:val="0"/>
      </w:pPr>
    </w:p>
    <w:p w14:paraId="005EE75D" w14:textId="77777777" w:rsidR="00CB542F" w:rsidRDefault="00573A58">
      <w:pPr>
        <w:widowControl w:val="0"/>
        <w:autoSpaceDE w:val="0"/>
        <w:autoSpaceDN w:val="0"/>
      </w:pPr>
      <w:r>
        <w:t>Negalima nutraukti gydymo dabigatrano eteksilatu nepasitarus su gydytoju. Pacientams reikia nurodyti kreiptis į gydantį gydytoją, jeigu jiems pasireiškia su skrandžiu ir (arba) žarnynu susijusių simptomų, pvz., dispepsija (žr. 4.8 skyrių).</w:t>
      </w:r>
    </w:p>
    <w:p w14:paraId="53DE82F2" w14:textId="77777777" w:rsidR="00CB542F" w:rsidRDefault="00CB542F">
      <w:pPr>
        <w:widowControl w:val="0"/>
        <w:autoSpaceDE w:val="0"/>
        <w:autoSpaceDN w:val="0"/>
      </w:pPr>
    </w:p>
    <w:p w14:paraId="1A52658B" w14:textId="77777777" w:rsidR="00CB542F" w:rsidRDefault="00573A58">
      <w:pPr>
        <w:widowControl w:val="0"/>
        <w:autoSpaceDE w:val="0"/>
        <w:autoSpaceDN w:val="0"/>
        <w:rPr>
          <w:i/>
          <w:iCs/>
          <w:u w:val="single"/>
        </w:rPr>
      </w:pPr>
      <w:r>
        <w:rPr>
          <w:i/>
          <w:iCs/>
          <w:u w:val="single"/>
        </w:rPr>
        <w:t>Gydymo keitimas</w:t>
      </w:r>
    </w:p>
    <w:p w14:paraId="660E4F60" w14:textId="77777777" w:rsidR="00CB542F" w:rsidRDefault="00CB542F">
      <w:pPr>
        <w:widowControl w:val="0"/>
        <w:autoSpaceDE w:val="0"/>
        <w:autoSpaceDN w:val="0"/>
      </w:pPr>
    </w:p>
    <w:p w14:paraId="4E07F376" w14:textId="77777777" w:rsidR="00CB542F" w:rsidRDefault="00573A58">
      <w:pPr>
        <w:widowControl w:val="0"/>
        <w:autoSpaceDE w:val="0"/>
        <w:autoSpaceDN w:val="0"/>
      </w:pPr>
      <w:r>
        <w:t>Gydymo dabigatrano eteksilatu keitimas parenteriniu būdu vartojamais antikoaguliantais: parenteriniu būdu vartojamais antikoaguliantais rekomenduojama pradėti gydyti praėjus 12 val. po paskutinės dabigatrano eteksilato dozės pavartojimo (žr. 4.5 skyrių).</w:t>
      </w:r>
    </w:p>
    <w:p w14:paraId="2213CAB0" w14:textId="77777777" w:rsidR="00CB542F" w:rsidRDefault="00CB542F">
      <w:pPr>
        <w:widowControl w:val="0"/>
        <w:autoSpaceDE w:val="0"/>
        <w:autoSpaceDN w:val="0"/>
      </w:pPr>
    </w:p>
    <w:p w14:paraId="6C538D17" w14:textId="77777777" w:rsidR="00CB542F" w:rsidRDefault="00573A58">
      <w:pPr>
        <w:widowControl w:val="0"/>
        <w:autoSpaceDE w:val="0"/>
        <w:autoSpaceDN w:val="0"/>
      </w:pPr>
      <w:r>
        <w:t>Gydymo parenteriniu būdu vartojamais antikoaguliantais keitimas dabigatrano eteksilatu:</w:t>
      </w:r>
    </w:p>
    <w:p w14:paraId="5C588C50" w14:textId="77777777" w:rsidR="00CB542F" w:rsidRDefault="00573A58">
      <w:pPr>
        <w:widowControl w:val="0"/>
        <w:autoSpaceDE w:val="0"/>
        <w:autoSpaceDN w:val="0"/>
      </w:pPr>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4C0BB4B3" w14:textId="77777777" w:rsidR="00CB542F" w:rsidRDefault="00CB542F">
      <w:pPr>
        <w:widowControl w:val="0"/>
        <w:autoSpaceDE w:val="0"/>
        <w:autoSpaceDN w:val="0"/>
      </w:pPr>
    </w:p>
    <w:p w14:paraId="7820167C" w14:textId="77777777" w:rsidR="00CB542F" w:rsidRDefault="00573A58">
      <w:pPr>
        <w:widowControl w:val="0"/>
        <w:autoSpaceDE w:val="0"/>
        <w:autoSpaceDN w:val="0"/>
      </w:pPr>
      <w:r>
        <w:t>Gydymo dabigatrano eteksilatu keitimas vitamino K antagonistais (VKA)</w:t>
      </w:r>
    </w:p>
    <w:p w14:paraId="020B7CA0" w14:textId="77777777" w:rsidR="00CB542F" w:rsidRDefault="00573A58">
      <w:pPr>
        <w:widowControl w:val="0"/>
        <w:autoSpaceDE w:val="0"/>
        <w:autoSpaceDN w:val="0"/>
      </w:pPr>
      <w:r>
        <w:t>Gydymo VKA pradžios laiką reikia koreguoti, atsižvelgiant į KrKl:</w:t>
      </w:r>
    </w:p>
    <w:p w14:paraId="0DB8B70E" w14:textId="77777777" w:rsidR="00CB542F" w:rsidRDefault="00573A58">
      <w:pPr>
        <w:widowControl w:val="0"/>
        <w:numPr>
          <w:ilvl w:val="0"/>
          <w:numId w:val="5"/>
        </w:numPr>
        <w:autoSpaceDE w:val="0"/>
        <w:autoSpaceDN w:val="0"/>
        <w:ind w:left="567" w:hanging="567"/>
        <w:rPr>
          <w:color w:val="000000"/>
          <w:szCs w:val="22"/>
          <w:lang w:val="en-US"/>
        </w:rPr>
      </w:pPr>
      <w:r>
        <w:t>jeigu KrKl ≥ 50 ml/min., gydyti VKA reikia pradėti likus 3 paroms iki dabigatrano eteksilato vartojimo nutraukimo;</w:t>
      </w:r>
    </w:p>
    <w:p w14:paraId="02535F05" w14:textId="77777777" w:rsidR="00CB542F" w:rsidRDefault="00573A58">
      <w:pPr>
        <w:widowControl w:val="0"/>
        <w:numPr>
          <w:ilvl w:val="0"/>
          <w:numId w:val="5"/>
        </w:numPr>
        <w:autoSpaceDE w:val="0"/>
        <w:autoSpaceDN w:val="0"/>
        <w:ind w:left="567" w:hanging="567"/>
        <w:rPr>
          <w:color w:val="000000"/>
          <w:szCs w:val="22"/>
          <w:lang w:val="en-US"/>
        </w:rPr>
      </w:pPr>
      <w:r>
        <w:t>jeigu KrKl ≥ 30 – &lt; 50 ml/min., gydyti VKA reikia pradėti likus 2 paroms iki dabigatrano eteksilato vartojimo nutraukimo.</w:t>
      </w:r>
    </w:p>
    <w:p w14:paraId="5370FF82" w14:textId="77777777" w:rsidR="00CB542F" w:rsidRDefault="00CB542F">
      <w:pPr>
        <w:widowControl w:val="0"/>
        <w:autoSpaceDE w:val="0"/>
        <w:autoSpaceDN w:val="0"/>
      </w:pPr>
    </w:p>
    <w:p w14:paraId="3106FD04" w14:textId="77777777" w:rsidR="00CB542F" w:rsidRDefault="00573A58">
      <w:pPr>
        <w:widowControl w:val="0"/>
        <w:autoSpaceDE w:val="0"/>
        <w:autoSpaceDN w:val="0"/>
      </w:pPr>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74254450" w14:textId="77777777" w:rsidR="00CB542F" w:rsidRDefault="00CB542F">
      <w:pPr>
        <w:widowControl w:val="0"/>
        <w:autoSpaceDE w:val="0"/>
        <w:autoSpaceDN w:val="0"/>
      </w:pPr>
    </w:p>
    <w:p w14:paraId="54BAA44D" w14:textId="77777777" w:rsidR="00CB542F" w:rsidRDefault="00573A58">
      <w:pPr>
        <w:widowControl w:val="0"/>
        <w:autoSpaceDE w:val="0"/>
        <w:autoSpaceDN w:val="0"/>
      </w:pPr>
      <w:r>
        <w:t>Gydymo VKA keitimas dabigatrano eteksilatu: VKA vartojimą reikia nutraukti. Dabigatrano eteksilatu galima pradėti gydyti tuoj pat, kai tik TNS tampa &lt; 2.</w:t>
      </w:r>
    </w:p>
    <w:p w14:paraId="173E05E7" w14:textId="77777777" w:rsidR="00CB542F" w:rsidRDefault="00CB542F">
      <w:pPr>
        <w:widowControl w:val="0"/>
        <w:autoSpaceDE w:val="0"/>
        <w:autoSpaceDN w:val="0"/>
        <w:rPr>
          <w:color w:val="000000"/>
          <w:szCs w:val="22"/>
          <w:lang w:val="en-US"/>
        </w:rPr>
      </w:pPr>
    </w:p>
    <w:p w14:paraId="41751FEC" w14:textId="77777777" w:rsidR="00CB542F" w:rsidRDefault="00573A58">
      <w:pPr>
        <w:widowControl w:val="0"/>
        <w:autoSpaceDE w:val="0"/>
        <w:autoSpaceDN w:val="0"/>
        <w:rPr>
          <w:i/>
          <w:iCs/>
          <w:u w:val="single"/>
        </w:rPr>
      </w:pPr>
      <w:r>
        <w:rPr>
          <w:i/>
          <w:iCs/>
          <w:u w:val="single"/>
        </w:rPr>
        <w:t>Kardioversija (IPPV)</w:t>
      </w:r>
    </w:p>
    <w:p w14:paraId="455672A2" w14:textId="77777777" w:rsidR="00CB542F" w:rsidRDefault="00CB542F">
      <w:pPr>
        <w:widowControl w:val="0"/>
        <w:autoSpaceDE w:val="0"/>
        <w:autoSpaceDN w:val="0"/>
      </w:pPr>
    </w:p>
    <w:p w14:paraId="207878C9" w14:textId="77777777" w:rsidR="00CB542F" w:rsidRDefault="00573A58">
      <w:pPr>
        <w:widowControl w:val="0"/>
        <w:autoSpaceDE w:val="0"/>
        <w:autoSpaceDN w:val="0"/>
      </w:pPr>
      <w:r>
        <w:t>Atliekant kardioversiją, dabigatrano eteksilato vartojimo nutraukti nereikia.</w:t>
      </w:r>
    </w:p>
    <w:p w14:paraId="48BE78E2" w14:textId="77777777" w:rsidR="00CB542F" w:rsidRDefault="00CB542F">
      <w:pPr>
        <w:widowControl w:val="0"/>
        <w:autoSpaceDE w:val="0"/>
        <w:autoSpaceDN w:val="0"/>
      </w:pPr>
    </w:p>
    <w:p w14:paraId="4E3042FA" w14:textId="77777777" w:rsidR="00CB542F" w:rsidRDefault="00573A58">
      <w:pPr>
        <w:widowControl w:val="0"/>
        <w:autoSpaceDE w:val="0"/>
        <w:autoSpaceDN w:val="0"/>
        <w:rPr>
          <w:i/>
          <w:iCs/>
          <w:u w:val="single"/>
        </w:rPr>
      </w:pPr>
      <w:r>
        <w:rPr>
          <w:i/>
          <w:iCs/>
          <w:u w:val="single"/>
        </w:rPr>
        <w:lastRenderedPageBreak/>
        <w:t>Prieširdžių virpėjimo kateterinė abliacija (IPPV)</w:t>
      </w:r>
    </w:p>
    <w:p w14:paraId="2C865899" w14:textId="77777777" w:rsidR="00CB542F" w:rsidRDefault="00CB542F">
      <w:pPr>
        <w:widowControl w:val="0"/>
        <w:autoSpaceDE w:val="0"/>
        <w:autoSpaceDN w:val="0"/>
      </w:pPr>
    </w:p>
    <w:p w14:paraId="3901AF03" w14:textId="77777777" w:rsidR="00CB542F" w:rsidRDefault="00573A58">
      <w:pPr>
        <w:widowControl w:val="0"/>
        <w:autoSpaceDE w:val="0"/>
        <w:autoSpaceDN w:val="0"/>
      </w:pPr>
      <w:r>
        <w:t>Pacientams, vartojantiems po 150 mg dabigatrano eteksilato du kartus per parą, kateterinę abliaciją atlikti galima. Gydymo dabigatrano eteksilatu pertraukti nereikia (žr. 5.1 skyrių).</w:t>
      </w:r>
    </w:p>
    <w:p w14:paraId="10A3E03B" w14:textId="77777777" w:rsidR="00CB542F" w:rsidRDefault="00CB542F">
      <w:pPr>
        <w:widowControl w:val="0"/>
        <w:autoSpaceDE w:val="0"/>
        <w:autoSpaceDN w:val="0"/>
      </w:pPr>
    </w:p>
    <w:p w14:paraId="79DDFE9D" w14:textId="77777777" w:rsidR="00CB542F" w:rsidRDefault="00573A58">
      <w:pPr>
        <w:widowControl w:val="0"/>
        <w:autoSpaceDE w:val="0"/>
        <w:autoSpaceDN w:val="0"/>
      </w:pPr>
      <w:r>
        <w:rPr>
          <w:i/>
          <w:iCs/>
          <w:u w:val="single"/>
        </w:rPr>
        <w:t>Perkutaninė koronarinė intervencija (PKI) taikant stentavimą (IPPV</w:t>
      </w:r>
      <w:r>
        <w:t>)</w:t>
      </w:r>
    </w:p>
    <w:p w14:paraId="547DBC4E" w14:textId="77777777" w:rsidR="00CB542F" w:rsidRDefault="00CB542F">
      <w:pPr>
        <w:widowControl w:val="0"/>
        <w:autoSpaceDE w:val="0"/>
        <w:autoSpaceDN w:val="0"/>
      </w:pPr>
    </w:p>
    <w:p w14:paraId="76ADCC22" w14:textId="77777777" w:rsidR="00CB542F" w:rsidRDefault="00573A58">
      <w:pPr>
        <w:widowControl w:val="0"/>
        <w:autoSpaceDE w:val="0"/>
        <w:autoSpaceDN w:val="0"/>
      </w:pPr>
      <w:r>
        <w:t>Nevožtuviniu prieširdžių virpėjimu sergančius pacientus, kuriems atliekama PKI taikant stentavimą, pasiekus hemostazę galima gydyti dabigatrano eteksilatu derinyje su antitrombocitiniais vaistiniais preparatais (žr. 5.1 skyrių).</w:t>
      </w:r>
    </w:p>
    <w:p w14:paraId="047D1F5A" w14:textId="77777777" w:rsidR="00CB542F" w:rsidRDefault="00CB542F">
      <w:pPr>
        <w:widowControl w:val="0"/>
        <w:autoSpaceDE w:val="0"/>
        <w:autoSpaceDN w:val="0"/>
      </w:pPr>
    </w:p>
    <w:p w14:paraId="4F2881DB" w14:textId="77777777" w:rsidR="00CB542F" w:rsidRDefault="00573A58">
      <w:pPr>
        <w:widowControl w:val="0"/>
        <w:autoSpaceDE w:val="0"/>
        <w:autoSpaceDN w:val="0"/>
        <w:rPr>
          <w:i/>
          <w:iCs/>
          <w:u w:val="single"/>
        </w:rPr>
      </w:pPr>
      <w:r>
        <w:rPr>
          <w:i/>
          <w:iCs/>
          <w:u w:val="single"/>
        </w:rPr>
        <w:t>Ypatingos populiacijos</w:t>
      </w:r>
    </w:p>
    <w:p w14:paraId="600A974F" w14:textId="77777777" w:rsidR="00CB542F" w:rsidRDefault="00CB542F">
      <w:pPr>
        <w:widowControl w:val="0"/>
        <w:autoSpaceDE w:val="0"/>
        <w:autoSpaceDN w:val="0"/>
      </w:pPr>
    </w:p>
    <w:p w14:paraId="115B88FE" w14:textId="77777777" w:rsidR="00CB542F" w:rsidRDefault="00573A58">
      <w:pPr>
        <w:widowControl w:val="0"/>
        <w:autoSpaceDE w:val="0"/>
        <w:autoSpaceDN w:val="0"/>
        <w:rPr>
          <w:i/>
          <w:iCs/>
        </w:rPr>
      </w:pPr>
      <w:r>
        <w:rPr>
          <w:i/>
          <w:iCs/>
        </w:rPr>
        <w:t>Senyviems pacientams</w:t>
      </w:r>
    </w:p>
    <w:p w14:paraId="7FA34333" w14:textId="77777777" w:rsidR="00CB542F" w:rsidRDefault="00CB542F">
      <w:pPr>
        <w:widowControl w:val="0"/>
        <w:autoSpaceDE w:val="0"/>
        <w:autoSpaceDN w:val="0"/>
      </w:pPr>
    </w:p>
    <w:p w14:paraId="3555EDF2" w14:textId="77777777" w:rsidR="00CB542F" w:rsidRDefault="00573A58">
      <w:pPr>
        <w:widowControl w:val="0"/>
        <w:autoSpaceDE w:val="0"/>
        <w:autoSpaceDN w:val="0"/>
      </w:pPr>
      <w:r>
        <w:t>Dozės keitimą šiems pacientams žr. 1 lentelėje pirmiau.</w:t>
      </w:r>
    </w:p>
    <w:p w14:paraId="3C961E7A" w14:textId="77777777" w:rsidR="00CB542F" w:rsidRDefault="00CB542F">
      <w:pPr>
        <w:widowControl w:val="0"/>
        <w:autoSpaceDE w:val="0"/>
        <w:autoSpaceDN w:val="0"/>
      </w:pPr>
    </w:p>
    <w:p w14:paraId="661C05AF" w14:textId="77777777" w:rsidR="00CB542F" w:rsidRDefault="00573A58">
      <w:pPr>
        <w:widowControl w:val="0"/>
        <w:autoSpaceDE w:val="0"/>
        <w:autoSpaceDN w:val="0"/>
        <w:rPr>
          <w:i/>
          <w:iCs/>
        </w:rPr>
      </w:pPr>
      <w:r>
        <w:rPr>
          <w:i/>
          <w:iCs/>
        </w:rPr>
        <w:t>Pacientams, kuriems yra kraujavimo rizika</w:t>
      </w:r>
    </w:p>
    <w:p w14:paraId="5C1302D5" w14:textId="77777777" w:rsidR="00CB542F" w:rsidRDefault="00CB542F">
      <w:pPr>
        <w:widowControl w:val="0"/>
        <w:autoSpaceDE w:val="0"/>
        <w:autoSpaceDN w:val="0"/>
      </w:pPr>
    </w:p>
    <w:p w14:paraId="606093AC" w14:textId="77777777" w:rsidR="00CB542F" w:rsidRDefault="00573A58">
      <w:pPr>
        <w:widowControl w:val="0"/>
        <w:autoSpaceDE w:val="0"/>
        <w:autoSpaceDN w:val="0"/>
      </w:pPr>
      <w:r>
        <w:t>Pacientus, kuriems padidėjusi kraujavimo rizika (žr. 4.4, 4.5, 5.1 ir 5.2 skyrius), reikia atidžiai kliniškai prižiūrėti (stebėti, ar neatsiranda kraujavimo ar anemijos požymių). Nustatęs kiekvienam pacientui naudos ir rizikos santykį, gydytojas dozę gali keisti (žr. 1 lentelę pirmiau). Kuriems pacientams dėl per didelės dabigatrano ekspozicijos padidėjo kraujavimo rizika, gali padėti nustatyti kraujo krešėjimo tyrimai (žr. 4.4 skyrių). Nustačius per didelę dabigatrano ekspoziciją, pacientus, kuriems yra didelė kraujavimo rizika, rekomenduojama gydyti sumažinta 220 mg paros doze, t. y. skirti vartoti po vieną 110 mg kapsulę 2 kartus per parą. Pasireiškus kliniškai reikšmingam kraujavimui, gydymą reikia pertraukti.</w:t>
      </w:r>
    </w:p>
    <w:p w14:paraId="740E15B5" w14:textId="77777777" w:rsidR="00CB542F" w:rsidRDefault="00CB542F">
      <w:pPr>
        <w:widowControl w:val="0"/>
        <w:autoSpaceDE w:val="0"/>
        <w:autoSpaceDN w:val="0"/>
      </w:pPr>
    </w:p>
    <w:p w14:paraId="5B63B3FE" w14:textId="77777777" w:rsidR="00CB542F" w:rsidRDefault="00573A58">
      <w:pPr>
        <w:widowControl w:val="0"/>
        <w:autoSpaceDE w:val="0"/>
        <w:autoSpaceDN w:val="0"/>
      </w:pPr>
      <w:r>
        <w:t>Pacientams, sergantiems gastritu, ezofagitu ar gastroezofaginiu refliuksu, galima apsvarstyti mažesnės dozės vartojimą, kadangi jiems yra padidėjusi didžiojo kraujavimo iš skrandžio ir žarnų rizika (žr. 1 lentelę pirmiau ir 4.4 skyrių).</w:t>
      </w:r>
    </w:p>
    <w:p w14:paraId="1AFCFF34" w14:textId="77777777" w:rsidR="00CB542F" w:rsidRDefault="00CB542F">
      <w:pPr>
        <w:widowControl w:val="0"/>
        <w:autoSpaceDE w:val="0"/>
        <w:autoSpaceDN w:val="0"/>
      </w:pPr>
    </w:p>
    <w:p w14:paraId="76D71EE4" w14:textId="77777777" w:rsidR="00CB542F" w:rsidRDefault="00573A58">
      <w:pPr>
        <w:widowControl w:val="0"/>
        <w:autoSpaceDE w:val="0"/>
        <w:autoSpaceDN w:val="0"/>
        <w:rPr>
          <w:i/>
          <w:iCs/>
        </w:rPr>
      </w:pPr>
      <w:r>
        <w:rPr>
          <w:i/>
          <w:iCs/>
        </w:rPr>
        <w:t>Inkstų funkcijos sutrikimas</w:t>
      </w:r>
    </w:p>
    <w:p w14:paraId="35C90917" w14:textId="77777777" w:rsidR="00CB542F" w:rsidRDefault="00CB542F">
      <w:pPr>
        <w:widowControl w:val="0"/>
        <w:autoSpaceDE w:val="0"/>
        <w:autoSpaceDN w:val="0"/>
      </w:pPr>
    </w:p>
    <w:p w14:paraId="7C6E7F5C" w14:textId="77777777" w:rsidR="00CB542F" w:rsidRDefault="00573A58">
      <w:pPr>
        <w:widowControl w:val="0"/>
        <w:autoSpaceDE w:val="0"/>
        <w:autoSpaceDN w:val="0"/>
      </w:pPr>
      <w:r>
        <w:t>Pacientus, kuriems yra sunkus inkstų funkcijos sutrikimas (KrKl &lt; 30 ml/min.), dabigatrano eteksilatu gydyti draudžiama (žr. 4.3 skyrių).</w:t>
      </w:r>
    </w:p>
    <w:p w14:paraId="3618DB9E" w14:textId="77777777" w:rsidR="00CB542F" w:rsidRDefault="00CB542F">
      <w:pPr>
        <w:widowControl w:val="0"/>
        <w:autoSpaceDE w:val="0"/>
        <w:autoSpaceDN w:val="0"/>
      </w:pPr>
    </w:p>
    <w:p w14:paraId="72AE0527" w14:textId="77777777" w:rsidR="00CB542F" w:rsidRDefault="00573A58">
      <w:pPr>
        <w:widowControl w:val="0"/>
        <w:autoSpaceDE w:val="0"/>
        <w:autoSpaceDN w:val="0"/>
      </w:pPr>
      <w:r>
        <w:t>Pacientams, kuriems yra lengvas inkstų funkcijos sutrikimas (KrKl 50 – ≤ 80 ml/min.), dozės keisti nėra būtina. Pacientams, kuriems yra vidutinio sunkumo inkstų funkcijos sutrikimas (KrKl 30– 50 ml/min.), rekomenduojama dabigatrano eteksilato dozė irgi yra 300 mg, t. y. jiems reikia gerti po vieną 150 mg kapsulę 2 kartus per parą, tačiau pacientams, kuriems yra didelė kraujavimo rizika, dabigatrano eteksilato paros dozę reikia mažinti iki 220 mg, t. y. skirti vartoti po vieną 110 mg kapsulę 2 kartus per parą (žr. 4.4 ir 5.2 skyrius). Pacientus, kurių inkstų funkcija susilpnėjusi, patariama atidžiai kliniškai prižiūrėti.</w:t>
      </w:r>
    </w:p>
    <w:p w14:paraId="19089152" w14:textId="77777777" w:rsidR="00CB542F" w:rsidRDefault="00CB542F">
      <w:pPr>
        <w:widowControl w:val="0"/>
        <w:autoSpaceDE w:val="0"/>
        <w:autoSpaceDN w:val="0"/>
      </w:pPr>
    </w:p>
    <w:p w14:paraId="78BBBCD8" w14:textId="77777777" w:rsidR="00CB542F" w:rsidRDefault="00573A58">
      <w:pPr>
        <w:widowControl w:val="0"/>
        <w:autoSpaceDE w:val="0"/>
        <w:autoSpaceDN w:val="0"/>
        <w:rPr>
          <w:i/>
          <w:iCs/>
        </w:rPr>
      </w:pPr>
      <w:r>
        <w:rPr>
          <w:i/>
          <w:iCs/>
        </w:rPr>
        <w:t>Dabigatrano eteksilato derinimas su P-glikoproteino (P-gp) inhibitoriais, kurių poveikis silpnas arba vidutinio stiprumo, t. y. amjodaronu, chinidinu ar verapamiliu</w:t>
      </w:r>
    </w:p>
    <w:p w14:paraId="5548A44D" w14:textId="77777777" w:rsidR="00CB542F" w:rsidRDefault="00CB542F">
      <w:pPr>
        <w:widowControl w:val="0"/>
        <w:autoSpaceDE w:val="0"/>
        <w:autoSpaceDN w:val="0"/>
      </w:pPr>
    </w:p>
    <w:p w14:paraId="5ED4054C" w14:textId="77777777" w:rsidR="00CB542F" w:rsidRDefault="00573A58">
      <w:pPr>
        <w:widowControl w:val="0"/>
        <w:autoSpaceDE w:val="0"/>
        <w:autoSpaceDN w:val="0"/>
      </w:pPr>
      <w:r>
        <w:t>Derinant su amjodaronu ar chinidinu, dozę keisti nėra būtina (žr. 4.4, 4.5 ir 5.2 skyrius).</w:t>
      </w:r>
    </w:p>
    <w:p w14:paraId="06DC20F6" w14:textId="77777777" w:rsidR="00CB542F" w:rsidRDefault="00CB542F">
      <w:pPr>
        <w:widowControl w:val="0"/>
        <w:autoSpaceDE w:val="0"/>
        <w:autoSpaceDN w:val="0"/>
      </w:pPr>
    </w:p>
    <w:p w14:paraId="45E92381" w14:textId="77777777" w:rsidR="00CB542F" w:rsidRDefault="00573A58">
      <w:pPr>
        <w:widowControl w:val="0"/>
        <w:autoSpaceDE w:val="0"/>
        <w:autoSpaceDN w:val="0"/>
      </w:pPr>
      <w:r>
        <w:t>Kartu verapamiliu gydomiems pacientams dozę rekomenduojama mažinti (žr. 1 lentelę pirmiau ir 4.4 bei 4.5 skyrius). Šiuo atveju dabigatrano eteksilato ir verapamilio reikia gerti tuo pat metu.</w:t>
      </w:r>
    </w:p>
    <w:p w14:paraId="1C03F72A" w14:textId="77777777" w:rsidR="00CB542F" w:rsidRDefault="00CB542F">
      <w:pPr>
        <w:widowControl w:val="0"/>
        <w:autoSpaceDE w:val="0"/>
        <w:autoSpaceDN w:val="0"/>
      </w:pPr>
    </w:p>
    <w:p w14:paraId="5F2DBDEE" w14:textId="77777777" w:rsidR="00CB542F" w:rsidRDefault="00573A58">
      <w:pPr>
        <w:widowControl w:val="0"/>
        <w:autoSpaceDE w:val="0"/>
        <w:autoSpaceDN w:val="0"/>
        <w:rPr>
          <w:i/>
          <w:iCs/>
        </w:rPr>
      </w:pPr>
      <w:r>
        <w:rPr>
          <w:i/>
          <w:iCs/>
        </w:rPr>
        <w:t>Kūno svoris</w:t>
      </w:r>
    </w:p>
    <w:p w14:paraId="78DC2BB9" w14:textId="77777777" w:rsidR="00CB542F" w:rsidRDefault="00CB542F">
      <w:pPr>
        <w:widowControl w:val="0"/>
        <w:autoSpaceDE w:val="0"/>
        <w:autoSpaceDN w:val="0"/>
      </w:pPr>
    </w:p>
    <w:p w14:paraId="3186575D" w14:textId="77777777" w:rsidR="00CB542F" w:rsidRDefault="00573A58">
      <w:pPr>
        <w:widowControl w:val="0"/>
        <w:autoSpaceDE w:val="0"/>
        <w:autoSpaceDN w:val="0"/>
      </w:pPr>
      <w:r>
        <w:t>Dozės keisti nėra būtina (žr. 5.2 skyrių), tačiau &lt; 50 kg sveriančius pacientus rekomenduojama atidžiai kliniškai prižiūrėti (žr. 4.4 skyrių).</w:t>
      </w:r>
    </w:p>
    <w:p w14:paraId="09D247B5" w14:textId="77777777" w:rsidR="00CB542F" w:rsidRDefault="00CB542F">
      <w:pPr>
        <w:widowControl w:val="0"/>
        <w:autoSpaceDE w:val="0"/>
        <w:autoSpaceDN w:val="0"/>
      </w:pPr>
    </w:p>
    <w:p w14:paraId="631591B7" w14:textId="77777777" w:rsidR="00CB542F" w:rsidRDefault="00573A58">
      <w:pPr>
        <w:widowControl w:val="0"/>
        <w:autoSpaceDE w:val="0"/>
        <w:autoSpaceDN w:val="0"/>
        <w:rPr>
          <w:i/>
          <w:iCs/>
        </w:rPr>
      </w:pPr>
      <w:r>
        <w:rPr>
          <w:i/>
          <w:iCs/>
        </w:rPr>
        <w:t>Lytis</w:t>
      </w:r>
    </w:p>
    <w:p w14:paraId="4D8404B4" w14:textId="77777777" w:rsidR="00CB542F" w:rsidRDefault="00CB542F">
      <w:pPr>
        <w:widowControl w:val="0"/>
        <w:autoSpaceDE w:val="0"/>
        <w:autoSpaceDN w:val="0"/>
      </w:pPr>
    </w:p>
    <w:p w14:paraId="5CB54475" w14:textId="77777777" w:rsidR="00CB542F" w:rsidRDefault="00573A58">
      <w:pPr>
        <w:widowControl w:val="0"/>
        <w:autoSpaceDE w:val="0"/>
        <w:autoSpaceDN w:val="0"/>
      </w:pPr>
      <w:r>
        <w:t>Dozę keisti nėra būtina (žr. 5.2 skyrių).</w:t>
      </w:r>
    </w:p>
    <w:p w14:paraId="311018E4" w14:textId="77777777" w:rsidR="00CB542F" w:rsidRDefault="00CB542F">
      <w:pPr>
        <w:widowControl w:val="0"/>
        <w:autoSpaceDE w:val="0"/>
        <w:autoSpaceDN w:val="0"/>
      </w:pPr>
    </w:p>
    <w:p w14:paraId="5197BB3E" w14:textId="77777777" w:rsidR="00CB542F" w:rsidRDefault="00573A58">
      <w:pPr>
        <w:widowControl w:val="0"/>
        <w:autoSpaceDE w:val="0"/>
        <w:autoSpaceDN w:val="0"/>
        <w:rPr>
          <w:i/>
        </w:rPr>
      </w:pPr>
      <w:r>
        <w:rPr>
          <w:i/>
        </w:rPr>
        <w:t>Vaikų populiacija</w:t>
      </w:r>
    </w:p>
    <w:p w14:paraId="44F72040" w14:textId="77777777" w:rsidR="00CB542F" w:rsidRDefault="00CB542F">
      <w:pPr>
        <w:widowControl w:val="0"/>
        <w:autoSpaceDE w:val="0"/>
        <w:autoSpaceDN w:val="0"/>
      </w:pPr>
    </w:p>
    <w:p w14:paraId="579D1236" w14:textId="77777777" w:rsidR="00CB542F" w:rsidRDefault="00573A58">
      <w:pPr>
        <w:widowControl w:val="0"/>
        <w:autoSpaceDE w:val="0"/>
        <w:autoSpaceDN w:val="0"/>
      </w:pPr>
      <w:r>
        <w:t>Dabigatrano eteksilatas nėra skirtas vaikų populiacijai esant indikacijai „Insulto ir sisteminės embolijos profilaktika pacientams, sergantiems NVPV“.</w:t>
      </w:r>
    </w:p>
    <w:p w14:paraId="3FD08F16" w14:textId="77777777" w:rsidR="00CB542F" w:rsidRDefault="00CB542F">
      <w:pPr>
        <w:widowControl w:val="0"/>
        <w:autoSpaceDE w:val="0"/>
        <w:autoSpaceDN w:val="0"/>
      </w:pPr>
    </w:p>
    <w:p w14:paraId="3F0E274B" w14:textId="77777777" w:rsidR="00CB542F" w:rsidRDefault="00573A58">
      <w:pPr>
        <w:widowControl w:val="0"/>
        <w:autoSpaceDE w:val="0"/>
        <w:autoSpaceDN w:val="0"/>
        <w:rPr>
          <w:b/>
          <w:bCs/>
          <w:i/>
          <w:iCs/>
          <w:u w:val="single"/>
        </w:rPr>
      </w:pPr>
      <w:r>
        <w:rPr>
          <w:b/>
          <w:bCs/>
          <w:i/>
          <w:iCs/>
          <w:u w:val="single"/>
        </w:rPr>
        <w:t>VTE gydymas ir VTE pasikartojimo profilaktika pacientams vaikams</w:t>
      </w:r>
    </w:p>
    <w:p w14:paraId="1D063C18" w14:textId="77777777" w:rsidR="00CB542F" w:rsidRDefault="00CB542F">
      <w:pPr>
        <w:widowControl w:val="0"/>
        <w:autoSpaceDE w:val="0"/>
        <w:autoSpaceDN w:val="0"/>
      </w:pPr>
    </w:p>
    <w:p w14:paraId="133C2203" w14:textId="77777777" w:rsidR="00CB542F" w:rsidRDefault="00573A58">
      <w:pPr>
        <w:widowControl w:val="0"/>
        <w:autoSpaceDE w:val="0"/>
        <w:autoSpaceDN w:val="0"/>
      </w:pPr>
      <w:r>
        <w:t>Gydant VTE pacientams vaikams, gydymą reikia pradėti po ne trumpesnio kaip 5 dienų gydymo parenteriniu antikoaguliantu. VTE pasikartojimo profilaktikai gydymą reikia pradėti po ankstesnio gydymo.</w:t>
      </w:r>
    </w:p>
    <w:p w14:paraId="04F196E6" w14:textId="77777777" w:rsidR="00CB542F" w:rsidRDefault="00CB542F">
      <w:pPr>
        <w:widowControl w:val="0"/>
        <w:autoSpaceDE w:val="0"/>
        <w:autoSpaceDN w:val="0"/>
      </w:pPr>
    </w:p>
    <w:p w14:paraId="4336A5CF" w14:textId="77777777" w:rsidR="00CB542F" w:rsidRDefault="00573A58">
      <w:pPr>
        <w:widowControl w:val="0"/>
        <w:autoSpaceDE w:val="0"/>
        <w:autoSpaceDN w:val="0"/>
      </w:pPr>
      <w:r>
        <w:rPr>
          <w:b/>
          <w:bCs/>
        </w:rPr>
        <w:t>Dabigatrano eteksilato kapsules reikia vartoti du kartus per parą</w:t>
      </w:r>
      <w:r>
        <w:t>, vieną dozę ryte ir vieną dozę vakare, kasdien maždaug tuo pačiu paros laiku. Reikia siekti išlaikyti maždaug 12 valandų dozavimo intervalą.</w:t>
      </w:r>
    </w:p>
    <w:p w14:paraId="2283CF24" w14:textId="77777777" w:rsidR="00CB542F" w:rsidRDefault="00CB542F">
      <w:pPr>
        <w:widowControl w:val="0"/>
        <w:autoSpaceDE w:val="0"/>
        <w:autoSpaceDN w:val="0"/>
      </w:pPr>
    </w:p>
    <w:p w14:paraId="35AE62DC" w14:textId="77777777" w:rsidR="00CB542F" w:rsidRDefault="00573A58">
      <w:pPr>
        <w:widowControl w:val="0"/>
        <w:autoSpaceDE w:val="0"/>
        <w:autoSpaceDN w:val="0"/>
      </w:pPr>
      <w:r>
        <w:t>Rekomenduojama dabigatrano eteksilato kapsulių dozė priklauso nuo paciento kūno svorio ir amžiaus, kaip parodyta 3 lentelėje. Tęsiant gydymą dozę reikia koreguoti pagal kūno svorį ir amžių.</w:t>
      </w:r>
    </w:p>
    <w:p w14:paraId="7E135009" w14:textId="77777777" w:rsidR="00CB542F" w:rsidRDefault="00CB542F">
      <w:pPr>
        <w:widowControl w:val="0"/>
        <w:autoSpaceDE w:val="0"/>
        <w:autoSpaceDN w:val="0"/>
      </w:pPr>
    </w:p>
    <w:p w14:paraId="45F2595D" w14:textId="77777777" w:rsidR="00CB542F" w:rsidRDefault="00573A58">
      <w:pPr>
        <w:widowControl w:val="0"/>
        <w:autoSpaceDE w:val="0"/>
        <w:autoSpaceDN w:val="0"/>
      </w:pPr>
      <w:r>
        <w:t>Jeigu kūno svorio ir amžiaus derinys dozavimo lentelėje nenurodytas, dozavimo rekomendacijų pateikti negalima.</w:t>
      </w:r>
    </w:p>
    <w:p w14:paraId="7D5B146E" w14:textId="77777777" w:rsidR="00CB542F" w:rsidRDefault="00CB542F">
      <w:pPr>
        <w:widowControl w:val="0"/>
        <w:autoSpaceDE w:val="0"/>
        <w:autoSpaceDN w:val="0"/>
      </w:pPr>
    </w:p>
    <w:p w14:paraId="2A2BC363" w14:textId="77777777" w:rsidR="00CB542F" w:rsidRDefault="00573A58">
      <w:pPr>
        <w:widowControl w:val="0"/>
        <w:autoSpaceDE w:val="0"/>
        <w:autoSpaceDN w:val="0"/>
        <w:rPr>
          <w:b/>
          <w:bCs/>
        </w:rPr>
      </w:pPr>
      <w:r>
        <w:rPr>
          <w:b/>
          <w:bCs/>
        </w:rPr>
        <w:t>3 lentelė. Dabigatrano eteksilato vienkartinė ir suminė paros dozės miligramais (mg) pagal paciento kūno svorį kilogramais (kg) ir amžių metais</w:t>
      </w:r>
    </w:p>
    <w:p w14:paraId="6BF37784" w14:textId="77777777" w:rsidR="00CB542F" w:rsidRDefault="00CB542F">
      <w:pPr>
        <w:widowControl w:val="0"/>
        <w:autoSpaceDE w:val="0"/>
        <w:autoSpaceDN w:val="0"/>
        <w:rPr>
          <w:b/>
          <w:bCs/>
          <w:color w:val="000000"/>
          <w:szCs w:val="22"/>
          <w:lang w:val="en-US"/>
        </w:rPr>
      </w:pP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CB542F" w14:paraId="62865341" w14:textId="77777777">
        <w:trPr>
          <w:trHeight w:val="253"/>
        </w:trPr>
        <w:tc>
          <w:tcPr>
            <w:tcW w:w="4532" w:type="dxa"/>
            <w:gridSpan w:val="2"/>
            <w:shd w:val="clear" w:color="auto" w:fill="auto"/>
          </w:tcPr>
          <w:p w14:paraId="763CF8E3" w14:textId="77777777" w:rsidR="00CB542F" w:rsidRDefault="00573A58">
            <w:pPr>
              <w:widowControl w:val="0"/>
              <w:autoSpaceDE w:val="0"/>
              <w:autoSpaceDN w:val="0"/>
              <w:spacing w:line="234" w:lineRule="exact"/>
              <w:ind w:left="1046"/>
              <w:rPr>
                <w:rFonts w:eastAsia="Calibri"/>
                <w:b/>
                <w:bCs/>
                <w:szCs w:val="22"/>
                <w:lang w:val="en-US"/>
              </w:rPr>
            </w:pPr>
            <w:r>
              <w:rPr>
                <w:b/>
                <w:bCs/>
              </w:rPr>
              <w:t>Kūno svorio ir amžiaus deriniai</w:t>
            </w:r>
          </w:p>
        </w:tc>
        <w:tc>
          <w:tcPr>
            <w:tcW w:w="2266" w:type="dxa"/>
            <w:vMerge w:val="restart"/>
            <w:shd w:val="clear" w:color="auto" w:fill="auto"/>
          </w:tcPr>
          <w:p w14:paraId="1C251913" w14:textId="77777777" w:rsidR="00CB542F" w:rsidRDefault="00573A58">
            <w:pPr>
              <w:widowControl w:val="0"/>
              <w:autoSpaceDE w:val="0"/>
              <w:autoSpaceDN w:val="0"/>
              <w:spacing w:line="254" w:lineRule="exact"/>
              <w:ind w:left="862" w:right="585" w:hanging="257"/>
              <w:rPr>
                <w:rFonts w:eastAsia="Calibri"/>
                <w:b/>
                <w:bCs/>
                <w:szCs w:val="22"/>
                <w:lang w:val="en-US"/>
              </w:rPr>
            </w:pPr>
            <w:r>
              <w:rPr>
                <w:b/>
                <w:bCs/>
              </w:rPr>
              <w:t>Vienkartinė dozė mg</w:t>
            </w:r>
          </w:p>
        </w:tc>
        <w:tc>
          <w:tcPr>
            <w:tcW w:w="2266" w:type="dxa"/>
            <w:vMerge w:val="restart"/>
            <w:shd w:val="clear" w:color="auto" w:fill="auto"/>
          </w:tcPr>
          <w:p w14:paraId="563FA413" w14:textId="77777777" w:rsidR="00CB542F" w:rsidRDefault="00573A58">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CB542F" w14:paraId="3D78A047" w14:textId="77777777">
        <w:trPr>
          <w:trHeight w:val="251"/>
        </w:trPr>
        <w:tc>
          <w:tcPr>
            <w:tcW w:w="2266" w:type="dxa"/>
            <w:shd w:val="clear" w:color="auto" w:fill="auto"/>
          </w:tcPr>
          <w:p w14:paraId="5634C319" w14:textId="77777777" w:rsidR="00CB542F" w:rsidRDefault="00573A58">
            <w:pPr>
              <w:widowControl w:val="0"/>
              <w:autoSpaceDE w:val="0"/>
              <w:autoSpaceDN w:val="0"/>
              <w:spacing w:line="232" w:lineRule="exact"/>
              <w:ind w:left="107"/>
              <w:rPr>
                <w:rFonts w:eastAsia="Calibri"/>
                <w:b/>
                <w:bCs/>
                <w:szCs w:val="22"/>
                <w:lang w:val="en-US"/>
              </w:rPr>
            </w:pPr>
            <w:r>
              <w:rPr>
                <w:b/>
                <w:bCs/>
              </w:rPr>
              <w:t>Kūno svoris kilogramais</w:t>
            </w:r>
          </w:p>
        </w:tc>
        <w:tc>
          <w:tcPr>
            <w:tcW w:w="2266" w:type="dxa"/>
            <w:shd w:val="clear" w:color="auto" w:fill="auto"/>
          </w:tcPr>
          <w:p w14:paraId="412D71CB" w14:textId="77777777" w:rsidR="00CB542F" w:rsidRDefault="00573A58">
            <w:pPr>
              <w:widowControl w:val="0"/>
              <w:autoSpaceDE w:val="0"/>
              <w:autoSpaceDN w:val="0"/>
              <w:spacing w:line="232" w:lineRule="exact"/>
              <w:ind w:left="107"/>
              <w:rPr>
                <w:rFonts w:eastAsia="Calibri"/>
                <w:b/>
                <w:bCs/>
                <w:szCs w:val="22"/>
                <w:lang w:val="en-US"/>
              </w:rPr>
            </w:pPr>
            <w:r>
              <w:rPr>
                <w:b/>
                <w:bCs/>
              </w:rPr>
              <w:t>Amžius metais</w:t>
            </w:r>
          </w:p>
        </w:tc>
        <w:tc>
          <w:tcPr>
            <w:tcW w:w="2266" w:type="dxa"/>
            <w:vMerge/>
            <w:tcBorders>
              <w:top w:val="nil"/>
            </w:tcBorders>
            <w:shd w:val="clear" w:color="auto" w:fill="auto"/>
          </w:tcPr>
          <w:p w14:paraId="07735F2D" w14:textId="77777777" w:rsidR="00CB542F" w:rsidRDefault="00CB542F">
            <w:pPr>
              <w:widowControl w:val="0"/>
              <w:autoSpaceDE w:val="0"/>
              <w:autoSpaceDN w:val="0"/>
              <w:rPr>
                <w:rFonts w:eastAsia="Calibri"/>
                <w:sz w:val="2"/>
                <w:szCs w:val="2"/>
                <w:lang w:val="en-US"/>
              </w:rPr>
            </w:pPr>
          </w:p>
        </w:tc>
        <w:tc>
          <w:tcPr>
            <w:tcW w:w="2266" w:type="dxa"/>
            <w:vMerge/>
            <w:tcBorders>
              <w:top w:val="nil"/>
            </w:tcBorders>
            <w:shd w:val="clear" w:color="auto" w:fill="auto"/>
          </w:tcPr>
          <w:p w14:paraId="7017006F" w14:textId="77777777" w:rsidR="00CB542F" w:rsidRDefault="00CB542F">
            <w:pPr>
              <w:widowControl w:val="0"/>
              <w:autoSpaceDE w:val="0"/>
              <w:autoSpaceDN w:val="0"/>
              <w:rPr>
                <w:rFonts w:eastAsia="Calibri"/>
                <w:sz w:val="2"/>
                <w:szCs w:val="2"/>
                <w:lang w:val="en-US"/>
              </w:rPr>
            </w:pPr>
          </w:p>
        </w:tc>
      </w:tr>
      <w:tr w:rsidR="00CB542F" w14:paraId="26CC902A" w14:textId="77777777">
        <w:trPr>
          <w:trHeight w:val="254"/>
        </w:trPr>
        <w:tc>
          <w:tcPr>
            <w:tcW w:w="2266" w:type="dxa"/>
            <w:shd w:val="clear" w:color="auto" w:fill="auto"/>
          </w:tcPr>
          <w:p w14:paraId="57A9AAAB"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11 iki &lt;13</w:t>
            </w:r>
          </w:p>
        </w:tc>
        <w:tc>
          <w:tcPr>
            <w:tcW w:w="2266" w:type="dxa"/>
            <w:shd w:val="clear" w:color="auto" w:fill="auto"/>
          </w:tcPr>
          <w:p w14:paraId="23054B06"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8 iki &lt;9</w:t>
            </w:r>
          </w:p>
        </w:tc>
        <w:tc>
          <w:tcPr>
            <w:tcW w:w="2266" w:type="dxa"/>
            <w:shd w:val="clear" w:color="auto" w:fill="auto"/>
          </w:tcPr>
          <w:p w14:paraId="1D1BE40C"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2266" w:type="dxa"/>
            <w:shd w:val="clear" w:color="auto" w:fill="auto"/>
          </w:tcPr>
          <w:p w14:paraId="5208630B"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CB542F" w14:paraId="22637780" w14:textId="77777777">
        <w:trPr>
          <w:trHeight w:val="253"/>
        </w:trPr>
        <w:tc>
          <w:tcPr>
            <w:tcW w:w="2266" w:type="dxa"/>
            <w:shd w:val="clear" w:color="auto" w:fill="auto"/>
          </w:tcPr>
          <w:p w14:paraId="10C355B5"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13 iki &lt;16</w:t>
            </w:r>
          </w:p>
        </w:tc>
        <w:tc>
          <w:tcPr>
            <w:tcW w:w="2266" w:type="dxa"/>
            <w:shd w:val="clear" w:color="auto" w:fill="auto"/>
          </w:tcPr>
          <w:p w14:paraId="30BBA7F1"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8 iki &lt;11</w:t>
            </w:r>
          </w:p>
        </w:tc>
        <w:tc>
          <w:tcPr>
            <w:tcW w:w="2266" w:type="dxa"/>
            <w:shd w:val="clear" w:color="auto" w:fill="auto"/>
          </w:tcPr>
          <w:p w14:paraId="2A26A251"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272DC822"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CB542F" w14:paraId="262B8E8F" w14:textId="77777777">
        <w:trPr>
          <w:trHeight w:val="251"/>
        </w:trPr>
        <w:tc>
          <w:tcPr>
            <w:tcW w:w="2266" w:type="dxa"/>
            <w:shd w:val="clear" w:color="auto" w:fill="auto"/>
          </w:tcPr>
          <w:p w14:paraId="5CEC3759"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16 iki &lt;21</w:t>
            </w:r>
          </w:p>
        </w:tc>
        <w:tc>
          <w:tcPr>
            <w:tcW w:w="2266" w:type="dxa"/>
            <w:shd w:val="clear" w:color="auto" w:fill="auto"/>
          </w:tcPr>
          <w:p w14:paraId="6D1446F8"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8 iki &lt;14</w:t>
            </w:r>
          </w:p>
        </w:tc>
        <w:tc>
          <w:tcPr>
            <w:tcW w:w="2266" w:type="dxa"/>
            <w:shd w:val="clear" w:color="auto" w:fill="auto"/>
          </w:tcPr>
          <w:p w14:paraId="3DF378AD"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406963EF"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CB542F" w14:paraId="08B5A608" w14:textId="77777777">
        <w:trPr>
          <w:trHeight w:val="253"/>
        </w:trPr>
        <w:tc>
          <w:tcPr>
            <w:tcW w:w="2266" w:type="dxa"/>
            <w:shd w:val="clear" w:color="auto" w:fill="auto"/>
          </w:tcPr>
          <w:p w14:paraId="7008C968"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21 iki &lt;26</w:t>
            </w:r>
          </w:p>
        </w:tc>
        <w:tc>
          <w:tcPr>
            <w:tcW w:w="2266" w:type="dxa"/>
            <w:shd w:val="clear" w:color="auto" w:fill="auto"/>
          </w:tcPr>
          <w:p w14:paraId="1C23833C"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8 iki &lt;16</w:t>
            </w:r>
          </w:p>
        </w:tc>
        <w:tc>
          <w:tcPr>
            <w:tcW w:w="2266" w:type="dxa"/>
            <w:shd w:val="clear" w:color="auto" w:fill="auto"/>
          </w:tcPr>
          <w:p w14:paraId="196E505E"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380DE923"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CB542F" w14:paraId="7BE6A8D7" w14:textId="77777777">
        <w:trPr>
          <w:trHeight w:val="251"/>
        </w:trPr>
        <w:tc>
          <w:tcPr>
            <w:tcW w:w="2266" w:type="dxa"/>
            <w:shd w:val="clear" w:color="auto" w:fill="auto"/>
          </w:tcPr>
          <w:p w14:paraId="3BAF2ADE"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26 iki &lt;31</w:t>
            </w:r>
          </w:p>
        </w:tc>
        <w:tc>
          <w:tcPr>
            <w:tcW w:w="2266" w:type="dxa"/>
            <w:shd w:val="clear" w:color="auto" w:fill="auto"/>
          </w:tcPr>
          <w:p w14:paraId="4A0C55B3"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56407FB4"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037007C4"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CB542F" w14:paraId="6EBCF86D" w14:textId="77777777">
        <w:trPr>
          <w:trHeight w:val="253"/>
        </w:trPr>
        <w:tc>
          <w:tcPr>
            <w:tcW w:w="2266" w:type="dxa"/>
            <w:shd w:val="clear" w:color="auto" w:fill="auto"/>
          </w:tcPr>
          <w:p w14:paraId="5AE83A9D"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31 iki &lt;41</w:t>
            </w:r>
          </w:p>
        </w:tc>
        <w:tc>
          <w:tcPr>
            <w:tcW w:w="2266" w:type="dxa"/>
            <w:shd w:val="clear" w:color="auto" w:fill="auto"/>
          </w:tcPr>
          <w:p w14:paraId="1A1D7247"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76B5CE14"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2266" w:type="dxa"/>
            <w:shd w:val="clear" w:color="auto" w:fill="auto"/>
          </w:tcPr>
          <w:p w14:paraId="37AFCFA0"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CB542F" w14:paraId="48DC17E6" w14:textId="77777777">
        <w:trPr>
          <w:trHeight w:val="251"/>
        </w:trPr>
        <w:tc>
          <w:tcPr>
            <w:tcW w:w="2266" w:type="dxa"/>
            <w:shd w:val="clear" w:color="auto" w:fill="auto"/>
          </w:tcPr>
          <w:p w14:paraId="62935C7D"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41 iki &lt;51</w:t>
            </w:r>
          </w:p>
        </w:tc>
        <w:tc>
          <w:tcPr>
            <w:tcW w:w="2266" w:type="dxa"/>
            <w:shd w:val="clear" w:color="auto" w:fill="auto"/>
          </w:tcPr>
          <w:p w14:paraId="4A502105"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7F0F8F16"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2266" w:type="dxa"/>
            <w:shd w:val="clear" w:color="auto" w:fill="auto"/>
          </w:tcPr>
          <w:p w14:paraId="12F129C5"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CB542F" w14:paraId="7CEC6AEE" w14:textId="77777777">
        <w:trPr>
          <w:trHeight w:val="254"/>
        </w:trPr>
        <w:tc>
          <w:tcPr>
            <w:tcW w:w="2266" w:type="dxa"/>
            <w:shd w:val="clear" w:color="auto" w:fill="auto"/>
          </w:tcPr>
          <w:p w14:paraId="3E8DA846"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51 iki &lt;61</w:t>
            </w:r>
          </w:p>
        </w:tc>
        <w:tc>
          <w:tcPr>
            <w:tcW w:w="2266" w:type="dxa"/>
            <w:shd w:val="clear" w:color="auto" w:fill="auto"/>
          </w:tcPr>
          <w:p w14:paraId="5B7D577A"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7291B92F"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2266" w:type="dxa"/>
            <w:shd w:val="clear" w:color="auto" w:fill="auto"/>
          </w:tcPr>
          <w:p w14:paraId="5B7A466B"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CB542F" w14:paraId="1CF18E92" w14:textId="77777777">
        <w:trPr>
          <w:trHeight w:val="253"/>
        </w:trPr>
        <w:tc>
          <w:tcPr>
            <w:tcW w:w="2266" w:type="dxa"/>
            <w:shd w:val="clear" w:color="auto" w:fill="auto"/>
          </w:tcPr>
          <w:p w14:paraId="14CF3A87"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61 iki &lt;71</w:t>
            </w:r>
          </w:p>
        </w:tc>
        <w:tc>
          <w:tcPr>
            <w:tcW w:w="2266" w:type="dxa"/>
            <w:shd w:val="clear" w:color="auto" w:fill="auto"/>
          </w:tcPr>
          <w:p w14:paraId="6D050F80"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7630A61F"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4361E095"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CB542F" w14:paraId="354704BE" w14:textId="77777777">
        <w:trPr>
          <w:trHeight w:val="251"/>
        </w:trPr>
        <w:tc>
          <w:tcPr>
            <w:tcW w:w="2266" w:type="dxa"/>
            <w:shd w:val="clear" w:color="auto" w:fill="auto"/>
          </w:tcPr>
          <w:p w14:paraId="79F733BA"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71 iki &lt;81</w:t>
            </w:r>
          </w:p>
        </w:tc>
        <w:tc>
          <w:tcPr>
            <w:tcW w:w="2266" w:type="dxa"/>
            <w:shd w:val="clear" w:color="auto" w:fill="auto"/>
          </w:tcPr>
          <w:p w14:paraId="1B886BB8"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5B994324"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21B198FE"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CB542F" w14:paraId="1F1B2EBE" w14:textId="77777777">
        <w:trPr>
          <w:trHeight w:val="253"/>
        </w:trPr>
        <w:tc>
          <w:tcPr>
            <w:tcW w:w="2266" w:type="dxa"/>
            <w:shd w:val="clear" w:color="auto" w:fill="auto"/>
          </w:tcPr>
          <w:p w14:paraId="008DB6E8"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&gt;81</w:t>
            </w:r>
          </w:p>
        </w:tc>
        <w:tc>
          <w:tcPr>
            <w:tcW w:w="2266" w:type="dxa"/>
            <w:shd w:val="clear" w:color="auto" w:fill="auto"/>
          </w:tcPr>
          <w:p w14:paraId="57AE9981"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10 iki &lt;18</w:t>
            </w:r>
          </w:p>
        </w:tc>
        <w:tc>
          <w:tcPr>
            <w:tcW w:w="2266" w:type="dxa"/>
            <w:shd w:val="clear" w:color="auto" w:fill="auto"/>
          </w:tcPr>
          <w:p w14:paraId="6043BEAE"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21F71632"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70DCF9CD" w14:textId="77777777" w:rsidR="00CB542F" w:rsidRDefault="00573A58">
      <w:pPr>
        <w:widowControl w:val="0"/>
        <w:tabs>
          <w:tab w:val="left" w:pos="1351"/>
        </w:tabs>
        <w:autoSpaceDE w:val="0"/>
        <w:autoSpaceDN w:val="0"/>
        <w:ind w:left="218" w:right="4044"/>
      </w:pPr>
      <w:r>
        <w:t>Vienkartinės dozės, kurioms reikia vartoti daugiau kaip vieną kapsulę</w:t>
      </w:r>
    </w:p>
    <w:p w14:paraId="686811F3" w14:textId="77777777" w:rsidR="00CB542F" w:rsidRDefault="00573A58">
      <w:pPr>
        <w:widowControl w:val="0"/>
        <w:tabs>
          <w:tab w:val="left" w:pos="1351"/>
        </w:tabs>
        <w:autoSpaceDE w:val="0"/>
        <w:autoSpaceDN w:val="0"/>
        <w:ind w:left="218" w:right="4044"/>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7B858771" w14:textId="77777777" w:rsidR="00CB542F" w:rsidRDefault="00573A58">
      <w:pPr>
        <w:widowControl w:val="0"/>
        <w:autoSpaceDE w:val="0"/>
        <w:autoSpaceDN w:val="0"/>
        <w:spacing w:line="252" w:lineRule="exact"/>
        <w:ind w:left="1351"/>
        <w:rPr>
          <w:szCs w:val="22"/>
          <w:lang w:val="en-US"/>
        </w:rPr>
      </w:pPr>
      <w:r>
        <w:rPr>
          <w:szCs w:val="22"/>
          <w:lang w:val="en-US"/>
        </w:rPr>
        <w:t>keturios 75 mg kapsulės</w:t>
      </w:r>
    </w:p>
    <w:p w14:paraId="4CA9F708" w14:textId="77777777" w:rsidR="00CB542F" w:rsidRDefault="00573A58">
      <w:pPr>
        <w:widowControl w:val="0"/>
        <w:tabs>
          <w:tab w:val="left" w:pos="1351"/>
        </w:tabs>
        <w:autoSpaceDE w:val="0"/>
        <w:autoSpaceDN w:val="0"/>
        <w:ind w:left="1351" w:right="4941" w:hanging="1133"/>
        <w:rPr>
          <w:szCs w:val="22"/>
          <w:lang w:val="en-US"/>
        </w:rPr>
      </w:pPr>
      <w:r>
        <w:rPr>
          <w:szCs w:val="22"/>
          <w:lang w:val="en-US"/>
        </w:rPr>
        <w:t>260</w:t>
      </w:r>
      <w:r>
        <w:rPr>
          <w:spacing w:val="-3"/>
          <w:szCs w:val="22"/>
          <w:lang w:val="en-US"/>
        </w:rPr>
        <w:t> </w:t>
      </w:r>
      <w:r>
        <w:rPr>
          <w:szCs w:val="22"/>
          <w:lang w:val="en-US"/>
        </w:rPr>
        <w:t>mg:</w:t>
      </w:r>
      <w:r>
        <w:rPr>
          <w:szCs w:val="22"/>
          <w:lang w:val="en-US"/>
        </w:rPr>
        <w:tab/>
        <w:t>viena 110 mg plius viena 150 mg kapsulė arba viena 110 mg plius dvi 75 mg</w:t>
      </w:r>
      <w:r>
        <w:rPr>
          <w:spacing w:val="-9"/>
          <w:szCs w:val="22"/>
          <w:lang w:val="en-US"/>
        </w:rPr>
        <w:t xml:space="preserve"> </w:t>
      </w:r>
      <w:r>
        <w:rPr>
          <w:szCs w:val="22"/>
          <w:lang w:val="en-US"/>
        </w:rPr>
        <w:t>kapsulės</w:t>
      </w:r>
    </w:p>
    <w:p w14:paraId="2F76C6D9" w14:textId="77777777" w:rsidR="00CB542F" w:rsidRDefault="00573A58">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7AB73D9B" w14:textId="77777777" w:rsidR="00CB542F" w:rsidRDefault="00573A58">
      <w:pPr>
        <w:widowControl w:val="0"/>
        <w:tabs>
          <w:tab w:val="left" w:pos="1351"/>
        </w:tabs>
        <w:autoSpaceDE w:val="0"/>
        <w:autoSpaceDN w:val="0"/>
        <w:ind w:left="218" w:right="4026"/>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 150</w:t>
      </w:r>
      <w:r>
        <w:rPr>
          <w:spacing w:val="-3"/>
          <w:szCs w:val="22"/>
          <w:lang w:val="en-US"/>
        </w:rPr>
        <w:t> </w:t>
      </w:r>
      <w:r>
        <w:rPr>
          <w:szCs w:val="22"/>
          <w:lang w:val="en-US"/>
        </w:rPr>
        <w:t>mg:</w:t>
      </w:r>
      <w:r>
        <w:rPr>
          <w:szCs w:val="22"/>
          <w:lang w:val="en-US"/>
        </w:rPr>
        <w:tab/>
        <w:t xml:space="preserve">viena150 mg kapsulė arba dvi 75 mg </w:t>
      </w:r>
      <w:r>
        <w:rPr>
          <w:szCs w:val="22"/>
          <w:lang w:val="en-US"/>
        </w:rPr>
        <w:tab/>
        <w:t>kapsulės</w:t>
      </w:r>
    </w:p>
    <w:p w14:paraId="62C36E26" w14:textId="77777777" w:rsidR="00CB542F" w:rsidRDefault="00CB542F"/>
    <w:p w14:paraId="7E6597F8" w14:textId="77777777" w:rsidR="00CB542F" w:rsidRDefault="00573A58">
      <w:pPr>
        <w:rPr>
          <w:i/>
          <w:iCs/>
          <w:u w:val="single"/>
        </w:rPr>
      </w:pPr>
      <w:r>
        <w:rPr>
          <w:i/>
          <w:iCs/>
          <w:u w:val="single"/>
        </w:rPr>
        <w:t>Inkstų funkcijos vertinimas prieš gydymą ir jo metu</w:t>
      </w:r>
    </w:p>
    <w:p w14:paraId="1A840214" w14:textId="77777777" w:rsidR="00CB542F" w:rsidRDefault="00CB542F"/>
    <w:p w14:paraId="55506BD7" w14:textId="77777777" w:rsidR="00CB542F" w:rsidRDefault="00573A58">
      <w:r>
        <w:t>Prieš pradedant gydymą reikia nustatyti apskaičiuotąjį glomerulų filtracijos greitį (aGFG) pagal Schwartz formulę (kreatinino įvertinimo metodą reikia suderinti su vietos laboratorija).</w:t>
      </w:r>
    </w:p>
    <w:p w14:paraId="09460840" w14:textId="77777777" w:rsidR="00CB542F" w:rsidRDefault="00573A58">
      <w:r>
        <w:t>Pacientus vaikus, kurių aGFG &lt; 50 ml/min./1,73 m</w:t>
      </w:r>
      <w:r>
        <w:rPr>
          <w:vertAlign w:val="superscript"/>
        </w:rPr>
        <w:t>2</w:t>
      </w:r>
      <w:r>
        <w:t>, dabigatrano eteksilatu gydyti draudžiama (žr. 4.3 skyrių).</w:t>
      </w:r>
    </w:p>
    <w:p w14:paraId="5EB73D5D" w14:textId="77777777" w:rsidR="00CB542F" w:rsidRDefault="00573A58">
      <w:r>
        <w:t>Pacientus, kurių aGFG ≥ 50 ml/min./1,73 m</w:t>
      </w:r>
      <w:r>
        <w:rPr>
          <w:vertAlign w:val="superscript"/>
        </w:rPr>
        <w:t>2</w:t>
      </w:r>
      <w:r>
        <w:t xml:space="preserve"> , reikia gydyti doze, parinkta pagal 3 lentelę. Gydymo metu inkstų funkciją reikia įvertinti esant tam tikroms klinikinėms būklėms, kai įtariama, kad inkstų funkcija galėjo susilpnėti arba pablogėti (pvz., pasireiškus hipovolemijai, dehidratacijai ar kartu vartojant tam tikrų vaistinių preparatų ir pan.).</w:t>
      </w:r>
    </w:p>
    <w:p w14:paraId="36BA08E1" w14:textId="77777777" w:rsidR="00CB542F" w:rsidRDefault="00CB542F"/>
    <w:p w14:paraId="19F36F64" w14:textId="77777777" w:rsidR="00CB542F" w:rsidRDefault="00573A58">
      <w:pPr>
        <w:rPr>
          <w:i/>
          <w:iCs/>
          <w:u w:val="single"/>
        </w:rPr>
      </w:pPr>
      <w:r>
        <w:rPr>
          <w:i/>
          <w:iCs/>
          <w:u w:val="single"/>
        </w:rPr>
        <w:t>Vartojimo trukmė</w:t>
      </w:r>
    </w:p>
    <w:p w14:paraId="2B050607" w14:textId="77777777" w:rsidR="00CB542F" w:rsidRDefault="00573A58">
      <w:r>
        <w:t>Gydymo trukmę kiekvienam pacientui reikia nustatyti atskirai, atsižvelgiant į naudos ir rizikos vertinimą.</w:t>
      </w:r>
    </w:p>
    <w:p w14:paraId="7AC504F2" w14:textId="77777777" w:rsidR="00CB542F" w:rsidRDefault="00CB542F"/>
    <w:p w14:paraId="735B9FE9" w14:textId="77777777" w:rsidR="00CB542F" w:rsidRDefault="00573A58">
      <w:pPr>
        <w:rPr>
          <w:i/>
          <w:iCs/>
          <w:u w:val="single"/>
        </w:rPr>
      </w:pPr>
      <w:r>
        <w:rPr>
          <w:i/>
          <w:iCs/>
          <w:u w:val="single"/>
        </w:rPr>
        <w:t>Praleista dozė</w:t>
      </w:r>
    </w:p>
    <w:p w14:paraId="1D12B258" w14:textId="77777777" w:rsidR="00CB542F" w:rsidRDefault="00573A58">
      <w:r>
        <w:t>Praleistą dabigatrano eteksilato dozę galima gerti, jeigu iki kitos dozės vartojimo laiko yra likusios ne mažiau kaip 6 val. Likus 6 valandoms arba mažiau, pamirštą dozę reikia praleisti. Jokiu būdu negalima vartoti dvigubos dozės norint kompensuoti atskiras praleistas dozes.</w:t>
      </w:r>
    </w:p>
    <w:p w14:paraId="7150A7D1" w14:textId="77777777" w:rsidR="00CB542F" w:rsidRDefault="00CB542F"/>
    <w:p w14:paraId="3E42F290" w14:textId="77777777" w:rsidR="00CB542F" w:rsidRDefault="00573A58">
      <w:pPr>
        <w:rPr>
          <w:i/>
          <w:iCs/>
          <w:u w:val="single"/>
        </w:rPr>
      </w:pPr>
      <w:r>
        <w:rPr>
          <w:i/>
          <w:iCs/>
          <w:u w:val="single"/>
        </w:rPr>
        <w:t>Dabigatrano eteksilato vartojimo nutraukimas</w:t>
      </w:r>
    </w:p>
    <w:p w14:paraId="29605F0C" w14:textId="77777777" w:rsidR="00CB542F" w:rsidRDefault="00573A58">
      <w:r>
        <w:t>Negalima nutraukti gydymo dabigatrano eteksilatu nepasitarus su gydytoju. Pacientams arba juos prižiūrintiems asmenims reikia nurodyti kreiptis į gydantį gydytoją, jeigu pacientui pasireiškia su skrandžiu ir (arba) žarnynu susijusių simptomų, pvz., dispepsija (žr. 4.8 skyrių).</w:t>
      </w:r>
    </w:p>
    <w:p w14:paraId="712B15F0" w14:textId="77777777" w:rsidR="00CB542F" w:rsidRDefault="00CB542F"/>
    <w:p w14:paraId="1CF59C70" w14:textId="77777777" w:rsidR="00CB542F" w:rsidRDefault="00573A58">
      <w:pPr>
        <w:rPr>
          <w:i/>
          <w:iCs/>
          <w:u w:val="single"/>
        </w:rPr>
      </w:pPr>
      <w:r>
        <w:rPr>
          <w:i/>
          <w:iCs/>
          <w:u w:val="single"/>
        </w:rPr>
        <w:t>Gydymo keitimas</w:t>
      </w:r>
    </w:p>
    <w:p w14:paraId="157F3F18" w14:textId="77777777" w:rsidR="00CB542F" w:rsidRDefault="00CB542F"/>
    <w:p w14:paraId="4DA43D5B" w14:textId="77777777" w:rsidR="00CB542F" w:rsidRDefault="00573A58">
      <w:pPr>
        <w:rPr>
          <w:u w:val="single"/>
        </w:rPr>
      </w:pPr>
      <w:r>
        <w:rPr>
          <w:u w:val="single"/>
        </w:rPr>
        <w:t>Gydymo dabigatrano eteksilatu keitimas parenteriniu būdu vartojamais antikoaguliantais</w:t>
      </w:r>
    </w:p>
    <w:p w14:paraId="30D2AA65" w14:textId="77777777" w:rsidR="00CB542F" w:rsidRDefault="00573A58">
      <w:r>
        <w:t>Parenteriniu būdu vartojamais antikoaguliantais rekomenduojama pradėti gydyti praėjus 12 val. po paskutinės dabigatrano eteksilato dozės pavartojimo (žr. 4.5 skyrių).</w:t>
      </w:r>
    </w:p>
    <w:p w14:paraId="1CDFB278" w14:textId="77777777" w:rsidR="00CB542F" w:rsidRDefault="00CB542F"/>
    <w:p w14:paraId="4CCE6DE6" w14:textId="77777777" w:rsidR="00CB542F" w:rsidRDefault="00573A58">
      <w:pPr>
        <w:rPr>
          <w:u w:val="single"/>
        </w:rPr>
      </w:pPr>
      <w:r>
        <w:rPr>
          <w:u w:val="single"/>
        </w:rPr>
        <w:t>Gydymo parenteriniu būdu vartojamais antikoaguliantais keitimas dabigatrano eteksilatu</w:t>
      </w:r>
    </w:p>
    <w:p w14:paraId="265AF543" w14:textId="77777777" w:rsidR="00CB542F" w:rsidRDefault="00573A58">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0A7FC39D" w14:textId="77777777" w:rsidR="00CB542F" w:rsidRDefault="00CB542F"/>
    <w:p w14:paraId="62802152" w14:textId="77777777" w:rsidR="00CB542F" w:rsidRDefault="00573A58">
      <w:r>
        <w:rPr>
          <w:u w:val="single"/>
        </w:rPr>
        <w:t>Gydymo dabigatrano eteksilatu keitimas vitamino K antagonistais (VKA)</w:t>
      </w:r>
    </w:p>
    <w:p w14:paraId="688B24F9" w14:textId="77777777" w:rsidR="00CB542F" w:rsidRDefault="00573A58">
      <w:r>
        <w:t>Pacientai turi pradėti vartoti VKA likus 3 paroms iki dabigatrano eteksilato vartojimo nutraukimo.</w:t>
      </w:r>
    </w:p>
    <w:p w14:paraId="3D164AA9" w14:textId="77777777" w:rsidR="00CB542F" w:rsidRDefault="00573A58">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1B3B05F2" w14:textId="77777777" w:rsidR="00CB542F" w:rsidRDefault="00CB542F"/>
    <w:p w14:paraId="425FD281" w14:textId="77777777" w:rsidR="00CB542F" w:rsidRDefault="00573A58">
      <w:r>
        <w:rPr>
          <w:u w:val="single"/>
        </w:rPr>
        <w:t>Gydymo VKA keitimas dabigatrano eteksilatu:</w:t>
      </w:r>
    </w:p>
    <w:p w14:paraId="711B848A" w14:textId="77777777" w:rsidR="00CB542F" w:rsidRDefault="00573A58">
      <w:r>
        <w:t>VKA vartojimą reikia nutraukti. Dabigatrano eteksilatu galima pradėti gydyti tuoj pat, kai tik TNS tampa &lt; 2.</w:t>
      </w:r>
    </w:p>
    <w:p w14:paraId="47B88EA1" w14:textId="77777777" w:rsidR="00CB542F" w:rsidRDefault="00CB542F"/>
    <w:p w14:paraId="0E4490EE" w14:textId="77777777" w:rsidR="00CB542F" w:rsidRDefault="00573A58">
      <w:pPr>
        <w:rPr>
          <w:u w:val="single"/>
        </w:rPr>
      </w:pPr>
      <w:r>
        <w:rPr>
          <w:u w:val="single"/>
        </w:rPr>
        <w:t>Vartojimo metodas</w:t>
      </w:r>
    </w:p>
    <w:p w14:paraId="7778B726" w14:textId="77777777" w:rsidR="00CB542F" w:rsidRDefault="00573A58">
      <w:r>
        <w:t>Šis vaistinis preparatas skirtas vartoti per burną.</w:t>
      </w:r>
    </w:p>
    <w:p w14:paraId="6D1731F3" w14:textId="77777777" w:rsidR="00CB542F" w:rsidRDefault="00573A58">
      <w:r>
        <w:t>Kapsules galima vartoti valgio metu arba nevalgius. Reikia nuryti visą kapsulę, užgeriant stikline vandens, kad lengviau patektų į skrandį.</w:t>
      </w:r>
    </w:p>
    <w:p w14:paraId="2DE42EF0" w14:textId="77777777" w:rsidR="00CB542F" w:rsidRDefault="00573A58">
      <w:r>
        <w:t>Pacientus reikia įspėti, kad kapsulių neatvertų, kadangi tai gali didinti kraujavimo riziką (žr. 5.2 skyrių).</w:t>
      </w:r>
    </w:p>
    <w:p w14:paraId="25E98A2D" w14:textId="77777777" w:rsidR="00CB542F" w:rsidRDefault="00CB542F"/>
    <w:p w14:paraId="0B66A3C9" w14:textId="77777777" w:rsidR="00CB542F" w:rsidRDefault="00573A58">
      <w:pPr>
        <w:ind w:left="567" w:hanging="567"/>
        <w:rPr>
          <w:b/>
        </w:rPr>
      </w:pPr>
      <w:r>
        <w:rPr>
          <w:b/>
        </w:rPr>
        <w:t>4.3</w:t>
      </w:r>
      <w:r>
        <w:rPr>
          <w:b/>
        </w:rPr>
        <w:tab/>
        <w:t>Kontraindikacijos</w:t>
      </w:r>
    </w:p>
    <w:p w14:paraId="7BA61BC6" w14:textId="77777777" w:rsidR="00CB542F" w:rsidRDefault="00CB542F">
      <w:pPr>
        <w:ind w:left="567" w:hanging="567"/>
      </w:pPr>
    </w:p>
    <w:p w14:paraId="2E847F41" w14:textId="77777777" w:rsidR="00CB542F" w:rsidRDefault="00573A58">
      <w:pPr>
        <w:widowControl w:val="0"/>
        <w:numPr>
          <w:ilvl w:val="0"/>
          <w:numId w:val="5"/>
        </w:numPr>
        <w:autoSpaceDE w:val="0"/>
        <w:autoSpaceDN w:val="0"/>
        <w:ind w:left="567" w:hanging="567"/>
        <w:rPr>
          <w:color w:val="000000"/>
          <w:szCs w:val="22"/>
          <w:lang w:val="en-US"/>
        </w:rPr>
      </w:pPr>
      <w:r>
        <w:t>Padidėjęs jautrumas veikliajai arba bet kuriai 6.1 skyriuje nurodytai pagalbinei medžiagai.</w:t>
      </w:r>
    </w:p>
    <w:p w14:paraId="2C12B210" w14:textId="77777777" w:rsidR="00CB542F" w:rsidRDefault="00573A58">
      <w:pPr>
        <w:widowControl w:val="0"/>
        <w:numPr>
          <w:ilvl w:val="0"/>
          <w:numId w:val="5"/>
        </w:numPr>
        <w:autoSpaceDE w:val="0"/>
        <w:autoSpaceDN w:val="0"/>
        <w:ind w:left="567" w:hanging="567"/>
        <w:rPr>
          <w:color w:val="000000"/>
          <w:szCs w:val="22"/>
          <w:lang w:val="en-US"/>
        </w:rPr>
      </w:pPr>
      <w:r>
        <w:t>Sunkus inkstų funkcijos sutrikimas (KrKl &lt; 30 ml/min.) suaugusiems pacientams.</w:t>
      </w:r>
    </w:p>
    <w:p w14:paraId="6445D44C" w14:textId="77777777" w:rsidR="00CB542F" w:rsidRDefault="00573A58">
      <w:pPr>
        <w:widowControl w:val="0"/>
        <w:numPr>
          <w:ilvl w:val="0"/>
          <w:numId w:val="5"/>
        </w:numPr>
        <w:autoSpaceDE w:val="0"/>
        <w:autoSpaceDN w:val="0"/>
        <w:ind w:left="567" w:hanging="567"/>
        <w:rPr>
          <w:color w:val="000000"/>
          <w:szCs w:val="22"/>
          <w:lang w:val="en-US"/>
        </w:rPr>
      </w:pPr>
      <w:r>
        <w:lastRenderedPageBreak/>
        <w:t>aGFG &lt; 50 ml/min./1,73 m</w:t>
      </w:r>
      <w:r>
        <w:rPr>
          <w:vertAlign w:val="superscript"/>
        </w:rPr>
        <w:t>2</w:t>
      </w:r>
      <w:r>
        <w:t xml:space="preserve"> pacientams vaikams.</w:t>
      </w:r>
    </w:p>
    <w:p w14:paraId="65EE4232" w14:textId="77777777" w:rsidR="00CB542F" w:rsidRDefault="00573A58">
      <w:pPr>
        <w:widowControl w:val="0"/>
        <w:numPr>
          <w:ilvl w:val="0"/>
          <w:numId w:val="5"/>
        </w:numPr>
        <w:autoSpaceDE w:val="0"/>
        <w:autoSpaceDN w:val="0"/>
        <w:ind w:left="567" w:hanging="567"/>
        <w:rPr>
          <w:color w:val="000000"/>
          <w:szCs w:val="22"/>
          <w:lang w:val="en-US"/>
        </w:rPr>
      </w:pPr>
      <w:r>
        <w:t>Aktyvus kliniškai reikšmingas kraujavimas.</w:t>
      </w:r>
    </w:p>
    <w:p w14:paraId="006E6929" w14:textId="77777777" w:rsidR="00CB542F" w:rsidRDefault="00573A58">
      <w:pPr>
        <w:widowControl w:val="0"/>
        <w:numPr>
          <w:ilvl w:val="0"/>
          <w:numId w:val="5"/>
        </w:numPr>
        <w:autoSpaceDE w:val="0"/>
        <w:autoSpaceDN w:val="0"/>
        <w:ind w:left="567" w:hanging="567"/>
        <w:rPr>
          <w:color w:val="000000"/>
          <w:szCs w:val="22"/>
          <w:lang w:val="en-US"/>
        </w:rPr>
      </w:pPr>
      <w:r>
        <w:t>Pažaida ar būklė, laikoma reikšmingu didžiojo kraujavimo rizikos veiksniu. Tai gali būti esamas arba neseniai buvęs virškinimo trakto išopėjimas,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sklaidos trūkumai, kraujagyslių aneurizma arba didesni nugaros arba galvos smegenų vidinių kraujagyslių sklaidos trūkumai.</w:t>
      </w:r>
    </w:p>
    <w:p w14:paraId="26C4FA13" w14:textId="77777777" w:rsidR="00CB542F" w:rsidRDefault="00573A58">
      <w:pPr>
        <w:widowControl w:val="0"/>
        <w:numPr>
          <w:ilvl w:val="0"/>
          <w:numId w:val="5"/>
        </w:numPr>
        <w:autoSpaceDE w:val="0"/>
        <w:autoSpaceDN w:val="0"/>
        <w:ind w:left="567" w:hanging="567"/>
        <w:rPr>
          <w:color w:val="000000"/>
          <w:szCs w:val="22"/>
          <w:lang w:val="en-US"/>
        </w:rPr>
      </w:pPr>
      <w: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6DBA7CDF" w14:textId="77777777" w:rsidR="00CB542F" w:rsidRDefault="00573A58">
      <w:pPr>
        <w:widowControl w:val="0"/>
        <w:numPr>
          <w:ilvl w:val="0"/>
          <w:numId w:val="5"/>
        </w:numPr>
        <w:autoSpaceDE w:val="0"/>
        <w:autoSpaceDN w:val="0"/>
        <w:ind w:left="567" w:hanging="567"/>
        <w:rPr>
          <w:color w:val="000000"/>
          <w:szCs w:val="22"/>
          <w:lang w:val="en-US"/>
        </w:rPr>
      </w:pPr>
      <w:r>
        <w:t>Kepenų funkcijos sutrikimas arba kepenų liga, galintys turėti kokios nors įtakos išgyvenamumui.</w:t>
      </w:r>
    </w:p>
    <w:p w14:paraId="265577C7" w14:textId="77777777" w:rsidR="00CB542F" w:rsidRDefault="00573A58">
      <w:pPr>
        <w:widowControl w:val="0"/>
        <w:numPr>
          <w:ilvl w:val="0"/>
          <w:numId w:val="5"/>
        </w:numPr>
        <w:autoSpaceDE w:val="0"/>
        <w:autoSpaceDN w:val="0"/>
        <w:ind w:left="567" w:hanging="567"/>
        <w:rPr>
          <w:color w:val="000000"/>
          <w:szCs w:val="22"/>
          <w:lang w:val="en-US"/>
        </w:rPr>
      </w:pPr>
      <w:r>
        <w:t>Vartojimas kartu su šiais stipriais P-glikoproteino inhibitoriais: sisteminio poveikio ketokonazolu, ciklosporinu, itrakonazolu, dronedaronu ir fiksuotų dozių glekapreviro / pibrentasviro deriniu (žr. 4.5 skyrių).</w:t>
      </w:r>
    </w:p>
    <w:p w14:paraId="37E0D9CC" w14:textId="77777777" w:rsidR="00CB542F" w:rsidRDefault="00573A58">
      <w:pPr>
        <w:widowControl w:val="0"/>
        <w:numPr>
          <w:ilvl w:val="0"/>
          <w:numId w:val="5"/>
        </w:numPr>
        <w:autoSpaceDE w:val="0"/>
        <w:autoSpaceDN w:val="0"/>
        <w:ind w:left="567" w:hanging="567"/>
        <w:rPr>
          <w:color w:val="000000"/>
          <w:szCs w:val="22"/>
          <w:lang w:val="en-US"/>
        </w:rPr>
      </w:pPr>
      <w:r>
        <w:t>Širdies vožtuvų protezai, reikalaujantys gydymo antikoaguliantais (žr. 5.1 skyrių).</w:t>
      </w:r>
    </w:p>
    <w:p w14:paraId="48102C0B" w14:textId="77777777" w:rsidR="00CB542F" w:rsidRDefault="00CB542F">
      <w:pPr>
        <w:ind w:left="567" w:hanging="567"/>
      </w:pPr>
    </w:p>
    <w:p w14:paraId="2F768008" w14:textId="77777777" w:rsidR="00CB542F" w:rsidRDefault="00573A58">
      <w:pPr>
        <w:ind w:left="567" w:hanging="567"/>
        <w:rPr>
          <w:b/>
        </w:rPr>
      </w:pPr>
      <w:r>
        <w:rPr>
          <w:b/>
        </w:rPr>
        <w:t>4.4</w:t>
      </w:r>
      <w:r>
        <w:rPr>
          <w:b/>
        </w:rPr>
        <w:tab/>
        <w:t>Specialūs įspėjimai ir atsargumo priemonės</w:t>
      </w:r>
    </w:p>
    <w:p w14:paraId="701A8B2B" w14:textId="77777777" w:rsidR="00CB542F" w:rsidRDefault="00CB542F">
      <w:pPr>
        <w:ind w:left="567" w:hanging="567"/>
        <w:rPr>
          <w:b/>
        </w:rPr>
      </w:pPr>
    </w:p>
    <w:p w14:paraId="4559EFC6" w14:textId="77777777" w:rsidR="00CB542F" w:rsidRDefault="00573A58">
      <w:pPr>
        <w:ind w:left="567" w:hanging="567"/>
        <w:rPr>
          <w:u w:val="single"/>
        </w:rPr>
      </w:pPr>
      <w:r>
        <w:rPr>
          <w:u w:val="single"/>
        </w:rPr>
        <w:t>Kraujavimo rizika</w:t>
      </w:r>
    </w:p>
    <w:p w14:paraId="26506236" w14:textId="77777777" w:rsidR="00CB542F" w:rsidRDefault="00CB542F">
      <w:pPr>
        <w:ind w:left="567" w:hanging="567"/>
      </w:pPr>
    </w:p>
    <w:p w14:paraId="74D47EF1" w14:textId="77777777" w:rsidR="00CB542F" w:rsidRDefault="00573A58">
      <w:r>
        <w:t>Jeigu yra būklė, susijusi su kraujavimo rizikos padidėjimu arba jeigu kartu vartojama vaistinių preparatų, kurie hemostazei poveikį daro slopindami trombocitų agregaciją, dabigatrano eteksilatu reikia gydyti atsargiai. Gydymo metu kraujavimas gali prasidėti bet kokioje organizmo vietoje. Jeigu dėl neaiškių priežasčių sumažėja hemoglobino kiekis ir (arba) hematokrito rodmenys arba kraujospūdis, reikia ieškoti kraujavimo vietos.</w:t>
      </w:r>
    </w:p>
    <w:p w14:paraId="1716CEC7" w14:textId="77777777" w:rsidR="00CB542F" w:rsidRDefault="00CB542F"/>
    <w:p w14:paraId="61075912" w14:textId="77777777" w:rsidR="00CB542F" w:rsidRDefault="00573A58">
      <w:r>
        <w:t>Gyvybei pavojingo arba nekontroliuojamo kraujavimo atveju, kai būtina greitai panaikinti antikoaguliacinį dabigatrano poveikį, suaugusiems pacientams tinka specifinis neutralizuojantis vaistinis preparatas idarucizumabas. Idarucizumabo veiksmingumas ir saugumas pacientams vaikams neištirti.</w:t>
      </w:r>
    </w:p>
    <w:p w14:paraId="71F0EAE4" w14:textId="77777777" w:rsidR="00CB542F" w:rsidRDefault="00573A58">
      <w:r>
        <w:t>Dabigatraną galima pašalinti hemodializės būdu. Kiti galimi būdai suaugusiems pacientams – šviežio viso kraujo arba šviežios šaldytos plazmos, krešėjimo faktorių koncentratų (aktyvintų arba neaktyvintų), rekombinantinio VIIa faktoriaus arba trombocitų koncentratų skyrimas (dar žr. 4.9 skyrių).</w:t>
      </w:r>
    </w:p>
    <w:p w14:paraId="4270277C" w14:textId="77777777" w:rsidR="00CB542F" w:rsidRDefault="00CB542F"/>
    <w:p w14:paraId="63A7A739" w14:textId="77777777" w:rsidR="00CB542F" w:rsidRDefault="00573A58">
      <w:r>
        <w:t>Klinikinių tyrimų metu dabigatrano eteksilato vartojimas buvo susijęs su didžiojo kraujavimo į skrandį ir žarnas dažnio padidėjimu. Padidėjusi rizika nustatyta senyviems (≥ 75 metų) pacientams, vartojusiems dabigatrano eteksilato 150 mg du kartus per parą. Kiti rizikos veiksniai (taip pat žr. 4 lentelę) buvo vartojimas kartu su trombocitų agregacijos inhibitoriais, pvz., klopidogreliu ir acetilsalicilo rūgštimi (ASR) ar nesteroidiniais vaistiniais preparatais nuo uždegimo (NVPNU), taip pat ezofagitas, gastritas ar gastroezofaginis refliuksas.</w:t>
      </w:r>
    </w:p>
    <w:p w14:paraId="31C7141E" w14:textId="77777777" w:rsidR="00CB542F" w:rsidRDefault="00CB542F"/>
    <w:p w14:paraId="3D5B97A5" w14:textId="77777777" w:rsidR="00CB542F" w:rsidRDefault="00573A58">
      <w:pPr>
        <w:rPr>
          <w:i/>
          <w:iCs/>
          <w:u w:val="single"/>
        </w:rPr>
      </w:pPr>
      <w:r>
        <w:rPr>
          <w:i/>
          <w:iCs/>
          <w:u w:val="single"/>
        </w:rPr>
        <w:t>Rizikos veiksniai</w:t>
      </w:r>
    </w:p>
    <w:p w14:paraId="7DD5591F" w14:textId="77777777" w:rsidR="00CB542F" w:rsidRDefault="00CB542F"/>
    <w:p w14:paraId="7CC905B3" w14:textId="77777777" w:rsidR="00CB542F" w:rsidRDefault="00573A58">
      <w:r>
        <w:t>4-ojoje lentelėje yra pateikti veiksniai, galintys didinti kraujavimo riziką.</w:t>
      </w:r>
    </w:p>
    <w:p w14:paraId="46ECA594" w14:textId="77777777" w:rsidR="00CB542F" w:rsidRDefault="00CB542F"/>
    <w:p w14:paraId="7F98FAD9" w14:textId="77777777" w:rsidR="00CB542F" w:rsidRDefault="00573A58">
      <w:pPr>
        <w:rPr>
          <w:b/>
          <w:bCs/>
        </w:rPr>
      </w:pPr>
      <w:r>
        <w:rPr>
          <w:b/>
          <w:bCs/>
        </w:rPr>
        <w:t>4 lentelė. Veiksniai, galintys didinti kraujavimo riziką</w:t>
      </w:r>
    </w:p>
    <w:p w14:paraId="2ADC601A" w14:textId="77777777" w:rsidR="00CB542F" w:rsidRDefault="00CB542F"/>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30"/>
        <w:gridCol w:w="4641"/>
      </w:tblGrid>
      <w:tr w:rsidR="00CB542F" w14:paraId="07F6DF50" w14:textId="77777777">
        <w:trPr>
          <w:trHeight w:val="254"/>
        </w:trPr>
        <w:tc>
          <w:tcPr>
            <w:tcW w:w="4430" w:type="dxa"/>
            <w:shd w:val="clear" w:color="auto" w:fill="auto"/>
          </w:tcPr>
          <w:p w14:paraId="635F964B" w14:textId="77777777" w:rsidR="00CB542F" w:rsidRDefault="00CB542F">
            <w:pPr>
              <w:widowControl w:val="0"/>
              <w:kinsoku w:val="0"/>
              <w:overflowPunct w:val="0"/>
              <w:autoSpaceDE w:val="0"/>
              <w:autoSpaceDN w:val="0"/>
              <w:adjustRightInd w:val="0"/>
              <w:spacing w:line="234" w:lineRule="exact"/>
              <w:ind w:left="105"/>
              <w:rPr>
                <w:color w:val="000000"/>
                <w:szCs w:val="22"/>
                <w:lang w:val="sl-SI" w:eastAsia="sl-SI"/>
              </w:rPr>
            </w:pPr>
          </w:p>
        </w:tc>
        <w:tc>
          <w:tcPr>
            <w:tcW w:w="4641" w:type="dxa"/>
            <w:shd w:val="clear" w:color="auto" w:fill="auto"/>
          </w:tcPr>
          <w:p w14:paraId="651594B5" w14:textId="77777777" w:rsidR="00CB542F" w:rsidRDefault="00573A58">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Rizikos veiksniai</w:t>
            </w:r>
          </w:p>
        </w:tc>
      </w:tr>
      <w:tr w:rsidR="00CB542F" w14:paraId="728AAAD0" w14:textId="77777777">
        <w:trPr>
          <w:trHeight w:val="254"/>
        </w:trPr>
        <w:tc>
          <w:tcPr>
            <w:tcW w:w="4430" w:type="dxa"/>
            <w:shd w:val="clear" w:color="auto" w:fill="auto"/>
          </w:tcPr>
          <w:p w14:paraId="24E1C7B2"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Farmakodinamikos ir farmakokinetikos veiksniai</w:t>
            </w:r>
          </w:p>
        </w:tc>
        <w:tc>
          <w:tcPr>
            <w:tcW w:w="4641" w:type="dxa"/>
            <w:shd w:val="clear" w:color="auto" w:fill="auto"/>
          </w:tcPr>
          <w:p w14:paraId="04B6C405" w14:textId="77777777" w:rsidR="00CB542F" w:rsidRDefault="00573A58">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 75 metų amžius</w:t>
            </w:r>
          </w:p>
        </w:tc>
      </w:tr>
      <w:tr w:rsidR="00CB542F" w14:paraId="2B09C391" w14:textId="77777777">
        <w:trPr>
          <w:trHeight w:val="2845"/>
        </w:trPr>
        <w:tc>
          <w:tcPr>
            <w:tcW w:w="4430" w:type="dxa"/>
            <w:shd w:val="clear" w:color="auto" w:fill="auto"/>
          </w:tcPr>
          <w:p w14:paraId="4CC7D3D7" w14:textId="77777777" w:rsidR="00CB542F" w:rsidRDefault="00573A58">
            <w:pPr>
              <w:widowControl w:val="0"/>
              <w:kinsoku w:val="0"/>
              <w:overflowPunct w:val="0"/>
              <w:autoSpaceDE w:val="0"/>
              <w:autoSpaceDN w:val="0"/>
              <w:adjustRightInd w:val="0"/>
              <w:spacing w:line="247" w:lineRule="exact"/>
              <w:ind w:left="105"/>
              <w:rPr>
                <w:color w:val="000000"/>
                <w:szCs w:val="22"/>
                <w:lang w:val="sl-SI" w:eastAsia="sl-SI"/>
              </w:rPr>
            </w:pPr>
            <w:r>
              <w:lastRenderedPageBreak/>
              <w:t>Veiksniai, didinantys dabigatrano kiekį kraujo plazmoje</w:t>
            </w:r>
          </w:p>
        </w:tc>
        <w:tc>
          <w:tcPr>
            <w:tcW w:w="4641" w:type="dxa"/>
            <w:shd w:val="clear" w:color="auto" w:fill="auto"/>
          </w:tcPr>
          <w:p w14:paraId="2916B6B3" w14:textId="77777777" w:rsidR="00CB542F" w:rsidRDefault="00573A58">
            <w:pPr>
              <w:widowControl w:val="0"/>
              <w:kinsoku w:val="0"/>
              <w:overflowPunct w:val="0"/>
              <w:autoSpaceDE w:val="0"/>
              <w:autoSpaceDN w:val="0"/>
              <w:adjustRightInd w:val="0"/>
              <w:spacing w:line="245" w:lineRule="exact"/>
              <w:ind w:left="108"/>
              <w:rPr>
                <w:color w:val="000000"/>
                <w:szCs w:val="22"/>
                <w:lang w:val="sl-SI" w:eastAsia="sl-SI"/>
              </w:rPr>
            </w:pPr>
            <w:r>
              <w:rPr>
                <w:color w:val="000000"/>
                <w:szCs w:val="22"/>
                <w:u w:val="single"/>
                <w:lang w:val="sl-SI" w:eastAsia="sl-SI"/>
              </w:rPr>
              <w:t>Svarbūs:</w:t>
            </w:r>
          </w:p>
          <w:p w14:paraId="676BB177" w14:textId="77777777" w:rsidR="00CB542F" w:rsidRDefault="00573A58">
            <w:pPr>
              <w:widowControl w:val="0"/>
              <w:numPr>
                <w:ilvl w:val="0"/>
                <w:numId w:val="5"/>
              </w:numPr>
              <w:autoSpaceDE w:val="0"/>
              <w:autoSpaceDN w:val="0"/>
              <w:ind w:left="567" w:hanging="567"/>
              <w:jc w:val="both"/>
              <w:rPr>
                <w:color w:val="000000"/>
                <w:szCs w:val="22"/>
                <w:lang w:val="en-US"/>
              </w:rPr>
            </w:pPr>
            <w:r>
              <w:t>Vidutinio sunkumo inkstų funkcijos sutrikimas (KrKl 30-50 ml/min.) suaugusiems pacientams</w:t>
            </w:r>
          </w:p>
          <w:p w14:paraId="2984042A" w14:textId="77777777" w:rsidR="00CB542F" w:rsidRDefault="00573A58">
            <w:pPr>
              <w:widowControl w:val="0"/>
              <w:numPr>
                <w:ilvl w:val="0"/>
                <w:numId w:val="5"/>
              </w:numPr>
              <w:autoSpaceDE w:val="0"/>
              <w:autoSpaceDN w:val="0"/>
              <w:ind w:left="567" w:hanging="567"/>
              <w:jc w:val="both"/>
              <w:rPr>
                <w:color w:val="000000"/>
                <w:szCs w:val="22"/>
                <w:lang w:val="en-US"/>
              </w:rPr>
            </w:pPr>
            <w:r>
              <w:t xml:space="preserve">Stiprūs P-glikoproteino inhibitoriai (žr. 4.3 ir 4.5 skyrius) </w:t>
            </w:r>
          </w:p>
          <w:p w14:paraId="48A0823E" w14:textId="77777777" w:rsidR="00CB542F" w:rsidRDefault="00573A58">
            <w:pPr>
              <w:widowControl w:val="0"/>
              <w:numPr>
                <w:ilvl w:val="0"/>
                <w:numId w:val="5"/>
              </w:numPr>
              <w:autoSpaceDE w:val="0"/>
              <w:autoSpaceDN w:val="0"/>
              <w:ind w:left="567" w:hanging="567"/>
              <w:jc w:val="both"/>
              <w:rPr>
                <w:color w:val="000000"/>
                <w:szCs w:val="22"/>
                <w:lang w:val="en-US"/>
              </w:rPr>
            </w:pPr>
            <w:r>
              <w:t>Kartu vartojami silpni arba vidutinio stiprumo P-glikoproteino inhibitoriai (pvz., amjodaronas, verapamilis, chinidinas ir tikagreloras; žr. 4.5 skyrių)</w:t>
            </w:r>
          </w:p>
          <w:p w14:paraId="50B16D33" w14:textId="77777777" w:rsidR="00CB542F" w:rsidRDefault="00CB542F">
            <w:pPr>
              <w:widowControl w:val="0"/>
              <w:kinsoku w:val="0"/>
              <w:overflowPunct w:val="0"/>
              <w:autoSpaceDE w:val="0"/>
              <w:autoSpaceDN w:val="0"/>
              <w:adjustRightInd w:val="0"/>
              <w:spacing w:before="11"/>
              <w:rPr>
                <w:b/>
                <w:bCs/>
                <w:color w:val="000000"/>
                <w:szCs w:val="22"/>
                <w:lang w:val="sl-SI" w:eastAsia="sl-SI"/>
              </w:rPr>
            </w:pPr>
          </w:p>
          <w:p w14:paraId="41B70DDA" w14:textId="77777777" w:rsidR="00CB542F" w:rsidRDefault="00573A58">
            <w:pPr>
              <w:widowControl w:val="0"/>
              <w:kinsoku w:val="0"/>
              <w:overflowPunct w:val="0"/>
              <w:autoSpaceDE w:val="0"/>
              <w:autoSpaceDN w:val="0"/>
              <w:adjustRightInd w:val="0"/>
              <w:ind w:left="108"/>
              <w:rPr>
                <w:color w:val="000000"/>
                <w:szCs w:val="22"/>
                <w:lang w:val="sl-SI" w:eastAsia="sl-SI"/>
              </w:rPr>
            </w:pPr>
            <w:r>
              <w:rPr>
                <w:color w:val="000000"/>
                <w:szCs w:val="22"/>
                <w:u w:val="single"/>
                <w:lang w:val="sl-SI" w:eastAsia="sl-SI"/>
              </w:rPr>
              <w:t>Mažiau svarbūs:</w:t>
            </w:r>
          </w:p>
          <w:p w14:paraId="269B333F" w14:textId="77777777" w:rsidR="00CB542F" w:rsidRDefault="00573A58">
            <w:pPr>
              <w:widowControl w:val="0"/>
              <w:numPr>
                <w:ilvl w:val="0"/>
                <w:numId w:val="5"/>
              </w:numPr>
              <w:autoSpaceDE w:val="0"/>
              <w:autoSpaceDN w:val="0"/>
              <w:ind w:left="567" w:hanging="567"/>
              <w:jc w:val="both"/>
              <w:rPr>
                <w:color w:val="000000"/>
                <w:spacing w:val="-3"/>
                <w:szCs w:val="22"/>
                <w:lang w:val="sl-SI" w:eastAsia="sl-SI"/>
              </w:rPr>
            </w:pPr>
            <w:r>
              <w:t>Mažas (&lt; 50 kg) kūno svoris suaugusiems pacientams</w:t>
            </w:r>
          </w:p>
        </w:tc>
      </w:tr>
      <w:tr w:rsidR="00CB542F" w14:paraId="3E645108" w14:textId="77777777">
        <w:trPr>
          <w:trHeight w:val="1581"/>
        </w:trPr>
        <w:tc>
          <w:tcPr>
            <w:tcW w:w="4430" w:type="dxa"/>
            <w:shd w:val="clear" w:color="auto" w:fill="auto"/>
          </w:tcPr>
          <w:p w14:paraId="30A056B0" w14:textId="77777777" w:rsidR="00CB542F" w:rsidRDefault="00573A58">
            <w:pPr>
              <w:widowControl w:val="0"/>
              <w:kinsoku w:val="0"/>
              <w:overflowPunct w:val="0"/>
              <w:autoSpaceDE w:val="0"/>
              <w:autoSpaceDN w:val="0"/>
              <w:adjustRightInd w:val="0"/>
              <w:spacing w:line="247" w:lineRule="exact"/>
              <w:ind w:left="105"/>
              <w:rPr>
                <w:color w:val="000000"/>
                <w:szCs w:val="22"/>
                <w:lang w:val="sl-SI" w:eastAsia="sl-SI"/>
              </w:rPr>
            </w:pPr>
            <w:r>
              <w:t>Farmakodinaminė sąveika (žr. 4.5 skyrių)</w:t>
            </w:r>
          </w:p>
        </w:tc>
        <w:tc>
          <w:tcPr>
            <w:tcW w:w="4641" w:type="dxa"/>
            <w:shd w:val="clear" w:color="auto" w:fill="auto"/>
          </w:tcPr>
          <w:p w14:paraId="122A5C95" w14:textId="77777777" w:rsidR="00CB542F" w:rsidRDefault="00573A58">
            <w:pPr>
              <w:widowControl w:val="0"/>
              <w:numPr>
                <w:ilvl w:val="0"/>
                <w:numId w:val="5"/>
              </w:numPr>
              <w:autoSpaceDE w:val="0"/>
              <w:autoSpaceDN w:val="0"/>
              <w:ind w:left="567" w:hanging="567"/>
              <w:jc w:val="both"/>
              <w:rPr>
                <w:color w:val="000000"/>
                <w:szCs w:val="22"/>
                <w:lang w:val="en-US"/>
              </w:rPr>
            </w:pPr>
            <w:r>
              <w:t>ASR ir kiti trombocitų agregacijos inhibitoriai, pvz., klopidogrelis</w:t>
            </w:r>
          </w:p>
          <w:p w14:paraId="7E2E6DE8" w14:textId="77777777" w:rsidR="00CB542F" w:rsidRDefault="00573A58">
            <w:pPr>
              <w:widowControl w:val="0"/>
              <w:numPr>
                <w:ilvl w:val="0"/>
                <w:numId w:val="5"/>
              </w:numPr>
              <w:autoSpaceDE w:val="0"/>
              <w:autoSpaceDN w:val="0"/>
              <w:ind w:left="567" w:hanging="567"/>
              <w:jc w:val="both"/>
              <w:rPr>
                <w:color w:val="000000"/>
                <w:szCs w:val="22"/>
                <w:lang w:val="en-US"/>
              </w:rPr>
            </w:pPr>
            <w:r>
              <w:t>NVPNU</w:t>
            </w:r>
          </w:p>
          <w:p w14:paraId="563B5CCF" w14:textId="77777777" w:rsidR="00CB542F" w:rsidRDefault="00573A58">
            <w:pPr>
              <w:widowControl w:val="0"/>
              <w:numPr>
                <w:ilvl w:val="0"/>
                <w:numId w:val="5"/>
              </w:numPr>
              <w:autoSpaceDE w:val="0"/>
              <w:autoSpaceDN w:val="0"/>
              <w:ind w:left="567" w:hanging="567"/>
              <w:jc w:val="both"/>
              <w:rPr>
                <w:color w:val="000000"/>
                <w:szCs w:val="22"/>
                <w:lang w:val="en-US"/>
              </w:rPr>
            </w:pPr>
            <w:r>
              <w:t xml:space="preserve"> Selektyvūs serotonino reabsorbcijos inhibitoriai (SSRI) arba selektyvūs serotonino ir norepinefrino reabsorbcijos inhibitoriai (SNRI)Kitokie vaistiniai preparatai, galintys sutrikdyti hemostazę</w:t>
            </w:r>
          </w:p>
        </w:tc>
      </w:tr>
      <w:tr w:rsidR="00CB542F" w14:paraId="3DA97182" w14:textId="77777777">
        <w:trPr>
          <w:trHeight w:val="2101"/>
        </w:trPr>
        <w:tc>
          <w:tcPr>
            <w:tcW w:w="4430" w:type="dxa"/>
            <w:shd w:val="clear" w:color="auto" w:fill="auto"/>
          </w:tcPr>
          <w:p w14:paraId="298585F6" w14:textId="77777777" w:rsidR="00CB542F" w:rsidRDefault="00573A58">
            <w:pPr>
              <w:widowControl w:val="0"/>
              <w:kinsoku w:val="0"/>
              <w:overflowPunct w:val="0"/>
              <w:autoSpaceDE w:val="0"/>
              <w:autoSpaceDN w:val="0"/>
              <w:adjustRightInd w:val="0"/>
              <w:ind w:left="105"/>
              <w:rPr>
                <w:color w:val="000000"/>
                <w:szCs w:val="22"/>
                <w:lang w:val="sl-SI" w:eastAsia="sl-SI"/>
              </w:rPr>
            </w:pPr>
            <w:r>
              <w:t>Ligos ar procedūros, susijusios su specifine kraujavimo rizika</w:t>
            </w:r>
          </w:p>
        </w:tc>
        <w:tc>
          <w:tcPr>
            <w:tcW w:w="4641" w:type="dxa"/>
            <w:shd w:val="clear" w:color="auto" w:fill="auto"/>
          </w:tcPr>
          <w:p w14:paraId="0270F0FC" w14:textId="77777777" w:rsidR="00CB542F" w:rsidRDefault="00573A58">
            <w:pPr>
              <w:widowControl w:val="0"/>
              <w:numPr>
                <w:ilvl w:val="0"/>
                <w:numId w:val="5"/>
              </w:numPr>
              <w:autoSpaceDE w:val="0"/>
              <w:autoSpaceDN w:val="0"/>
              <w:ind w:left="567" w:hanging="567"/>
              <w:jc w:val="both"/>
              <w:rPr>
                <w:color w:val="000000"/>
                <w:szCs w:val="22"/>
                <w:lang w:val="en-US"/>
              </w:rPr>
            </w:pPr>
            <w:r>
              <w:t>Įgimti arba įgyti kraujo krešėjimo sutrikimai</w:t>
            </w:r>
          </w:p>
          <w:p w14:paraId="41D99304" w14:textId="77777777" w:rsidR="00CB542F" w:rsidRDefault="00573A58">
            <w:pPr>
              <w:widowControl w:val="0"/>
              <w:numPr>
                <w:ilvl w:val="0"/>
                <w:numId w:val="5"/>
              </w:numPr>
              <w:autoSpaceDE w:val="0"/>
              <w:autoSpaceDN w:val="0"/>
              <w:ind w:left="567" w:hanging="567"/>
              <w:jc w:val="both"/>
              <w:rPr>
                <w:color w:val="000000"/>
                <w:szCs w:val="22"/>
                <w:lang w:val="en-US"/>
              </w:rPr>
            </w:pPr>
            <w:r>
              <w:t>Trombocitopenija arba funkcinis trombocitų trūkumas</w:t>
            </w:r>
          </w:p>
          <w:p w14:paraId="52E9E562" w14:textId="77777777" w:rsidR="00CB542F" w:rsidRDefault="00573A58">
            <w:pPr>
              <w:widowControl w:val="0"/>
              <w:numPr>
                <w:ilvl w:val="0"/>
                <w:numId w:val="5"/>
              </w:numPr>
              <w:autoSpaceDE w:val="0"/>
              <w:autoSpaceDN w:val="0"/>
              <w:ind w:left="567" w:hanging="567"/>
              <w:jc w:val="both"/>
              <w:rPr>
                <w:color w:val="000000"/>
                <w:szCs w:val="22"/>
                <w:lang w:val="en-US"/>
              </w:rPr>
            </w:pPr>
            <w:r>
              <w:t>Neseniai atlikta biopsija ar patirta didesnė trauma</w:t>
            </w:r>
          </w:p>
          <w:p w14:paraId="7211C4C7" w14:textId="77777777" w:rsidR="00CB542F" w:rsidRDefault="00573A58">
            <w:pPr>
              <w:widowControl w:val="0"/>
              <w:numPr>
                <w:ilvl w:val="0"/>
                <w:numId w:val="5"/>
              </w:numPr>
              <w:autoSpaceDE w:val="0"/>
              <w:autoSpaceDN w:val="0"/>
              <w:ind w:left="567" w:hanging="567"/>
              <w:jc w:val="both"/>
              <w:rPr>
                <w:color w:val="000000"/>
                <w:szCs w:val="22"/>
                <w:lang w:val="en-US"/>
              </w:rPr>
            </w:pPr>
            <w:r>
              <w:t>Bakterinis endokarditas</w:t>
            </w:r>
          </w:p>
          <w:p w14:paraId="2EB700E1" w14:textId="77777777" w:rsidR="00CB542F" w:rsidRDefault="00573A58">
            <w:pPr>
              <w:widowControl w:val="0"/>
              <w:numPr>
                <w:ilvl w:val="0"/>
                <w:numId w:val="5"/>
              </w:numPr>
              <w:autoSpaceDE w:val="0"/>
              <w:autoSpaceDN w:val="0"/>
              <w:ind w:left="567" w:hanging="567"/>
              <w:jc w:val="both"/>
              <w:rPr>
                <w:color w:val="000000"/>
                <w:szCs w:val="22"/>
                <w:lang w:val="en-US"/>
              </w:rPr>
            </w:pPr>
            <w:r>
              <w:t>Ezofagitas, gastritas ar gastroezofaginis refliuksas</w:t>
            </w:r>
          </w:p>
        </w:tc>
      </w:tr>
    </w:tbl>
    <w:p w14:paraId="287463CA" w14:textId="77777777" w:rsidR="00CB542F" w:rsidRDefault="00CB542F"/>
    <w:p w14:paraId="142514E0" w14:textId="77777777" w:rsidR="00CB542F" w:rsidRDefault="00573A58">
      <w:r>
        <w:t>Apie suaugusių pacientų, sveriančių &lt; 50 kg, gydymą duomenys yra riboti (žr. 5.2 skyrių).</w:t>
      </w:r>
    </w:p>
    <w:p w14:paraId="6D9E9CB4" w14:textId="77777777" w:rsidR="00CB542F" w:rsidRDefault="00CB542F"/>
    <w:p w14:paraId="78EEA298" w14:textId="77777777" w:rsidR="00CB542F" w:rsidRDefault="00573A58">
      <w:r>
        <w:t>Dabigatrano eteksilato vartojimas kartu su P-gp inhibitoriais pacientų vaikų populiacijoje netirtas, tačiau tokiu atveju gali padidėti kraujavimo rizika (žr. 4.5 skyrių).</w:t>
      </w:r>
    </w:p>
    <w:p w14:paraId="75E08F23" w14:textId="77777777" w:rsidR="00CB542F" w:rsidRDefault="00CB542F"/>
    <w:p w14:paraId="42E01D89" w14:textId="77777777" w:rsidR="00CB542F" w:rsidRDefault="00573A58">
      <w:pPr>
        <w:rPr>
          <w:i/>
          <w:iCs/>
          <w:u w:val="single"/>
        </w:rPr>
      </w:pPr>
      <w:r>
        <w:rPr>
          <w:i/>
          <w:iCs/>
          <w:u w:val="single"/>
        </w:rPr>
        <w:t>Atsargumo priemonės dėl hemoragijos rizikos ir jos valdymas</w:t>
      </w:r>
    </w:p>
    <w:p w14:paraId="2AD9F94C" w14:textId="77777777" w:rsidR="00CB542F" w:rsidRDefault="00CB542F"/>
    <w:p w14:paraId="073D9B00" w14:textId="77777777" w:rsidR="00CB542F" w:rsidRDefault="00573A58">
      <w:r>
        <w:t>Kaip valdyti kraujavimo komplikacijas, žr. 4.9 skyrių.</w:t>
      </w:r>
    </w:p>
    <w:p w14:paraId="616FFFED" w14:textId="77777777" w:rsidR="00CB542F" w:rsidRDefault="00CB542F"/>
    <w:p w14:paraId="20BA1864" w14:textId="77777777" w:rsidR="00CB542F" w:rsidRDefault="00573A58">
      <w:pPr>
        <w:rPr>
          <w:i/>
          <w:iCs/>
        </w:rPr>
      </w:pPr>
      <w:r>
        <w:rPr>
          <w:i/>
          <w:iCs/>
        </w:rPr>
        <w:t>Naudos ir rizikos įvertinimas</w:t>
      </w:r>
    </w:p>
    <w:p w14:paraId="1E468062" w14:textId="77777777" w:rsidR="00CB542F" w:rsidRDefault="00CB542F"/>
    <w:p w14:paraId="11B7F118" w14:textId="77777777" w:rsidR="00CB542F" w:rsidRDefault="00573A58">
      <w:r>
        <w:t>Reikšmingai didžiojo kraujavimo riziką didinančių sužeidimų, būklių, procedūrų ir (arba) gydymo vaistiniais preparatais (pvz., NVPNU, antitrombocitiniais preparatais, selektyviais serotonino reabsorbcijos inhibitoriais ar neselektyviais serotonino reabsorbcijos inhibitoriais, žr. 4.5 skyrių) atvejais būtina atidžiai įvertinti naudos ir rizikos santykį. Dabigatrano eteksilatu galima gydyti tik nustačius, kad nauda persveria kraujavimo riziką.</w:t>
      </w:r>
    </w:p>
    <w:p w14:paraId="58A8CFC1" w14:textId="77777777" w:rsidR="00CB542F" w:rsidRDefault="00CB542F"/>
    <w:p w14:paraId="5F36F521" w14:textId="77777777" w:rsidR="00CB542F" w:rsidRDefault="00573A58">
      <w:r>
        <w:t>Klinikinių duomenų apie pacientus vaikus, turinčius rizikos veiksnių, įskaitant sergančius aktyviu meningitu, encefalitu bei turinčius intrakranijinį abscesą, yra nedaug (žr. 5.1 skyrių). Tokius pacientus dabigatrano eteksilatu galima gydyti tik nustačius, kad tikėtina nauda persveria kraujavimo riziką</w:t>
      </w:r>
    </w:p>
    <w:p w14:paraId="5A66E0E8" w14:textId="77777777" w:rsidR="00CB542F" w:rsidRDefault="00CB542F"/>
    <w:p w14:paraId="37CF1007" w14:textId="77777777" w:rsidR="00CB542F" w:rsidRDefault="00573A58">
      <w:pPr>
        <w:rPr>
          <w:i/>
          <w:iCs/>
        </w:rPr>
      </w:pPr>
      <w:r>
        <w:rPr>
          <w:i/>
          <w:iCs/>
        </w:rPr>
        <w:t>Atidi klinikinė priežiūra</w:t>
      </w:r>
    </w:p>
    <w:p w14:paraId="1DA6BE07" w14:textId="77777777" w:rsidR="00CB542F" w:rsidRDefault="00CB542F"/>
    <w:p w14:paraId="20D4D216" w14:textId="77777777" w:rsidR="00CB542F" w:rsidRDefault="00573A58">
      <w:r>
        <w:t xml:space="preserve">Visą gydymo laikotarpį rekomenduojama atidžiai stebėti, ar neatsiranda kraujavimo ar anemijos požymių, ypač tuo atveju, jeigu yra ir rizikos veiksnių (žr. 4 lentelę pirmiau). Gydant dabigatrano eteksilatu kartu su verapamiliu, amjodaronu, chinidinu arba klaritromicinu (P-gp inhibitoriais), </w:t>
      </w:r>
      <w:r>
        <w:lastRenderedPageBreak/>
        <w:t>pacientus, ypač tuos, kurių inkstų funkcija susilpnėjusi, rekomenduojama atidžiai kliniškai prižiūrėti, ypač pasireiškus kraujavimui (žr. 4.5 skyrių). Dėl hemoragijos rizikos rekomenduojama atidžiai stebėti pacientus, kartu vartojančius NVPNU (žr. 4.5 skyrių).</w:t>
      </w:r>
    </w:p>
    <w:p w14:paraId="1F8C4AAB" w14:textId="77777777" w:rsidR="00CB542F" w:rsidRDefault="00CB542F"/>
    <w:p w14:paraId="64195032" w14:textId="77777777" w:rsidR="00CB542F" w:rsidRDefault="00573A58">
      <w:pPr>
        <w:rPr>
          <w:i/>
          <w:iCs/>
        </w:rPr>
      </w:pPr>
      <w:r>
        <w:rPr>
          <w:i/>
          <w:iCs/>
        </w:rPr>
        <w:t>Dabigatrano eteksilato vartojimo nutraukimas</w:t>
      </w:r>
    </w:p>
    <w:p w14:paraId="3A267258" w14:textId="77777777" w:rsidR="00CB542F" w:rsidRDefault="00CB542F"/>
    <w:p w14:paraId="6FFD6E30" w14:textId="77777777" w:rsidR="00CB542F" w:rsidRDefault="00573A58">
      <w:r>
        <w:t>Pacientams, kuriems pasireiškė ūminis inkstų nepakankamumas, dabigatrano eteksilato vartojimą būtina nutraukti (taip pat žr. 4.3 skyrių).</w:t>
      </w:r>
    </w:p>
    <w:p w14:paraId="68790792" w14:textId="77777777" w:rsidR="00CB542F" w:rsidRDefault="00CB542F"/>
    <w:p w14:paraId="062447AE" w14:textId="77777777" w:rsidR="00CB542F" w:rsidRDefault="00573A58">
      <w:r>
        <w:t>Jeigu prasideda stiprus kraujavimas, gydymą būtina nutraukti, nustatyti kraujavimo vietą ir suaugusiems pacientams galima apsvarstyti gydymo specifiniu poveikį neutralizuojančiu vaistiniu preparatu (idarucizumabu) galimybę. Idarucizumabo veiksmingumas ir saugumas pacientams vaikams neištirti. Dabigatraną galima pašalinti hemodializės būdu.</w:t>
      </w:r>
    </w:p>
    <w:p w14:paraId="38DE974F" w14:textId="77777777" w:rsidR="00CB542F" w:rsidRDefault="00CB542F"/>
    <w:p w14:paraId="4E5F74E9" w14:textId="77777777" w:rsidR="00CB542F" w:rsidRDefault="00573A58">
      <w:pPr>
        <w:rPr>
          <w:i/>
          <w:iCs/>
        </w:rPr>
      </w:pPr>
      <w:r>
        <w:rPr>
          <w:i/>
          <w:iCs/>
        </w:rPr>
        <w:t>Protonų siurblio inhibitorių vartojimas</w:t>
      </w:r>
    </w:p>
    <w:p w14:paraId="3F14E5DD" w14:textId="77777777" w:rsidR="00CB542F" w:rsidRDefault="00CB542F"/>
    <w:p w14:paraId="1FC3133F" w14:textId="77777777" w:rsidR="00CB542F" w:rsidRDefault="00573A58">
      <w:r>
        <w:t>Siekiant išvengti kraujavimo iš skrandžio ir žarnų, galima apsvarstyti protonų siurblio inhibitorių (PSI) skyrimą. Pacientų vaikų atveju reikia vadovautis vietinėmis protonų siurblio inhibitorių informacinių dokumentų rekomendacijomis.</w:t>
      </w:r>
    </w:p>
    <w:p w14:paraId="19C62810" w14:textId="77777777" w:rsidR="00CB542F" w:rsidRDefault="00CB542F"/>
    <w:p w14:paraId="61FBAEEC" w14:textId="77777777" w:rsidR="00CB542F" w:rsidRDefault="00573A58">
      <w:pPr>
        <w:rPr>
          <w:i/>
          <w:iCs/>
        </w:rPr>
      </w:pPr>
      <w:r>
        <w:rPr>
          <w:i/>
          <w:iCs/>
        </w:rPr>
        <w:t>Laboratorinių kraujo krešėjimo tyrimų rodmenys</w:t>
      </w:r>
    </w:p>
    <w:p w14:paraId="0F728E05" w14:textId="77777777" w:rsidR="00CB542F" w:rsidRDefault="00CB542F"/>
    <w:p w14:paraId="38BF1A14" w14:textId="77777777" w:rsidR="00CB542F" w:rsidRDefault="00573A58">
      <w:r>
        <w:t>Nors gydant šiuo vaistiniu preparatu nusistovėjusia praktika sekti antikoaguliacinį poveikį paprastai nereikalaujama, tais atvejais, kai yra papildomų rizikos veiksnių, nuo dabigatrano priklausomo antikoaguliacinio poveikio matavimas gali padėti nustatyti pernelyg didelę dabigatrano ekspoziciją. Naudingos informacijos gali duoti praskiesto trombino laikas (PTL), ekarino krešėjimo laikas (EKL) ir dalinio aktyvinto tromboplastino laikas (DATL), tačiau gautus rezultatus dėl kintamumo atliekant tą patį tyrimą reikia vertinti atsargiai (žr. 5.1 skyrių).</w:t>
      </w:r>
    </w:p>
    <w:p w14:paraId="165836F4" w14:textId="77777777" w:rsidR="00CB542F" w:rsidRDefault="00573A58">
      <w:r>
        <w:t>Dabigatrano eteksilato vartojantiems pacientams tarptautinio normalizuoto santykio (TNS) tyrimas yra nepatikimas ir buvo TNS tariamai teigiamo padidėjimo atvejų. Taigi TNS tyrimų atlikinėti nereikia.</w:t>
      </w:r>
    </w:p>
    <w:p w14:paraId="5140DF45" w14:textId="77777777" w:rsidR="00CB542F" w:rsidRDefault="00CB542F"/>
    <w:p w14:paraId="40C22F7C" w14:textId="77777777" w:rsidR="00CB542F" w:rsidRDefault="00573A58">
      <w:r>
        <w:t>5-ojoje lentelėje yra pateikti suaugusių pacientų krešėjimo rodiklių, nustatytų tuo metu, kai koncentracija mažiausia, slenksčiai, kurie gali būti susiję su kraujavimo rizikos padidėjimu. Atitinkamų slenksčių, taikytinų pacientams vaikams, nežinoma (žr. 5.1 skyrių).</w:t>
      </w:r>
    </w:p>
    <w:p w14:paraId="74A48495" w14:textId="77777777" w:rsidR="00CB542F" w:rsidRDefault="00CB542F"/>
    <w:p w14:paraId="667F2E7B" w14:textId="77777777" w:rsidR="00CB542F" w:rsidRDefault="00573A58">
      <w:pPr>
        <w:widowControl w:val="0"/>
        <w:kinsoku w:val="0"/>
        <w:overflowPunct w:val="0"/>
        <w:spacing w:before="1" w:after="60"/>
        <w:ind w:left="851" w:hanging="851"/>
        <w:outlineLvl w:val="0"/>
        <w:rPr>
          <w:b/>
          <w:bCs/>
          <w:color w:val="000000"/>
          <w:kern w:val="32"/>
          <w:szCs w:val="22"/>
          <w:lang w:val="sl-SI" w:eastAsia="sl-SI"/>
        </w:rPr>
      </w:pPr>
      <w:r>
        <w:rPr>
          <w:b/>
          <w:bCs/>
          <w:color w:val="000000"/>
          <w:kern w:val="32"/>
          <w:szCs w:val="22"/>
          <w:lang w:val="sl-SI" w:eastAsia="sl-SI"/>
        </w:rPr>
        <w:t>5 lentelė:</w:t>
      </w:r>
      <w:r>
        <w:rPr>
          <w:b/>
          <w:bCs/>
          <w:color w:val="000000"/>
          <w:kern w:val="32"/>
          <w:szCs w:val="22"/>
          <w:lang w:val="sl-SI" w:eastAsia="sl-SI"/>
        </w:rPr>
        <w:tab/>
      </w:r>
      <w:r>
        <w:rPr>
          <w:b/>
          <w:bCs/>
        </w:rPr>
        <w:t>Suaugusių pacientų krešėjimo rodiklių, nustatytų tuo metu, kai koncetracija mažiausia, slenksčiai, kurie gali būti susiję su kraujavimo rizikos padidėjimu</w:t>
      </w:r>
    </w:p>
    <w:tbl>
      <w:tblPr>
        <w:tblW w:w="6835" w:type="dxa"/>
        <w:tblInd w:w="-7" w:type="dxa"/>
        <w:tblLayout w:type="fixed"/>
        <w:tblCellMar>
          <w:left w:w="0" w:type="dxa"/>
          <w:right w:w="0" w:type="dxa"/>
        </w:tblCellMar>
        <w:tblLook w:val="0000" w:firstRow="0" w:lastRow="0" w:firstColumn="0" w:lastColumn="0" w:noHBand="0" w:noVBand="0"/>
      </w:tblPr>
      <w:tblGrid>
        <w:gridCol w:w="2850"/>
        <w:gridCol w:w="3971"/>
        <w:gridCol w:w="14"/>
      </w:tblGrid>
      <w:tr w:rsidR="00CB542F" w14:paraId="4BEFCB16" w14:textId="77777777">
        <w:trPr>
          <w:gridAfter w:val="1"/>
          <w:wAfter w:w="14" w:type="dxa"/>
          <w:trHeight w:val="253"/>
        </w:trPr>
        <w:tc>
          <w:tcPr>
            <w:tcW w:w="2850" w:type="dxa"/>
            <w:tcBorders>
              <w:top w:val="single" w:sz="4" w:space="0" w:color="000000"/>
              <w:left w:val="single" w:sz="4" w:space="0" w:color="000000"/>
              <w:bottom w:val="single" w:sz="4" w:space="0" w:color="000000"/>
              <w:right w:val="single" w:sz="4" w:space="0" w:color="000000"/>
            </w:tcBorders>
          </w:tcPr>
          <w:p w14:paraId="38270352"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Rodiklis (nustatytas tuo metu, kai koncentracija mažiausia)</w:t>
            </w:r>
          </w:p>
        </w:tc>
        <w:tc>
          <w:tcPr>
            <w:tcW w:w="3971" w:type="dxa"/>
            <w:tcBorders>
              <w:top w:val="single" w:sz="4" w:space="0" w:color="000000"/>
              <w:left w:val="single" w:sz="4" w:space="0" w:color="000000"/>
              <w:bottom w:val="single" w:sz="4" w:space="0" w:color="000000"/>
              <w:right w:val="single" w:sz="4" w:space="0" w:color="000000"/>
            </w:tcBorders>
          </w:tcPr>
          <w:p w14:paraId="4BB72413" w14:textId="77777777" w:rsidR="00CB542F" w:rsidRDefault="00573A58">
            <w:pPr>
              <w:widowControl w:val="0"/>
              <w:kinsoku w:val="0"/>
              <w:overflowPunct w:val="0"/>
              <w:autoSpaceDE w:val="0"/>
              <w:autoSpaceDN w:val="0"/>
              <w:adjustRightInd w:val="0"/>
            </w:pPr>
            <w:r>
              <w:t>Indikacija</w:t>
            </w:r>
          </w:p>
        </w:tc>
      </w:tr>
      <w:tr w:rsidR="00CB542F" w14:paraId="1B04B913"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494EF132" w14:textId="77777777" w:rsidR="00CB542F" w:rsidRDefault="00CB542F">
            <w:pPr>
              <w:widowControl w:val="0"/>
              <w:kinsoku w:val="0"/>
              <w:overflowPunct w:val="0"/>
              <w:autoSpaceDE w:val="0"/>
              <w:autoSpaceDN w:val="0"/>
              <w:adjustRightInd w:val="0"/>
              <w:spacing w:line="232" w:lineRule="exact"/>
              <w:ind w:left="105"/>
            </w:pPr>
          </w:p>
        </w:tc>
        <w:tc>
          <w:tcPr>
            <w:tcW w:w="3985" w:type="dxa"/>
            <w:gridSpan w:val="2"/>
            <w:tcBorders>
              <w:top w:val="single" w:sz="4" w:space="0" w:color="000000"/>
              <w:left w:val="single" w:sz="4" w:space="0" w:color="000000"/>
              <w:bottom w:val="single" w:sz="4" w:space="0" w:color="000000"/>
              <w:right w:val="single" w:sz="4" w:space="0" w:color="000000"/>
            </w:tcBorders>
          </w:tcPr>
          <w:p w14:paraId="7487DBB6" w14:textId="77777777" w:rsidR="00CB542F" w:rsidRDefault="00573A58">
            <w:pPr>
              <w:widowControl w:val="0"/>
              <w:kinsoku w:val="0"/>
              <w:overflowPunct w:val="0"/>
              <w:autoSpaceDE w:val="0"/>
              <w:autoSpaceDN w:val="0"/>
              <w:adjustRightInd w:val="0"/>
              <w:spacing w:line="232" w:lineRule="exact"/>
              <w:ind w:left="105"/>
              <w:rPr>
                <w:color w:val="000000"/>
                <w:szCs w:val="22"/>
                <w:lang w:val="sl-SI" w:eastAsia="sl-SI"/>
              </w:rPr>
            </w:pPr>
            <w:r>
              <w:t>IPPV ir GVT/PE</w:t>
            </w:r>
          </w:p>
        </w:tc>
      </w:tr>
      <w:tr w:rsidR="00CB542F" w14:paraId="4FAE2D8A"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1F3CCD5E" w14:textId="77777777" w:rsidR="00CB542F" w:rsidRDefault="00573A58">
            <w:pPr>
              <w:widowControl w:val="0"/>
              <w:kinsoku w:val="0"/>
              <w:overflowPunct w:val="0"/>
              <w:autoSpaceDE w:val="0"/>
              <w:autoSpaceDN w:val="0"/>
              <w:adjustRightInd w:val="0"/>
              <w:spacing w:line="232" w:lineRule="exact"/>
              <w:ind w:left="105"/>
              <w:rPr>
                <w:color w:val="000000"/>
                <w:szCs w:val="22"/>
                <w:lang w:val="sl-SI" w:eastAsia="sl-SI"/>
              </w:rPr>
            </w:pPr>
            <w:r>
              <w:t>PTL (ng/ml)</w:t>
            </w:r>
          </w:p>
        </w:tc>
        <w:tc>
          <w:tcPr>
            <w:tcW w:w="3985" w:type="dxa"/>
            <w:gridSpan w:val="2"/>
            <w:tcBorders>
              <w:top w:val="single" w:sz="4" w:space="0" w:color="000000"/>
              <w:left w:val="single" w:sz="4" w:space="0" w:color="000000"/>
              <w:bottom w:val="single" w:sz="4" w:space="0" w:color="000000"/>
              <w:right w:val="single" w:sz="4" w:space="0" w:color="000000"/>
            </w:tcBorders>
          </w:tcPr>
          <w:p w14:paraId="7A9F6337" w14:textId="77777777" w:rsidR="00CB542F" w:rsidRDefault="00573A58">
            <w:pPr>
              <w:widowControl w:val="0"/>
              <w:kinsoku w:val="0"/>
              <w:overflowPunct w:val="0"/>
              <w:autoSpaceDE w:val="0"/>
              <w:autoSpaceDN w:val="0"/>
              <w:adjustRightInd w:val="0"/>
              <w:spacing w:line="232" w:lineRule="exact"/>
              <w:ind w:left="105"/>
              <w:rPr>
                <w:color w:val="000000"/>
                <w:szCs w:val="22"/>
                <w:lang w:val="sl-SI" w:eastAsia="sl-SI"/>
              </w:rPr>
            </w:pPr>
            <w:r>
              <w:t>&gt; 200</w:t>
            </w:r>
          </w:p>
        </w:tc>
      </w:tr>
      <w:tr w:rsidR="00CB542F" w14:paraId="25BC72BB" w14:textId="77777777">
        <w:trPr>
          <w:trHeight w:val="254"/>
        </w:trPr>
        <w:tc>
          <w:tcPr>
            <w:tcW w:w="2850" w:type="dxa"/>
            <w:tcBorders>
              <w:top w:val="single" w:sz="4" w:space="0" w:color="000000"/>
              <w:left w:val="single" w:sz="4" w:space="0" w:color="000000"/>
              <w:bottom w:val="single" w:sz="4" w:space="0" w:color="000000"/>
              <w:right w:val="single" w:sz="4" w:space="0" w:color="000000"/>
            </w:tcBorders>
          </w:tcPr>
          <w:p w14:paraId="6815EB03"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EKL (x kartų didesnis už viršutinę normos reikšmę)</w:t>
            </w:r>
          </w:p>
        </w:tc>
        <w:tc>
          <w:tcPr>
            <w:tcW w:w="3985" w:type="dxa"/>
            <w:gridSpan w:val="2"/>
            <w:tcBorders>
              <w:top w:val="single" w:sz="4" w:space="0" w:color="000000"/>
              <w:left w:val="single" w:sz="4" w:space="0" w:color="000000"/>
              <w:bottom w:val="single" w:sz="4" w:space="0" w:color="000000"/>
              <w:right w:val="single" w:sz="4" w:space="0" w:color="000000"/>
            </w:tcBorders>
          </w:tcPr>
          <w:p w14:paraId="2BE5B0CD" w14:textId="77777777" w:rsidR="00CB542F" w:rsidRDefault="00573A58">
            <w:pPr>
              <w:widowControl w:val="0"/>
              <w:kinsoku w:val="0"/>
              <w:overflowPunct w:val="0"/>
              <w:autoSpaceDE w:val="0"/>
              <w:autoSpaceDN w:val="0"/>
              <w:adjustRightInd w:val="0"/>
              <w:spacing w:line="234" w:lineRule="exact"/>
              <w:ind w:left="105"/>
            </w:pPr>
            <w:r>
              <w:t>&gt; 3</w:t>
            </w:r>
          </w:p>
        </w:tc>
      </w:tr>
      <w:tr w:rsidR="00CB542F" w14:paraId="52991CFD" w14:textId="77777777">
        <w:trPr>
          <w:trHeight w:val="253"/>
        </w:trPr>
        <w:tc>
          <w:tcPr>
            <w:tcW w:w="2850" w:type="dxa"/>
            <w:tcBorders>
              <w:top w:val="single" w:sz="4" w:space="0" w:color="000000"/>
              <w:left w:val="single" w:sz="4" w:space="0" w:color="000000"/>
              <w:bottom w:val="single" w:sz="4" w:space="0" w:color="000000"/>
              <w:right w:val="single" w:sz="4" w:space="0" w:color="000000"/>
            </w:tcBorders>
          </w:tcPr>
          <w:p w14:paraId="498A23A2"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DATL (x kartų didesnis už viršutinę normos reikšmę)</w:t>
            </w:r>
          </w:p>
        </w:tc>
        <w:tc>
          <w:tcPr>
            <w:tcW w:w="3985" w:type="dxa"/>
            <w:gridSpan w:val="2"/>
            <w:tcBorders>
              <w:top w:val="single" w:sz="4" w:space="0" w:color="000000"/>
              <w:left w:val="single" w:sz="4" w:space="0" w:color="000000"/>
              <w:bottom w:val="single" w:sz="4" w:space="0" w:color="000000"/>
              <w:right w:val="single" w:sz="4" w:space="0" w:color="000000"/>
            </w:tcBorders>
          </w:tcPr>
          <w:p w14:paraId="5385E46D" w14:textId="77777777" w:rsidR="00CB542F" w:rsidRDefault="00573A58">
            <w:pPr>
              <w:widowControl w:val="0"/>
              <w:kinsoku w:val="0"/>
              <w:overflowPunct w:val="0"/>
              <w:autoSpaceDE w:val="0"/>
              <w:autoSpaceDN w:val="0"/>
              <w:adjustRightInd w:val="0"/>
              <w:spacing w:line="234" w:lineRule="exact"/>
              <w:ind w:left="105"/>
            </w:pPr>
            <w:r>
              <w:t>&gt; 2</w:t>
            </w:r>
          </w:p>
        </w:tc>
      </w:tr>
      <w:tr w:rsidR="00CB542F" w14:paraId="77D0A1EE"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56F9E542" w14:textId="77777777" w:rsidR="00CB542F" w:rsidRDefault="00573A58">
            <w:pPr>
              <w:widowControl w:val="0"/>
              <w:kinsoku w:val="0"/>
              <w:overflowPunct w:val="0"/>
              <w:autoSpaceDE w:val="0"/>
              <w:autoSpaceDN w:val="0"/>
              <w:adjustRightInd w:val="0"/>
              <w:spacing w:line="232" w:lineRule="exact"/>
              <w:ind w:left="105"/>
              <w:rPr>
                <w:color w:val="000000"/>
                <w:szCs w:val="22"/>
                <w:lang w:val="sl-SI" w:eastAsia="sl-SI"/>
              </w:rPr>
            </w:pPr>
            <w:r>
              <w:t>TNS</w:t>
            </w:r>
          </w:p>
        </w:tc>
        <w:tc>
          <w:tcPr>
            <w:tcW w:w="3985" w:type="dxa"/>
            <w:gridSpan w:val="2"/>
            <w:tcBorders>
              <w:top w:val="single" w:sz="4" w:space="0" w:color="000000"/>
              <w:left w:val="single" w:sz="4" w:space="0" w:color="000000"/>
              <w:bottom w:val="single" w:sz="4" w:space="0" w:color="000000"/>
              <w:right w:val="single" w:sz="4" w:space="0" w:color="000000"/>
            </w:tcBorders>
          </w:tcPr>
          <w:p w14:paraId="4BDCFC87" w14:textId="77777777" w:rsidR="00CB542F" w:rsidRDefault="00573A58">
            <w:pPr>
              <w:widowControl w:val="0"/>
              <w:kinsoku w:val="0"/>
              <w:overflowPunct w:val="0"/>
              <w:autoSpaceDE w:val="0"/>
              <w:autoSpaceDN w:val="0"/>
              <w:adjustRightInd w:val="0"/>
              <w:spacing w:line="232" w:lineRule="exact"/>
              <w:ind w:left="105"/>
            </w:pPr>
            <w:r>
              <w:t>Tirti nereikia</w:t>
            </w:r>
          </w:p>
        </w:tc>
      </w:tr>
    </w:tbl>
    <w:p w14:paraId="19E10DF7" w14:textId="77777777" w:rsidR="00CB542F" w:rsidRDefault="00CB542F"/>
    <w:p w14:paraId="69E182C9" w14:textId="77777777" w:rsidR="00CB542F" w:rsidRDefault="00573A58">
      <w:pPr>
        <w:rPr>
          <w:u w:val="single"/>
        </w:rPr>
      </w:pPr>
      <w:r>
        <w:rPr>
          <w:u w:val="single"/>
        </w:rPr>
        <w:t>Fibrinolizinių vaistinių preparatų vartojimas ūminiam išeminiam insultui gydyti</w:t>
      </w:r>
    </w:p>
    <w:p w14:paraId="0B6352DB" w14:textId="77777777" w:rsidR="00CB542F" w:rsidRDefault="00CB542F"/>
    <w:p w14:paraId="7C6E5C5E" w14:textId="77777777" w:rsidR="00CB542F" w:rsidRDefault="00573A58">
      <w:r>
        <w:t>Fibrinolizinių vaistinių preparatų vartojimas ūminiam išeminiam insultui gydyti gali būti svarstomas pacientams, kurių PTL, ekarino krešėjimo laikas (ECT) arba DATL neviršija viršutinės normos reikšmės (VNR) pagal vietinius nurodymus.</w:t>
      </w:r>
    </w:p>
    <w:p w14:paraId="30DA86EC" w14:textId="77777777" w:rsidR="00CB542F" w:rsidRDefault="00CB542F"/>
    <w:p w14:paraId="4A76E07A" w14:textId="77777777" w:rsidR="00CB542F" w:rsidRDefault="00573A58">
      <w:pPr>
        <w:rPr>
          <w:u w:val="single"/>
        </w:rPr>
      </w:pPr>
      <w:r>
        <w:rPr>
          <w:u w:val="single"/>
        </w:rPr>
        <w:t>Operacijos ir intervencijos</w:t>
      </w:r>
    </w:p>
    <w:p w14:paraId="4D8E92DE" w14:textId="77777777" w:rsidR="00CB542F" w:rsidRDefault="00CB542F"/>
    <w:p w14:paraId="71A533B9" w14:textId="77777777" w:rsidR="00CB542F" w:rsidRDefault="00573A58">
      <w:r>
        <w:lastRenderedPageBreak/>
        <w:t>Dabigatrano eteksilato vartojantiems pacientams operacijų ir invazinių procedūrų metu yra didesnė kraujavimo rizika, todėl chirurginių procedūrų metu dabigatrano eteksilato vartojimą gali reikėti laikinai nutraukti.</w:t>
      </w:r>
    </w:p>
    <w:p w14:paraId="69BE41AE" w14:textId="77777777" w:rsidR="00CB542F" w:rsidRDefault="00CB542F"/>
    <w:p w14:paraId="42EAAB9E" w14:textId="77777777" w:rsidR="00CB542F" w:rsidRDefault="00573A58">
      <w:r>
        <w:t>Atliekant kardioversiją, dabigatrano eteksilato vartojimo nutraukti nereikia. Pacientams, kuriems atliekama prieširdžių virpėjimo kateterinė abliacija, gydymo dabigatrano eteksilatu (po 150 mg du kartus per parą) pertraukti nereikia (žr. 4.2 skyrių).</w:t>
      </w:r>
    </w:p>
    <w:p w14:paraId="3FC6AC75" w14:textId="77777777" w:rsidR="00CB542F" w:rsidRDefault="00CB542F"/>
    <w:p w14:paraId="43D2D919" w14:textId="77777777" w:rsidR="00CB542F" w:rsidRDefault="00573A58">
      <w:r>
        <w:t>Gydymą dėl procedūros laikinai nutraukus, būtinas atsargumas ir antikoaguliacinio poveikio sekimas. Pacientų, sergančių inkstų nepakankamumu, organizme dabigatrano klirensas gali būti ilgesnis (žr. 5.2 skyrių). Tai reikia turėti omenyje prieš atliekant bet kokią procedūrą. Tokiais atvejais kraujo krešėjimo tyrimas (žr. 4.4 ir 5.1 skyrius) gali padėti nustatyti, ar hemostazė vis dar yra sutrikusi.</w:t>
      </w:r>
    </w:p>
    <w:p w14:paraId="0ADF70B2" w14:textId="77777777" w:rsidR="00CB542F" w:rsidRDefault="00CB542F"/>
    <w:p w14:paraId="38F3239F" w14:textId="77777777" w:rsidR="00CB542F" w:rsidRDefault="00573A58">
      <w:pPr>
        <w:rPr>
          <w:i/>
          <w:iCs/>
          <w:u w:val="single"/>
        </w:rPr>
      </w:pPr>
      <w:r>
        <w:rPr>
          <w:i/>
          <w:iCs/>
          <w:u w:val="single"/>
        </w:rPr>
        <w:t>Neatidėliotinos operacijos arba skubios procedūros</w:t>
      </w:r>
    </w:p>
    <w:p w14:paraId="62AA6520" w14:textId="77777777" w:rsidR="00CB542F" w:rsidRDefault="00573A58">
      <w:r>
        <w:t>Dabigatrano eteksilato vartojimą reikia laikinai nutraukti. Jeigu būtina greitai panaikinti antikoaguliacinį poveikį, suaugusiems pacientams tinka specifinis dabigatrano poveikį neutralizuojantis vaistinis preparatas (idarucizumabas). Idarucizumabo veiksmingumas ir saugumas pacientams vaikams neištirti. Dabigatrano eteksilatą galima pašalinti hemodializės būdu.</w:t>
      </w:r>
    </w:p>
    <w:p w14:paraId="3DF658B6" w14:textId="77777777" w:rsidR="00CB542F" w:rsidRDefault="00573A58">
      <w:r>
        <w:t>Panaikinus gydymo dabigatranu poveikį, pacientas lieka neapsaugotas nuo trombozės rizikos, kurią kelia pagrindinė liga. Praėjus 24 valandoms po idarucizumabo suleidimo, gydymą dabigatrano eteksilatu galima atnaujinti, jei paciento būklė klinikiniu požiūriu yra stabili ir jeigu buvo sukelta pakankama hemostazė.</w:t>
      </w:r>
    </w:p>
    <w:p w14:paraId="2EB62106" w14:textId="77777777" w:rsidR="00CB542F" w:rsidRDefault="00CB542F"/>
    <w:p w14:paraId="1C1DB408" w14:textId="77777777" w:rsidR="00CB542F" w:rsidRDefault="00573A58">
      <w:pPr>
        <w:rPr>
          <w:i/>
          <w:iCs/>
          <w:u w:val="single"/>
        </w:rPr>
      </w:pPr>
      <w:r>
        <w:rPr>
          <w:i/>
          <w:iCs/>
          <w:u w:val="single"/>
        </w:rPr>
        <w:t>Apyskubės operacijos ir (arba) intervencijos</w:t>
      </w:r>
    </w:p>
    <w:p w14:paraId="3A904A02" w14:textId="77777777" w:rsidR="00CB542F" w:rsidRDefault="00CB542F"/>
    <w:p w14:paraId="4C7403EB" w14:textId="77777777" w:rsidR="00CB542F" w:rsidRDefault="00573A58">
      <w:r>
        <w:t>Dabigatrano eteksilato vartojimą reikia laikinai nutraukti. Operaciją arba intervenciją reikia, jeigu galima, atidėti, kol praeis bent 12 valandų po paskutinės dozės suleidimo. Jeigu operacijos atidėti negalima, gali padidėti kraujavimo rizika. Šią riziką reikia palyginti su intervencijos skubumu.</w:t>
      </w:r>
    </w:p>
    <w:p w14:paraId="19C73C5E" w14:textId="77777777" w:rsidR="00CB542F" w:rsidRDefault="00CB542F"/>
    <w:p w14:paraId="0B63AE81" w14:textId="77777777" w:rsidR="00CB542F" w:rsidRDefault="00573A58">
      <w:pPr>
        <w:rPr>
          <w:i/>
          <w:iCs/>
          <w:u w:val="single"/>
        </w:rPr>
      </w:pPr>
      <w:r>
        <w:rPr>
          <w:i/>
          <w:iCs/>
          <w:u w:val="single"/>
        </w:rPr>
        <w:t>Planinės operacijos</w:t>
      </w:r>
    </w:p>
    <w:p w14:paraId="0A2A41DD" w14:textId="77777777" w:rsidR="00CB542F" w:rsidRDefault="00CB542F"/>
    <w:p w14:paraId="122D7B34" w14:textId="77777777" w:rsidR="00CB542F" w:rsidRDefault="00573A58">
      <w: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2-4 paroms iki operacijos.</w:t>
      </w:r>
    </w:p>
    <w:p w14:paraId="75DC2B0A" w14:textId="77777777" w:rsidR="00CB542F" w:rsidRDefault="00CB542F"/>
    <w:p w14:paraId="1A6C24D5" w14:textId="77777777" w:rsidR="00CB542F" w:rsidRDefault="00573A58">
      <w:r>
        <w:t>6 lentelėje pateikiamos vartojimo nutraukimo prieš invazines procedūras arba chirurgines operacijas taisyklės suaugusiems pacientams.</w:t>
      </w:r>
    </w:p>
    <w:p w14:paraId="41CDBF25" w14:textId="77777777" w:rsidR="00CB542F" w:rsidRDefault="00CB542F"/>
    <w:p w14:paraId="0D2AB806" w14:textId="77777777" w:rsidR="00CB542F" w:rsidRDefault="00573A58">
      <w:pPr>
        <w:rPr>
          <w:b/>
          <w:bCs/>
        </w:rPr>
      </w:pPr>
      <w:r>
        <w:rPr>
          <w:b/>
          <w:bCs/>
        </w:rPr>
        <w:t>6 lentelė. Vartojimo nutraukimo prieš invazines procedūras arba chirurgines operacijas taisyklės suaugusiems pacientams</w:t>
      </w:r>
    </w:p>
    <w:p w14:paraId="3AE27FE4" w14:textId="77777777" w:rsidR="00CB542F" w:rsidRDefault="00CB542F">
      <w:pPr>
        <w:rPr>
          <w:b/>
          <w:bCs/>
        </w:rPr>
      </w:pPr>
    </w:p>
    <w:tbl>
      <w:tblPr>
        <w:tblW w:w="9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961"/>
        <w:gridCol w:w="2835"/>
        <w:gridCol w:w="2782"/>
      </w:tblGrid>
      <w:tr w:rsidR="00CB542F" w14:paraId="034D88F8" w14:textId="77777777">
        <w:trPr>
          <w:trHeight w:val="441"/>
        </w:trPr>
        <w:tc>
          <w:tcPr>
            <w:tcW w:w="1701" w:type="dxa"/>
            <w:vMerge w:val="restart"/>
            <w:shd w:val="clear" w:color="auto" w:fill="auto"/>
          </w:tcPr>
          <w:p w14:paraId="1E513322" w14:textId="77777777" w:rsidR="00CB542F" w:rsidRDefault="00573A58">
            <w:pPr>
              <w:widowControl w:val="0"/>
              <w:kinsoku w:val="0"/>
              <w:overflowPunct w:val="0"/>
              <w:autoSpaceDE w:val="0"/>
              <w:autoSpaceDN w:val="0"/>
              <w:adjustRightInd w:val="0"/>
              <w:ind w:left="105"/>
              <w:rPr>
                <w:color w:val="000000"/>
                <w:szCs w:val="22"/>
                <w:lang w:val="sl-SI" w:eastAsia="sl-SI"/>
              </w:rPr>
            </w:pPr>
            <w:r>
              <w:t>Inkstų funkcija (KrKl ml/min.)</w:t>
            </w:r>
          </w:p>
        </w:tc>
        <w:tc>
          <w:tcPr>
            <w:tcW w:w="1961" w:type="dxa"/>
            <w:vMerge w:val="restart"/>
            <w:shd w:val="clear" w:color="auto" w:fill="auto"/>
          </w:tcPr>
          <w:p w14:paraId="2C236902" w14:textId="77777777" w:rsidR="00CB542F" w:rsidRDefault="00573A58">
            <w:pPr>
              <w:widowControl w:val="0"/>
              <w:kinsoku w:val="0"/>
              <w:overflowPunct w:val="0"/>
              <w:autoSpaceDE w:val="0"/>
              <w:autoSpaceDN w:val="0"/>
              <w:adjustRightInd w:val="0"/>
              <w:ind w:left="105"/>
              <w:rPr>
                <w:color w:val="000000"/>
                <w:szCs w:val="22"/>
                <w:lang w:val="sl-SI" w:eastAsia="sl-SI"/>
              </w:rPr>
            </w:pPr>
            <w:r>
              <w:t>Apskaičiuotas pusinės eliminacijos laikas (val.)</w:t>
            </w:r>
          </w:p>
        </w:tc>
        <w:tc>
          <w:tcPr>
            <w:tcW w:w="5617" w:type="dxa"/>
            <w:gridSpan w:val="2"/>
            <w:shd w:val="clear" w:color="auto" w:fill="auto"/>
          </w:tcPr>
          <w:p w14:paraId="65803A68" w14:textId="77777777" w:rsidR="00CB542F" w:rsidRDefault="00573A58">
            <w:pPr>
              <w:widowControl w:val="0"/>
              <w:kinsoku w:val="0"/>
              <w:overflowPunct w:val="0"/>
              <w:autoSpaceDE w:val="0"/>
              <w:autoSpaceDN w:val="0"/>
              <w:adjustRightInd w:val="0"/>
              <w:spacing w:line="247" w:lineRule="exact"/>
              <w:rPr>
                <w:color w:val="000000"/>
                <w:szCs w:val="22"/>
                <w:lang w:val="sl-SI" w:eastAsia="sl-SI"/>
              </w:rPr>
            </w:pPr>
            <w:r>
              <w:t>Prieš planinę operaciją gydymą dabigatrano eteksilatu reikia nutraukti</w:t>
            </w:r>
          </w:p>
        </w:tc>
      </w:tr>
      <w:tr w:rsidR="00CB542F" w14:paraId="45F65278" w14:textId="77777777">
        <w:trPr>
          <w:trHeight w:val="505"/>
        </w:trPr>
        <w:tc>
          <w:tcPr>
            <w:tcW w:w="1701" w:type="dxa"/>
            <w:vMerge/>
            <w:shd w:val="clear" w:color="auto" w:fill="auto"/>
          </w:tcPr>
          <w:p w14:paraId="508C35C2" w14:textId="77777777" w:rsidR="00CB542F" w:rsidRDefault="00CB542F">
            <w:pPr>
              <w:widowControl w:val="0"/>
              <w:numPr>
                <w:ilvl w:val="12"/>
                <w:numId w:val="0"/>
              </w:numPr>
              <w:tabs>
                <w:tab w:val="left" w:pos="8505"/>
              </w:tabs>
              <w:kinsoku w:val="0"/>
              <w:overflowPunct w:val="0"/>
              <w:spacing w:before="2"/>
              <w:rPr>
                <w:b/>
                <w:bCs/>
                <w:color w:val="000000"/>
                <w:szCs w:val="22"/>
                <w:lang w:val="sl-SI" w:eastAsia="sl-SI"/>
              </w:rPr>
            </w:pPr>
          </w:p>
        </w:tc>
        <w:tc>
          <w:tcPr>
            <w:tcW w:w="1961" w:type="dxa"/>
            <w:vMerge/>
            <w:shd w:val="clear" w:color="auto" w:fill="auto"/>
          </w:tcPr>
          <w:p w14:paraId="2DF73F01" w14:textId="77777777" w:rsidR="00CB542F" w:rsidRDefault="00CB542F">
            <w:pPr>
              <w:widowControl w:val="0"/>
              <w:numPr>
                <w:ilvl w:val="12"/>
                <w:numId w:val="0"/>
              </w:numPr>
              <w:tabs>
                <w:tab w:val="left" w:pos="8505"/>
              </w:tabs>
              <w:kinsoku w:val="0"/>
              <w:overflowPunct w:val="0"/>
              <w:spacing w:before="2"/>
              <w:rPr>
                <w:b/>
                <w:bCs/>
                <w:color w:val="000000"/>
                <w:szCs w:val="22"/>
                <w:lang w:val="sl-SI" w:eastAsia="sl-SI"/>
              </w:rPr>
            </w:pPr>
          </w:p>
        </w:tc>
        <w:tc>
          <w:tcPr>
            <w:tcW w:w="2835" w:type="dxa"/>
            <w:shd w:val="clear" w:color="auto" w:fill="auto"/>
          </w:tcPr>
          <w:p w14:paraId="0138C695" w14:textId="77777777" w:rsidR="00CB542F" w:rsidRDefault="00573A58">
            <w:pPr>
              <w:widowControl w:val="0"/>
              <w:kinsoku w:val="0"/>
              <w:overflowPunct w:val="0"/>
              <w:autoSpaceDE w:val="0"/>
              <w:autoSpaceDN w:val="0"/>
              <w:adjustRightInd w:val="0"/>
              <w:spacing w:line="240" w:lineRule="exact"/>
              <w:ind w:left="107"/>
              <w:rPr>
                <w:color w:val="000000"/>
                <w:szCs w:val="22"/>
                <w:lang w:val="sl-SI" w:eastAsia="sl-SI"/>
              </w:rPr>
            </w:pPr>
            <w:r>
              <w:t>Didelė kraujavimo arba didesnės operacijos rizika</w:t>
            </w:r>
          </w:p>
        </w:tc>
        <w:tc>
          <w:tcPr>
            <w:tcW w:w="2782" w:type="dxa"/>
            <w:shd w:val="clear" w:color="auto" w:fill="auto"/>
          </w:tcPr>
          <w:p w14:paraId="7A2704F6"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Įprastinė rizika</w:t>
            </w:r>
          </w:p>
        </w:tc>
      </w:tr>
      <w:tr w:rsidR="00CB542F" w14:paraId="71B645BD" w14:textId="77777777">
        <w:trPr>
          <w:trHeight w:val="251"/>
        </w:trPr>
        <w:tc>
          <w:tcPr>
            <w:tcW w:w="1701" w:type="dxa"/>
            <w:shd w:val="clear" w:color="auto" w:fill="auto"/>
          </w:tcPr>
          <w:p w14:paraId="15C6A9C7" w14:textId="77777777" w:rsidR="00CB542F" w:rsidRDefault="00573A58">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80</w:t>
            </w:r>
          </w:p>
        </w:tc>
        <w:tc>
          <w:tcPr>
            <w:tcW w:w="1961" w:type="dxa"/>
            <w:shd w:val="clear" w:color="auto" w:fill="auto"/>
          </w:tcPr>
          <w:p w14:paraId="016BE527" w14:textId="77777777" w:rsidR="00CB542F" w:rsidRDefault="00573A58">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13</w:t>
            </w:r>
          </w:p>
        </w:tc>
        <w:tc>
          <w:tcPr>
            <w:tcW w:w="2835" w:type="dxa"/>
            <w:shd w:val="clear" w:color="auto" w:fill="auto"/>
          </w:tcPr>
          <w:p w14:paraId="2342C2F1"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 paras</w:t>
            </w:r>
          </w:p>
        </w:tc>
        <w:tc>
          <w:tcPr>
            <w:tcW w:w="2782" w:type="dxa"/>
            <w:shd w:val="clear" w:color="auto" w:fill="auto"/>
          </w:tcPr>
          <w:p w14:paraId="533D4CC0"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24 val.</w:t>
            </w:r>
          </w:p>
        </w:tc>
      </w:tr>
      <w:tr w:rsidR="00CB542F" w14:paraId="12302312" w14:textId="77777777">
        <w:trPr>
          <w:trHeight w:val="253"/>
        </w:trPr>
        <w:tc>
          <w:tcPr>
            <w:tcW w:w="1701" w:type="dxa"/>
            <w:shd w:val="clear" w:color="auto" w:fill="auto"/>
          </w:tcPr>
          <w:p w14:paraId="789E600A" w14:textId="77777777" w:rsidR="00CB542F" w:rsidRDefault="00573A58">
            <w:pPr>
              <w:widowControl w:val="0"/>
              <w:kinsoku w:val="0"/>
              <w:overflowPunct w:val="0"/>
              <w:autoSpaceDE w:val="0"/>
              <w:autoSpaceDN w:val="0"/>
              <w:adjustRightInd w:val="0"/>
              <w:spacing w:line="234" w:lineRule="exact"/>
              <w:ind w:left="337"/>
              <w:jc w:val="center"/>
              <w:rPr>
                <w:color w:val="000000"/>
                <w:szCs w:val="22"/>
                <w:lang w:val="sl-SI" w:eastAsia="sl-SI"/>
              </w:rPr>
            </w:pPr>
            <w:r>
              <w:rPr>
                <w:color w:val="000000"/>
                <w:szCs w:val="22"/>
                <w:lang w:val="sl-SI" w:eastAsia="sl-SI"/>
              </w:rPr>
              <w:t>≥ 50-&lt; 80</w:t>
            </w:r>
          </w:p>
        </w:tc>
        <w:tc>
          <w:tcPr>
            <w:tcW w:w="1961" w:type="dxa"/>
            <w:shd w:val="clear" w:color="auto" w:fill="auto"/>
          </w:tcPr>
          <w:p w14:paraId="6ED74D8D" w14:textId="77777777" w:rsidR="00CB542F" w:rsidRDefault="00573A58">
            <w:pPr>
              <w:widowControl w:val="0"/>
              <w:kinsoku w:val="0"/>
              <w:overflowPunct w:val="0"/>
              <w:autoSpaceDE w:val="0"/>
              <w:autoSpaceDN w:val="0"/>
              <w:adjustRightInd w:val="0"/>
              <w:spacing w:line="234" w:lineRule="exact"/>
              <w:ind w:left="714"/>
              <w:jc w:val="center"/>
              <w:rPr>
                <w:color w:val="000000"/>
                <w:szCs w:val="22"/>
                <w:lang w:val="sl-SI" w:eastAsia="sl-SI"/>
              </w:rPr>
            </w:pPr>
            <w:r>
              <w:rPr>
                <w:color w:val="000000"/>
                <w:szCs w:val="22"/>
                <w:lang w:val="sl-SI" w:eastAsia="sl-SI"/>
              </w:rPr>
              <w:t>~ 15</w:t>
            </w:r>
          </w:p>
        </w:tc>
        <w:tc>
          <w:tcPr>
            <w:tcW w:w="2835" w:type="dxa"/>
            <w:shd w:val="clear" w:color="auto" w:fill="auto"/>
          </w:tcPr>
          <w:p w14:paraId="54C7060B"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2-3 paras</w:t>
            </w:r>
          </w:p>
        </w:tc>
        <w:tc>
          <w:tcPr>
            <w:tcW w:w="2782" w:type="dxa"/>
            <w:shd w:val="clear" w:color="auto" w:fill="auto"/>
          </w:tcPr>
          <w:p w14:paraId="723FBC85"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1-2 paras</w:t>
            </w:r>
          </w:p>
        </w:tc>
      </w:tr>
      <w:tr w:rsidR="00CB542F" w14:paraId="329BAF28" w14:textId="77777777">
        <w:trPr>
          <w:trHeight w:val="251"/>
        </w:trPr>
        <w:tc>
          <w:tcPr>
            <w:tcW w:w="1701" w:type="dxa"/>
            <w:shd w:val="clear" w:color="auto" w:fill="auto"/>
          </w:tcPr>
          <w:p w14:paraId="5BBE1A9E" w14:textId="77777777" w:rsidR="00CB542F" w:rsidRDefault="00573A58">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30-&lt; 50</w:t>
            </w:r>
          </w:p>
        </w:tc>
        <w:tc>
          <w:tcPr>
            <w:tcW w:w="1961" w:type="dxa"/>
            <w:shd w:val="clear" w:color="auto" w:fill="auto"/>
          </w:tcPr>
          <w:p w14:paraId="270FF844" w14:textId="77777777" w:rsidR="00CB542F" w:rsidRDefault="00573A58">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18</w:t>
            </w:r>
          </w:p>
        </w:tc>
        <w:tc>
          <w:tcPr>
            <w:tcW w:w="2835" w:type="dxa"/>
            <w:shd w:val="clear" w:color="auto" w:fill="auto"/>
          </w:tcPr>
          <w:p w14:paraId="2AB40C84"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4 paras</w:t>
            </w:r>
          </w:p>
        </w:tc>
        <w:tc>
          <w:tcPr>
            <w:tcW w:w="2782" w:type="dxa"/>
            <w:shd w:val="clear" w:color="auto" w:fill="auto"/>
          </w:tcPr>
          <w:p w14:paraId="5850E630"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2-3 (&gt; 48 val.)</w:t>
            </w:r>
          </w:p>
        </w:tc>
      </w:tr>
    </w:tbl>
    <w:p w14:paraId="199B64B4" w14:textId="77777777" w:rsidR="00CB542F" w:rsidRDefault="00CB542F"/>
    <w:p w14:paraId="797318B1" w14:textId="77777777" w:rsidR="00CB542F" w:rsidRDefault="00573A58">
      <w:r>
        <w:t>Vartojimo nutraukimo prieš invazines procedūras arba chirurgines operacijas taisyklių santrauka pacientams vaikams pateikta 7 lentelėje.</w:t>
      </w:r>
    </w:p>
    <w:p w14:paraId="4F872D32" w14:textId="77777777" w:rsidR="00CB542F" w:rsidRDefault="00CB542F"/>
    <w:p w14:paraId="0FDDAA6A" w14:textId="77777777" w:rsidR="00CB542F" w:rsidRDefault="00573A58">
      <w:pPr>
        <w:rPr>
          <w:b/>
          <w:bCs/>
        </w:rPr>
      </w:pPr>
      <w:r>
        <w:rPr>
          <w:b/>
          <w:bCs/>
        </w:rPr>
        <w:t>7 lentelė. Vartojimo nutraukimo prieš invazines procedūras arba chirurgines operacijas taisyklės pacientams vaikams</w:t>
      </w:r>
    </w:p>
    <w:p w14:paraId="45DF506A" w14:textId="77777777" w:rsidR="00CB542F" w:rsidRDefault="00CB5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6015"/>
      </w:tblGrid>
      <w:tr w:rsidR="00CB542F" w14:paraId="37DF2F0B" w14:textId="77777777">
        <w:tc>
          <w:tcPr>
            <w:tcW w:w="3045" w:type="dxa"/>
            <w:shd w:val="clear" w:color="auto" w:fill="auto"/>
          </w:tcPr>
          <w:p w14:paraId="231CDD48"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t xml:space="preserve">Inkstų funkcija (aGFG </w:t>
            </w:r>
            <w:r>
              <w:lastRenderedPageBreak/>
              <w:t>ml/min./1,73 m</w:t>
            </w:r>
            <w:r>
              <w:rPr>
                <w:vertAlign w:val="superscript"/>
              </w:rPr>
              <w:t>2</w:t>
            </w:r>
            <w:r>
              <w:t>)</w:t>
            </w:r>
          </w:p>
        </w:tc>
        <w:tc>
          <w:tcPr>
            <w:tcW w:w="6015" w:type="dxa"/>
            <w:shd w:val="clear" w:color="auto" w:fill="auto"/>
          </w:tcPr>
          <w:p w14:paraId="2561E6C7"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lastRenderedPageBreak/>
              <w:t>Prieš planinę operaciją gydymą dabigatranu reikia nutraukti</w:t>
            </w:r>
          </w:p>
        </w:tc>
      </w:tr>
      <w:tr w:rsidR="00CB542F" w14:paraId="6CDB9041" w14:textId="77777777">
        <w:tc>
          <w:tcPr>
            <w:tcW w:w="3045" w:type="dxa"/>
            <w:shd w:val="clear" w:color="auto" w:fill="auto"/>
          </w:tcPr>
          <w:p w14:paraId="081C8F2B"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&gt;80</w:t>
            </w:r>
          </w:p>
        </w:tc>
        <w:tc>
          <w:tcPr>
            <w:tcW w:w="6015" w:type="dxa"/>
            <w:shd w:val="clear" w:color="auto" w:fill="auto"/>
          </w:tcPr>
          <w:p w14:paraId="4AAD13C0"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24 val.</w:t>
            </w:r>
          </w:p>
        </w:tc>
      </w:tr>
      <w:tr w:rsidR="00CB542F" w14:paraId="23891E94" w14:textId="77777777">
        <w:tc>
          <w:tcPr>
            <w:tcW w:w="3045" w:type="dxa"/>
            <w:shd w:val="clear" w:color="auto" w:fill="auto"/>
          </w:tcPr>
          <w:p w14:paraId="3E39EFD8"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50 – 80</w:t>
            </w:r>
          </w:p>
        </w:tc>
        <w:tc>
          <w:tcPr>
            <w:tcW w:w="6015" w:type="dxa"/>
            <w:shd w:val="clear" w:color="auto" w:fill="auto"/>
          </w:tcPr>
          <w:p w14:paraId="4FB31067"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 paras</w:t>
            </w:r>
          </w:p>
        </w:tc>
      </w:tr>
      <w:tr w:rsidR="00CB542F" w14:paraId="77268848" w14:textId="77777777">
        <w:tc>
          <w:tcPr>
            <w:tcW w:w="3045" w:type="dxa"/>
            <w:shd w:val="clear" w:color="auto" w:fill="auto"/>
          </w:tcPr>
          <w:p w14:paraId="5E66E177"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&lt;50</w:t>
            </w:r>
          </w:p>
        </w:tc>
        <w:tc>
          <w:tcPr>
            <w:tcW w:w="6015" w:type="dxa"/>
            <w:shd w:val="clear" w:color="auto" w:fill="auto"/>
          </w:tcPr>
          <w:p w14:paraId="2BE479EF" w14:textId="77777777" w:rsidR="00CB542F" w:rsidRDefault="00573A58">
            <w:pPr>
              <w:widowControl w:val="0"/>
              <w:numPr>
                <w:ilvl w:val="12"/>
                <w:numId w:val="0"/>
              </w:numPr>
              <w:tabs>
                <w:tab w:val="left" w:pos="8505"/>
              </w:tabs>
              <w:kinsoku w:val="0"/>
              <w:overflowPunct w:val="0"/>
              <w:spacing w:before="6"/>
              <w:ind w:right="-2"/>
              <w:rPr>
                <w:bCs/>
                <w:color w:val="000000"/>
                <w:szCs w:val="22"/>
                <w:lang w:val="sl-SI" w:eastAsia="sl-SI"/>
              </w:rPr>
            </w:pPr>
            <w:r>
              <w:t>Tyrimų su šiais pacientais neatlikta (žr. 4.3 skyrių).</w:t>
            </w:r>
          </w:p>
        </w:tc>
      </w:tr>
    </w:tbl>
    <w:p w14:paraId="1C4736C8" w14:textId="77777777" w:rsidR="00CB542F" w:rsidRDefault="00CB542F"/>
    <w:p w14:paraId="730D5D9C" w14:textId="77777777" w:rsidR="00CB542F" w:rsidRDefault="00573A58">
      <w:pPr>
        <w:rPr>
          <w:i/>
          <w:iCs/>
          <w:u w:val="single"/>
        </w:rPr>
      </w:pPr>
      <w:r>
        <w:rPr>
          <w:i/>
          <w:iCs/>
          <w:u w:val="single"/>
        </w:rPr>
        <w:t>Spinalinė anestezija, epidurinė anestezija, lumbalinė punkcija</w:t>
      </w:r>
    </w:p>
    <w:p w14:paraId="62CD2A66" w14:textId="77777777" w:rsidR="00CB542F" w:rsidRDefault="00CB542F"/>
    <w:p w14:paraId="73E0674A" w14:textId="77777777" w:rsidR="00CB542F" w:rsidRDefault="00573A58">
      <w:r>
        <w:t>Procedūrų, tokių kaip spinalinė anestezija, metu gali reikėti, kad hemostazės funkcija būtų visiška.</w:t>
      </w:r>
    </w:p>
    <w:p w14:paraId="02E772BB" w14:textId="77777777" w:rsidR="00CB542F" w:rsidRDefault="00CB542F"/>
    <w:p w14:paraId="04291254" w14:textId="77777777" w:rsidR="00CB542F" w:rsidRDefault="00573A58">
      <w:r>
        <w:t>Trauminės ar kartotinės punkcijos bei ilgalaikio epidurinio kateterio laikymo metu gali padidėti spinalinės ar epidurinės hematomos rizika. Kateterį ištraukus, pirmą dabigatrano eteksilato dozę galima gerti praėjus ne mažiau kaip 2 valandoms. Būtina dažnai stebėti, ar tokiems pacientams neatsiranda spinalinės ar epidurinės hematomos neurologinių požymių ir simptomų.</w:t>
      </w:r>
    </w:p>
    <w:p w14:paraId="36B0E24E" w14:textId="77777777" w:rsidR="00CB542F" w:rsidRDefault="00CB542F"/>
    <w:p w14:paraId="3AE6A73D" w14:textId="77777777" w:rsidR="00CB542F" w:rsidRDefault="00573A58">
      <w:pPr>
        <w:rPr>
          <w:i/>
          <w:iCs/>
          <w:u w:val="single"/>
        </w:rPr>
      </w:pPr>
      <w:r>
        <w:rPr>
          <w:i/>
          <w:iCs/>
          <w:u w:val="single"/>
        </w:rPr>
        <w:t>Pooperacinė fazė</w:t>
      </w:r>
    </w:p>
    <w:p w14:paraId="3DAAA2B5" w14:textId="77777777" w:rsidR="00CB542F" w:rsidRDefault="00CB542F"/>
    <w:p w14:paraId="5630C189" w14:textId="77777777" w:rsidR="00CB542F" w:rsidRDefault="00573A58">
      <w:r>
        <w:t>Po invazinės procedūros arba operacijos gydymą dabigatrano eteksilatu reikia atnaujinti / pradėti kuo greičiau, tik jei leidžia klinikinės aplinkybės ir yra nusistovėjusi pakankama hemostazė.</w:t>
      </w:r>
    </w:p>
    <w:p w14:paraId="277D7F0F" w14:textId="77777777" w:rsidR="00CB542F" w:rsidRDefault="00CB542F"/>
    <w:p w14:paraId="14803792" w14:textId="77777777" w:rsidR="00CB542F" w:rsidRDefault="00573A58">
      <w:r>
        <w:t>Pacientus, kuriems yra kraujavimo arba per didelės ekspozicijos rizika, ypač tuos, kurių inkstų funkcija susilpnėjusi (dar žr. 5 lentelę), reikia gydyti atsargiai (žr. 4.4 ir 5.1 skyrius).</w:t>
      </w:r>
    </w:p>
    <w:p w14:paraId="15E09CB4" w14:textId="77777777" w:rsidR="00CB542F" w:rsidRDefault="00CB542F"/>
    <w:p w14:paraId="64E875DD" w14:textId="77777777" w:rsidR="00CB542F" w:rsidRDefault="00573A58">
      <w:r>
        <w:rPr>
          <w:u w:val="single"/>
        </w:rPr>
        <w:t>Pacientai, kuriems yra didelė mirštamumo dėl operacijos rizika arba kurie turi vidinių tromboembolinių reiškinių rizikos veiksnių</w:t>
      </w:r>
    </w:p>
    <w:p w14:paraId="44FE7C45" w14:textId="77777777" w:rsidR="00CB542F" w:rsidRDefault="00CB542F"/>
    <w:p w14:paraId="71F24CDD" w14:textId="77777777" w:rsidR="00CB542F" w:rsidRDefault="00573A58">
      <w:r>
        <w:t>Tokiems pacientams dabigatrano eteksilato saugumo ir veiksmingumo duomenys yra riboti, todėl juos reikia gydyti atsargiai.</w:t>
      </w:r>
    </w:p>
    <w:p w14:paraId="777BA667" w14:textId="77777777" w:rsidR="00CB542F" w:rsidRDefault="00CB542F"/>
    <w:p w14:paraId="5DABC1D1" w14:textId="77777777" w:rsidR="00CB542F" w:rsidRDefault="00573A58">
      <w:pPr>
        <w:rPr>
          <w:u w:val="single"/>
        </w:rPr>
      </w:pPr>
      <w:r>
        <w:rPr>
          <w:u w:val="single"/>
        </w:rPr>
        <w:t>Kepenų funkcijos sutrikimas</w:t>
      </w:r>
    </w:p>
    <w:p w14:paraId="21374745" w14:textId="77777777" w:rsidR="00CB542F" w:rsidRDefault="00CB542F"/>
    <w:p w14:paraId="60B5DB76" w14:textId="77777777" w:rsidR="00CB542F" w:rsidRDefault="00573A58">
      <w:r>
        <w:t>Pacientai, kuriems kepenų fermentų aktyvumas daugiau kaip 2 kartus viršija VNR, į svarbiausius tyrimus nebuvo įtraukti. Tokių pacientų gydymo patirties nėra, todėl jų dabigatrano eteksilatu gydyti nerekomenduojama. Jeigu yra kepenų funkcijos sutrikimas arba kepenų liga, galintys turėti kokios nors įtakos išgyvenamumui, vaistinio preparato vartoti draudžiama (žr. 4.3 skyrių).</w:t>
      </w:r>
    </w:p>
    <w:p w14:paraId="3BB11CF4" w14:textId="77777777" w:rsidR="00CB542F" w:rsidRDefault="00CB542F"/>
    <w:p w14:paraId="14B08360" w14:textId="77777777" w:rsidR="00CB542F" w:rsidRDefault="00573A58">
      <w:pPr>
        <w:rPr>
          <w:u w:val="single"/>
        </w:rPr>
      </w:pPr>
      <w:r>
        <w:rPr>
          <w:u w:val="single"/>
        </w:rPr>
        <w:t>Sąveika su P-glikoproteino induktoriais</w:t>
      </w:r>
    </w:p>
    <w:p w14:paraId="52ACBF55" w14:textId="77777777" w:rsidR="00CB542F" w:rsidRDefault="00CB542F"/>
    <w:p w14:paraId="48350854" w14:textId="77777777" w:rsidR="00CB542F" w:rsidRDefault="00573A58">
      <w:r>
        <w:t>Tikėtina, kad derinimas su P-glikoproteino induktoriais lemia dabigatrano koncentracijos sumažėjimą kraujo plazmoje, todėl turi būti vengtinas (žr. 4.5 ir 5.2 skyrius).</w:t>
      </w:r>
    </w:p>
    <w:p w14:paraId="358D604C" w14:textId="77777777" w:rsidR="00CB542F" w:rsidRDefault="00CB542F"/>
    <w:p w14:paraId="0BB41F07" w14:textId="77777777" w:rsidR="00CB542F" w:rsidRDefault="00573A58">
      <w:pPr>
        <w:rPr>
          <w:u w:val="single"/>
        </w:rPr>
      </w:pPr>
      <w:r>
        <w:rPr>
          <w:u w:val="single"/>
        </w:rPr>
        <w:t>Antifosfolipidiniu sindromu sergantys pacientai</w:t>
      </w:r>
    </w:p>
    <w:p w14:paraId="1816F3BC" w14:textId="77777777" w:rsidR="00CB542F" w:rsidRDefault="00CB542F"/>
    <w:p w14:paraId="439142DF" w14:textId="77777777" w:rsidR="00CB542F" w:rsidRDefault="00573A58">
      <w:r>
        <w:t>Tiesioginio poveikio geriamieji antikoaguliantai (TPGA), įskaitant dabigatrano eteksilatą,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6BF3B1B" w14:textId="77777777" w:rsidR="00CB542F" w:rsidRDefault="00CB542F"/>
    <w:p w14:paraId="614B4955" w14:textId="77777777" w:rsidR="00CB542F" w:rsidRDefault="00573A58">
      <w:pPr>
        <w:rPr>
          <w:u w:val="single"/>
        </w:rPr>
      </w:pPr>
      <w:r>
        <w:rPr>
          <w:u w:val="single"/>
        </w:rPr>
        <w:t>Miokardo infarktas (MI)</w:t>
      </w:r>
    </w:p>
    <w:p w14:paraId="20492982" w14:textId="77777777" w:rsidR="00CB542F" w:rsidRDefault="00CB542F"/>
    <w:p w14:paraId="31CA1BB9" w14:textId="77777777" w:rsidR="00CB542F" w:rsidRDefault="00573A58">
      <w:r>
        <w:t xml:space="preserve">III fazės tyrimo RE-LY (IPPV; žr. 5.1 skyrių) metu bendras MI dažnis pacientams, kurie buvo gydomi 2 kartus per parą vartojama 110 mg dabigatrano eteksilato arba 150 mg dabigatrano eteksilato doze arba varfarinu, buvo atitinkamai 0,82 %, 0,81 % ir 0,64 % per metus. Dabigatrano, palyginti su varfarinu, vartojantiems pacientams santykinės rizikos padidėjimas buvo atitinkamai 29 0% ir 27 %. Nepriklausomai nuo gydymo būdo didžiausia absoliuti MI rizika nustatyta šiems pacientų pogrupiams su panašia santykine rizika: pacientams, MI patyrusiems anksčiau, ≥ 65 metų pacientams, sergantiems </w:t>
      </w:r>
      <w:r>
        <w:lastRenderedPageBreak/>
        <w:t>cukriniu diabetu ar vainikinių arterijų liga, pacientams, kurių kairiojo širdies skilvelio išstūmimo frakcija yra &lt; 40 %, bei pacientams, kuriems yra vidutinio sunkumo inkstų funkcijos sutrikimas. Be to, didesnė MI rizika nustatyta ir pacientams, kurie kartu su dabigatrano eteksilatu vartojo ASR ir klopidogrelio arba vien klopidogrelio.</w:t>
      </w:r>
    </w:p>
    <w:p w14:paraId="3196443A" w14:textId="77777777" w:rsidR="00CB542F" w:rsidRDefault="00CB542F"/>
    <w:p w14:paraId="6CC42B80" w14:textId="77777777" w:rsidR="00CB542F" w:rsidRDefault="00573A58">
      <w:r>
        <w:t>Trijų aktyviai kontroliuojamų GVT/PE III fazės tyrimų metu dabigatrano eteksilatu gydomiems pacientams MI dažnis buvo didesnis, negu pacientams, gydomiems varfarinu: trumpalaikių RE-COVER ir RE-COVER II tyrimų metu ‒ 0,4 %, palyginti su 0,2 %, ilgalaikio RE-MEDY tyrimo metu ‒ 0,8 %, palyginti su 0,1 %. Šio tyrimo metu dažnio padidėjimas buvo statistiškai reikšmingas (p = 0,022).</w:t>
      </w:r>
    </w:p>
    <w:p w14:paraId="3CC5C3D0" w14:textId="77777777" w:rsidR="00CB542F" w:rsidRDefault="00CB542F"/>
    <w:p w14:paraId="09F5D536" w14:textId="77777777" w:rsidR="00CB542F" w:rsidRDefault="00573A58">
      <w:r>
        <w:t>RE-SONATE tyrimo, kuriuo buvo lygintas dabigatrano eteksilato ir placebo poveikis, metu dabigatrano eteksilatu gydomiems pacientams MI dažnis buvo 0,1 %, placebu gydomiems pacientams ‒ 0,2 %.</w:t>
      </w:r>
    </w:p>
    <w:p w14:paraId="37013982" w14:textId="77777777" w:rsidR="00CB542F" w:rsidRDefault="00CB542F"/>
    <w:p w14:paraId="4507EF3E" w14:textId="77777777" w:rsidR="00CB542F" w:rsidRDefault="00573A58">
      <w:pPr>
        <w:rPr>
          <w:u w:val="single"/>
        </w:rPr>
      </w:pPr>
      <w:r>
        <w:rPr>
          <w:u w:val="single"/>
        </w:rPr>
        <w:t>Aktyviu vėžiu sergantys pacientai (vaikų VTE)</w:t>
      </w:r>
    </w:p>
    <w:p w14:paraId="5C71EE25" w14:textId="77777777" w:rsidR="00CB542F" w:rsidRDefault="00CB542F"/>
    <w:p w14:paraId="19C9EC5E" w14:textId="77777777" w:rsidR="00CB542F" w:rsidRDefault="00573A58">
      <w:r>
        <w:t>Veiksmingumas ir saugumas aktyviu vėžiu sergantiems pacientams, kuriems gydoma GVT/PE, neištirti. Apie veiksmingumą ir saugumą vaikams, sergantiems aktyviu vėžiu, duomenų nepakanka.</w:t>
      </w:r>
    </w:p>
    <w:p w14:paraId="727D8D57" w14:textId="77777777" w:rsidR="00CB542F" w:rsidRDefault="00CB542F"/>
    <w:p w14:paraId="55A42F7A" w14:textId="77777777" w:rsidR="00CB542F" w:rsidRDefault="00573A58">
      <w:pPr>
        <w:rPr>
          <w:u w:val="single"/>
        </w:rPr>
      </w:pPr>
      <w:r>
        <w:rPr>
          <w:u w:val="single"/>
        </w:rPr>
        <w:t>Vaikų populiacija</w:t>
      </w:r>
    </w:p>
    <w:p w14:paraId="16BE3251" w14:textId="77777777" w:rsidR="00CB542F" w:rsidRDefault="00CB542F"/>
    <w:p w14:paraId="199CFC7C" w14:textId="77777777" w:rsidR="00CB542F" w:rsidRDefault="00573A58">
      <w:r>
        <w:t>Kai kuriems labai specifinių susirgimų turintiems pacientams vaikams, pvz., sergantiems plonosios žarnos liga, galinčia paveikti absorbciją, reikia apsvarstyti parenteriniu būdu vartojamo antikoagulianto skyrimo galimybę.</w:t>
      </w:r>
    </w:p>
    <w:p w14:paraId="368ED739" w14:textId="77777777" w:rsidR="00CB542F" w:rsidRDefault="00CB542F"/>
    <w:p w14:paraId="20E365B3" w14:textId="77777777" w:rsidR="00CB542F" w:rsidRDefault="00573A58">
      <w:pPr>
        <w:ind w:left="567" w:hanging="567"/>
        <w:rPr>
          <w:b/>
        </w:rPr>
      </w:pPr>
      <w:r>
        <w:rPr>
          <w:b/>
        </w:rPr>
        <w:t>4.5</w:t>
      </w:r>
      <w:r>
        <w:rPr>
          <w:b/>
        </w:rPr>
        <w:tab/>
        <w:t>Sąveika su kitais vaistiniais preparatais ir kitokia sąveika</w:t>
      </w:r>
    </w:p>
    <w:p w14:paraId="4EC13C26" w14:textId="77777777" w:rsidR="00CB542F" w:rsidRDefault="00CB542F">
      <w:pPr>
        <w:ind w:left="567" w:hanging="567"/>
        <w:rPr>
          <w:b/>
        </w:rPr>
      </w:pPr>
    </w:p>
    <w:p w14:paraId="662D5984" w14:textId="77777777" w:rsidR="00CB542F" w:rsidRDefault="00573A58">
      <w:pPr>
        <w:rPr>
          <w:u w:val="single"/>
        </w:rPr>
      </w:pPr>
      <w:r>
        <w:rPr>
          <w:u w:val="single"/>
        </w:rPr>
        <w:t>Nešiklio sąveika</w:t>
      </w:r>
    </w:p>
    <w:p w14:paraId="74D00361" w14:textId="77777777" w:rsidR="00CB542F" w:rsidRDefault="00CB542F"/>
    <w:p w14:paraId="6B1E85B0" w14:textId="77777777" w:rsidR="00CB542F" w:rsidRDefault="00573A58">
      <w:r>
        <w:t>Dabigatrano eteksilatas yra vaistinių preparatų šalinimo nešiklio P-glikoproteino substratas. Tikėtina, kad dabigatrano eteksilato derinimas su P-glikoproteino inhibitoriais (žr. 8 lentelę) lemia dabigatrano koncentracijos padidėjimą kraujo plazmoje.</w:t>
      </w:r>
    </w:p>
    <w:p w14:paraId="0CFBAF0C" w14:textId="77777777" w:rsidR="00CB542F" w:rsidRDefault="00CB542F"/>
    <w:p w14:paraId="2E770773" w14:textId="77777777" w:rsidR="00CB542F" w:rsidRDefault="00573A58">
      <w:r>
        <w:t>Jeigu kitaip specialiai nenurodyta, dabigatranu ir kartu stipraus poveikio P-glikoproteino inhibitoriais gydomus pacientus būtina atidžiai kliniškai prižiūrėti (stebėti, ar neatsiranda kraujavimo ar anemijos požymių). Vartojant derinyje su tam tikrais P-glikoproteino inhibitoriais gali reikėti sumažinti dozę (žr. 4.2, 4.3, 4.4 ir 5.1 skyrius).</w:t>
      </w:r>
    </w:p>
    <w:p w14:paraId="27658113" w14:textId="77777777" w:rsidR="00CB542F" w:rsidRDefault="00CB542F"/>
    <w:p w14:paraId="7C157583" w14:textId="77777777" w:rsidR="00CB542F" w:rsidRDefault="00573A58">
      <w:pPr>
        <w:rPr>
          <w:b/>
          <w:bCs/>
        </w:rPr>
      </w:pPr>
      <w:r>
        <w:rPr>
          <w:b/>
          <w:bCs/>
        </w:rPr>
        <w:t>8 lentelė. Nešiklio sąveika</w:t>
      </w:r>
    </w:p>
    <w:p w14:paraId="5E4A2AF5" w14:textId="77777777" w:rsidR="00CB542F" w:rsidRDefault="00CB542F">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5"/>
        <w:gridCol w:w="7541"/>
      </w:tblGrid>
      <w:tr w:rsidR="00CB542F" w14:paraId="319DA7AB" w14:textId="77777777">
        <w:trPr>
          <w:trHeight w:val="731"/>
        </w:trPr>
        <w:tc>
          <w:tcPr>
            <w:tcW w:w="9286" w:type="dxa"/>
            <w:gridSpan w:val="2"/>
            <w:shd w:val="clear" w:color="auto" w:fill="auto"/>
          </w:tcPr>
          <w:p w14:paraId="5E5EE952" w14:textId="77777777" w:rsidR="00CB542F" w:rsidRDefault="00CB542F">
            <w:pPr>
              <w:widowControl w:val="0"/>
              <w:kinsoku w:val="0"/>
              <w:overflowPunct w:val="0"/>
              <w:autoSpaceDE w:val="0"/>
              <w:autoSpaceDN w:val="0"/>
              <w:adjustRightInd w:val="0"/>
              <w:spacing w:before="3"/>
              <w:rPr>
                <w:b/>
                <w:bCs/>
                <w:color w:val="000000"/>
                <w:szCs w:val="22"/>
                <w:lang w:val="sl-SI" w:eastAsia="sl-SI"/>
              </w:rPr>
            </w:pPr>
          </w:p>
          <w:p w14:paraId="7A29D357" w14:textId="77777777" w:rsidR="00CB542F" w:rsidRDefault="00573A58">
            <w:pPr>
              <w:widowControl w:val="0"/>
              <w:kinsoku w:val="0"/>
              <w:overflowPunct w:val="0"/>
              <w:autoSpaceDE w:val="0"/>
              <w:autoSpaceDN w:val="0"/>
              <w:adjustRightInd w:val="0"/>
              <w:ind w:left="107"/>
              <w:rPr>
                <w:i/>
                <w:iCs/>
                <w:color w:val="000000"/>
                <w:szCs w:val="22"/>
                <w:u w:val="single"/>
                <w:lang w:val="sl-SI" w:eastAsia="sl-SI"/>
              </w:rPr>
            </w:pPr>
            <w:r>
              <w:rPr>
                <w:i/>
                <w:iCs/>
                <w:u w:val="single"/>
              </w:rPr>
              <w:t>P glikoproteino inhibitoriai</w:t>
            </w:r>
          </w:p>
        </w:tc>
      </w:tr>
      <w:tr w:rsidR="00CB542F" w14:paraId="4AE898CC" w14:textId="77777777">
        <w:trPr>
          <w:trHeight w:val="733"/>
        </w:trPr>
        <w:tc>
          <w:tcPr>
            <w:tcW w:w="9286" w:type="dxa"/>
            <w:gridSpan w:val="2"/>
            <w:shd w:val="clear" w:color="auto" w:fill="auto"/>
          </w:tcPr>
          <w:p w14:paraId="083616BA" w14:textId="77777777" w:rsidR="00CB542F" w:rsidRDefault="00CB542F">
            <w:pPr>
              <w:widowControl w:val="0"/>
              <w:kinsoku w:val="0"/>
              <w:overflowPunct w:val="0"/>
              <w:autoSpaceDE w:val="0"/>
              <w:autoSpaceDN w:val="0"/>
              <w:adjustRightInd w:val="0"/>
              <w:spacing w:before="6"/>
              <w:rPr>
                <w:b/>
                <w:bCs/>
                <w:color w:val="000000"/>
                <w:szCs w:val="22"/>
                <w:lang w:val="sl-SI" w:eastAsia="sl-SI"/>
              </w:rPr>
            </w:pPr>
          </w:p>
          <w:p w14:paraId="1E129B9D" w14:textId="77777777" w:rsidR="00CB542F" w:rsidRDefault="00573A58">
            <w:pPr>
              <w:widowControl w:val="0"/>
              <w:kinsoku w:val="0"/>
              <w:overflowPunct w:val="0"/>
              <w:autoSpaceDE w:val="0"/>
              <w:autoSpaceDN w:val="0"/>
              <w:adjustRightInd w:val="0"/>
              <w:ind w:left="107"/>
              <w:rPr>
                <w:i/>
                <w:iCs/>
                <w:color w:val="000000"/>
                <w:szCs w:val="22"/>
                <w:lang w:val="sl-SI" w:eastAsia="sl-SI"/>
              </w:rPr>
            </w:pPr>
            <w:r>
              <w:rPr>
                <w:i/>
                <w:iCs/>
              </w:rPr>
              <w:t>Draudžiama vartoti kartu (žr. 4.3 skyrių)</w:t>
            </w:r>
          </w:p>
        </w:tc>
      </w:tr>
      <w:tr w:rsidR="00CB542F" w14:paraId="13EF2C87" w14:textId="77777777">
        <w:trPr>
          <w:trHeight w:val="1012"/>
        </w:trPr>
        <w:tc>
          <w:tcPr>
            <w:tcW w:w="1745" w:type="dxa"/>
            <w:shd w:val="clear" w:color="auto" w:fill="auto"/>
          </w:tcPr>
          <w:p w14:paraId="583A9DE1"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Ketokonazolas</w:t>
            </w:r>
          </w:p>
        </w:tc>
        <w:tc>
          <w:tcPr>
            <w:tcW w:w="7541" w:type="dxa"/>
            <w:shd w:val="clear" w:color="auto" w:fill="auto"/>
          </w:tcPr>
          <w:p w14:paraId="5BC79D6C" w14:textId="77777777" w:rsidR="00CB542F" w:rsidRDefault="00573A58">
            <w:pPr>
              <w:widowControl w:val="0"/>
              <w:kinsoku w:val="0"/>
              <w:overflowPunct w:val="0"/>
              <w:autoSpaceDE w:val="0"/>
              <w:autoSpaceDN w:val="0"/>
              <w:adjustRightInd w:val="0"/>
              <w:ind w:left="108"/>
              <w:rPr>
                <w:color w:val="000000"/>
                <w:szCs w:val="22"/>
                <w:lang w:val="sl-SI" w:eastAsia="sl-SI"/>
              </w:rPr>
            </w:pPr>
            <w:r>
              <w:t>Viena per burną pavartota 400 mg ketokonazolo dozė bendrą dabigatrano AUC</w:t>
            </w:r>
            <w:r>
              <w:rPr>
                <w:vertAlign w:val="subscript"/>
              </w:rPr>
              <w:t>0-∞</w:t>
            </w:r>
            <w:r>
              <w:t xml:space="preserve"> ir C</w:t>
            </w:r>
            <w:r>
              <w:rPr>
                <w:vertAlign w:val="subscript"/>
              </w:rPr>
              <w:t>max</w:t>
            </w:r>
            <w:r>
              <w:t xml:space="preserve"> padidino atitinkamai 2,38 karto ir 2,35 karto, kartą per parą per burną vartojamos daugkartinės 400 mg ketokonazolo dozės – atitinkamai 2,53 karto ir 2,49 karto</w:t>
            </w:r>
          </w:p>
        </w:tc>
      </w:tr>
      <w:tr w:rsidR="00CB542F" w14:paraId="55DB058C" w14:textId="77777777">
        <w:trPr>
          <w:trHeight w:val="1012"/>
        </w:trPr>
        <w:tc>
          <w:tcPr>
            <w:tcW w:w="1745" w:type="dxa"/>
            <w:shd w:val="clear" w:color="auto" w:fill="auto"/>
          </w:tcPr>
          <w:p w14:paraId="598BE6EC"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Dronedaronas</w:t>
            </w:r>
          </w:p>
        </w:tc>
        <w:tc>
          <w:tcPr>
            <w:tcW w:w="7541" w:type="dxa"/>
            <w:shd w:val="clear" w:color="auto" w:fill="auto"/>
          </w:tcPr>
          <w:p w14:paraId="6726C832" w14:textId="77777777" w:rsidR="00CB542F" w:rsidRDefault="00573A58">
            <w:pPr>
              <w:widowControl w:val="0"/>
              <w:kinsoku w:val="0"/>
              <w:overflowPunct w:val="0"/>
              <w:autoSpaceDE w:val="0"/>
              <w:autoSpaceDN w:val="0"/>
              <w:adjustRightInd w:val="0"/>
              <w:ind w:left="108"/>
              <w:rPr>
                <w:color w:val="000000"/>
                <w:szCs w:val="22"/>
                <w:lang w:val="sl-SI" w:eastAsia="sl-SI"/>
              </w:rPr>
            </w:pPr>
            <w:r>
              <w:t>Dabigatrano eteksilato, vartojamo tuo pačiu metu su 2 kartus per parą geriamomis kartotinėmis 400 mg dronedarono dozėmis, bendras AUC</w:t>
            </w:r>
            <w:r>
              <w:rPr>
                <w:vertAlign w:val="subscript"/>
              </w:rPr>
              <w:t>0-∞</w:t>
            </w:r>
            <w:r>
              <w:t xml:space="preserve"> ir C</w:t>
            </w:r>
            <w:r>
              <w:rPr>
                <w:vertAlign w:val="subscript"/>
              </w:rPr>
              <w:t>max</w:t>
            </w:r>
            <w:r>
              <w:t xml:space="preserve"> padidėjo atitinkamai maždaug 2,4 karto ir 2,3 karto, o pavartojus kartu su vienkartine 400 mg dronedarono doze – atitinkamai maždaug 2,1 karto ir 1,9 karto.</w:t>
            </w:r>
          </w:p>
        </w:tc>
      </w:tr>
      <w:tr w:rsidR="00CB542F" w14:paraId="1C5732A0" w14:textId="77777777">
        <w:trPr>
          <w:trHeight w:val="505"/>
        </w:trPr>
        <w:tc>
          <w:tcPr>
            <w:tcW w:w="1745" w:type="dxa"/>
            <w:shd w:val="clear" w:color="auto" w:fill="auto"/>
          </w:tcPr>
          <w:p w14:paraId="4E70AE77" w14:textId="77777777" w:rsidR="00CB542F" w:rsidRDefault="00573A58">
            <w:pPr>
              <w:widowControl w:val="0"/>
              <w:kinsoku w:val="0"/>
              <w:overflowPunct w:val="0"/>
              <w:autoSpaceDE w:val="0"/>
              <w:autoSpaceDN w:val="0"/>
              <w:adjustRightInd w:val="0"/>
              <w:spacing w:line="240" w:lineRule="exact"/>
              <w:ind w:left="107"/>
              <w:rPr>
                <w:color w:val="000000"/>
                <w:szCs w:val="22"/>
                <w:lang w:val="sl-SI" w:eastAsia="sl-SI"/>
              </w:rPr>
            </w:pPr>
            <w:r>
              <w:lastRenderedPageBreak/>
              <w:t>Itrakonazolas, ciklosporinas</w:t>
            </w:r>
          </w:p>
        </w:tc>
        <w:tc>
          <w:tcPr>
            <w:tcW w:w="7541" w:type="dxa"/>
            <w:shd w:val="clear" w:color="auto" w:fill="auto"/>
          </w:tcPr>
          <w:p w14:paraId="53E1E691" w14:textId="77777777" w:rsidR="00CB542F" w:rsidRDefault="00573A58">
            <w:pPr>
              <w:widowControl w:val="0"/>
              <w:kinsoku w:val="0"/>
              <w:overflowPunct w:val="0"/>
              <w:autoSpaceDE w:val="0"/>
              <w:autoSpaceDN w:val="0"/>
              <w:adjustRightInd w:val="0"/>
              <w:spacing w:line="247" w:lineRule="exact"/>
              <w:ind w:left="108"/>
              <w:rPr>
                <w:color w:val="000000"/>
                <w:szCs w:val="22"/>
                <w:lang w:val="sl-SI" w:eastAsia="sl-SI"/>
              </w:rPr>
            </w:pPr>
            <w:r>
              <w:t xml:space="preserve">Remiantis </w:t>
            </w:r>
            <w:r>
              <w:rPr>
                <w:i/>
                <w:iCs/>
              </w:rPr>
              <w:t>in vitro</w:t>
            </w:r>
            <w:r>
              <w:t xml:space="preserve"> rezultatais, tikimasi panašaus poveikio kaip ketokonazolo.</w:t>
            </w:r>
          </w:p>
        </w:tc>
      </w:tr>
      <w:tr w:rsidR="00CB542F" w14:paraId="5EBB63C6" w14:textId="77777777">
        <w:trPr>
          <w:trHeight w:val="505"/>
        </w:trPr>
        <w:tc>
          <w:tcPr>
            <w:tcW w:w="1745" w:type="dxa"/>
            <w:shd w:val="clear" w:color="auto" w:fill="auto"/>
          </w:tcPr>
          <w:p w14:paraId="583DF7D2" w14:textId="77777777" w:rsidR="00CB542F" w:rsidRDefault="00573A58">
            <w:pPr>
              <w:widowControl w:val="0"/>
              <w:kinsoku w:val="0"/>
              <w:overflowPunct w:val="0"/>
              <w:autoSpaceDE w:val="0"/>
              <w:autoSpaceDN w:val="0"/>
              <w:adjustRightInd w:val="0"/>
              <w:spacing w:line="246" w:lineRule="exact"/>
              <w:ind w:left="107"/>
              <w:rPr>
                <w:color w:val="000000"/>
                <w:szCs w:val="22"/>
                <w:lang w:val="sl-SI" w:eastAsia="sl-SI"/>
              </w:rPr>
            </w:pPr>
            <w:r>
              <w:t>Glekapreviras / pibrentasviras</w:t>
            </w:r>
          </w:p>
        </w:tc>
        <w:tc>
          <w:tcPr>
            <w:tcW w:w="7541" w:type="dxa"/>
            <w:shd w:val="clear" w:color="auto" w:fill="auto"/>
          </w:tcPr>
          <w:p w14:paraId="5C590901" w14:textId="77777777" w:rsidR="00CB542F" w:rsidRDefault="00573A58">
            <w:pPr>
              <w:widowControl w:val="0"/>
              <w:kinsoku w:val="0"/>
              <w:overflowPunct w:val="0"/>
              <w:autoSpaceDE w:val="0"/>
              <w:autoSpaceDN w:val="0"/>
              <w:adjustRightInd w:val="0"/>
              <w:ind w:left="108" w:right="245"/>
              <w:rPr>
                <w:color w:val="000000"/>
                <w:szCs w:val="22"/>
                <w:lang w:val="sl-SI" w:eastAsia="sl-SI"/>
              </w:rPr>
            </w:pPr>
            <w:r>
              <w:t>Nustatyta, kad vartojant dabigatrano eteksilato kartu su fiksuotų dozių P-gp inhibitorių glekapreviro / pibrentasviro deriniu, padidėja dabigatrano ekspozicija ir gali padidėti kraujavimo rizika</w:t>
            </w:r>
          </w:p>
        </w:tc>
      </w:tr>
      <w:tr w:rsidR="00CB542F" w14:paraId="39620858" w14:textId="77777777">
        <w:trPr>
          <w:trHeight w:val="746"/>
        </w:trPr>
        <w:tc>
          <w:tcPr>
            <w:tcW w:w="9286" w:type="dxa"/>
            <w:gridSpan w:val="2"/>
            <w:shd w:val="clear" w:color="auto" w:fill="auto"/>
          </w:tcPr>
          <w:p w14:paraId="55EF78CC" w14:textId="77777777" w:rsidR="00CB542F" w:rsidRDefault="00CB542F">
            <w:pPr>
              <w:widowControl w:val="0"/>
              <w:kinsoku w:val="0"/>
              <w:overflowPunct w:val="0"/>
              <w:autoSpaceDE w:val="0"/>
              <w:autoSpaceDN w:val="0"/>
              <w:adjustRightInd w:val="0"/>
              <w:spacing w:before="3"/>
              <w:rPr>
                <w:b/>
                <w:bCs/>
                <w:color w:val="000000"/>
                <w:szCs w:val="22"/>
                <w:lang w:val="sl-SI" w:eastAsia="sl-SI"/>
              </w:rPr>
            </w:pPr>
          </w:p>
          <w:p w14:paraId="5EFA0A17" w14:textId="77777777" w:rsidR="00CB542F" w:rsidRDefault="00573A58">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CB542F" w14:paraId="216D4958" w14:textId="77777777">
        <w:trPr>
          <w:trHeight w:val="1275"/>
        </w:trPr>
        <w:tc>
          <w:tcPr>
            <w:tcW w:w="1745" w:type="dxa"/>
            <w:shd w:val="clear" w:color="auto" w:fill="auto"/>
          </w:tcPr>
          <w:p w14:paraId="00E6F8B5"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Takrolimuzas</w:t>
            </w:r>
          </w:p>
        </w:tc>
        <w:tc>
          <w:tcPr>
            <w:tcW w:w="7541" w:type="dxa"/>
            <w:shd w:val="clear" w:color="auto" w:fill="auto"/>
          </w:tcPr>
          <w:p w14:paraId="37DFD7F9" w14:textId="77777777" w:rsidR="00CB542F" w:rsidRDefault="00573A58">
            <w:pPr>
              <w:widowControl w:val="0"/>
              <w:kinsoku w:val="0"/>
              <w:overflowPunct w:val="0"/>
              <w:autoSpaceDE w:val="0"/>
              <w:autoSpaceDN w:val="0"/>
              <w:adjustRightInd w:val="0"/>
              <w:spacing w:line="234" w:lineRule="exact"/>
              <w:rPr>
                <w:color w:val="000000"/>
                <w:szCs w:val="22"/>
                <w:lang w:val="sl-SI" w:eastAsia="sl-SI"/>
              </w:rPr>
            </w:pPr>
            <w:r>
              <w:t xml:space="preserve">Buvo nustatyta, kad </w:t>
            </w:r>
            <w:r>
              <w:rPr>
                <w:i/>
                <w:iCs/>
              </w:rPr>
              <w:t>in vitro</w:t>
            </w:r>
            <w:r>
              <w:t xml:space="preserve"> takrolimuzas P-gp slopina tiek pat, kiek itrakonazolas ir ciklosporinas. Dabigatrano eteksilato vartojimas kartu su takrolimuzu klinikiniais tyrimais netirtas. Vis dėlto riboti kito P-gp substrato (everolimuzo) klinikiniai duomenys rodo, kad takrolimuzas P-gp slopina silpniau negu stipriai veikiantys P-gp inhibitoriai.</w:t>
            </w:r>
          </w:p>
        </w:tc>
      </w:tr>
      <w:tr w:rsidR="00CB542F" w14:paraId="23452A4F" w14:textId="77777777">
        <w:trPr>
          <w:trHeight w:val="746"/>
        </w:trPr>
        <w:tc>
          <w:tcPr>
            <w:tcW w:w="9286" w:type="dxa"/>
            <w:gridSpan w:val="2"/>
            <w:shd w:val="clear" w:color="auto" w:fill="auto"/>
          </w:tcPr>
          <w:p w14:paraId="78A38AC2" w14:textId="77777777" w:rsidR="00CB542F" w:rsidRDefault="00CB542F">
            <w:pPr>
              <w:widowControl w:val="0"/>
              <w:kinsoku w:val="0"/>
              <w:overflowPunct w:val="0"/>
              <w:autoSpaceDE w:val="0"/>
              <w:autoSpaceDN w:val="0"/>
              <w:adjustRightInd w:val="0"/>
              <w:rPr>
                <w:b/>
                <w:bCs/>
                <w:color w:val="000000"/>
                <w:szCs w:val="22"/>
                <w:lang w:val="sl-SI" w:eastAsia="sl-SI"/>
              </w:rPr>
            </w:pPr>
          </w:p>
          <w:p w14:paraId="350F33DB" w14:textId="77777777" w:rsidR="00CB542F" w:rsidRDefault="00573A58">
            <w:pPr>
              <w:widowControl w:val="0"/>
              <w:kinsoku w:val="0"/>
              <w:overflowPunct w:val="0"/>
              <w:autoSpaceDE w:val="0"/>
              <w:autoSpaceDN w:val="0"/>
              <w:adjustRightInd w:val="0"/>
              <w:ind w:left="107"/>
              <w:rPr>
                <w:i/>
                <w:iCs/>
                <w:color w:val="000000"/>
                <w:szCs w:val="22"/>
                <w:lang w:val="sl-SI" w:eastAsia="sl-SI"/>
              </w:rPr>
            </w:pPr>
            <w:r>
              <w:rPr>
                <w:i/>
                <w:iCs/>
              </w:rPr>
              <w:t>Vartoti kartu reikia atsargiai (žr. 4.2 ir 4.4 skyrius)</w:t>
            </w:r>
          </w:p>
        </w:tc>
      </w:tr>
      <w:tr w:rsidR="00CB542F" w14:paraId="778DD626" w14:textId="77777777">
        <w:trPr>
          <w:trHeight w:val="4048"/>
        </w:trPr>
        <w:tc>
          <w:tcPr>
            <w:tcW w:w="1745" w:type="dxa"/>
            <w:shd w:val="clear" w:color="auto" w:fill="auto"/>
          </w:tcPr>
          <w:p w14:paraId="2F74D2B2" w14:textId="77777777" w:rsidR="00CB542F" w:rsidRDefault="00573A58">
            <w:pPr>
              <w:widowControl w:val="0"/>
              <w:kinsoku w:val="0"/>
              <w:overflowPunct w:val="0"/>
              <w:autoSpaceDE w:val="0"/>
              <w:autoSpaceDN w:val="0"/>
              <w:adjustRightInd w:val="0"/>
              <w:spacing w:line="243" w:lineRule="exact"/>
              <w:ind w:left="107"/>
              <w:rPr>
                <w:color w:val="000000"/>
                <w:szCs w:val="22"/>
                <w:lang w:val="sl-SI" w:eastAsia="sl-SI"/>
              </w:rPr>
            </w:pPr>
            <w:r>
              <w:t>Verapamilis</w:t>
            </w:r>
          </w:p>
        </w:tc>
        <w:tc>
          <w:tcPr>
            <w:tcW w:w="7541" w:type="dxa"/>
            <w:shd w:val="clear" w:color="auto" w:fill="auto"/>
          </w:tcPr>
          <w:p w14:paraId="2FC3C0C5" w14:textId="77777777" w:rsidR="00CB542F" w:rsidRDefault="00573A58">
            <w:pPr>
              <w:widowControl w:val="0"/>
              <w:kinsoku w:val="0"/>
              <w:overflowPunct w:val="0"/>
              <w:autoSpaceDE w:val="0"/>
              <w:autoSpaceDN w:val="0"/>
              <w:adjustRightInd w:val="0"/>
              <w:spacing w:line="252" w:lineRule="exact"/>
              <w:ind w:left="145"/>
            </w:pPr>
            <w:r>
              <w:t>Kartu su dabigatrano eteksilatu (150 mg doze) vartojant geriamojo verapamilio, padidėjo dabigatrano C</w:t>
            </w:r>
            <w:r>
              <w:rPr>
                <w:vertAlign w:val="subscript"/>
              </w:rPr>
              <w:t>max</w:t>
            </w:r>
            <w:r>
              <w:t xml:space="preserve"> ir AUC, tačiau šio pokyčio dydis skyrėsi priklausomai nuo verapamilio vartojimo laiko ir farmacinės formos (žr. 4.2 ir 4.4 skyrius).</w:t>
            </w:r>
          </w:p>
          <w:p w14:paraId="03C711B3" w14:textId="77777777" w:rsidR="00CB542F" w:rsidRDefault="00CB542F">
            <w:pPr>
              <w:widowControl w:val="0"/>
              <w:kinsoku w:val="0"/>
              <w:overflowPunct w:val="0"/>
              <w:autoSpaceDE w:val="0"/>
              <w:autoSpaceDN w:val="0"/>
              <w:adjustRightInd w:val="0"/>
              <w:spacing w:line="252" w:lineRule="exact"/>
              <w:ind w:left="145"/>
            </w:pPr>
          </w:p>
          <w:p w14:paraId="06FEA220" w14:textId="77777777" w:rsidR="00CB542F" w:rsidRDefault="00573A58">
            <w:pPr>
              <w:widowControl w:val="0"/>
              <w:kinsoku w:val="0"/>
              <w:overflowPunct w:val="0"/>
              <w:autoSpaceDE w:val="0"/>
              <w:autoSpaceDN w:val="0"/>
              <w:adjustRightInd w:val="0"/>
              <w:spacing w:line="252" w:lineRule="exact"/>
              <w:ind w:left="145"/>
            </w:pPr>
            <w:r>
              <w:t>Didžiausias dabigatrano ekspozicijos padidėjimas stebėtas po pirmos greito atpalaidavimo verapamilio preparato dozės, išgertos likus valandai iki dabigatrano eteksilato vartojimo (C</w:t>
            </w:r>
            <w:r>
              <w:rPr>
                <w:vertAlign w:val="subscript"/>
              </w:rPr>
              <w:t>max</w:t>
            </w:r>
            <w:r>
              <w:t xml:space="preserve"> padidėjo maždaug 2,8 karto, AUC – apie 2,5 karto). Poveikis palaipsniui silpnėjo, vartojant pailginto atpalaidavimo verapamilio preparatų (C</w:t>
            </w:r>
            <w:r>
              <w:rPr>
                <w:vertAlign w:val="subscript"/>
              </w:rPr>
              <w:t>max</w:t>
            </w:r>
            <w:r>
              <w:t xml:space="preserve"> padidėjo maždaug 1,9 karto, AUC – apie 1,7 karto) arba daugkartines verapamilio dozes (C</w:t>
            </w:r>
            <w:r>
              <w:rPr>
                <w:vertAlign w:val="subscript"/>
              </w:rPr>
              <w:t>max</w:t>
            </w:r>
            <w:r>
              <w:t xml:space="preserve"> padidėjo maždaug 1,6 karto, o AUC – apie 1,5 karto).</w:t>
            </w:r>
          </w:p>
          <w:p w14:paraId="719E4B89" w14:textId="77777777" w:rsidR="00CB542F" w:rsidRDefault="00CB542F">
            <w:pPr>
              <w:widowControl w:val="0"/>
              <w:kinsoku w:val="0"/>
              <w:overflowPunct w:val="0"/>
              <w:autoSpaceDE w:val="0"/>
              <w:autoSpaceDN w:val="0"/>
              <w:adjustRightInd w:val="0"/>
              <w:spacing w:line="252" w:lineRule="exact"/>
              <w:ind w:left="145"/>
            </w:pPr>
          </w:p>
          <w:p w14:paraId="60C4C386" w14:textId="77777777" w:rsidR="00CB542F" w:rsidRDefault="00573A58">
            <w:pPr>
              <w:widowControl w:val="0"/>
              <w:kinsoku w:val="0"/>
              <w:overflowPunct w:val="0"/>
              <w:autoSpaceDE w:val="0"/>
              <w:autoSpaceDN w:val="0"/>
              <w:adjustRightInd w:val="0"/>
              <w:spacing w:line="252" w:lineRule="exact"/>
              <w:ind w:left="145"/>
              <w:rPr>
                <w:color w:val="000000"/>
                <w:szCs w:val="22"/>
                <w:lang w:val="sl-SI" w:eastAsia="sl-SI"/>
              </w:rPr>
            </w:pPr>
            <w:r>
              <w:t>Verapamilio geriant praėjus 2 val. po dabigatrano eteksilato pavartojimo, reikšmingos sąveikos nepastebėta (C</w:t>
            </w:r>
            <w:r>
              <w:rPr>
                <w:vertAlign w:val="subscript"/>
              </w:rPr>
              <w:t>max</w:t>
            </w:r>
            <w:r>
              <w:t xml:space="preserve"> padidėjimas maždaug 1,1 karto, AUC – apie 1,2 karto). Manoma, kad taip atsitinka todėl, kad po 2 val. dabigatranas būna visiškai absorbuotas</w:t>
            </w:r>
          </w:p>
        </w:tc>
      </w:tr>
      <w:tr w:rsidR="00CB542F" w14:paraId="530E8C36" w14:textId="77777777">
        <w:trPr>
          <w:trHeight w:val="1516"/>
        </w:trPr>
        <w:tc>
          <w:tcPr>
            <w:tcW w:w="1745" w:type="dxa"/>
            <w:shd w:val="clear" w:color="auto" w:fill="auto"/>
          </w:tcPr>
          <w:p w14:paraId="175D7448" w14:textId="77777777" w:rsidR="00CB542F" w:rsidRDefault="00573A58">
            <w:pPr>
              <w:widowControl w:val="0"/>
              <w:kinsoku w:val="0"/>
              <w:overflowPunct w:val="0"/>
              <w:autoSpaceDE w:val="0"/>
              <w:autoSpaceDN w:val="0"/>
              <w:adjustRightInd w:val="0"/>
              <w:spacing w:line="243" w:lineRule="exact"/>
              <w:ind w:left="107"/>
              <w:rPr>
                <w:color w:val="000000"/>
                <w:szCs w:val="22"/>
                <w:lang w:val="sl-SI" w:eastAsia="sl-SI"/>
              </w:rPr>
            </w:pPr>
            <w:r>
              <w:rPr>
                <w:color w:val="000000"/>
                <w:szCs w:val="22"/>
                <w:lang w:val="sl-SI" w:eastAsia="sl-SI"/>
              </w:rPr>
              <w:t>Amjodaronas</w:t>
            </w:r>
          </w:p>
        </w:tc>
        <w:tc>
          <w:tcPr>
            <w:tcW w:w="7541" w:type="dxa"/>
            <w:shd w:val="clear" w:color="auto" w:fill="auto"/>
          </w:tcPr>
          <w:p w14:paraId="7742A706" w14:textId="77777777" w:rsidR="00CB542F" w:rsidRDefault="00573A58">
            <w:pPr>
              <w:widowControl w:val="0"/>
              <w:kinsoku w:val="0"/>
              <w:overflowPunct w:val="0"/>
              <w:autoSpaceDE w:val="0"/>
              <w:autoSpaceDN w:val="0"/>
              <w:adjustRightInd w:val="0"/>
              <w:ind w:left="145"/>
              <w:rPr>
                <w:color w:val="000000"/>
                <w:szCs w:val="22"/>
                <w:lang w:val="sl-SI" w:eastAsia="sl-SI"/>
              </w:rPr>
            </w:pPr>
            <w:r>
              <w:t>Kartu su dabigatrano eteksilatu išgėrus vieną 600 mg amjodarono dozę, amjodarono absorbcijos dydis ir greitis bei aktyvaus jo metabolito DEA kiekis iš esmės nekito. Dabigatrano AUC ir C</w:t>
            </w:r>
            <w:r>
              <w:rPr>
                <w:vertAlign w:val="subscript"/>
              </w:rPr>
              <w:t>max</w:t>
            </w:r>
            <w: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CB542F" w14:paraId="3BCBD875" w14:textId="77777777">
        <w:trPr>
          <w:trHeight w:val="1266"/>
        </w:trPr>
        <w:tc>
          <w:tcPr>
            <w:tcW w:w="1745" w:type="dxa"/>
            <w:shd w:val="clear" w:color="auto" w:fill="auto"/>
          </w:tcPr>
          <w:p w14:paraId="7025D758" w14:textId="77777777" w:rsidR="00CB542F" w:rsidRDefault="00573A58">
            <w:pPr>
              <w:widowControl w:val="0"/>
              <w:kinsoku w:val="0"/>
              <w:overflowPunct w:val="0"/>
              <w:autoSpaceDE w:val="0"/>
              <w:autoSpaceDN w:val="0"/>
              <w:adjustRightInd w:val="0"/>
              <w:spacing w:line="246" w:lineRule="exact"/>
              <w:ind w:left="107"/>
              <w:rPr>
                <w:color w:val="000000"/>
                <w:szCs w:val="22"/>
                <w:lang w:val="sl-SI" w:eastAsia="sl-SI"/>
              </w:rPr>
            </w:pPr>
            <w:r>
              <w:t>Chinidinas</w:t>
            </w:r>
          </w:p>
        </w:tc>
        <w:tc>
          <w:tcPr>
            <w:tcW w:w="7541" w:type="dxa"/>
            <w:shd w:val="clear" w:color="auto" w:fill="auto"/>
          </w:tcPr>
          <w:p w14:paraId="76C3421A" w14:textId="77777777" w:rsidR="00CB542F" w:rsidRDefault="00573A58">
            <w:pPr>
              <w:widowControl w:val="0"/>
              <w:kinsoku w:val="0"/>
              <w:overflowPunct w:val="0"/>
              <w:autoSpaceDE w:val="0"/>
              <w:autoSpaceDN w:val="0"/>
              <w:adjustRightInd w:val="0"/>
              <w:ind w:left="145"/>
              <w:rPr>
                <w:color w:val="000000"/>
                <w:szCs w:val="22"/>
                <w:lang w:val="sl-SI" w:eastAsia="sl-SI"/>
              </w:rPr>
            </w:pPr>
            <w:r>
              <w:rPr>
                <w:szCs w:val="22"/>
              </w:rPr>
              <w:t>Chinidinas vartotas po 200 mg kas 2 valandas iki 1 000 mg bendros dozės. Dabigatrano eteksilatas vartotas du kartus per parą tris paras iš eilės, trečią parą – kartu su chinidinu arba be jo. Vartojant kartu su chinidinu, dabigatrano AUC</w:t>
            </w:r>
            <w:r>
              <w:rPr>
                <w:szCs w:val="22"/>
                <w:vertAlign w:val="subscript"/>
              </w:rPr>
              <w:t xml:space="preserve">τ,ss </w:t>
            </w:r>
            <w:r>
              <w:rPr>
                <w:szCs w:val="22"/>
              </w:rPr>
              <w:t>ir C</w:t>
            </w:r>
            <w:r>
              <w:rPr>
                <w:szCs w:val="22"/>
                <w:vertAlign w:val="subscript"/>
              </w:rPr>
              <w:t xml:space="preserve">max,ss </w:t>
            </w:r>
            <w:r>
              <w:rPr>
                <w:szCs w:val="22"/>
              </w:rPr>
              <w:t>padidėjo atitinkamai maždaug 1,53 karto ir 1,56 karto (žr. 4.2 ir 4.4 skyrius).</w:t>
            </w:r>
          </w:p>
        </w:tc>
      </w:tr>
      <w:tr w:rsidR="00CB542F" w14:paraId="175CA045" w14:textId="77777777">
        <w:trPr>
          <w:trHeight w:val="757"/>
        </w:trPr>
        <w:tc>
          <w:tcPr>
            <w:tcW w:w="1745" w:type="dxa"/>
            <w:shd w:val="clear" w:color="auto" w:fill="auto"/>
          </w:tcPr>
          <w:p w14:paraId="163BC178" w14:textId="77777777" w:rsidR="00CB542F" w:rsidRDefault="00573A58">
            <w:pPr>
              <w:widowControl w:val="0"/>
              <w:kinsoku w:val="0"/>
              <w:overflowPunct w:val="0"/>
              <w:autoSpaceDE w:val="0"/>
              <w:autoSpaceDN w:val="0"/>
              <w:adjustRightInd w:val="0"/>
              <w:spacing w:line="243" w:lineRule="exact"/>
              <w:ind w:left="107"/>
              <w:rPr>
                <w:color w:val="000000"/>
                <w:szCs w:val="22"/>
                <w:lang w:val="sl-SI" w:eastAsia="sl-SI"/>
              </w:rPr>
            </w:pPr>
            <w:r>
              <w:t>Klaritromicinas</w:t>
            </w:r>
          </w:p>
        </w:tc>
        <w:tc>
          <w:tcPr>
            <w:tcW w:w="7541" w:type="dxa"/>
            <w:shd w:val="clear" w:color="auto" w:fill="auto"/>
          </w:tcPr>
          <w:p w14:paraId="0D79DE95" w14:textId="77777777" w:rsidR="00CB542F" w:rsidRDefault="00573A58">
            <w:pPr>
              <w:widowControl w:val="0"/>
              <w:kinsoku w:val="0"/>
              <w:overflowPunct w:val="0"/>
              <w:autoSpaceDE w:val="0"/>
              <w:autoSpaceDN w:val="0"/>
              <w:adjustRightInd w:val="0"/>
              <w:ind w:left="145"/>
              <w:rPr>
                <w:color w:val="000000"/>
                <w:szCs w:val="22"/>
                <w:lang w:val="sl-SI" w:eastAsia="sl-SI"/>
              </w:rPr>
            </w:pPr>
            <w:r>
              <w:t>Sveikų savanorių, kartu su dabigatrano eteksilatu vartojusių klaritromicino po 500 mg 2 kartus per parą, organizme dabigatrano AUC padidėjo maždaug 1,19 karto, C</w:t>
            </w:r>
            <w:r>
              <w:rPr>
                <w:vertAlign w:val="subscript"/>
              </w:rPr>
              <w:t>max</w:t>
            </w:r>
            <w:r>
              <w:t xml:space="preserve"> – apie 1,15 karto</w:t>
            </w:r>
          </w:p>
        </w:tc>
      </w:tr>
      <w:tr w:rsidR="00CB542F" w14:paraId="544FA437" w14:textId="77777777">
        <w:trPr>
          <w:trHeight w:val="4806"/>
        </w:trPr>
        <w:tc>
          <w:tcPr>
            <w:tcW w:w="1745" w:type="dxa"/>
            <w:shd w:val="clear" w:color="auto" w:fill="auto"/>
          </w:tcPr>
          <w:p w14:paraId="577D3C00" w14:textId="77777777" w:rsidR="00CB542F" w:rsidRDefault="00573A58">
            <w:pPr>
              <w:widowControl w:val="0"/>
              <w:kinsoku w:val="0"/>
              <w:overflowPunct w:val="0"/>
              <w:autoSpaceDE w:val="0"/>
              <w:autoSpaceDN w:val="0"/>
              <w:adjustRightInd w:val="0"/>
              <w:spacing w:line="243" w:lineRule="exact"/>
              <w:ind w:left="107"/>
              <w:rPr>
                <w:color w:val="000000"/>
                <w:szCs w:val="22"/>
                <w:lang w:val="sl-SI" w:eastAsia="sl-SI"/>
              </w:rPr>
            </w:pPr>
            <w:r>
              <w:lastRenderedPageBreak/>
              <w:t>Tikagreloras</w:t>
            </w:r>
          </w:p>
        </w:tc>
        <w:tc>
          <w:tcPr>
            <w:tcW w:w="7541" w:type="dxa"/>
            <w:shd w:val="clear" w:color="auto" w:fill="auto"/>
          </w:tcPr>
          <w:p w14:paraId="7A73AA08" w14:textId="77777777" w:rsidR="00CB542F" w:rsidRDefault="00573A58">
            <w:pPr>
              <w:widowControl w:val="0"/>
              <w:kinsoku w:val="0"/>
              <w:overflowPunct w:val="0"/>
              <w:autoSpaceDE w:val="0"/>
              <w:autoSpaceDN w:val="0"/>
              <w:adjustRightInd w:val="0"/>
              <w:spacing w:before="4" w:line="252" w:lineRule="exact"/>
              <w:ind w:left="145"/>
            </w:pPr>
            <w:r>
              <w:t>Vieną 75 mg dabigatrano eteksilato dozę pavartojus kartu su 180 mg įsotinamąja tikagreloro doze, dabigatrano AUC ir C</w:t>
            </w:r>
            <w:r>
              <w:rPr>
                <w:vertAlign w:val="subscript"/>
              </w:rPr>
              <w:t>max</w:t>
            </w:r>
            <w:r>
              <w:t xml:space="preserve"> padidėjo atitinkamai 1,73 karto ir 1,95 karto. Po kartotinių du kartus per parą vartojamų 90 mg tikagreloro dozių dabigatrano C</w:t>
            </w:r>
            <w:r>
              <w:rPr>
                <w:vertAlign w:val="subscript"/>
              </w:rPr>
              <w:t>max</w:t>
            </w:r>
            <w:r>
              <w:t xml:space="preserve"> ir AUC ekspozicija padidėjo atitinkamai 1,56 karto ir 1,46 karto.</w:t>
            </w:r>
          </w:p>
          <w:p w14:paraId="424EF389" w14:textId="77777777" w:rsidR="00CB542F" w:rsidRDefault="00CB542F">
            <w:pPr>
              <w:widowControl w:val="0"/>
              <w:kinsoku w:val="0"/>
              <w:overflowPunct w:val="0"/>
              <w:autoSpaceDE w:val="0"/>
              <w:autoSpaceDN w:val="0"/>
              <w:adjustRightInd w:val="0"/>
              <w:spacing w:before="4" w:line="252" w:lineRule="exact"/>
              <w:ind w:left="145"/>
            </w:pPr>
          </w:p>
          <w:p w14:paraId="69E1A7B5" w14:textId="77777777" w:rsidR="00CB542F" w:rsidRDefault="00573A58">
            <w:pPr>
              <w:widowControl w:val="0"/>
              <w:kinsoku w:val="0"/>
              <w:overflowPunct w:val="0"/>
              <w:autoSpaceDE w:val="0"/>
              <w:autoSpaceDN w:val="0"/>
              <w:adjustRightInd w:val="0"/>
              <w:spacing w:before="4" w:line="252" w:lineRule="exact"/>
              <w:ind w:left="145"/>
            </w:pPr>
            <w:r>
              <w:t>Įsotinamąją 180 mg tikagreloro dozę pavartojus kartu su 110 mg dabigatrano eteksilato doze (tuo metu, kai nusistovėjo pusiausvyrinė koncentracija), dabigatrano AUC</w:t>
            </w:r>
            <w:r>
              <w:rPr>
                <w:vertAlign w:val="subscript"/>
              </w:rPr>
              <w:t xml:space="preserve">τ,ss </w:t>
            </w:r>
            <w:r>
              <w:t>ir C</w:t>
            </w:r>
            <w:r>
              <w:rPr>
                <w:vertAlign w:val="subscript"/>
              </w:rPr>
              <w:t xml:space="preserve">max,ss </w:t>
            </w:r>
            <w:r>
              <w:t>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Pr>
                <w:vertAlign w:val="subscript"/>
              </w:rPr>
              <w:t>τ,ss</w:t>
            </w:r>
            <w:r>
              <w:t xml:space="preserve"> ir C</w:t>
            </w:r>
            <w:r>
              <w:rPr>
                <w:vertAlign w:val="subscript"/>
              </w:rPr>
              <w:t xml:space="preserve">max,ss </w:t>
            </w:r>
            <w:r>
              <w:t>padidėjimas sumažėjo atitinkamai iki 1,27 karto ir 1,23 karto, palyginti su nustatytais pavartojus vien dabigatrano eteksilato. Taip išskirstytai vartoti šių vaistinių preparatų rekomenduojama, pradedant gydyti įsotinamąja tikagreloro doze.</w:t>
            </w:r>
          </w:p>
          <w:p w14:paraId="10EBBBE6" w14:textId="77777777" w:rsidR="00CB542F" w:rsidRDefault="00CB542F">
            <w:pPr>
              <w:widowControl w:val="0"/>
              <w:kinsoku w:val="0"/>
              <w:overflowPunct w:val="0"/>
              <w:autoSpaceDE w:val="0"/>
              <w:autoSpaceDN w:val="0"/>
              <w:adjustRightInd w:val="0"/>
              <w:spacing w:before="4" w:line="252" w:lineRule="exact"/>
              <w:ind w:left="145"/>
            </w:pPr>
          </w:p>
          <w:p w14:paraId="3E9424AC" w14:textId="77777777" w:rsidR="00CB542F" w:rsidRDefault="00573A58">
            <w:pPr>
              <w:widowControl w:val="0"/>
              <w:kinsoku w:val="0"/>
              <w:overflowPunct w:val="0"/>
              <w:autoSpaceDE w:val="0"/>
              <w:autoSpaceDN w:val="0"/>
              <w:adjustRightInd w:val="0"/>
              <w:spacing w:before="4" w:line="252" w:lineRule="exact"/>
              <w:ind w:left="145"/>
              <w:rPr>
                <w:color w:val="000000"/>
                <w:szCs w:val="22"/>
                <w:lang w:val="sl-SI" w:eastAsia="sl-SI"/>
              </w:rPr>
            </w:pPr>
            <w:r>
              <w:t>Dabigatrano eteksilato 110 mg dozę pavartojus kartu su du kartus per parą vartojama 90 mg tikagreloro palaikomąja doze, dabigatrano koreguoti AUC</w:t>
            </w:r>
            <w:r>
              <w:rPr>
                <w:vertAlign w:val="subscript"/>
              </w:rPr>
              <w:t xml:space="preserve">τ,ss </w:t>
            </w:r>
            <w:r>
              <w:t>ir C</w:t>
            </w:r>
            <w:r>
              <w:rPr>
                <w:vertAlign w:val="subscript"/>
              </w:rPr>
              <w:t xml:space="preserve">max,ss </w:t>
            </w:r>
            <w:r>
              <w:t>padidėjo atitinkamai 1,26 karto ir 1,29 karto, palyginti su nustatytais pavartojus vien dabigatrano eteksilato</w:t>
            </w:r>
          </w:p>
        </w:tc>
      </w:tr>
      <w:tr w:rsidR="00CB542F" w14:paraId="7FEE3D9F" w14:textId="77777777">
        <w:trPr>
          <w:trHeight w:val="505"/>
        </w:trPr>
        <w:tc>
          <w:tcPr>
            <w:tcW w:w="1745" w:type="dxa"/>
            <w:shd w:val="clear" w:color="auto" w:fill="auto"/>
          </w:tcPr>
          <w:p w14:paraId="0E5BA1A2" w14:textId="77777777" w:rsidR="00CB542F" w:rsidRDefault="00573A58">
            <w:pPr>
              <w:widowControl w:val="0"/>
              <w:kinsoku w:val="0"/>
              <w:overflowPunct w:val="0"/>
              <w:autoSpaceDE w:val="0"/>
              <w:autoSpaceDN w:val="0"/>
              <w:adjustRightInd w:val="0"/>
              <w:spacing w:line="243" w:lineRule="exact"/>
              <w:ind w:left="107"/>
              <w:rPr>
                <w:color w:val="000000"/>
                <w:szCs w:val="22"/>
                <w:lang w:val="sl-SI" w:eastAsia="sl-SI"/>
              </w:rPr>
            </w:pPr>
            <w:r>
              <w:t>Pozakonazolas</w:t>
            </w:r>
          </w:p>
        </w:tc>
        <w:tc>
          <w:tcPr>
            <w:tcW w:w="7541" w:type="dxa"/>
            <w:shd w:val="clear" w:color="auto" w:fill="auto"/>
          </w:tcPr>
          <w:p w14:paraId="6C547A8C" w14:textId="77777777" w:rsidR="00CB542F" w:rsidRDefault="00573A58">
            <w:pPr>
              <w:widowControl w:val="0"/>
              <w:kinsoku w:val="0"/>
              <w:overflowPunct w:val="0"/>
              <w:autoSpaceDE w:val="0"/>
              <w:autoSpaceDN w:val="0"/>
              <w:adjustRightInd w:val="0"/>
              <w:spacing w:line="243" w:lineRule="exact"/>
              <w:ind w:left="145"/>
              <w:rPr>
                <w:color w:val="000000"/>
                <w:szCs w:val="22"/>
                <w:lang w:val="sl-SI" w:eastAsia="sl-SI"/>
              </w:rPr>
            </w:pPr>
            <w:r>
              <w:t>Pozakonazolas taip pat šiek tiek slopina P-gp, tačiau poveikis klinikiniais tyrimais netirtas. Dabigatrano eteksilato derinant su pozakonazolu, būtina laikytis atsargumo priemonių.</w:t>
            </w:r>
          </w:p>
        </w:tc>
      </w:tr>
      <w:tr w:rsidR="00CB542F" w14:paraId="0D19FCFC" w14:textId="77777777">
        <w:trPr>
          <w:trHeight w:val="733"/>
        </w:trPr>
        <w:tc>
          <w:tcPr>
            <w:tcW w:w="9286" w:type="dxa"/>
            <w:gridSpan w:val="2"/>
            <w:shd w:val="clear" w:color="auto" w:fill="auto"/>
          </w:tcPr>
          <w:p w14:paraId="71BF0B33" w14:textId="77777777" w:rsidR="00CB542F" w:rsidRDefault="00CB542F">
            <w:pPr>
              <w:widowControl w:val="0"/>
              <w:kinsoku w:val="0"/>
              <w:overflowPunct w:val="0"/>
              <w:autoSpaceDE w:val="0"/>
              <w:autoSpaceDN w:val="0"/>
              <w:adjustRightInd w:val="0"/>
              <w:spacing w:before="2"/>
              <w:rPr>
                <w:b/>
                <w:bCs/>
                <w:color w:val="000000"/>
                <w:szCs w:val="22"/>
                <w:lang w:val="sl-SI" w:eastAsia="sl-SI"/>
              </w:rPr>
            </w:pPr>
          </w:p>
          <w:p w14:paraId="491D88E8" w14:textId="77777777" w:rsidR="00CB542F" w:rsidRDefault="00573A58">
            <w:pPr>
              <w:widowControl w:val="0"/>
              <w:kinsoku w:val="0"/>
              <w:overflowPunct w:val="0"/>
              <w:autoSpaceDE w:val="0"/>
              <w:autoSpaceDN w:val="0"/>
              <w:adjustRightInd w:val="0"/>
              <w:spacing w:before="1"/>
              <w:ind w:left="107"/>
              <w:rPr>
                <w:i/>
                <w:iCs/>
                <w:color w:val="000000"/>
                <w:szCs w:val="22"/>
                <w:u w:val="single"/>
                <w:lang w:val="sl-SI" w:eastAsia="sl-SI"/>
              </w:rPr>
            </w:pPr>
            <w:r>
              <w:rPr>
                <w:i/>
                <w:iCs/>
                <w:u w:val="single"/>
              </w:rPr>
              <w:t>P-glikoproteino induktoriai</w:t>
            </w:r>
          </w:p>
        </w:tc>
      </w:tr>
      <w:tr w:rsidR="00CB542F" w14:paraId="59A65978" w14:textId="77777777">
        <w:trPr>
          <w:trHeight w:val="734"/>
        </w:trPr>
        <w:tc>
          <w:tcPr>
            <w:tcW w:w="9286" w:type="dxa"/>
            <w:gridSpan w:val="2"/>
            <w:shd w:val="clear" w:color="auto" w:fill="auto"/>
          </w:tcPr>
          <w:p w14:paraId="390AF4B6" w14:textId="77777777" w:rsidR="00CB542F" w:rsidRDefault="00CB542F">
            <w:pPr>
              <w:widowControl w:val="0"/>
              <w:kinsoku w:val="0"/>
              <w:overflowPunct w:val="0"/>
              <w:autoSpaceDE w:val="0"/>
              <w:autoSpaceDN w:val="0"/>
              <w:adjustRightInd w:val="0"/>
              <w:rPr>
                <w:b/>
                <w:bCs/>
                <w:i/>
                <w:iCs/>
                <w:color w:val="000000"/>
                <w:szCs w:val="22"/>
                <w:lang w:val="sl-SI" w:eastAsia="sl-SI"/>
              </w:rPr>
            </w:pPr>
          </w:p>
          <w:p w14:paraId="745AC78D" w14:textId="77777777" w:rsidR="00CB542F" w:rsidRDefault="00573A58">
            <w:pPr>
              <w:widowControl w:val="0"/>
              <w:kinsoku w:val="0"/>
              <w:overflowPunct w:val="0"/>
              <w:autoSpaceDE w:val="0"/>
              <w:autoSpaceDN w:val="0"/>
              <w:adjustRightInd w:val="0"/>
              <w:ind w:left="107"/>
              <w:rPr>
                <w:i/>
                <w:iCs/>
                <w:color w:val="000000"/>
                <w:szCs w:val="22"/>
                <w:lang w:val="sl-SI" w:eastAsia="sl-SI"/>
              </w:rPr>
            </w:pPr>
            <w:r>
              <w:rPr>
                <w:i/>
                <w:iCs/>
              </w:rPr>
              <w:t>Reikia vengti vartoti kartu</w:t>
            </w:r>
          </w:p>
        </w:tc>
      </w:tr>
      <w:tr w:rsidR="00CB542F" w14:paraId="7355F152" w14:textId="77777777">
        <w:trPr>
          <w:trHeight w:val="2022"/>
        </w:trPr>
        <w:tc>
          <w:tcPr>
            <w:tcW w:w="1745" w:type="dxa"/>
            <w:shd w:val="clear" w:color="auto" w:fill="auto"/>
          </w:tcPr>
          <w:p w14:paraId="5DC32423" w14:textId="77777777" w:rsidR="00CB542F" w:rsidRDefault="00573A58">
            <w:pPr>
              <w:widowControl w:val="0"/>
              <w:kinsoku w:val="0"/>
              <w:overflowPunct w:val="0"/>
              <w:autoSpaceDE w:val="0"/>
              <w:autoSpaceDN w:val="0"/>
              <w:adjustRightInd w:val="0"/>
              <w:ind w:left="107"/>
              <w:rPr>
                <w:color w:val="000000"/>
                <w:szCs w:val="22"/>
                <w:lang w:val="sl-SI" w:eastAsia="sl-SI"/>
              </w:rPr>
            </w:pPr>
            <w:r>
              <w:t>pvz., rifampicinas, paprastosios jonažolės (Hypericum perforatum) preparatai, karbamazepinas arba fenitoinas</w:t>
            </w:r>
          </w:p>
        </w:tc>
        <w:tc>
          <w:tcPr>
            <w:tcW w:w="7541" w:type="dxa"/>
            <w:shd w:val="clear" w:color="auto" w:fill="auto"/>
          </w:tcPr>
          <w:p w14:paraId="224E40DD" w14:textId="77777777" w:rsidR="00CB542F" w:rsidRDefault="00573A58">
            <w:pPr>
              <w:widowControl w:val="0"/>
              <w:kinsoku w:val="0"/>
              <w:overflowPunct w:val="0"/>
              <w:autoSpaceDE w:val="0"/>
              <w:autoSpaceDN w:val="0"/>
              <w:adjustRightInd w:val="0"/>
              <w:ind w:left="107"/>
            </w:pPr>
            <w:r>
              <w:t>Tikėtina, kad skyrimas kartu lemia dabigatrano koncentracijos sumažėjimą.</w:t>
            </w:r>
          </w:p>
          <w:p w14:paraId="2F1B1236" w14:textId="77777777" w:rsidR="00CB542F" w:rsidRDefault="00CB542F">
            <w:pPr>
              <w:widowControl w:val="0"/>
              <w:kinsoku w:val="0"/>
              <w:overflowPunct w:val="0"/>
              <w:autoSpaceDE w:val="0"/>
              <w:autoSpaceDN w:val="0"/>
              <w:adjustRightInd w:val="0"/>
              <w:ind w:left="107"/>
            </w:pPr>
          </w:p>
          <w:p w14:paraId="3C9676BC" w14:textId="77777777" w:rsidR="00CB542F" w:rsidRDefault="00573A58">
            <w:pPr>
              <w:widowControl w:val="0"/>
              <w:kinsoku w:val="0"/>
              <w:overflowPunct w:val="0"/>
              <w:autoSpaceDE w:val="0"/>
              <w:autoSpaceDN w:val="0"/>
              <w:adjustRightInd w:val="0"/>
              <w:ind w:left="107"/>
              <w:rPr>
                <w:color w:val="000000"/>
                <w:szCs w:val="22"/>
                <w:lang w:val="sl-SI" w:eastAsia="sl-SI"/>
              </w:rPr>
            </w:pPr>
            <w:r>
              <w:t>Ištirto induktoriaus rifampicino 600 mg dozės, vartojamos kartą per parą 7 paras iš eilės, vartojimas prieš pradedant gydyti dabigatrano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biologinio prieinamumo didėjimo nepastebėta</w:t>
            </w:r>
          </w:p>
        </w:tc>
      </w:tr>
      <w:tr w:rsidR="00CB542F" w14:paraId="226BEBB7" w14:textId="77777777">
        <w:trPr>
          <w:trHeight w:val="734"/>
        </w:trPr>
        <w:tc>
          <w:tcPr>
            <w:tcW w:w="9286" w:type="dxa"/>
            <w:gridSpan w:val="2"/>
            <w:shd w:val="clear" w:color="auto" w:fill="auto"/>
          </w:tcPr>
          <w:p w14:paraId="4317CDA0" w14:textId="77777777" w:rsidR="00CB542F" w:rsidRDefault="00CB542F">
            <w:pPr>
              <w:widowControl w:val="0"/>
              <w:kinsoku w:val="0"/>
              <w:overflowPunct w:val="0"/>
              <w:autoSpaceDE w:val="0"/>
              <w:autoSpaceDN w:val="0"/>
              <w:adjustRightInd w:val="0"/>
              <w:rPr>
                <w:b/>
                <w:bCs/>
                <w:color w:val="000000"/>
                <w:szCs w:val="22"/>
                <w:lang w:val="sl-SI" w:eastAsia="sl-SI"/>
              </w:rPr>
            </w:pPr>
          </w:p>
          <w:p w14:paraId="03385044" w14:textId="77777777" w:rsidR="00CB542F" w:rsidRDefault="00573A58">
            <w:pPr>
              <w:widowControl w:val="0"/>
              <w:kinsoku w:val="0"/>
              <w:overflowPunct w:val="0"/>
              <w:autoSpaceDE w:val="0"/>
              <w:autoSpaceDN w:val="0"/>
              <w:adjustRightInd w:val="0"/>
              <w:ind w:left="107"/>
              <w:rPr>
                <w:i/>
                <w:iCs/>
                <w:color w:val="000000"/>
                <w:szCs w:val="22"/>
                <w:u w:val="single"/>
                <w:lang w:val="sl-SI" w:eastAsia="sl-SI"/>
              </w:rPr>
            </w:pPr>
            <w:r>
              <w:rPr>
                <w:i/>
                <w:iCs/>
                <w:u w:val="single"/>
              </w:rPr>
              <w:t>Proteazės inhibitoriai, pvz., ritonaviras</w:t>
            </w:r>
          </w:p>
        </w:tc>
      </w:tr>
      <w:tr w:rsidR="00CB542F" w14:paraId="51BA01E2" w14:textId="77777777">
        <w:trPr>
          <w:trHeight w:val="731"/>
        </w:trPr>
        <w:tc>
          <w:tcPr>
            <w:tcW w:w="9286" w:type="dxa"/>
            <w:gridSpan w:val="2"/>
            <w:shd w:val="clear" w:color="auto" w:fill="auto"/>
          </w:tcPr>
          <w:p w14:paraId="213E8900" w14:textId="77777777" w:rsidR="00CB542F" w:rsidRDefault="00CB542F">
            <w:pPr>
              <w:widowControl w:val="0"/>
              <w:kinsoku w:val="0"/>
              <w:overflowPunct w:val="0"/>
              <w:autoSpaceDE w:val="0"/>
              <w:autoSpaceDN w:val="0"/>
              <w:adjustRightInd w:val="0"/>
              <w:rPr>
                <w:b/>
                <w:bCs/>
                <w:color w:val="000000"/>
                <w:szCs w:val="22"/>
                <w:lang w:val="sl-SI" w:eastAsia="sl-SI"/>
              </w:rPr>
            </w:pPr>
          </w:p>
          <w:p w14:paraId="771A9459" w14:textId="77777777" w:rsidR="00CB542F" w:rsidRDefault="00573A58">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CB542F" w14:paraId="3DEF8959" w14:textId="77777777">
        <w:trPr>
          <w:trHeight w:val="1518"/>
        </w:trPr>
        <w:tc>
          <w:tcPr>
            <w:tcW w:w="1745" w:type="dxa"/>
            <w:shd w:val="clear" w:color="auto" w:fill="auto"/>
          </w:tcPr>
          <w:p w14:paraId="67E71623" w14:textId="77777777" w:rsidR="00CB542F" w:rsidRDefault="00573A58">
            <w:pPr>
              <w:widowControl w:val="0"/>
              <w:kinsoku w:val="0"/>
              <w:overflowPunct w:val="0"/>
              <w:autoSpaceDE w:val="0"/>
              <w:autoSpaceDN w:val="0"/>
              <w:adjustRightInd w:val="0"/>
              <w:spacing w:line="252" w:lineRule="exact"/>
              <w:ind w:left="107"/>
              <w:rPr>
                <w:color w:val="000000"/>
                <w:szCs w:val="22"/>
                <w:lang w:val="sl-SI" w:eastAsia="sl-SI"/>
              </w:rPr>
            </w:pPr>
            <w:r>
              <w:t>pvz., ritonaviras ir jo deriniai su kitais proteazės inhibitoriais</w:t>
            </w:r>
          </w:p>
        </w:tc>
        <w:tc>
          <w:tcPr>
            <w:tcW w:w="7541" w:type="dxa"/>
            <w:shd w:val="clear" w:color="auto" w:fill="auto"/>
          </w:tcPr>
          <w:p w14:paraId="27493128" w14:textId="77777777" w:rsidR="00CB542F" w:rsidRDefault="00573A58">
            <w:pPr>
              <w:widowControl w:val="0"/>
              <w:kinsoku w:val="0"/>
              <w:overflowPunct w:val="0"/>
              <w:autoSpaceDE w:val="0"/>
              <w:autoSpaceDN w:val="0"/>
              <w:adjustRightInd w:val="0"/>
              <w:spacing w:line="242" w:lineRule="auto"/>
              <w:ind w:left="107"/>
              <w:rPr>
                <w:color w:val="000000"/>
                <w:szCs w:val="22"/>
                <w:lang w:val="sl-SI" w:eastAsia="sl-SI"/>
              </w:rPr>
            </w:pPr>
            <w:r>
              <w:t>Jie veikia P-glikoproteiną (kaip inhibitoriai arba induktoriai). Jų sąveika nėra tirta, todėl gydyti jais ir kartu dabigatrano eteksilatu nerekomenduojama.</w:t>
            </w:r>
          </w:p>
        </w:tc>
      </w:tr>
      <w:tr w:rsidR="00CB542F" w14:paraId="34DD829F" w14:textId="77777777">
        <w:trPr>
          <w:trHeight w:val="731"/>
        </w:trPr>
        <w:tc>
          <w:tcPr>
            <w:tcW w:w="9286" w:type="dxa"/>
            <w:gridSpan w:val="2"/>
            <w:shd w:val="clear" w:color="auto" w:fill="auto"/>
          </w:tcPr>
          <w:p w14:paraId="2974EF8E" w14:textId="77777777" w:rsidR="00CB542F" w:rsidRDefault="00CB542F">
            <w:pPr>
              <w:widowControl w:val="0"/>
              <w:kinsoku w:val="0"/>
              <w:overflowPunct w:val="0"/>
              <w:autoSpaceDE w:val="0"/>
              <w:autoSpaceDN w:val="0"/>
              <w:adjustRightInd w:val="0"/>
              <w:rPr>
                <w:b/>
                <w:bCs/>
                <w:color w:val="000000"/>
                <w:szCs w:val="22"/>
                <w:lang w:val="sl-SI" w:eastAsia="sl-SI"/>
              </w:rPr>
            </w:pPr>
          </w:p>
          <w:p w14:paraId="0616D45C" w14:textId="77777777" w:rsidR="00CB542F" w:rsidRDefault="00573A58">
            <w:pPr>
              <w:widowControl w:val="0"/>
              <w:kinsoku w:val="0"/>
              <w:overflowPunct w:val="0"/>
              <w:autoSpaceDE w:val="0"/>
              <w:autoSpaceDN w:val="0"/>
              <w:adjustRightInd w:val="0"/>
              <w:ind w:left="107"/>
              <w:rPr>
                <w:i/>
                <w:iCs/>
                <w:color w:val="000000"/>
                <w:szCs w:val="22"/>
                <w:u w:val="single"/>
                <w:lang w:val="sl-SI" w:eastAsia="sl-SI"/>
              </w:rPr>
            </w:pPr>
            <w:r>
              <w:rPr>
                <w:i/>
                <w:iCs/>
                <w:u w:val="single"/>
              </w:rPr>
              <w:t>P-glikoproteino substratas</w:t>
            </w:r>
          </w:p>
        </w:tc>
      </w:tr>
      <w:tr w:rsidR="00CB542F" w14:paraId="3CA1A4C2" w14:textId="77777777">
        <w:trPr>
          <w:trHeight w:val="760"/>
        </w:trPr>
        <w:tc>
          <w:tcPr>
            <w:tcW w:w="1745" w:type="dxa"/>
            <w:shd w:val="clear" w:color="auto" w:fill="auto"/>
          </w:tcPr>
          <w:p w14:paraId="30E8E641" w14:textId="77777777" w:rsidR="00CB542F" w:rsidRDefault="00573A58">
            <w:pPr>
              <w:widowControl w:val="0"/>
              <w:kinsoku w:val="0"/>
              <w:overflowPunct w:val="0"/>
              <w:autoSpaceDE w:val="0"/>
              <w:autoSpaceDN w:val="0"/>
              <w:adjustRightInd w:val="0"/>
              <w:spacing w:line="246" w:lineRule="exact"/>
              <w:ind w:left="107"/>
              <w:rPr>
                <w:color w:val="000000"/>
                <w:szCs w:val="22"/>
                <w:lang w:val="sl-SI" w:eastAsia="sl-SI"/>
              </w:rPr>
            </w:pPr>
            <w:r>
              <w:t>Digoksinas</w:t>
            </w:r>
          </w:p>
        </w:tc>
        <w:tc>
          <w:tcPr>
            <w:tcW w:w="7541" w:type="dxa"/>
            <w:shd w:val="clear" w:color="auto" w:fill="auto"/>
          </w:tcPr>
          <w:p w14:paraId="71D612F1" w14:textId="77777777" w:rsidR="00CB542F" w:rsidRDefault="00573A58">
            <w:pPr>
              <w:widowControl w:val="0"/>
              <w:kinsoku w:val="0"/>
              <w:overflowPunct w:val="0"/>
              <w:autoSpaceDE w:val="0"/>
              <w:autoSpaceDN w:val="0"/>
              <w:adjustRightInd w:val="0"/>
              <w:ind w:left="107"/>
              <w:rPr>
                <w:color w:val="000000"/>
                <w:szCs w:val="22"/>
                <w:lang w:val="sl-SI" w:eastAsia="sl-SI"/>
              </w:rPr>
            </w:pPr>
            <w:r>
              <w:t>Tyrimo metu 24 sveikų savanorių, dabigatrano eteksilato vartojusių kartu su digoksinu, organizme digoksino ekspozicijos pokyčio ir kliniškai reikšmingo dabigatrano ekspozicijos pokyčio nepastebėta.</w:t>
            </w:r>
          </w:p>
        </w:tc>
      </w:tr>
    </w:tbl>
    <w:p w14:paraId="203A6E09" w14:textId="77777777" w:rsidR="00CB542F" w:rsidRDefault="00CB542F"/>
    <w:p w14:paraId="7C9C14A6" w14:textId="77777777" w:rsidR="00CB542F" w:rsidRDefault="00573A58">
      <w:pPr>
        <w:rPr>
          <w:u w:val="single"/>
        </w:rPr>
      </w:pPr>
      <w:r>
        <w:rPr>
          <w:u w:val="single"/>
        </w:rPr>
        <w:t>Antikoaguliantai ir trombocitų agregaciją mažinantys vaistiniai preparatai</w:t>
      </w:r>
    </w:p>
    <w:p w14:paraId="0AD12C27" w14:textId="77777777" w:rsidR="00CB542F" w:rsidRDefault="00CB542F"/>
    <w:p w14:paraId="159793C9" w14:textId="77777777" w:rsidR="00CB542F" w:rsidRDefault="00573A58">
      <w:r>
        <w:t>Gydymo kartu su vaistiniais preparatais, kurie derinant su dabigatrano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730D41A9" w14:textId="77777777" w:rsidR="00CB542F" w:rsidRDefault="00CB542F"/>
    <w:p w14:paraId="5E9CE0B6" w14:textId="77777777" w:rsidR="00CB542F" w:rsidRDefault="00573A58">
      <w:r>
        <w:t>Remiantis duomenimis, sukauptais III fazės RE-LY tyrimo (žr. 5.1 skyrių) metu, kartu vartojami kitokie geriamieji arba parenteriniai antikoaguliantai maždaug 2,5 karto padidina didžiojo kraujavimo, sukeliamo tiek dabigatrano eteksilato, tiek varfarino, dažnį, daugiausia tais atvejais, kai vienas antikoaguliantas keičiamas kitu (žr. 4.3 skyrių). Be to, kartu vartojami antitrombocitiniai preparatai, ASR ar klopidogrelis maždaug 2 kartus padidino didžiojo kraujavimo, sukeliamo tiek dabigatrano eteksilato, tiek varfarino, dažnį (žr. 4.4 skyrių).</w:t>
      </w:r>
    </w:p>
    <w:p w14:paraId="43658ABF" w14:textId="77777777" w:rsidR="00CB542F" w:rsidRDefault="00CB542F"/>
    <w:p w14:paraId="2988990E" w14:textId="77777777" w:rsidR="00CB542F" w:rsidRDefault="00573A58">
      <w:r>
        <w:t>NFH dozę, būtiną centrinės venos arba arterijos atviram kateteriui prižiūrėti arba atliekant prieširdžių virpėjimo kateterinę abliaciją, vartoti galima (žr. 4.3 skyrių).</w:t>
      </w:r>
    </w:p>
    <w:p w14:paraId="7864757D" w14:textId="77777777" w:rsidR="00CB542F" w:rsidRDefault="00CB542F"/>
    <w:p w14:paraId="40FC4095" w14:textId="77777777" w:rsidR="00CB542F" w:rsidRDefault="00573A58">
      <w:pPr>
        <w:rPr>
          <w:b/>
          <w:bCs/>
        </w:rPr>
      </w:pPr>
      <w:r>
        <w:rPr>
          <w:b/>
          <w:bCs/>
        </w:rPr>
        <w:t>9 lentelė. Sąveika su antikoaguliantais ir trombocitų agregaciją mažinančiais vaistiniais preparatais</w:t>
      </w:r>
    </w:p>
    <w:p w14:paraId="28467DDB" w14:textId="77777777" w:rsidR="00CB542F" w:rsidRDefault="00CB542F">
      <w:pPr>
        <w:rPr>
          <w:b/>
          <w:bCs/>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8339"/>
      </w:tblGrid>
      <w:tr w:rsidR="00CB542F" w14:paraId="24118C6F" w14:textId="77777777">
        <w:trPr>
          <w:trHeight w:val="1012"/>
        </w:trPr>
        <w:tc>
          <w:tcPr>
            <w:tcW w:w="1267" w:type="dxa"/>
            <w:shd w:val="clear" w:color="auto" w:fill="auto"/>
          </w:tcPr>
          <w:p w14:paraId="3356F959"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NVPNU</w:t>
            </w:r>
          </w:p>
        </w:tc>
        <w:tc>
          <w:tcPr>
            <w:tcW w:w="8339" w:type="dxa"/>
            <w:shd w:val="clear" w:color="auto" w:fill="auto"/>
          </w:tcPr>
          <w:p w14:paraId="2AA8AD6A" w14:textId="77777777" w:rsidR="00CB542F" w:rsidRDefault="00573A58">
            <w:pPr>
              <w:widowControl w:val="0"/>
              <w:kinsoku w:val="0"/>
              <w:overflowPunct w:val="0"/>
              <w:autoSpaceDE w:val="0"/>
              <w:autoSpaceDN w:val="0"/>
              <w:adjustRightInd w:val="0"/>
              <w:ind w:left="108"/>
              <w:rPr>
                <w:color w:val="000000"/>
                <w:szCs w:val="22"/>
                <w:lang w:val="sl-SI" w:eastAsia="sl-SI"/>
              </w:rPr>
            </w:pPr>
            <w:r>
              <w:t>Įrodyta, kad su dabigatrano eteksilato derinamas trumpalaikis NVPNU vartojimas analgezijai su kraujavimo rizikos padidėjimu nėra susijęs. RE-LY tyrime NVPNU vartojant nuolat, kraujavimo rizika padidėja maždaug 50 % tiek gydant dabigatrano eteksilatu, tiek varfarinu.</w:t>
            </w:r>
          </w:p>
        </w:tc>
      </w:tr>
      <w:tr w:rsidR="00CB542F" w14:paraId="03146637" w14:textId="77777777">
        <w:trPr>
          <w:trHeight w:val="1738"/>
        </w:trPr>
        <w:tc>
          <w:tcPr>
            <w:tcW w:w="1267" w:type="dxa"/>
            <w:shd w:val="clear" w:color="auto" w:fill="auto"/>
          </w:tcPr>
          <w:p w14:paraId="50453865"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Klopidogrelis</w:t>
            </w:r>
          </w:p>
        </w:tc>
        <w:tc>
          <w:tcPr>
            <w:tcW w:w="8339" w:type="dxa"/>
            <w:shd w:val="clear" w:color="auto" w:fill="auto"/>
          </w:tcPr>
          <w:p w14:paraId="0A914BC4" w14:textId="77777777" w:rsidR="00CB542F" w:rsidRDefault="00573A58">
            <w:pPr>
              <w:widowControl w:val="0"/>
              <w:kinsoku w:val="0"/>
              <w:overflowPunct w:val="0"/>
              <w:autoSpaceDE w:val="0"/>
              <w:autoSpaceDN w:val="0"/>
              <w:adjustRightInd w:val="0"/>
              <w:ind w:left="108"/>
              <w:rPr>
                <w:color w:val="000000"/>
                <w:szCs w:val="22"/>
                <w:lang w:val="sl-SI" w:eastAsia="sl-SI"/>
              </w:rPr>
            </w:pPr>
            <w:r>
              <w:t>Tyrimuose su jaunais sveikais savanoriais vyrais, dabigatrano eteksilato vartojusiais kartu su klopidogreliu, kraujavimo iš kapiliarų laiko pailgėjimas nebuvo didesnis už pailgėjimą klopidogrelio monoterapijos metu. Be to, dabigatrano AUC</w:t>
            </w:r>
            <w:r>
              <w:rPr>
                <w:vertAlign w:val="subscript"/>
              </w:rPr>
              <w:t>τ,ss</w:t>
            </w:r>
            <w:r>
              <w:t xml:space="preserve"> ir C</w:t>
            </w:r>
            <w:r>
              <w:rPr>
                <w:vertAlign w:val="subscript"/>
              </w:rPr>
              <w:t>max,ss</w:t>
            </w:r>
            <w: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Pr>
                <w:vertAlign w:val="subscript"/>
              </w:rPr>
              <w:t xml:space="preserve">τ,ss </w:t>
            </w:r>
            <w:r>
              <w:t>ir C</w:t>
            </w:r>
            <w:r>
              <w:rPr>
                <w:vertAlign w:val="subscript"/>
              </w:rPr>
              <w:t xml:space="preserve">max,ss </w:t>
            </w:r>
            <w:r>
              <w:t>padidėjo maždaug 30-40 % (žr. 4.4 skyrių).</w:t>
            </w:r>
          </w:p>
        </w:tc>
      </w:tr>
      <w:tr w:rsidR="00CB542F" w14:paraId="477AB28F" w14:textId="77777777">
        <w:trPr>
          <w:trHeight w:val="758"/>
        </w:trPr>
        <w:tc>
          <w:tcPr>
            <w:tcW w:w="1267" w:type="dxa"/>
            <w:shd w:val="clear" w:color="auto" w:fill="auto"/>
          </w:tcPr>
          <w:p w14:paraId="40A1EE73"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ASR</w:t>
            </w:r>
          </w:p>
        </w:tc>
        <w:tc>
          <w:tcPr>
            <w:tcW w:w="8339" w:type="dxa"/>
            <w:shd w:val="clear" w:color="auto" w:fill="auto"/>
          </w:tcPr>
          <w:p w14:paraId="1F457A8A" w14:textId="77777777" w:rsidR="00CB542F" w:rsidRDefault="00573A58">
            <w:pPr>
              <w:widowControl w:val="0"/>
              <w:kinsoku w:val="0"/>
              <w:overflowPunct w:val="0"/>
              <w:autoSpaceDE w:val="0"/>
              <w:autoSpaceDN w:val="0"/>
              <w:adjustRightInd w:val="0"/>
              <w:ind w:left="108"/>
              <w:rPr>
                <w:color w:val="000000"/>
                <w:szCs w:val="22"/>
                <w:lang w:val="sl-SI" w:eastAsia="sl-SI"/>
              </w:rPr>
            </w:pPr>
            <w:r>
              <w:t>Du kartus per parą vartojamą 150 mg dabigatrano eteksilato dozę derinant su 81 mg ASR doze, bet kokio kraujavimo rizika gali padidėti 12-18 %, derinant su 325 mg ASR doze – 24 % (žr. 4.4 skyrių).</w:t>
            </w:r>
          </w:p>
        </w:tc>
      </w:tr>
      <w:tr w:rsidR="00CB542F" w14:paraId="434C3ACF" w14:textId="77777777">
        <w:trPr>
          <w:trHeight w:val="2529"/>
        </w:trPr>
        <w:tc>
          <w:tcPr>
            <w:tcW w:w="1267" w:type="dxa"/>
            <w:shd w:val="clear" w:color="auto" w:fill="auto"/>
          </w:tcPr>
          <w:p w14:paraId="4920FB27"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MMMH</w:t>
            </w:r>
          </w:p>
        </w:tc>
        <w:tc>
          <w:tcPr>
            <w:tcW w:w="8339" w:type="dxa"/>
            <w:shd w:val="clear" w:color="auto" w:fill="auto"/>
          </w:tcPr>
          <w:p w14:paraId="114FF3E4" w14:textId="77777777" w:rsidR="00CB542F" w:rsidRDefault="00573A58">
            <w:pPr>
              <w:widowControl w:val="0"/>
              <w:kinsoku w:val="0"/>
              <w:overflowPunct w:val="0"/>
              <w:autoSpaceDE w:val="0"/>
              <w:autoSpaceDN w:val="0"/>
              <w:adjustRightInd w:val="0"/>
              <w:spacing w:line="242" w:lineRule="auto"/>
              <w:ind w:left="108"/>
              <w:rPr>
                <w:color w:val="000000"/>
                <w:szCs w:val="22"/>
                <w:lang w:val="sl-SI" w:eastAsia="sl-SI"/>
              </w:rPr>
            </w:pPr>
            <w:r>
              <w:t>Gydymas MMMH, pvz., enoksaparinu, ir kartu dabigatrano eteksilatu, specifiškai netirtas. Trijų parų gydymą kartą per parą po oda leidžiama 40 mg enoksaparino doze pakeitus dabigatranu, jo ekspozicija, praėjus 24 valandoms po paskutinės enoksaparino dozės suleidimo, buvo šiek tiek mažesnė negu vien po dabigatrano eteksilato (vienos 220 mg dozės) pavartojimo. Dabigatrano eteksilato vartojant po gydymo enoksaparinu, anti-FXa/FIIa aktyvumas buvo didesnis, negu po gydymo vien dabigatrano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5E78EDE4" w14:textId="77777777" w:rsidR="00CB542F" w:rsidRDefault="00CB542F"/>
    <w:p w14:paraId="604B23BC" w14:textId="77777777" w:rsidR="00CB542F" w:rsidRDefault="00573A58">
      <w:pPr>
        <w:rPr>
          <w:u w:val="single"/>
        </w:rPr>
      </w:pPr>
      <w:r>
        <w:rPr>
          <w:u w:val="single"/>
        </w:rPr>
        <w:t>Kita sąveika</w:t>
      </w:r>
    </w:p>
    <w:p w14:paraId="3DA6D051" w14:textId="77777777" w:rsidR="00CB542F" w:rsidRDefault="00CB542F"/>
    <w:p w14:paraId="43929848" w14:textId="77777777" w:rsidR="00CB542F" w:rsidRDefault="00573A58">
      <w:pPr>
        <w:rPr>
          <w:b/>
          <w:bCs/>
        </w:rPr>
      </w:pPr>
      <w:r>
        <w:rPr>
          <w:b/>
          <w:bCs/>
        </w:rPr>
        <w:t>10 lentelė. Kita sąveika</w:t>
      </w:r>
    </w:p>
    <w:p w14:paraId="69E8C85D" w14:textId="77777777" w:rsidR="00CB542F" w:rsidRDefault="00CB542F">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7738"/>
      </w:tblGrid>
      <w:tr w:rsidR="00CB542F" w14:paraId="3AABAA75" w14:textId="77777777">
        <w:trPr>
          <w:trHeight w:val="986"/>
        </w:trPr>
        <w:tc>
          <w:tcPr>
            <w:tcW w:w="9286" w:type="dxa"/>
            <w:gridSpan w:val="2"/>
            <w:shd w:val="clear" w:color="auto" w:fill="auto"/>
          </w:tcPr>
          <w:p w14:paraId="225B7932" w14:textId="77777777" w:rsidR="00CB542F" w:rsidRDefault="00CB542F">
            <w:pPr>
              <w:widowControl w:val="0"/>
              <w:kinsoku w:val="0"/>
              <w:overflowPunct w:val="0"/>
              <w:autoSpaceDE w:val="0"/>
              <w:autoSpaceDN w:val="0"/>
              <w:adjustRightInd w:val="0"/>
              <w:spacing w:before="6"/>
              <w:rPr>
                <w:b/>
                <w:bCs/>
                <w:color w:val="000000"/>
                <w:szCs w:val="22"/>
                <w:lang w:val="sl-SI" w:eastAsia="sl-SI"/>
              </w:rPr>
            </w:pPr>
          </w:p>
          <w:p w14:paraId="2A452BBD" w14:textId="77777777" w:rsidR="00CB542F" w:rsidRDefault="00573A58">
            <w:pPr>
              <w:widowControl w:val="0"/>
              <w:kinsoku w:val="0"/>
              <w:overflowPunct w:val="0"/>
              <w:autoSpaceDE w:val="0"/>
              <w:autoSpaceDN w:val="0"/>
              <w:adjustRightInd w:val="0"/>
              <w:ind w:left="107"/>
              <w:rPr>
                <w:i/>
                <w:iCs/>
                <w:color w:val="000000"/>
                <w:szCs w:val="22"/>
                <w:u w:val="single"/>
                <w:lang w:val="sl-SI" w:eastAsia="sl-SI"/>
              </w:rPr>
            </w:pPr>
            <w:r>
              <w:rPr>
                <w:i/>
                <w:iCs/>
                <w:u w:val="single"/>
              </w:rPr>
              <w:t>Selektyvūs serotonino reabsorbcijos inhibitoriai (SSRI) arba selektyvūs serotonino ir norepinefrino reabsorbcijos inhibitoriai (SNRI)</w:t>
            </w:r>
          </w:p>
        </w:tc>
      </w:tr>
      <w:tr w:rsidR="00CB542F" w14:paraId="3E8E0BAE" w14:textId="77777777">
        <w:trPr>
          <w:trHeight w:val="760"/>
        </w:trPr>
        <w:tc>
          <w:tcPr>
            <w:tcW w:w="1548" w:type="dxa"/>
            <w:shd w:val="clear" w:color="auto" w:fill="auto"/>
          </w:tcPr>
          <w:p w14:paraId="66B71834" w14:textId="77777777" w:rsidR="00CB542F" w:rsidRDefault="00573A58">
            <w:pPr>
              <w:widowControl w:val="0"/>
              <w:kinsoku w:val="0"/>
              <w:overflowPunct w:val="0"/>
              <w:autoSpaceDE w:val="0"/>
              <w:autoSpaceDN w:val="0"/>
              <w:adjustRightInd w:val="0"/>
              <w:spacing w:line="249" w:lineRule="exact"/>
              <w:ind w:left="107"/>
              <w:rPr>
                <w:color w:val="000000"/>
                <w:szCs w:val="22"/>
                <w:lang w:val="sl-SI" w:eastAsia="sl-SI"/>
              </w:rPr>
            </w:pPr>
            <w:r>
              <w:rPr>
                <w:color w:val="000000"/>
                <w:szCs w:val="22"/>
                <w:lang w:val="sl-SI" w:eastAsia="sl-SI"/>
              </w:rPr>
              <w:t>SSRIs, SNRIs</w:t>
            </w:r>
          </w:p>
        </w:tc>
        <w:tc>
          <w:tcPr>
            <w:tcW w:w="7738" w:type="dxa"/>
            <w:shd w:val="clear" w:color="auto" w:fill="auto"/>
          </w:tcPr>
          <w:p w14:paraId="19286A98" w14:textId="77777777" w:rsidR="00CB542F" w:rsidRDefault="00573A58">
            <w:pPr>
              <w:widowControl w:val="0"/>
              <w:kinsoku w:val="0"/>
              <w:overflowPunct w:val="0"/>
              <w:autoSpaceDE w:val="0"/>
              <w:autoSpaceDN w:val="0"/>
              <w:adjustRightInd w:val="0"/>
              <w:spacing w:line="252" w:lineRule="exact"/>
              <w:ind w:left="107"/>
              <w:rPr>
                <w:color w:val="000000"/>
                <w:szCs w:val="22"/>
                <w:lang w:val="sl-SI" w:eastAsia="sl-SI"/>
              </w:rPr>
            </w:pPr>
            <w:r>
              <w:t>RE-LY tyrimo metu SSRI ir SNRI visų gydomų grupių pacientams didino kraujavimo riziką.</w:t>
            </w:r>
          </w:p>
        </w:tc>
      </w:tr>
      <w:tr w:rsidR="00CB542F" w14:paraId="2EB2E3A2" w14:textId="77777777">
        <w:trPr>
          <w:trHeight w:val="731"/>
        </w:trPr>
        <w:tc>
          <w:tcPr>
            <w:tcW w:w="9286" w:type="dxa"/>
            <w:gridSpan w:val="2"/>
            <w:shd w:val="clear" w:color="auto" w:fill="auto"/>
          </w:tcPr>
          <w:p w14:paraId="6A62F078" w14:textId="77777777" w:rsidR="00CB542F" w:rsidRDefault="00CB542F">
            <w:pPr>
              <w:widowControl w:val="0"/>
              <w:kinsoku w:val="0"/>
              <w:overflowPunct w:val="0"/>
              <w:autoSpaceDE w:val="0"/>
              <w:autoSpaceDN w:val="0"/>
              <w:adjustRightInd w:val="0"/>
              <w:spacing w:before="3"/>
              <w:rPr>
                <w:b/>
                <w:bCs/>
                <w:color w:val="000000"/>
                <w:szCs w:val="22"/>
                <w:lang w:val="sl-SI" w:eastAsia="sl-SI"/>
              </w:rPr>
            </w:pPr>
          </w:p>
          <w:p w14:paraId="70B018C3" w14:textId="77777777" w:rsidR="00CB542F" w:rsidRDefault="00573A58">
            <w:pPr>
              <w:widowControl w:val="0"/>
              <w:kinsoku w:val="0"/>
              <w:overflowPunct w:val="0"/>
              <w:autoSpaceDE w:val="0"/>
              <w:autoSpaceDN w:val="0"/>
              <w:adjustRightInd w:val="0"/>
              <w:ind w:left="107"/>
              <w:rPr>
                <w:i/>
                <w:iCs/>
                <w:color w:val="000000"/>
                <w:szCs w:val="22"/>
                <w:u w:val="single"/>
                <w:lang w:val="sl-SI" w:eastAsia="sl-SI"/>
              </w:rPr>
            </w:pPr>
            <w:r>
              <w:rPr>
                <w:i/>
                <w:iCs/>
                <w:u w:val="single"/>
              </w:rPr>
              <w:t>Medžiagos, veikiančios skrandžio pH</w:t>
            </w:r>
          </w:p>
        </w:tc>
      </w:tr>
      <w:tr w:rsidR="00CB542F" w14:paraId="6DB17484" w14:textId="77777777">
        <w:trPr>
          <w:trHeight w:val="1012"/>
        </w:trPr>
        <w:tc>
          <w:tcPr>
            <w:tcW w:w="1548" w:type="dxa"/>
            <w:shd w:val="clear" w:color="auto" w:fill="auto"/>
          </w:tcPr>
          <w:p w14:paraId="1FD37BD2"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Pantoprazolas</w:t>
            </w:r>
          </w:p>
        </w:tc>
        <w:tc>
          <w:tcPr>
            <w:tcW w:w="7738" w:type="dxa"/>
            <w:shd w:val="clear" w:color="auto" w:fill="auto"/>
          </w:tcPr>
          <w:p w14:paraId="0F41E316" w14:textId="77777777" w:rsidR="00CB542F" w:rsidRDefault="00573A58">
            <w:pPr>
              <w:widowControl w:val="0"/>
              <w:kinsoku w:val="0"/>
              <w:overflowPunct w:val="0"/>
              <w:autoSpaceDE w:val="0"/>
              <w:autoSpaceDN w:val="0"/>
              <w:adjustRightInd w:val="0"/>
              <w:ind w:left="107" w:right="-286"/>
              <w:rPr>
                <w:color w:val="000000"/>
                <w:szCs w:val="22"/>
                <w:lang w:val="sl-SI" w:eastAsia="sl-SI"/>
              </w:rPr>
            </w:pPr>
            <w:r>
              <w:t>Dabigatrano vartojant kartu su pantoprazolu, dabigatrano AUC sumažėjo maždaug 30 %. Klinikinių tyrimų metu kartu su dabigatranu buvo vartojama pantoprazolo ar kitų protonų siurblio inhibitorių (PSI) ir nepastebėta, kad jie mažintų dabigatrano veiksmingumą.</w:t>
            </w:r>
          </w:p>
        </w:tc>
      </w:tr>
      <w:tr w:rsidR="00CB542F" w14:paraId="0E5A26AD" w14:textId="77777777">
        <w:trPr>
          <w:trHeight w:val="506"/>
        </w:trPr>
        <w:tc>
          <w:tcPr>
            <w:tcW w:w="1548" w:type="dxa"/>
            <w:shd w:val="clear" w:color="auto" w:fill="auto"/>
          </w:tcPr>
          <w:p w14:paraId="4BCFEEA1"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Ranitidine</w:t>
            </w:r>
          </w:p>
        </w:tc>
        <w:tc>
          <w:tcPr>
            <w:tcW w:w="7738" w:type="dxa"/>
            <w:shd w:val="clear" w:color="auto" w:fill="auto"/>
          </w:tcPr>
          <w:p w14:paraId="030267F0"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Kartu su dabigatrano eteksilatu vartojamas ranitidinas klinikai reikšmingo poveikio dabigatrano absorbcijos dydžiui nedarė.</w:t>
            </w:r>
          </w:p>
        </w:tc>
      </w:tr>
    </w:tbl>
    <w:p w14:paraId="338A6F13" w14:textId="77777777" w:rsidR="00CB542F" w:rsidRDefault="00CB542F"/>
    <w:p w14:paraId="60D40D88" w14:textId="77777777" w:rsidR="00CB542F" w:rsidRDefault="00573A58">
      <w:pPr>
        <w:rPr>
          <w:u w:val="single"/>
        </w:rPr>
      </w:pPr>
      <w:r>
        <w:rPr>
          <w:u w:val="single"/>
        </w:rPr>
        <w:t>Sąveika, priklausoma nuo dabigatrano eteksilato ir dabigatrano metabolizmo</w:t>
      </w:r>
    </w:p>
    <w:p w14:paraId="42180E3F" w14:textId="77777777" w:rsidR="00CB542F" w:rsidRDefault="00CB542F"/>
    <w:p w14:paraId="2FE759AF" w14:textId="77777777" w:rsidR="00CB542F" w:rsidRDefault="00573A58">
      <w:r>
        <w:t>Citochromo P 450 sistema dabigatrano eteksilato ir dabigatrano nemetabolizuoja, in vitro šios medžiagos žmogaus citochromo P 450 fermentams poveikio nedaro. Taigi su šiais fermentais susijusių vaistinių preparatų sąveika su dabigatranu nėra tikėtina.</w:t>
      </w:r>
    </w:p>
    <w:p w14:paraId="59685D66" w14:textId="77777777" w:rsidR="00CB542F" w:rsidRDefault="00CB542F"/>
    <w:p w14:paraId="13D3EF32" w14:textId="77777777" w:rsidR="00CB542F" w:rsidRDefault="00573A58">
      <w:pPr>
        <w:rPr>
          <w:u w:val="single"/>
        </w:rPr>
      </w:pPr>
      <w:r>
        <w:rPr>
          <w:u w:val="single"/>
        </w:rPr>
        <w:t>Vaikų populiacija</w:t>
      </w:r>
    </w:p>
    <w:p w14:paraId="448BFC2C" w14:textId="77777777" w:rsidR="00CB542F" w:rsidRDefault="00CB542F"/>
    <w:p w14:paraId="495607DD" w14:textId="77777777" w:rsidR="00CB542F" w:rsidRDefault="00573A58">
      <w:r>
        <w:t>Sąveikos tyrimai atlikti tik suaugusiesiems.</w:t>
      </w:r>
    </w:p>
    <w:p w14:paraId="04788800" w14:textId="77777777" w:rsidR="00CB542F" w:rsidRDefault="00CB542F">
      <w:pPr>
        <w:rPr>
          <w:b/>
          <w:bCs/>
        </w:rPr>
      </w:pPr>
    </w:p>
    <w:p w14:paraId="1F060BE5" w14:textId="77777777" w:rsidR="00CB542F" w:rsidRDefault="00573A58">
      <w:pPr>
        <w:ind w:left="567" w:hanging="567"/>
        <w:rPr>
          <w:b/>
        </w:rPr>
      </w:pPr>
      <w:r>
        <w:rPr>
          <w:b/>
        </w:rPr>
        <w:t>4.6</w:t>
      </w:r>
      <w:r>
        <w:rPr>
          <w:b/>
        </w:rPr>
        <w:tab/>
      </w:r>
      <w:r>
        <w:rPr>
          <w:b/>
          <w:noProof/>
          <w:szCs w:val="22"/>
        </w:rPr>
        <w:t xml:space="preserve">Vaisingumas, </w:t>
      </w:r>
      <w:r>
        <w:rPr>
          <w:b/>
          <w:bCs/>
        </w:rPr>
        <w:t>nėštumo ir žindymo laikotarpis</w:t>
      </w:r>
    </w:p>
    <w:p w14:paraId="460303E4" w14:textId="77777777" w:rsidR="00CB542F" w:rsidRDefault="00CB542F">
      <w:pPr>
        <w:rPr>
          <w:i/>
        </w:rPr>
      </w:pPr>
    </w:p>
    <w:p w14:paraId="7CB92867" w14:textId="77777777" w:rsidR="00CB542F" w:rsidRDefault="00573A58">
      <w:pPr>
        <w:rPr>
          <w:u w:val="single"/>
        </w:rPr>
      </w:pPr>
      <w:r>
        <w:rPr>
          <w:u w:val="single"/>
        </w:rPr>
        <w:t>Vaisingos moterys</w:t>
      </w:r>
    </w:p>
    <w:p w14:paraId="664FEACE" w14:textId="77777777" w:rsidR="00CB542F" w:rsidRDefault="00CB542F"/>
    <w:p w14:paraId="22EFD68D" w14:textId="77777777" w:rsidR="00CB542F" w:rsidRDefault="00573A58">
      <w:r>
        <w:t>Gydymo dabigatrano eteksilatu metu vaisingos moterys turi išvengti nėštumo.</w:t>
      </w:r>
    </w:p>
    <w:p w14:paraId="6606A069" w14:textId="77777777" w:rsidR="00CB542F" w:rsidRDefault="00CB542F"/>
    <w:p w14:paraId="2744B709" w14:textId="77777777" w:rsidR="00CB542F" w:rsidRDefault="00573A58">
      <w:pPr>
        <w:rPr>
          <w:u w:val="single"/>
        </w:rPr>
      </w:pPr>
      <w:r>
        <w:rPr>
          <w:u w:val="single"/>
        </w:rPr>
        <w:t>Nėštumas</w:t>
      </w:r>
    </w:p>
    <w:p w14:paraId="122E9469" w14:textId="77777777" w:rsidR="00CB542F" w:rsidRDefault="00CB542F"/>
    <w:p w14:paraId="20004634" w14:textId="77777777" w:rsidR="00CB542F" w:rsidRDefault="00573A58">
      <w:r>
        <w:t>Duomenys apie dabigatrano vartojimą nėštumo metu yra riboti. Su gyvūnais atlikti tyrimai parodė toksinį poveikį reprodukcijai (žr. 5.3 skyrių). Galimas pavojus žmogui nežinomas.</w:t>
      </w:r>
    </w:p>
    <w:p w14:paraId="45920C5C" w14:textId="77777777" w:rsidR="00CB542F" w:rsidRDefault="00CB542F"/>
    <w:p w14:paraId="0EF10C9A" w14:textId="77777777" w:rsidR="00CB542F" w:rsidRDefault="00573A58">
      <w:r>
        <w:t>Dabigatrano eteksilato nėštumo metu vartoti negalima, nebent neabejotinai būtina.</w:t>
      </w:r>
    </w:p>
    <w:p w14:paraId="507D27FE" w14:textId="77777777" w:rsidR="00CB542F" w:rsidRDefault="00CB542F"/>
    <w:p w14:paraId="6C741004" w14:textId="77777777" w:rsidR="00CB542F" w:rsidRDefault="00573A58">
      <w:pPr>
        <w:rPr>
          <w:u w:val="single"/>
        </w:rPr>
      </w:pPr>
      <w:r>
        <w:rPr>
          <w:u w:val="single"/>
        </w:rPr>
        <w:t>Žindymas</w:t>
      </w:r>
    </w:p>
    <w:p w14:paraId="3B975400" w14:textId="77777777" w:rsidR="00CB542F" w:rsidRDefault="00CB542F"/>
    <w:p w14:paraId="377E693B" w14:textId="77777777" w:rsidR="00CB542F" w:rsidRDefault="00573A58">
      <w:r>
        <w:t>Apie žindymo metu vartojamo dabigatrano poveikį kūdikiui klinikinių tyrimų duomenų nėra.</w:t>
      </w:r>
    </w:p>
    <w:p w14:paraId="0797BF20" w14:textId="77777777" w:rsidR="00CB542F" w:rsidRDefault="00573A58">
      <w:r>
        <w:t>Gydymo dabigatrano eteksilatu metu žindymą reikia nutraukti.</w:t>
      </w:r>
    </w:p>
    <w:p w14:paraId="638BD510" w14:textId="77777777" w:rsidR="00CB542F" w:rsidRDefault="00CB542F"/>
    <w:p w14:paraId="0679A7A0" w14:textId="77777777" w:rsidR="00CB542F" w:rsidRDefault="00573A58">
      <w:pPr>
        <w:rPr>
          <w:u w:val="single"/>
        </w:rPr>
      </w:pPr>
      <w:r>
        <w:rPr>
          <w:u w:val="single"/>
        </w:rPr>
        <w:t>Vaisingumas</w:t>
      </w:r>
    </w:p>
    <w:p w14:paraId="04204C51" w14:textId="77777777" w:rsidR="00CB542F" w:rsidRDefault="00CB542F"/>
    <w:p w14:paraId="661C72D3" w14:textId="77777777" w:rsidR="00CB542F" w:rsidRDefault="00573A58">
      <w:r>
        <w:t>Duomenų apie poveikį žmogaus vaisingumui nėra.</w:t>
      </w:r>
    </w:p>
    <w:p w14:paraId="6C6DF9B7" w14:textId="77777777" w:rsidR="00CB542F" w:rsidRDefault="00CB542F"/>
    <w:p w14:paraId="5211E55A" w14:textId="77777777" w:rsidR="00CB542F" w:rsidRDefault="00573A58">
      <w:r>
        <w:t xml:space="preserve">Tyrimais su gyvūnais nustatytas toksinis poveikis patelių vaisingumui, kuris, vartojant 70 mg/kg kūno svorio dozę (ekspozicijai gyvūnų kraujo plazmoje esant 5 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 kartų didesnei už ekspoziciją žmogaus kraujo plazmoje), mažino vaisiaus kūno svorį ir embriono bei vaisiaus gyvybingumą, didino vaisiaus pokyčius. Poveikio prenataliniam ir postnataliniam vystymuisi tyrimų metu tokios dozės, kokios darė </w:t>
      </w:r>
      <w:r>
        <w:lastRenderedPageBreak/>
        <w:t>toksinį poveikį vaikingai patelei (ekspozicijai gyvūnų kraujo plazmoje esant 4 kartus didesnė už ekspoziciją žmogaus kraujo plazmoje), dažnino vaisiaus gaišimą.</w:t>
      </w:r>
    </w:p>
    <w:p w14:paraId="1398A1EA" w14:textId="77777777" w:rsidR="00CB542F" w:rsidRDefault="00CB542F"/>
    <w:p w14:paraId="618836EB" w14:textId="77777777" w:rsidR="00CB542F" w:rsidRDefault="00573A58">
      <w:pPr>
        <w:ind w:left="567" w:hanging="567"/>
        <w:rPr>
          <w:b/>
        </w:rPr>
      </w:pPr>
      <w:r>
        <w:rPr>
          <w:b/>
        </w:rPr>
        <w:t>4.7</w:t>
      </w:r>
      <w:r>
        <w:rPr>
          <w:b/>
        </w:rPr>
        <w:tab/>
        <w:t>Poveikis gebėjimui vairuoti ir valdyti mechanizmus</w:t>
      </w:r>
    </w:p>
    <w:p w14:paraId="41AFB5F4" w14:textId="77777777" w:rsidR="00CB542F" w:rsidRDefault="00CB542F">
      <w:pPr>
        <w:ind w:left="567" w:hanging="567"/>
      </w:pPr>
    </w:p>
    <w:p w14:paraId="0CE430A7" w14:textId="77777777" w:rsidR="00CB542F" w:rsidRDefault="00573A58">
      <w:pPr>
        <w:ind w:left="567" w:hanging="567"/>
      </w:pPr>
      <w:r>
        <w:t>Dabigatrano eteksilatas gebėjimo vairuoti ir valdyti mechanizmus neveikia arba veikia nereikšmingai.</w:t>
      </w:r>
    </w:p>
    <w:p w14:paraId="292B366F" w14:textId="77777777" w:rsidR="00CB542F" w:rsidRDefault="00CB542F">
      <w:pPr>
        <w:ind w:left="567" w:hanging="567"/>
      </w:pPr>
    </w:p>
    <w:p w14:paraId="79D409E7" w14:textId="77777777" w:rsidR="00CB542F" w:rsidRDefault="00573A58">
      <w:pPr>
        <w:ind w:left="567" w:hanging="567"/>
        <w:rPr>
          <w:b/>
        </w:rPr>
      </w:pPr>
      <w:r>
        <w:rPr>
          <w:b/>
        </w:rPr>
        <w:t>4.8</w:t>
      </w:r>
      <w:r>
        <w:rPr>
          <w:b/>
        </w:rPr>
        <w:tab/>
        <w:t>Nepageidaujamas poveikis</w:t>
      </w:r>
    </w:p>
    <w:p w14:paraId="568CCAFE" w14:textId="77777777" w:rsidR="00CB542F" w:rsidRDefault="00CB542F">
      <w:pPr>
        <w:rPr>
          <w:i/>
        </w:rPr>
      </w:pPr>
    </w:p>
    <w:p w14:paraId="725457A6" w14:textId="77777777" w:rsidR="00CB542F" w:rsidRDefault="00573A58">
      <w:pPr>
        <w:suppressLineNumbers/>
        <w:autoSpaceDE w:val="0"/>
        <w:autoSpaceDN w:val="0"/>
        <w:adjustRightInd w:val="0"/>
        <w:jc w:val="both"/>
        <w:rPr>
          <w:u w:val="single"/>
        </w:rPr>
      </w:pPr>
      <w:r>
        <w:rPr>
          <w:u w:val="single"/>
        </w:rPr>
        <w:t>Saugumo duomenų santrauka</w:t>
      </w:r>
    </w:p>
    <w:p w14:paraId="28B3724B" w14:textId="77777777" w:rsidR="00CB542F" w:rsidRDefault="00CB542F">
      <w:pPr>
        <w:suppressLineNumbers/>
        <w:autoSpaceDE w:val="0"/>
        <w:autoSpaceDN w:val="0"/>
        <w:adjustRightInd w:val="0"/>
        <w:jc w:val="both"/>
      </w:pPr>
    </w:p>
    <w:p w14:paraId="07346BCF" w14:textId="77777777" w:rsidR="00CB542F" w:rsidRDefault="00573A58">
      <w:pPr>
        <w:suppressLineNumbers/>
        <w:autoSpaceDE w:val="0"/>
        <w:autoSpaceDN w:val="0"/>
        <w:adjustRightInd w:val="0"/>
        <w:jc w:val="both"/>
      </w:pPr>
      <w:r>
        <w:t>Dabigatrano eteksilatas vertintas klinikiniuose tyrimuose iš viso dalyvaujant maždaug 64 000 pacientų; iš jų maždaug 35 000 pacientų buvo gydomi dabigatrano eteksilatu.</w:t>
      </w:r>
    </w:p>
    <w:p w14:paraId="01189F66" w14:textId="77777777" w:rsidR="00CB542F" w:rsidRDefault="00CB542F">
      <w:pPr>
        <w:suppressLineNumbers/>
        <w:autoSpaceDE w:val="0"/>
        <w:autoSpaceDN w:val="0"/>
        <w:adjustRightInd w:val="0"/>
        <w:jc w:val="both"/>
      </w:pPr>
    </w:p>
    <w:p w14:paraId="28A7AC33" w14:textId="77777777" w:rsidR="00CB542F" w:rsidRDefault="00573A58">
      <w:pPr>
        <w:suppressLineNumbers/>
        <w:autoSpaceDE w:val="0"/>
        <w:autoSpaceDN w:val="0"/>
        <w:adjustRightInd w:val="0"/>
        <w:jc w:val="both"/>
      </w:pPr>
      <w:r>
        <w:t>Iš viso nepageidaujamų reakcijų atsirado 22 % prieširdžių virpėjimu sergančių pacientų, kuriems buvo taikoma insulto ir sisteminės embolijos profilaktika (iki 3 metų ilgalaikis gydymas), 14 % pacientų, kuriems buvo taikomas GVT/PE gydymas, ir 15 % pacientų, kuriems buvo taikoma GVT/PE profilaktika.</w:t>
      </w:r>
    </w:p>
    <w:p w14:paraId="4385F772" w14:textId="77777777" w:rsidR="00CB542F" w:rsidRDefault="00CB542F">
      <w:pPr>
        <w:suppressLineNumbers/>
        <w:autoSpaceDE w:val="0"/>
        <w:autoSpaceDN w:val="0"/>
        <w:adjustRightInd w:val="0"/>
        <w:jc w:val="both"/>
      </w:pPr>
    </w:p>
    <w:p w14:paraId="0572AA5F" w14:textId="77777777" w:rsidR="00CB542F" w:rsidRDefault="00573A58">
      <w:pPr>
        <w:suppressLineNumbers/>
        <w:autoSpaceDE w:val="0"/>
        <w:autoSpaceDN w:val="0"/>
        <w:adjustRightInd w:val="0"/>
        <w:jc w:val="both"/>
      </w:pPr>
      <w:r>
        <w:t>Dažniausias reiškinys, pasireiškęs 16,6 % prieširdžių virpėjimu sergančių pacientų, kuriems buvo taikoma ilgalaikė insulto ir sisteminės embolijos profilaktika, bei 14,4 % suaugusių pacientų, kuriems buvo taikomas GVT/PE gydymas, yra kraujavimas. Be to, kraujavimas pasireiškė 19,4 % pacientų, kuriems GVT/PE profilaktika buvo taikoma RE-MEDY(suaugusių pacientų) tyrimo metu, ir 10,5 % pacientų, kuriems GVT/PE profilaktika buvo taikoma RE-SONATE (suaugusių pacientų) tyrimo metu.</w:t>
      </w:r>
    </w:p>
    <w:p w14:paraId="1AFEA122" w14:textId="77777777" w:rsidR="00CB542F" w:rsidRDefault="00CB542F"/>
    <w:p w14:paraId="357845AE" w14:textId="77777777" w:rsidR="00CB542F" w:rsidRDefault="00573A58">
      <w:r>
        <w:t>Kadangi šių trijų indikacijų atvejais gydomų pacientų populiacijos nebuvo panašios ir kraujavimo reiškiniai pasiskirstė keliose organų sistemų klasėse, apibendrinti didžiojo ir bet kokio kraujavimo reiškiniai yra suskirstyti pagal indikacijas ir išvardyti toliau esančiose 12–15 lentelėse.</w:t>
      </w:r>
    </w:p>
    <w:p w14:paraId="6216041E" w14:textId="77777777" w:rsidR="00CB542F" w:rsidRDefault="00CB542F"/>
    <w:p w14:paraId="01A8DFEC" w14:textId="77777777" w:rsidR="00CB542F" w:rsidRDefault="00573A58">
      <w:r>
        <w:t>Galimas didysis arba pavojingas kraujavimas (klinikinių tyrimų metu jis pasireiškė nedažnai), kuris, nepaisant vietos, gali sukelti neįgalumą, pavojų gyvybei ar net mirtį.</w:t>
      </w:r>
    </w:p>
    <w:p w14:paraId="46A31F39" w14:textId="77777777" w:rsidR="00CB542F" w:rsidRDefault="00CB542F"/>
    <w:p w14:paraId="7AF1BA47" w14:textId="77777777" w:rsidR="00CB542F" w:rsidRDefault="00573A58">
      <w:pPr>
        <w:ind w:left="567" w:hanging="567"/>
        <w:rPr>
          <w:u w:val="single"/>
        </w:rPr>
      </w:pPr>
      <w:r>
        <w:rPr>
          <w:u w:val="single"/>
        </w:rPr>
        <w:t>Nepageidaujamų reakcijų santrauka lentelėje</w:t>
      </w:r>
    </w:p>
    <w:p w14:paraId="268422AA" w14:textId="77777777" w:rsidR="00CB542F" w:rsidRDefault="00CB542F"/>
    <w:p w14:paraId="3632AAC0" w14:textId="77777777" w:rsidR="00CB542F" w:rsidRDefault="00573A58">
      <w:pPr>
        <w:widowControl w:val="0"/>
        <w:kinsoku w:val="0"/>
        <w:overflowPunct w:val="0"/>
        <w:autoSpaceDE w:val="0"/>
        <w:autoSpaceDN w:val="0"/>
        <w:adjustRightInd w:val="0"/>
        <w:rPr>
          <w:color w:val="000000"/>
          <w:szCs w:val="22"/>
          <w:lang w:val="sl-SI" w:eastAsia="sl-SI"/>
        </w:rPr>
      </w:pPr>
      <w:r>
        <w:t>Nepageidaujamos reakcijos, nustatytos remiantis tyrimais ir po vaistinio preparato registracijos gautais duomenimis esant tromboembolinio insulto ir sisteminės embolijos profilaktikos prieširdžių virpėjimu sergantiems pacientams, GVT/PE gydymo bei GVT/PE profilaktikos indikacijoms, yra sugrupuotos pagal organų sistemų klases ir išvardytos 11-ojoje lentelėje. Jos suklasifikuotos pagal organų sistemų klases (OSK) ir dažnį, kuris apibūdinamas taip: labai dažnas (≥1/10), dažnas (nuo ≥1/100 iki</w:t>
      </w:r>
      <w:r>
        <w:rPr>
          <w:color w:val="000000"/>
          <w:szCs w:val="22"/>
          <w:lang w:val="sl-SI" w:eastAsia="sl-SI"/>
        </w:rPr>
        <w:t xml:space="preserve">&lt; 1/10), nedažnas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 xml:space="preserve">1/1 000 iki &lt; 1/100), retas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1/10 000 iki &lt; 1/1 000), labai dažnas (&lt; 1/10 000), dažnis nežinomas (</w:t>
      </w:r>
      <w:r>
        <w:t>negali būti apskaičiuotas pagal turimus duomenis</w:t>
      </w:r>
      <w:r>
        <w:rPr>
          <w:color w:val="000000"/>
          <w:szCs w:val="22"/>
          <w:lang w:val="sl-SI" w:eastAsia="sl-SI"/>
        </w:rPr>
        <w:t>).</w:t>
      </w:r>
    </w:p>
    <w:p w14:paraId="50CD5D2B" w14:textId="77777777" w:rsidR="00CB542F" w:rsidRDefault="00CB542F"/>
    <w:p w14:paraId="717C1728" w14:textId="77777777" w:rsidR="00CB542F" w:rsidRDefault="00573A58">
      <w:pPr>
        <w:ind w:left="567" w:hanging="567"/>
        <w:rPr>
          <w:b/>
          <w:bCs/>
        </w:rPr>
      </w:pPr>
      <w:r>
        <w:rPr>
          <w:b/>
          <w:bCs/>
        </w:rPr>
        <w:t>11 lentelė. Nepageidaujamos reakcijos</w:t>
      </w:r>
    </w:p>
    <w:p w14:paraId="40913FE2" w14:textId="77777777" w:rsidR="00CB542F" w:rsidRDefault="00CB542F">
      <w:pPr>
        <w:ind w:left="567" w:hanging="567"/>
      </w:pPr>
    </w:p>
    <w:tbl>
      <w:tblPr>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36"/>
        <w:gridCol w:w="2977"/>
        <w:gridCol w:w="2787"/>
      </w:tblGrid>
      <w:tr w:rsidR="00CB542F" w14:paraId="57C79A19" w14:textId="77777777">
        <w:trPr>
          <w:trHeight w:val="254"/>
        </w:trPr>
        <w:tc>
          <w:tcPr>
            <w:tcW w:w="3536" w:type="dxa"/>
            <w:shd w:val="clear" w:color="auto" w:fill="auto"/>
          </w:tcPr>
          <w:p w14:paraId="1F4C9FBD" w14:textId="77777777" w:rsidR="00CB542F" w:rsidRDefault="00CB542F">
            <w:pPr>
              <w:widowControl w:val="0"/>
              <w:kinsoku w:val="0"/>
              <w:overflowPunct w:val="0"/>
              <w:autoSpaceDE w:val="0"/>
              <w:autoSpaceDN w:val="0"/>
              <w:adjustRightInd w:val="0"/>
              <w:ind w:left="105"/>
              <w:rPr>
                <w:color w:val="000000"/>
                <w:szCs w:val="22"/>
                <w:lang w:val="sl-SI" w:eastAsia="sl-SI"/>
              </w:rPr>
            </w:pPr>
          </w:p>
        </w:tc>
        <w:tc>
          <w:tcPr>
            <w:tcW w:w="5764" w:type="dxa"/>
            <w:gridSpan w:val="2"/>
            <w:shd w:val="clear" w:color="auto" w:fill="auto"/>
          </w:tcPr>
          <w:p w14:paraId="5998D8F2"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w:t>
            </w:r>
          </w:p>
        </w:tc>
      </w:tr>
      <w:tr w:rsidR="00CB542F" w14:paraId="489703AA" w14:textId="77777777">
        <w:trPr>
          <w:trHeight w:val="254"/>
        </w:trPr>
        <w:tc>
          <w:tcPr>
            <w:tcW w:w="3536" w:type="dxa"/>
            <w:shd w:val="clear" w:color="auto" w:fill="auto"/>
          </w:tcPr>
          <w:p w14:paraId="1F6F9749" w14:textId="77777777" w:rsidR="00CB542F" w:rsidRDefault="00573A58">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Organų sistemų klasė/pirmenybinis terminas</w:t>
            </w:r>
          </w:p>
        </w:tc>
        <w:tc>
          <w:tcPr>
            <w:tcW w:w="2977" w:type="dxa"/>
          </w:tcPr>
          <w:p w14:paraId="170B9C12" w14:textId="77777777" w:rsidR="00CB542F" w:rsidRDefault="00573A58">
            <w:pPr>
              <w:widowControl w:val="0"/>
              <w:kinsoku w:val="0"/>
              <w:overflowPunct w:val="0"/>
              <w:autoSpaceDE w:val="0"/>
              <w:autoSpaceDN w:val="0"/>
              <w:adjustRightInd w:val="0"/>
              <w:jc w:val="center"/>
              <w:rPr>
                <w:color w:val="000000"/>
                <w:szCs w:val="22"/>
                <w:lang w:val="sl-SI" w:eastAsia="sl-SI"/>
              </w:rPr>
            </w:pPr>
            <w:r>
              <w:t>Insulto ir sisteminės embolijos profilaktika prieširdžių virpėjimu sergantiems pacientams</w:t>
            </w:r>
          </w:p>
        </w:tc>
        <w:tc>
          <w:tcPr>
            <w:tcW w:w="2787" w:type="dxa"/>
          </w:tcPr>
          <w:p w14:paraId="336F1C22" w14:textId="77777777" w:rsidR="00CB542F" w:rsidRDefault="00573A58">
            <w:pPr>
              <w:widowControl w:val="0"/>
              <w:kinsoku w:val="0"/>
              <w:overflowPunct w:val="0"/>
              <w:autoSpaceDE w:val="0"/>
              <w:autoSpaceDN w:val="0"/>
              <w:adjustRightInd w:val="0"/>
              <w:jc w:val="center"/>
              <w:rPr>
                <w:color w:val="000000"/>
                <w:szCs w:val="22"/>
                <w:lang w:val="sl-SI" w:eastAsia="sl-SI"/>
              </w:rPr>
            </w:pPr>
            <w:r>
              <w:t>GVT/PE gydymas ir GVT/PE profilaktika</w:t>
            </w:r>
          </w:p>
        </w:tc>
      </w:tr>
      <w:tr w:rsidR="00CB542F" w14:paraId="63F6010D" w14:textId="77777777">
        <w:trPr>
          <w:trHeight w:val="251"/>
        </w:trPr>
        <w:tc>
          <w:tcPr>
            <w:tcW w:w="9300" w:type="dxa"/>
            <w:gridSpan w:val="3"/>
            <w:shd w:val="clear" w:color="auto" w:fill="auto"/>
          </w:tcPr>
          <w:p w14:paraId="64747D41" w14:textId="77777777" w:rsidR="00CB542F" w:rsidRDefault="00573A58">
            <w:pPr>
              <w:widowControl w:val="0"/>
              <w:kinsoku w:val="0"/>
              <w:overflowPunct w:val="0"/>
              <w:autoSpaceDE w:val="0"/>
              <w:autoSpaceDN w:val="0"/>
              <w:adjustRightInd w:val="0"/>
              <w:ind w:left="105"/>
            </w:pPr>
            <w:r>
              <w:t>Kraujo ir limfinės sistemos sutrikimai</w:t>
            </w:r>
          </w:p>
        </w:tc>
      </w:tr>
      <w:tr w:rsidR="00CB542F" w14:paraId="13E2F44D" w14:textId="77777777">
        <w:trPr>
          <w:trHeight w:val="254"/>
        </w:trPr>
        <w:tc>
          <w:tcPr>
            <w:tcW w:w="3536" w:type="dxa"/>
            <w:shd w:val="clear" w:color="auto" w:fill="auto"/>
          </w:tcPr>
          <w:p w14:paraId="6F9332C6" w14:textId="77777777" w:rsidR="00CB542F" w:rsidRDefault="00573A58">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Anemija</w:t>
            </w:r>
          </w:p>
        </w:tc>
        <w:tc>
          <w:tcPr>
            <w:tcW w:w="2977" w:type="dxa"/>
          </w:tcPr>
          <w:p w14:paraId="7D0FDB13"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787" w:type="dxa"/>
          </w:tcPr>
          <w:p w14:paraId="64545F90"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2265360A" w14:textId="77777777">
        <w:trPr>
          <w:trHeight w:val="251"/>
        </w:trPr>
        <w:tc>
          <w:tcPr>
            <w:tcW w:w="3536" w:type="dxa"/>
            <w:shd w:val="clear" w:color="auto" w:fill="auto"/>
          </w:tcPr>
          <w:p w14:paraId="04C2F169" w14:textId="77777777" w:rsidR="00CB542F" w:rsidRDefault="00573A58">
            <w:pPr>
              <w:widowControl w:val="0"/>
              <w:kinsoku w:val="0"/>
              <w:overflowPunct w:val="0"/>
              <w:autoSpaceDE w:val="0"/>
              <w:autoSpaceDN w:val="0"/>
              <w:adjustRightInd w:val="0"/>
              <w:ind w:left="285"/>
              <w:rPr>
                <w:color w:val="000000"/>
                <w:szCs w:val="22"/>
                <w:lang w:val="sl-SI" w:eastAsia="sl-SI"/>
              </w:rPr>
            </w:pPr>
            <w:r>
              <w:t>Hemoglobino kiekio sumažėjimas</w:t>
            </w:r>
          </w:p>
        </w:tc>
        <w:tc>
          <w:tcPr>
            <w:tcW w:w="2977" w:type="dxa"/>
          </w:tcPr>
          <w:p w14:paraId="45B40EE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27AC91E1"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CB542F" w14:paraId="7A0A0975" w14:textId="77777777">
        <w:trPr>
          <w:trHeight w:val="254"/>
        </w:trPr>
        <w:tc>
          <w:tcPr>
            <w:tcW w:w="3536" w:type="dxa"/>
            <w:shd w:val="clear" w:color="auto" w:fill="auto"/>
          </w:tcPr>
          <w:p w14:paraId="1FD6D42F" w14:textId="77777777" w:rsidR="00CB542F" w:rsidRDefault="00573A58">
            <w:pPr>
              <w:widowControl w:val="0"/>
              <w:kinsoku w:val="0"/>
              <w:overflowPunct w:val="0"/>
              <w:autoSpaceDE w:val="0"/>
              <w:autoSpaceDN w:val="0"/>
              <w:adjustRightInd w:val="0"/>
              <w:ind w:left="285"/>
              <w:rPr>
                <w:color w:val="000000"/>
                <w:szCs w:val="22"/>
                <w:lang w:val="sl-SI" w:eastAsia="sl-SI"/>
              </w:rPr>
            </w:pPr>
            <w:r>
              <w:t>Trombocitopenija</w:t>
            </w:r>
          </w:p>
        </w:tc>
        <w:tc>
          <w:tcPr>
            <w:tcW w:w="2977" w:type="dxa"/>
          </w:tcPr>
          <w:p w14:paraId="0F96CB8B"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270B5D61"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CB542F" w14:paraId="509C8A7F" w14:textId="77777777">
        <w:trPr>
          <w:trHeight w:val="254"/>
        </w:trPr>
        <w:tc>
          <w:tcPr>
            <w:tcW w:w="3536" w:type="dxa"/>
            <w:shd w:val="clear" w:color="auto" w:fill="auto"/>
          </w:tcPr>
          <w:p w14:paraId="6E19C8AF" w14:textId="77777777" w:rsidR="00CB542F" w:rsidRDefault="00573A58">
            <w:pPr>
              <w:widowControl w:val="0"/>
              <w:kinsoku w:val="0"/>
              <w:overflowPunct w:val="0"/>
              <w:autoSpaceDE w:val="0"/>
              <w:autoSpaceDN w:val="0"/>
              <w:adjustRightInd w:val="0"/>
              <w:ind w:left="285"/>
            </w:pPr>
            <w:r>
              <w:t>Hematokrito sumažėjimas</w:t>
            </w:r>
          </w:p>
        </w:tc>
        <w:tc>
          <w:tcPr>
            <w:tcW w:w="2977" w:type="dxa"/>
          </w:tcPr>
          <w:p w14:paraId="6E34D31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7B92FA62"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CB542F" w14:paraId="5D4210E2" w14:textId="77777777">
        <w:trPr>
          <w:trHeight w:val="254"/>
        </w:trPr>
        <w:tc>
          <w:tcPr>
            <w:tcW w:w="3536" w:type="dxa"/>
            <w:shd w:val="clear" w:color="auto" w:fill="auto"/>
          </w:tcPr>
          <w:p w14:paraId="2079FE95" w14:textId="77777777" w:rsidR="00CB542F" w:rsidRDefault="00573A58">
            <w:pPr>
              <w:widowControl w:val="0"/>
              <w:kinsoku w:val="0"/>
              <w:overflowPunct w:val="0"/>
              <w:autoSpaceDE w:val="0"/>
              <w:autoSpaceDN w:val="0"/>
              <w:adjustRightInd w:val="0"/>
              <w:ind w:left="285"/>
              <w:rPr>
                <w:color w:val="000000"/>
                <w:szCs w:val="22"/>
                <w:lang w:val="sl-SI" w:eastAsia="sl-SI"/>
              </w:rPr>
            </w:pPr>
            <w:r>
              <w:t>Neutropenija</w:t>
            </w:r>
          </w:p>
        </w:tc>
        <w:tc>
          <w:tcPr>
            <w:tcW w:w="2977" w:type="dxa"/>
          </w:tcPr>
          <w:p w14:paraId="032868CF"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787" w:type="dxa"/>
          </w:tcPr>
          <w:p w14:paraId="40497609"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CB542F" w14:paraId="0A4832B4" w14:textId="77777777">
        <w:trPr>
          <w:trHeight w:val="254"/>
        </w:trPr>
        <w:tc>
          <w:tcPr>
            <w:tcW w:w="3536" w:type="dxa"/>
            <w:shd w:val="clear" w:color="auto" w:fill="auto"/>
          </w:tcPr>
          <w:p w14:paraId="4A8EA83C" w14:textId="77777777" w:rsidR="00CB542F" w:rsidRDefault="00573A58">
            <w:pPr>
              <w:widowControl w:val="0"/>
              <w:kinsoku w:val="0"/>
              <w:overflowPunct w:val="0"/>
              <w:autoSpaceDE w:val="0"/>
              <w:autoSpaceDN w:val="0"/>
              <w:adjustRightInd w:val="0"/>
              <w:ind w:left="285"/>
              <w:rPr>
                <w:color w:val="000000"/>
                <w:szCs w:val="22"/>
                <w:lang w:val="sl-SI" w:eastAsia="sl-SI"/>
              </w:rPr>
            </w:pPr>
            <w:r>
              <w:t>Agranulocitozė</w:t>
            </w:r>
          </w:p>
        </w:tc>
        <w:tc>
          <w:tcPr>
            <w:tcW w:w="2977" w:type="dxa"/>
          </w:tcPr>
          <w:p w14:paraId="5DD8E27B"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787" w:type="dxa"/>
          </w:tcPr>
          <w:p w14:paraId="64757CF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CB542F" w14:paraId="0A1D6FCC" w14:textId="77777777">
        <w:trPr>
          <w:trHeight w:val="251"/>
        </w:trPr>
        <w:tc>
          <w:tcPr>
            <w:tcW w:w="9300" w:type="dxa"/>
            <w:gridSpan w:val="3"/>
            <w:shd w:val="clear" w:color="auto" w:fill="auto"/>
          </w:tcPr>
          <w:p w14:paraId="0ECDD97E" w14:textId="77777777" w:rsidR="00CB542F" w:rsidRDefault="00573A58">
            <w:pPr>
              <w:widowControl w:val="0"/>
              <w:kinsoku w:val="0"/>
              <w:overflowPunct w:val="0"/>
              <w:autoSpaceDE w:val="0"/>
              <w:autoSpaceDN w:val="0"/>
              <w:adjustRightInd w:val="0"/>
              <w:ind w:left="105"/>
            </w:pPr>
            <w:r>
              <w:lastRenderedPageBreak/>
              <w:t>Imuninės sistemos sutrikimai</w:t>
            </w:r>
          </w:p>
        </w:tc>
      </w:tr>
      <w:tr w:rsidR="00CB542F" w14:paraId="0A960E42" w14:textId="77777777">
        <w:trPr>
          <w:trHeight w:val="253"/>
        </w:trPr>
        <w:tc>
          <w:tcPr>
            <w:tcW w:w="3536" w:type="dxa"/>
            <w:shd w:val="clear" w:color="auto" w:fill="auto"/>
          </w:tcPr>
          <w:p w14:paraId="2656A15B" w14:textId="77777777" w:rsidR="00CB542F" w:rsidRDefault="00573A58">
            <w:pPr>
              <w:widowControl w:val="0"/>
              <w:kinsoku w:val="0"/>
              <w:overflowPunct w:val="0"/>
              <w:autoSpaceDE w:val="0"/>
              <w:autoSpaceDN w:val="0"/>
              <w:adjustRightInd w:val="0"/>
              <w:ind w:left="285"/>
              <w:rPr>
                <w:color w:val="000000"/>
                <w:szCs w:val="22"/>
                <w:lang w:val="sl-SI" w:eastAsia="sl-SI"/>
              </w:rPr>
            </w:pPr>
            <w:r>
              <w:t>Jautrumo vaistiniam preparatui padidėjimas</w:t>
            </w:r>
          </w:p>
        </w:tc>
        <w:tc>
          <w:tcPr>
            <w:tcW w:w="2977" w:type="dxa"/>
          </w:tcPr>
          <w:p w14:paraId="6478D50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0A917DDC"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574B03B6" w14:textId="77777777">
        <w:trPr>
          <w:trHeight w:val="253"/>
        </w:trPr>
        <w:tc>
          <w:tcPr>
            <w:tcW w:w="3536" w:type="dxa"/>
            <w:shd w:val="clear" w:color="auto" w:fill="auto"/>
          </w:tcPr>
          <w:p w14:paraId="39ADA955" w14:textId="77777777" w:rsidR="00CB542F" w:rsidRDefault="00573A58">
            <w:pPr>
              <w:widowControl w:val="0"/>
              <w:kinsoku w:val="0"/>
              <w:overflowPunct w:val="0"/>
              <w:autoSpaceDE w:val="0"/>
              <w:autoSpaceDN w:val="0"/>
              <w:adjustRightInd w:val="0"/>
              <w:ind w:left="285"/>
            </w:pPr>
            <w:r>
              <w:t>Išbėrimas</w:t>
            </w:r>
          </w:p>
        </w:tc>
        <w:tc>
          <w:tcPr>
            <w:tcW w:w="2977" w:type="dxa"/>
          </w:tcPr>
          <w:p w14:paraId="5645F3ED"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54ABA0F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5B5AED05" w14:textId="77777777">
        <w:trPr>
          <w:trHeight w:val="253"/>
        </w:trPr>
        <w:tc>
          <w:tcPr>
            <w:tcW w:w="3536" w:type="dxa"/>
            <w:shd w:val="clear" w:color="auto" w:fill="auto"/>
          </w:tcPr>
          <w:p w14:paraId="73DA511A" w14:textId="77777777" w:rsidR="00CB542F" w:rsidRDefault="00573A58">
            <w:pPr>
              <w:widowControl w:val="0"/>
              <w:kinsoku w:val="0"/>
              <w:overflowPunct w:val="0"/>
              <w:autoSpaceDE w:val="0"/>
              <w:autoSpaceDN w:val="0"/>
              <w:adjustRightInd w:val="0"/>
              <w:ind w:left="285"/>
            </w:pPr>
            <w:r>
              <w:t>Niežėjimas</w:t>
            </w:r>
          </w:p>
        </w:tc>
        <w:tc>
          <w:tcPr>
            <w:tcW w:w="2977" w:type="dxa"/>
          </w:tcPr>
          <w:p w14:paraId="1966598B"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0685F02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06114B94" w14:textId="77777777">
        <w:trPr>
          <w:trHeight w:val="251"/>
        </w:trPr>
        <w:tc>
          <w:tcPr>
            <w:tcW w:w="3536" w:type="dxa"/>
            <w:shd w:val="clear" w:color="auto" w:fill="auto"/>
          </w:tcPr>
          <w:p w14:paraId="4A43C563" w14:textId="77777777" w:rsidR="00CB542F" w:rsidRDefault="00573A58">
            <w:pPr>
              <w:widowControl w:val="0"/>
              <w:kinsoku w:val="0"/>
              <w:overflowPunct w:val="0"/>
              <w:autoSpaceDE w:val="0"/>
              <w:autoSpaceDN w:val="0"/>
              <w:adjustRightInd w:val="0"/>
              <w:ind w:left="285"/>
              <w:rPr>
                <w:color w:val="000000"/>
                <w:szCs w:val="22"/>
                <w:lang w:val="sl-SI" w:eastAsia="sl-SI"/>
              </w:rPr>
            </w:pPr>
            <w:r>
              <w:t>Anafilaksinė reakcija</w:t>
            </w:r>
          </w:p>
        </w:tc>
        <w:tc>
          <w:tcPr>
            <w:tcW w:w="2977" w:type="dxa"/>
          </w:tcPr>
          <w:p w14:paraId="24F84860"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63FD4372"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CB542F" w14:paraId="5EEE8BF6" w14:textId="77777777">
        <w:trPr>
          <w:trHeight w:val="253"/>
        </w:trPr>
        <w:tc>
          <w:tcPr>
            <w:tcW w:w="3536" w:type="dxa"/>
            <w:shd w:val="clear" w:color="auto" w:fill="auto"/>
          </w:tcPr>
          <w:p w14:paraId="608D141A" w14:textId="77777777" w:rsidR="00CB542F" w:rsidRDefault="00573A58">
            <w:pPr>
              <w:widowControl w:val="0"/>
              <w:kinsoku w:val="0"/>
              <w:overflowPunct w:val="0"/>
              <w:autoSpaceDE w:val="0"/>
              <w:autoSpaceDN w:val="0"/>
              <w:adjustRightInd w:val="0"/>
              <w:ind w:left="285"/>
              <w:rPr>
                <w:color w:val="000000"/>
                <w:szCs w:val="22"/>
                <w:lang w:val="sl-SI" w:eastAsia="sl-SI"/>
              </w:rPr>
            </w:pPr>
            <w:r>
              <w:t>Angioedema</w:t>
            </w:r>
          </w:p>
        </w:tc>
        <w:tc>
          <w:tcPr>
            <w:tcW w:w="2977" w:type="dxa"/>
          </w:tcPr>
          <w:p w14:paraId="1F491126"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5123A144"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CB542F" w14:paraId="5F8B9269" w14:textId="77777777">
        <w:trPr>
          <w:trHeight w:val="254"/>
        </w:trPr>
        <w:tc>
          <w:tcPr>
            <w:tcW w:w="3536" w:type="dxa"/>
            <w:shd w:val="clear" w:color="auto" w:fill="auto"/>
          </w:tcPr>
          <w:p w14:paraId="007C498B" w14:textId="77777777" w:rsidR="00CB542F" w:rsidRDefault="00573A58">
            <w:pPr>
              <w:widowControl w:val="0"/>
              <w:kinsoku w:val="0"/>
              <w:overflowPunct w:val="0"/>
              <w:autoSpaceDE w:val="0"/>
              <w:autoSpaceDN w:val="0"/>
              <w:adjustRightInd w:val="0"/>
              <w:ind w:left="285"/>
              <w:rPr>
                <w:color w:val="000000"/>
                <w:szCs w:val="22"/>
                <w:lang w:val="sl-SI" w:eastAsia="sl-SI"/>
              </w:rPr>
            </w:pPr>
            <w:r>
              <w:t>Dilgėlinė</w:t>
            </w:r>
          </w:p>
        </w:tc>
        <w:tc>
          <w:tcPr>
            <w:tcW w:w="2977" w:type="dxa"/>
          </w:tcPr>
          <w:p w14:paraId="3B1DFF8F"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08E1F54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CB542F" w14:paraId="6C47F85E" w14:textId="77777777">
        <w:trPr>
          <w:trHeight w:val="251"/>
        </w:trPr>
        <w:tc>
          <w:tcPr>
            <w:tcW w:w="3536" w:type="dxa"/>
            <w:shd w:val="clear" w:color="auto" w:fill="auto"/>
          </w:tcPr>
          <w:p w14:paraId="087CBC63" w14:textId="77777777" w:rsidR="00CB542F" w:rsidRDefault="00573A58">
            <w:pPr>
              <w:widowControl w:val="0"/>
              <w:kinsoku w:val="0"/>
              <w:overflowPunct w:val="0"/>
              <w:autoSpaceDE w:val="0"/>
              <w:autoSpaceDN w:val="0"/>
              <w:adjustRightInd w:val="0"/>
              <w:ind w:left="285"/>
              <w:rPr>
                <w:color w:val="000000"/>
                <w:szCs w:val="22"/>
                <w:lang w:val="sl-SI" w:eastAsia="sl-SI"/>
              </w:rPr>
            </w:pPr>
            <w:r>
              <w:t>Bronchų spazmas</w:t>
            </w:r>
          </w:p>
        </w:tc>
        <w:tc>
          <w:tcPr>
            <w:tcW w:w="2977" w:type="dxa"/>
          </w:tcPr>
          <w:p w14:paraId="3453C735"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787" w:type="dxa"/>
          </w:tcPr>
          <w:p w14:paraId="0D0DFA4C"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CB542F" w14:paraId="26E62EFF" w14:textId="77777777">
        <w:trPr>
          <w:trHeight w:val="254"/>
        </w:trPr>
        <w:tc>
          <w:tcPr>
            <w:tcW w:w="9300" w:type="dxa"/>
            <w:gridSpan w:val="3"/>
            <w:shd w:val="clear" w:color="auto" w:fill="auto"/>
          </w:tcPr>
          <w:p w14:paraId="20102849" w14:textId="77777777" w:rsidR="00CB542F" w:rsidRDefault="00573A58">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Nervų sistemos sutrikimai</w:t>
            </w:r>
          </w:p>
        </w:tc>
      </w:tr>
      <w:tr w:rsidR="00CB542F" w14:paraId="6E7379A4" w14:textId="77777777">
        <w:trPr>
          <w:trHeight w:val="253"/>
        </w:trPr>
        <w:tc>
          <w:tcPr>
            <w:tcW w:w="3536" w:type="dxa"/>
            <w:shd w:val="clear" w:color="auto" w:fill="auto"/>
          </w:tcPr>
          <w:p w14:paraId="67A5A222" w14:textId="77777777" w:rsidR="00CB542F" w:rsidRDefault="00573A58">
            <w:pPr>
              <w:widowControl w:val="0"/>
              <w:kinsoku w:val="0"/>
              <w:overflowPunct w:val="0"/>
              <w:autoSpaceDE w:val="0"/>
              <w:autoSpaceDN w:val="0"/>
              <w:adjustRightInd w:val="0"/>
              <w:ind w:left="285"/>
              <w:rPr>
                <w:color w:val="000000"/>
                <w:szCs w:val="22"/>
                <w:lang w:val="sl-SI" w:eastAsia="sl-SI"/>
              </w:rPr>
            </w:pPr>
            <w:r>
              <w:t>Intrakranijinis kraujavimas</w:t>
            </w:r>
          </w:p>
        </w:tc>
        <w:tc>
          <w:tcPr>
            <w:tcW w:w="2977" w:type="dxa"/>
          </w:tcPr>
          <w:p w14:paraId="5849E6B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2624D7B1"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CB542F" w14:paraId="46C58A7A" w14:textId="77777777">
        <w:trPr>
          <w:trHeight w:val="251"/>
        </w:trPr>
        <w:tc>
          <w:tcPr>
            <w:tcW w:w="9300" w:type="dxa"/>
            <w:gridSpan w:val="3"/>
            <w:shd w:val="clear" w:color="auto" w:fill="auto"/>
          </w:tcPr>
          <w:p w14:paraId="5F0E6856" w14:textId="77777777" w:rsidR="00CB542F" w:rsidRDefault="00573A58">
            <w:pPr>
              <w:widowControl w:val="0"/>
              <w:kinsoku w:val="0"/>
              <w:overflowPunct w:val="0"/>
              <w:autoSpaceDE w:val="0"/>
              <w:autoSpaceDN w:val="0"/>
              <w:adjustRightInd w:val="0"/>
              <w:ind w:left="105"/>
            </w:pPr>
            <w:r>
              <w:t>Kraujagyslių sutrikimai</w:t>
            </w:r>
          </w:p>
        </w:tc>
      </w:tr>
      <w:tr w:rsidR="00CB542F" w14:paraId="627DFA69" w14:textId="77777777">
        <w:trPr>
          <w:trHeight w:val="253"/>
        </w:trPr>
        <w:tc>
          <w:tcPr>
            <w:tcW w:w="3536" w:type="dxa"/>
            <w:shd w:val="clear" w:color="auto" w:fill="auto"/>
          </w:tcPr>
          <w:p w14:paraId="235E3EFE" w14:textId="77777777" w:rsidR="00CB542F" w:rsidRDefault="00573A58">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Hematoma</w:t>
            </w:r>
          </w:p>
        </w:tc>
        <w:tc>
          <w:tcPr>
            <w:tcW w:w="2977" w:type="dxa"/>
          </w:tcPr>
          <w:p w14:paraId="71A3537D"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21C6CB9D"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41FAD013" w14:textId="77777777">
        <w:trPr>
          <w:trHeight w:val="253"/>
        </w:trPr>
        <w:tc>
          <w:tcPr>
            <w:tcW w:w="3536" w:type="dxa"/>
            <w:shd w:val="clear" w:color="auto" w:fill="auto"/>
          </w:tcPr>
          <w:p w14:paraId="15FC66B6"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w:t>
            </w:r>
          </w:p>
        </w:tc>
        <w:tc>
          <w:tcPr>
            <w:tcW w:w="2977" w:type="dxa"/>
          </w:tcPr>
          <w:p w14:paraId="0EFD226C"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201E359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6EE2D7E4" w14:textId="77777777">
        <w:trPr>
          <w:trHeight w:val="251"/>
        </w:trPr>
        <w:tc>
          <w:tcPr>
            <w:tcW w:w="9300" w:type="dxa"/>
            <w:gridSpan w:val="3"/>
            <w:shd w:val="clear" w:color="auto" w:fill="auto"/>
          </w:tcPr>
          <w:p w14:paraId="4E0D4A29" w14:textId="77777777" w:rsidR="00CB542F" w:rsidRDefault="00573A58">
            <w:pPr>
              <w:widowControl w:val="0"/>
              <w:kinsoku w:val="0"/>
              <w:overflowPunct w:val="0"/>
              <w:autoSpaceDE w:val="0"/>
              <w:autoSpaceDN w:val="0"/>
              <w:adjustRightInd w:val="0"/>
              <w:ind w:left="105"/>
            </w:pPr>
            <w:r>
              <w:t>Kvėpavimo sistemos, krūtinės ląstos ir tarpuplaučio sutrikimai</w:t>
            </w:r>
          </w:p>
        </w:tc>
      </w:tr>
      <w:tr w:rsidR="00CB542F" w14:paraId="775626A3" w14:textId="77777777">
        <w:trPr>
          <w:trHeight w:val="254"/>
        </w:trPr>
        <w:tc>
          <w:tcPr>
            <w:tcW w:w="3536" w:type="dxa"/>
            <w:shd w:val="clear" w:color="auto" w:fill="auto"/>
          </w:tcPr>
          <w:p w14:paraId="0F812D3C"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 iš nosies</w:t>
            </w:r>
          </w:p>
        </w:tc>
        <w:tc>
          <w:tcPr>
            <w:tcW w:w="2977" w:type="dxa"/>
          </w:tcPr>
          <w:p w14:paraId="69B0FD62"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787" w:type="dxa"/>
          </w:tcPr>
          <w:p w14:paraId="45F5875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CB542F" w14:paraId="42E2CE84" w14:textId="77777777">
        <w:trPr>
          <w:trHeight w:val="253"/>
        </w:trPr>
        <w:tc>
          <w:tcPr>
            <w:tcW w:w="3536" w:type="dxa"/>
            <w:shd w:val="clear" w:color="auto" w:fill="auto"/>
          </w:tcPr>
          <w:p w14:paraId="3F153C18" w14:textId="77777777" w:rsidR="00CB542F" w:rsidRDefault="00573A58">
            <w:pPr>
              <w:widowControl w:val="0"/>
              <w:kinsoku w:val="0"/>
              <w:overflowPunct w:val="0"/>
              <w:autoSpaceDE w:val="0"/>
              <w:autoSpaceDN w:val="0"/>
              <w:adjustRightInd w:val="0"/>
              <w:ind w:left="285"/>
              <w:rPr>
                <w:color w:val="000000"/>
                <w:szCs w:val="22"/>
                <w:lang w:val="sl-SI" w:eastAsia="sl-SI"/>
              </w:rPr>
            </w:pPr>
            <w:r>
              <w:t>Skrepliavimas krauju</w:t>
            </w:r>
          </w:p>
        </w:tc>
        <w:tc>
          <w:tcPr>
            <w:tcW w:w="2977" w:type="dxa"/>
          </w:tcPr>
          <w:p w14:paraId="2CAF2861"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56ACEBE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74F8E538" w14:textId="77777777">
        <w:trPr>
          <w:trHeight w:val="251"/>
        </w:trPr>
        <w:tc>
          <w:tcPr>
            <w:tcW w:w="9300" w:type="dxa"/>
            <w:gridSpan w:val="3"/>
            <w:shd w:val="clear" w:color="auto" w:fill="auto"/>
          </w:tcPr>
          <w:p w14:paraId="12197061" w14:textId="77777777" w:rsidR="00CB542F" w:rsidRDefault="00573A58">
            <w:pPr>
              <w:widowControl w:val="0"/>
              <w:kinsoku w:val="0"/>
              <w:overflowPunct w:val="0"/>
              <w:autoSpaceDE w:val="0"/>
              <w:autoSpaceDN w:val="0"/>
              <w:adjustRightInd w:val="0"/>
              <w:ind w:left="105"/>
            </w:pPr>
            <w:r>
              <w:t>Virškinimo trakto sutrikimai</w:t>
            </w:r>
          </w:p>
        </w:tc>
      </w:tr>
      <w:tr w:rsidR="00CB542F" w14:paraId="26E3E3FC" w14:textId="77777777">
        <w:trPr>
          <w:trHeight w:val="253"/>
        </w:trPr>
        <w:tc>
          <w:tcPr>
            <w:tcW w:w="3536" w:type="dxa"/>
            <w:shd w:val="clear" w:color="auto" w:fill="auto"/>
          </w:tcPr>
          <w:p w14:paraId="0B7E8717"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 iš skrandžio ir žarnyno</w:t>
            </w:r>
          </w:p>
        </w:tc>
        <w:tc>
          <w:tcPr>
            <w:tcW w:w="2977" w:type="dxa"/>
          </w:tcPr>
          <w:p w14:paraId="101126A5" w14:textId="77777777" w:rsidR="00CB542F" w:rsidRDefault="00573A58">
            <w:pPr>
              <w:widowControl w:val="0"/>
              <w:kinsoku w:val="0"/>
              <w:overflowPunct w:val="0"/>
              <w:autoSpaceDE w:val="0"/>
              <w:autoSpaceDN w:val="0"/>
              <w:adjustRightInd w:val="0"/>
              <w:jc w:val="center"/>
            </w:pPr>
            <w:r>
              <w:t>Dažnas</w:t>
            </w:r>
          </w:p>
        </w:tc>
        <w:tc>
          <w:tcPr>
            <w:tcW w:w="2787" w:type="dxa"/>
          </w:tcPr>
          <w:p w14:paraId="7D043EA3" w14:textId="77777777" w:rsidR="00CB542F" w:rsidRDefault="00573A58">
            <w:pPr>
              <w:widowControl w:val="0"/>
              <w:kinsoku w:val="0"/>
              <w:overflowPunct w:val="0"/>
              <w:autoSpaceDE w:val="0"/>
              <w:autoSpaceDN w:val="0"/>
              <w:adjustRightInd w:val="0"/>
              <w:jc w:val="center"/>
            </w:pPr>
            <w:r>
              <w:t>Dažnas</w:t>
            </w:r>
          </w:p>
        </w:tc>
      </w:tr>
      <w:tr w:rsidR="00CB542F" w14:paraId="701D183E" w14:textId="77777777">
        <w:trPr>
          <w:trHeight w:val="251"/>
        </w:trPr>
        <w:tc>
          <w:tcPr>
            <w:tcW w:w="3536" w:type="dxa"/>
            <w:shd w:val="clear" w:color="auto" w:fill="auto"/>
          </w:tcPr>
          <w:p w14:paraId="0FADFC43" w14:textId="77777777" w:rsidR="00CB542F" w:rsidRDefault="00573A58">
            <w:pPr>
              <w:widowControl w:val="0"/>
              <w:kinsoku w:val="0"/>
              <w:overflowPunct w:val="0"/>
              <w:autoSpaceDE w:val="0"/>
              <w:autoSpaceDN w:val="0"/>
              <w:adjustRightInd w:val="0"/>
              <w:ind w:left="285"/>
            </w:pPr>
            <w:r>
              <w:t>Pilvo skausmas</w:t>
            </w:r>
          </w:p>
        </w:tc>
        <w:tc>
          <w:tcPr>
            <w:tcW w:w="2977" w:type="dxa"/>
          </w:tcPr>
          <w:p w14:paraId="20B35548" w14:textId="77777777" w:rsidR="00CB542F" w:rsidRDefault="00573A58">
            <w:pPr>
              <w:widowControl w:val="0"/>
              <w:kinsoku w:val="0"/>
              <w:overflowPunct w:val="0"/>
              <w:autoSpaceDE w:val="0"/>
              <w:autoSpaceDN w:val="0"/>
              <w:adjustRightInd w:val="0"/>
              <w:jc w:val="center"/>
            </w:pPr>
            <w:r>
              <w:t>Dažnas</w:t>
            </w:r>
          </w:p>
        </w:tc>
        <w:tc>
          <w:tcPr>
            <w:tcW w:w="2787" w:type="dxa"/>
          </w:tcPr>
          <w:p w14:paraId="1ADB74D0" w14:textId="77777777" w:rsidR="00CB542F" w:rsidRDefault="00573A58">
            <w:pPr>
              <w:widowControl w:val="0"/>
              <w:kinsoku w:val="0"/>
              <w:overflowPunct w:val="0"/>
              <w:autoSpaceDE w:val="0"/>
              <w:autoSpaceDN w:val="0"/>
              <w:adjustRightInd w:val="0"/>
              <w:jc w:val="center"/>
            </w:pPr>
            <w:r>
              <w:t>Nedažnas</w:t>
            </w:r>
          </w:p>
        </w:tc>
      </w:tr>
      <w:tr w:rsidR="00CB542F" w14:paraId="6C914F2D" w14:textId="77777777">
        <w:trPr>
          <w:trHeight w:val="251"/>
        </w:trPr>
        <w:tc>
          <w:tcPr>
            <w:tcW w:w="3536" w:type="dxa"/>
            <w:shd w:val="clear" w:color="auto" w:fill="auto"/>
          </w:tcPr>
          <w:p w14:paraId="2737E3B5" w14:textId="77777777" w:rsidR="00CB542F" w:rsidRDefault="00573A58">
            <w:pPr>
              <w:widowControl w:val="0"/>
              <w:kinsoku w:val="0"/>
              <w:overflowPunct w:val="0"/>
              <w:autoSpaceDE w:val="0"/>
              <w:autoSpaceDN w:val="0"/>
              <w:adjustRightInd w:val="0"/>
              <w:ind w:left="285"/>
            </w:pPr>
            <w:r>
              <w:t>Viduriavimas</w:t>
            </w:r>
          </w:p>
        </w:tc>
        <w:tc>
          <w:tcPr>
            <w:tcW w:w="2977" w:type="dxa"/>
          </w:tcPr>
          <w:p w14:paraId="262760DC" w14:textId="77777777" w:rsidR="00CB542F" w:rsidRDefault="00573A58">
            <w:pPr>
              <w:widowControl w:val="0"/>
              <w:kinsoku w:val="0"/>
              <w:overflowPunct w:val="0"/>
              <w:autoSpaceDE w:val="0"/>
              <w:autoSpaceDN w:val="0"/>
              <w:adjustRightInd w:val="0"/>
              <w:jc w:val="center"/>
            </w:pPr>
            <w:r>
              <w:t>Dažnas</w:t>
            </w:r>
          </w:p>
        </w:tc>
        <w:tc>
          <w:tcPr>
            <w:tcW w:w="2787" w:type="dxa"/>
          </w:tcPr>
          <w:p w14:paraId="4FBBA40C" w14:textId="77777777" w:rsidR="00CB542F" w:rsidRDefault="00573A58">
            <w:pPr>
              <w:widowControl w:val="0"/>
              <w:kinsoku w:val="0"/>
              <w:overflowPunct w:val="0"/>
              <w:autoSpaceDE w:val="0"/>
              <w:autoSpaceDN w:val="0"/>
              <w:adjustRightInd w:val="0"/>
              <w:jc w:val="center"/>
            </w:pPr>
            <w:r>
              <w:t>Nedažnas</w:t>
            </w:r>
          </w:p>
        </w:tc>
      </w:tr>
      <w:tr w:rsidR="00CB542F" w14:paraId="75A7BA6F" w14:textId="77777777">
        <w:trPr>
          <w:trHeight w:val="251"/>
        </w:trPr>
        <w:tc>
          <w:tcPr>
            <w:tcW w:w="3536" w:type="dxa"/>
            <w:shd w:val="clear" w:color="auto" w:fill="auto"/>
          </w:tcPr>
          <w:p w14:paraId="1D9763FE" w14:textId="77777777" w:rsidR="00CB542F" w:rsidRDefault="00573A58">
            <w:pPr>
              <w:widowControl w:val="0"/>
              <w:kinsoku w:val="0"/>
              <w:overflowPunct w:val="0"/>
              <w:autoSpaceDE w:val="0"/>
              <w:autoSpaceDN w:val="0"/>
              <w:adjustRightInd w:val="0"/>
              <w:ind w:left="285"/>
            </w:pPr>
            <w:r>
              <w:t>Dispepsija</w:t>
            </w:r>
          </w:p>
        </w:tc>
        <w:tc>
          <w:tcPr>
            <w:tcW w:w="2977" w:type="dxa"/>
          </w:tcPr>
          <w:p w14:paraId="53E3B774" w14:textId="77777777" w:rsidR="00CB542F" w:rsidRDefault="00573A58">
            <w:pPr>
              <w:widowControl w:val="0"/>
              <w:kinsoku w:val="0"/>
              <w:overflowPunct w:val="0"/>
              <w:autoSpaceDE w:val="0"/>
              <w:autoSpaceDN w:val="0"/>
              <w:adjustRightInd w:val="0"/>
              <w:jc w:val="center"/>
            </w:pPr>
            <w:r>
              <w:t>Dažnas</w:t>
            </w:r>
          </w:p>
        </w:tc>
        <w:tc>
          <w:tcPr>
            <w:tcW w:w="2787" w:type="dxa"/>
          </w:tcPr>
          <w:p w14:paraId="6201AF1C" w14:textId="77777777" w:rsidR="00CB542F" w:rsidRDefault="00573A58">
            <w:pPr>
              <w:widowControl w:val="0"/>
              <w:kinsoku w:val="0"/>
              <w:overflowPunct w:val="0"/>
              <w:autoSpaceDE w:val="0"/>
              <w:autoSpaceDN w:val="0"/>
              <w:adjustRightInd w:val="0"/>
              <w:jc w:val="center"/>
            </w:pPr>
            <w:r>
              <w:t>Dažnas</w:t>
            </w:r>
          </w:p>
        </w:tc>
      </w:tr>
      <w:tr w:rsidR="00CB542F" w14:paraId="42FB3E33" w14:textId="77777777">
        <w:trPr>
          <w:trHeight w:val="251"/>
        </w:trPr>
        <w:tc>
          <w:tcPr>
            <w:tcW w:w="3536" w:type="dxa"/>
            <w:shd w:val="clear" w:color="auto" w:fill="auto"/>
          </w:tcPr>
          <w:p w14:paraId="3EA8186E" w14:textId="77777777" w:rsidR="00CB542F" w:rsidRDefault="00573A58">
            <w:pPr>
              <w:widowControl w:val="0"/>
              <w:kinsoku w:val="0"/>
              <w:overflowPunct w:val="0"/>
              <w:autoSpaceDE w:val="0"/>
              <w:autoSpaceDN w:val="0"/>
              <w:adjustRightInd w:val="0"/>
              <w:ind w:left="285"/>
            </w:pPr>
            <w:r>
              <w:t>Pykinimas</w:t>
            </w:r>
          </w:p>
        </w:tc>
        <w:tc>
          <w:tcPr>
            <w:tcW w:w="2977" w:type="dxa"/>
          </w:tcPr>
          <w:p w14:paraId="51BE0136" w14:textId="77777777" w:rsidR="00CB542F" w:rsidRDefault="00573A58">
            <w:pPr>
              <w:widowControl w:val="0"/>
              <w:kinsoku w:val="0"/>
              <w:overflowPunct w:val="0"/>
              <w:autoSpaceDE w:val="0"/>
              <w:autoSpaceDN w:val="0"/>
              <w:adjustRightInd w:val="0"/>
              <w:jc w:val="center"/>
            </w:pPr>
            <w:r>
              <w:t>Dažnas</w:t>
            </w:r>
          </w:p>
        </w:tc>
        <w:tc>
          <w:tcPr>
            <w:tcW w:w="2787" w:type="dxa"/>
          </w:tcPr>
          <w:p w14:paraId="014158E0" w14:textId="77777777" w:rsidR="00CB542F" w:rsidRDefault="00573A58">
            <w:pPr>
              <w:widowControl w:val="0"/>
              <w:kinsoku w:val="0"/>
              <w:overflowPunct w:val="0"/>
              <w:autoSpaceDE w:val="0"/>
              <w:autoSpaceDN w:val="0"/>
              <w:adjustRightInd w:val="0"/>
              <w:jc w:val="center"/>
            </w:pPr>
            <w:r>
              <w:t>Nedažnas</w:t>
            </w:r>
          </w:p>
        </w:tc>
      </w:tr>
      <w:tr w:rsidR="00CB542F" w14:paraId="3C912097" w14:textId="77777777">
        <w:trPr>
          <w:trHeight w:val="251"/>
        </w:trPr>
        <w:tc>
          <w:tcPr>
            <w:tcW w:w="3536" w:type="dxa"/>
            <w:shd w:val="clear" w:color="auto" w:fill="auto"/>
          </w:tcPr>
          <w:p w14:paraId="3B8E068B"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 iš tiesiosios žarnos</w:t>
            </w:r>
          </w:p>
        </w:tc>
        <w:tc>
          <w:tcPr>
            <w:tcW w:w="2977" w:type="dxa"/>
          </w:tcPr>
          <w:p w14:paraId="529DC388" w14:textId="77777777" w:rsidR="00CB542F" w:rsidRDefault="00573A58">
            <w:pPr>
              <w:widowControl w:val="0"/>
              <w:kinsoku w:val="0"/>
              <w:overflowPunct w:val="0"/>
              <w:autoSpaceDE w:val="0"/>
              <w:autoSpaceDN w:val="0"/>
              <w:adjustRightInd w:val="0"/>
              <w:jc w:val="center"/>
            </w:pPr>
            <w:r>
              <w:t>Nedažnas</w:t>
            </w:r>
          </w:p>
        </w:tc>
        <w:tc>
          <w:tcPr>
            <w:tcW w:w="2787" w:type="dxa"/>
          </w:tcPr>
          <w:p w14:paraId="09632BB9" w14:textId="77777777" w:rsidR="00CB542F" w:rsidRDefault="00573A58">
            <w:pPr>
              <w:widowControl w:val="0"/>
              <w:kinsoku w:val="0"/>
              <w:overflowPunct w:val="0"/>
              <w:autoSpaceDE w:val="0"/>
              <w:autoSpaceDN w:val="0"/>
              <w:adjustRightInd w:val="0"/>
              <w:jc w:val="center"/>
            </w:pPr>
            <w:r>
              <w:t>Dažnas</w:t>
            </w:r>
          </w:p>
        </w:tc>
      </w:tr>
      <w:tr w:rsidR="00CB542F" w14:paraId="5D1CF984" w14:textId="77777777">
        <w:trPr>
          <w:trHeight w:val="253"/>
        </w:trPr>
        <w:tc>
          <w:tcPr>
            <w:tcW w:w="3536" w:type="dxa"/>
            <w:shd w:val="clear" w:color="auto" w:fill="auto"/>
          </w:tcPr>
          <w:p w14:paraId="269C062B" w14:textId="77777777" w:rsidR="00CB542F" w:rsidRDefault="00573A58">
            <w:pPr>
              <w:widowControl w:val="0"/>
              <w:kinsoku w:val="0"/>
              <w:overflowPunct w:val="0"/>
              <w:autoSpaceDE w:val="0"/>
              <w:autoSpaceDN w:val="0"/>
              <w:adjustRightInd w:val="0"/>
              <w:ind w:left="285"/>
              <w:rPr>
                <w:color w:val="000000"/>
                <w:szCs w:val="22"/>
                <w:lang w:val="sl-SI" w:eastAsia="sl-SI"/>
              </w:rPr>
            </w:pPr>
            <w:r>
              <w:t>Hemorojinis kraujavimas</w:t>
            </w:r>
          </w:p>
        </w:tc>
        <w:tc>
          <w:tcPr>
            <w:tcW w:w="2977" w:type="dxa"/>
          </w:tcPr>
          <w:p w14:paraId="4AA553C5" w14:textId="77777777" w:rsidR="00CB542F" w:rsidRDefault="00573A58">
            <w:pPr>
              <w:widowControl w:val="0"/>
              <w:kinsoku w:val="0"/>
              <w:overflowPunct w:val="0"/>
              <w:autoSpaceDE w:val="0"/>
              <w:autoSpaceDN w:val="0"/>
              <w:adjustRightInd w:val="0"/>
              <w:jc w:val="center"/>
            </w:pPr>
            <w:r>
              <w:t>Nedažnas</w:t>
            </w:r>
          </w:p>
        </w:tc>
        <w:tc>
          <w:tcPr>
            <w:tcW w:w="2787" w:type="dxa"/>
          </w:tcPr>
          <w:p w14:paraId="438B9697" w14:textId="77777777" w:rsidR="00CB542F" w:rsidRDefault="00573A58">
            <w:pPr>
              <w:widowControl w:val="0"/>
              <w:kinsoku w:val="0"/>
              <w:overflowPunct w:val="0"/>
              <w:autoSpaceDE w:val="0"/>
              <w:autoSpaceDN w:val="0"/>
              <w:adjustRightInd w:val="0"/>
              <w:jc w:val="center"/>
            </w:pPr>
            <w:r>
              <w:t>Nedažnas</w:t>
            </w:r>
          </w:p>
        </w:tc>
      </w:tr>
      <w:tr w:rsidR="00CB542F" w14:paraId="35343714" w14:textId="77777777">
        <w:trPr>
          <w:trHeight w:val="251"/>
        </w:trPr>
        <w:tc>
          <w:tcPr>
            <w:tcW w:w="3536" w:type="dxa"/>
            <w:shd w:val="clear" w:color="auto" w:fill="auto"/>
          </w:tcPr>
          <w:p w14:paraId="3B9D34EA" w14:textId="77777777" w:rsidR="00CB542F" w:rsidRDefault="00573A58">
            <w:pPr>
              <w:widowControl w:val="0"/>
              <w:kinsoku w:val="0"/>
              <w:overflowPunct w:val="0"/>
              <w:autoSpaceDE w:val="0"/>
              <w:autoSpaceDN w:val="0"/>
              <w:adjustRightInd w:val="0"/>
              <w:ind w:left="285"/>
              <w:rPr>
                <w:color w:val="000000"/>
                <w:szCs w:val="22"/>
                <w:lang w:val="sl-SI" w:eastAsia="sl-SI"/>
              </w:rPr>
            </w:pPr>
            <w:r>
              <w:t>Skrandžio ar žarnų opa, įskaitant stemplės opą</w:t>
            </w:r>
          </w:p>
        </w:tc>
        <w:tc>
          <w:tcPr>
            <w:tcW w:w="2977" w:type="dxa"/>
          </w:tcPr>
          <w:p w14:paraId="1903C76E" w14:textId="77777777" w:rsidR="00CB542F" w:rsidRDefault="00573A58">
            <w:pPr>
              <w:widowControl w:val="0"/>
              <w:kinsoku w:val="0"/>
              <w:overflowPunct w:val="0"/>
              <w:autoSpaceDE w:val="0"/>
              <w:autoSpaceDN w:val="0"/>
              <w:adjustRightInd w:val="0"/>
              <w:jc w:val="center"/>
            </w:pPr>
            <w:r>
              <w:t>Nedažnas</w:t>
            </w:r>
          </w:p>
        </w:tc>
        <w:tc>
          <w:tcPr>
            <w:tcW w:w="2787" w:type="dxa"/>
          </w:tcPr>
          <w:p w14:paraId="4106994F" w14:textId="77777777" w:rsidR="00CB542F" w:rsidRDefault="00573A58">
            <w:pPr>
              <w:widowControl w:val="0"/>
              <w:kinsoku w:val="0"/>
              <w:overflowPunct w:val="0"/>
              <w:autoSpaceDE w:val="0"/>
              <w:autoSpaceDN w:val="0"/>
              <w:adjustRightInd w:val="0"/>
              <w:jc w:val="center"/>
            </w:pPr>
            <w:r>
              <w:t>Nedažnas</w:t>
            </w:r>
          </w:p>
        </w:tc>
      </w:tr>
      <w:tr w:rsidR="00CB542F" w14:paraId="7EF93C24" w14:textId="77777777">
        <w:trPr>
          <w:trHeight w:val="251"/>
        </w:trPr>
        <w:tc>
          <w:tcPr>
            <w:tcW w:w="3536" w:type="dxa"/>
            <w:shd w:val="clear" w:color="auto" w:fill="auto"/>
          </w:tcPr>
          <w:p w14:paraId="2F31C9C4" w14:textId="77777777" w:rsidR="00CB542F" w:rsidRDefault="00573A58">
            <w:pPr>
              <w:widowControl w:val="0"/>
              <w:kinsoku w:val="0"/>
              <w:overflowPunct w:val="0"/>
              <w:autoSpaceDE w:val="0"/>
              <w:autoSpaceDN w:val="0"/>
              <w:adjustRightInd w:val="0"/>
              <w:ind w:left="285"/>
            </w:pPr>
            <w:r>
              <w:t>Gastroezofagitas</w:t>
            </w:r>
          </w:p>
        </w:tc>
        <w:tc>
          <w:tcPr>
            <w:tcW w:w="2977" w:type="dxa"/>
          </w:tcPr>
          <w:p w14:paraId="24163354" w14:textId="77777777" w:rsidR="00CB542F" w:rsidRDefault="00573A58">
            <w:pPr>
              <w:widowControl w:val="0"/>
              <w:kinsoku w:val="0"/>
              <w:overflowPunct w:val="0"/>
              <w:autoSpaceDE w:val="0"/>
              <w:autoSpaceDN w:val="0"/>
              <w:adjustRightInd w:val="0"/>
              <w:jc w:val="center"/>
            </w:pPr>
            <w:r>
              <w:t>Nedažnas</w:t>
            </w:r>
          </w:p>
        </w:tc>
        <w:tc>
          <w:tcPr>
            <w:tcW w:w="2787" w:type="dxa"/>
          </w:tcPr>
          <w:p w14:paraId="02BBF02A" w14:textId="77777777" w:rsidR="00CB542F" w:rsidRDefault="00573A58">
            <w:pPr>
              <w:widowControl w:val="0"/>
              <w:kinsoku w:val="0"/>
              <w:overflowPunct w:val="0"/>
              <w:autoSpaceDE w:val="0"/>
              <w:autoSpaceDN w:val="0"/>
              <w:adjustRightInd w:val="0"/>
              <w:jc w:val="center"/>
            </w:pPr>
            <w:r>
              <w:t>Nedažnas</w:t>
            </w:r>
          </w:p>
        </w:tc>
      </w:tr>
      <w:tr w:rsidR="00CB542F" w14:paraId="41F8ADAB" w14:textId="77777777">
        <w:trPr>
          <w:trHeight w:val="251"/>
        </w:trPr>
        <w:tc>
          <w:tcPr>
            <w:tcW w:w="3536" w:type="dxa"/>
            <w:shd w:val="clear" w:color="auto" w:fill="auto"/>
          </w:tcPr>
          <w:p w14:paraId="3A853CD3" w14:textId="77777777" w:rsidR="00CB542F" w:rsidRDefault="00573A58">
            <w:pPr>
              <w:widowControl w:val="0"/>
              <w:kinsoku w:val="0"/>
              <w:overflowPunct w:val="0"/>
              <w:autoSpaceDE w:val="0"/>
              <w:autoSpaceDN w:val="0"/>
              <w:adjustRightInd w:val="0"/>
              <w:ind w:left="285"/>
            </w:pPr>
            <w:r>
              <w:t>Gastroezofaginio refliukso liga</w:t>
            </w:r>
          </w:p>
        </w:tc>
        <w:tc>
          <w:tcPr>
            <w:tcW w:w="2977" w:type="dxa"/>
          </w:tcPr>
          <w:p w14:paraId="247B2BEB" w14:textId="77777777" w:rsidR="00CB542F" w:rsidRDefault="00573A58">
            <w:pPr>
              <w:widowControl w:val="0"/>
              <w:kinsoku w:val="0"/>
              <w:overflowPunct w:val="0"/>
              <w:autoSpaceDE w:val="0"/>
              <w:autoSpaceDN w:val="0"/>
              <w:adjustRightInd w:val="0"/>
              <w:jc w:val="center"/>
            </w:pPr>
            <w:r>
              <w:t>Nedažnas</w:t>
            </w:r>
          </w:p>
        </w:tc>
        <w:tc>
          <w:tcPr>
            <w:tcW w:w="2787" w:type="dxa"/>
          </w:tcPr>
          <w:p w14:paraId="245091DE" w14:textId="77777777" w:rsidR="00CB542F" w:rsidRDefault="00573A58">
            <w:pPr>
              <w:widowControl w:val="0"/>
              <w:kinsoku w:val="0"/>
              <w:overflowPunct w:val="0"/>
              <w:autoSpaceDE w:val="0"/>
              <w:autoSpaceDN w:val="0"/>
              <w:adjustRightInd w:val="0"/>
              <w:jc w:val="center"/>
            </w:pPr>
            <w:r>
              <w:t>Nedažnas</w:t>
            </w:r>
          </w:p>
        </w:tc>
      </w:tr>
      <w:tr w:rsidR="00CB542F" w14:paraId="2E65C5C3" w14:textId="77777777">
        <w:trPr>
          <w:trHeight w:val="254"/>
        </w:trPr>
        <w:tc>
          <w:tcPr>
            <w:tcW w:w="3536" w:type="dxa"/>
            <w:shd w:val="clear" w:color="auto" w:fill="auto"/>
          </w:tcPr>
          <w:p w14:paraId="7C2B3F8D" w14:textId="77777777" w:rsidR="00CB542F" w:rsidRDefault="00573A58">
            <w:pPr>
              <w:widowControl w:val="0"/>
              <w:kinsoku w:val="0"/>
              <w:overflowPunct w:val="0"/>
              <w:autoSpaceDE w:val="0"/>
              <w:autoSpaceDN w:val="0"/>
              <w:adjustRightInd w:val="0"/>
              <w:ind w:left="285"/>
              <w:rPr>
                <w:color w:val="000000"/>
                <w:szCs w:val="22"/>
                <w:lang w:val="sl-SI" w:eastAsia="sl-SI"/>
              </w:rPr>
            </w:pPr>
            <w:r>
              <w:t>Vėmimas</w:t>
            </w:r>
          </w:p>
        </w:tc>
        <w:tc>
          <w:tcPr>
            <w:tcW w:w="2977" w:type="dxa"/>
          </w:tcPr>
          <w:p w14:paraId="2231FA89" w14:textId="77777777" w:rsidR="00CB542F" w:rsidRDefault="00573A58">
            <w:pPr>
              <w:widowControl w:val="0"/>
              <w:kinsoku w:val="0"/>
              <w:overflowPunct w:val="0"/>
              <w:autoSpaceDE w:val="0"/>
              <w:autoSpaceDN w:val="0"/>
              <w:adjustRightInd w:val="0"/>
              <w:jc w:val="center"/>
            </w:pPr>
            <w:r>
              <w:t>Nedažnas</w:t>
            </w:r>
          </w:p>
        </w:tc>
        <w:tc>
          <w:tcPr>
            <w:tcW w:w="2787" w:type="dxa"/>
          </w:tcPr>
          <w:p w14:paraId="72652C6A" w14:textId="77777777" w:rsidR="00CB542F" w:rsidRDefault="00573A58">
            <w:pPr>
              <w:widowControl w:val="0"/>
              <w:kinsoku w:val="0"/>
              <w:overflowPunct w:val="0"/>
              <w:autoSpaceDE w:val="0"/>
              <w:autoSpaceDN w:val="0"/>
              <w:adjustRightInd w:val="0"/>
              <w:jc w:val="center"/>
            </w:pPr>
            <w:r>
              <w:t>Nedažnas</w:t>
            </w:r>
          </w:p>
        </w:tc>
      </w:tr>
      <w:tr w:rsidR="00CB542F" w14:paraId="273AD5D1" w14:textId="77777777">
        <w:trPr>
          <w:trHeight w:val="251"/>
        </w:trPr>
        <w:tc>
          <w:tcPr>
            <w:tcW w:w="3536" w:type="dxa"/>
            <w:shd w:val="clear" w:color="auto" w:fill="auto"/>
          </w:tcPr>
          <w:p w14:paraId="11608902" w14:textId="77777777" w:rsidR="00CB542F" w:rsidRDefault="00573A58">
            <w:pPr>
              <w:widowControl w:val="0"/>
              <w:kinsoku w:val="0"/>
              <w:overflowPunct w:val="0"/>
              <w:autoSpaceDE w:val="0"/>
              <w:autoSpaceDN w:val="0"/>
              <w:adjustRightInd w:val="0"/>
              <w:ind w:left="285"/>
              <w:rPr>
                <w:color w:val="000000"/>
                <w:szCs w:val="22"/>
                <w:lang w:val="sl-SI" w:eastAsia="sl-SI"/>
              </w:rPr>
            </w:pPr>
            <w:r>
              <w:t>Disfagija</w:t>
            </w:r>
          </w:p>
        </w:tc>
        <w:tc>
          <w:tcPr>
            <w:tcW w:w="2977" w:type="dxa"/>
          </w:tcPr>
          <w:p w14:paraId="3F74C9EC" w14:textId="77777777" w:rsidR="00CB542F" w:rsidRDefault="00573A58">
            <w:pPr>
              <w:widowControl w:val="0"/>
              <w:kinsoku w:val="0"/>
              <w:overflowPunct w:val="0"/>
              <w:autoSpaceDE w:val="0"/>
              <w:autoSpaceDN w:val="0"/>
              <w:adjustRightInd w:val="0"/>
              <w:jc w:val="center"/>
            </w:pPr>
            <w:r>
              <w:t>Nedažnas</w:t>
            </w:r>
          </w:p>
        </w:tc>
        <w:tc>
          <w:tcPr>
            <w:tcW w:w="2787" w:type="dxa"/>
          </w:tcPr>
          <w:p w14:paraId="7E734569" w14:textId="77777777" w:rsidR="00CB542F" w:rsidRDefault="00573A58">
            <w:pPr>
              <w:widowControl w:val="0"/>
              <w:kinsoku w:val="0"/>
              <w:overflowPunct w:val="0"/>
              <w:autoSpaceDE w:val="0"/>
              <w:autoSpaceDN w:val="0"/>
              <w:adjustRightInd w:val="0"/>
              <w:jc w:val="center"/>
            </w:pPr>
            <w:r>
              <w:t>Retas</w:t>
            </w:r>
          </w:p>
        </w:tc>
      </w:tr>
      <w:tr w:rsidR="00CB542F" w14:paraId="2C163A66" w14:textId="77777777">
        <w:trPr>
          <w:trHeight w:val="253"/>
        </w:trPr>
        <w:tc>
          <w:tcPr>
            <w:tcW w:w="9300" w:type="dxa"/>
            <w:gridSpan w:val="3"/>
            <w:shd w:val="clear" w:color="auto" w:fill="auto"/>
          </w:tcPr>
          <w:p w14:paraId="17297265" w14:textId="77777777" w:rsidR="00CB542F" w:rsidRDefault="00573A58">
            <w:pPr>
              <w:widowControl w:val="0"/>
              <w:kinsoku w:val="0"/>
              <w:overflowPunct w:val="0"/>
              <w:autoSpaceDE w:val="0"/>
              <w:autoSpaceDN w:val="0"/>
              <w:adjustRightInd w:val="0"/>
              <w:ind w:left="105"/>
            </w:pPr>
            <w:r>
              <w:t>Kepenų, tulžies pūslės ir latakų sutrikimai</w:t>
            </w:r>
          </w:p>
        </w:tc>
      </w:tr>
      <w:tr w:rsidR="00CB542F" w14:paraId="36CF3777" w14:textId="77777777">
        <w:trPr>
          <w:trHeight w:val="505"/>
        </w:trPr>
        <w:tc>
          <w:tcPr>
            <w:tcW w:w="3536" w:type="dxa"/>
            <w:shd w:val="clear" w:color="auto" w:fill="auto"/>
          </w:tcPr>
          <w:p w14:paraId="6BCB2D40" w14:textId="77777777" w:rsidR="00CB542F" w:rsidRDefault="00573A58">
            <w:pPr>
              <w:widowControl w:val="0"/>
              <w:kinsoku w:val="0"/>
              <w:overflowPunct w:val="0"/>
              <w:autoSpaceDE w:val="0"/>
              <w:autoSpaceDN w:val="0"/>
              <w:adjustRightInd w:val="0"/>
              <w:ind w:left="285"/>
              <w:rPr>
                <w:color w:val="000000"/>
                <w:szCs w:val="22"/>
                <w:lang w:val="sl-SI" w:eastAsia="sl-SI"/>
              </w:rPr>
            </w:pPr>
            <w:r>
              <w:t>Nenormali kepenų funkcija / nenormalūs kepenų funkcijos tyrimų duomenys</w:t>
            </w:r>
          </w:p>
        </w:tc>
        <w:tc>
          <w:tcPr>
            <w:tcW w:w="2977" w:type="dxa"/>
          </w:tcPr>
          <w:p w14:paraId="6C93D40D"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c>
          <w:tcPr>
            <w:tcW w:w="2787" w:type="dxa"/>
          </w:tcPr>
          <w:p w14:paraId="7E3AF4D3"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281C709C" w14:textId="77777777">
        <w:trPr>
          <w:trHeight w:val="254"/>
        </w:trPr>
        <w:tc>
          <w:tcPr>
            <w:tcW w:w="3536" w:type="dxa"/>
            <w:shd w:val="clear" w:color="auto" w:fill="auto"/>
          </w:tcPr>
          <w:p w14:paraId="468FB0F6" w14:textId="77777777" w:rsidR="00CB542F" w:rsidRDefault="00573A58">
            <w:pPr>
              <w:widowControl w:val="0"/>
              <w:kinsoku w:val="0"/>
              <w:overflowPunct w:val="0"/>
              <w:autoSpaceDE w:val="0"/>
              <w:autoSpaceDN w:val="0"/>
              <w:adjustRightInd w:val="0"/>
              <w:ind w:left="285"/>
              <w:rPr>
                <w:color w:val="000000"/>
                <w:szCs w:val="22"/>
                <w:lang w:val="sl-SI" w:eastAsia="sl-SI"/>
              </w:rPr>
            </w:pPr>
            <w:r>
              <w:t>Alaninaminotransferazės aktyvumo padidėjimas</w:t>
            </w:r>
          </w:p>
        </w:tc>
        <w:tc>
          <w:tcPr>
            <w:tcW w:w="2977" w:type="dxa"/>
          </w:tcPr>
          <w:p w14:paraId="1184BA51" w14:textId="77777777" w:rsidR="00CB542F" w:rsidRDefault="00573A58">
            <w:pPr>
              <w:widowControl w:val="0"/>
              <w:kinsoku w:val="0"/>
              <w:overflowPunct w:val="0"/>
              <w:autoSpaceDE w:val="0"/>
              <w:autoSpaceDN w:val="0"/>
              <w:adjustRightInd w:val="0"/>
              <w:jc w:val="center"/>
            </w:pPr>
            <w:r>
              <w:t>Nedažnas</w:t>
            </w:r>
          </w:p>
        </w:tc>
        <w:tc>
          <w:tcPr>
            <w:tcW w:w="2787" w:type="dxa"/>
          </w:tcPr>
          <w:p w14:paraId="2BEC6CF3" w14:textId="77777777" w:rsidR="00CB542F" w:rsidRDefault="00573A58">
            <w:pPr>
              <w:widowControl w:val="0"/>
              <w:kinsoku w:val="0"/>
              <w:overflowPunct w:val="0"/>
              <w:autoSpaceDE w:val="0"/>
              <w:autoSpaceDN w:val="0"/>
              <w:adjustRightInd w:val="0"/>
              <w:jc w:val="center"/>
            </w:pPr>
            <w:r>
              <w:t>Nedažnas</w:t>
            </w:r>
          </w:p>
        </w:tc>
      </w:tr>
      <w:tr w:rsidR="00CB542F" w14:paraId="5DD6D3CE" w14:textId="77777777">
        <w:trPr>
          <w:trHeight w:val="251"/>
        </w:trPr>
        <w:tc>
          <w:tcPr>
            <w:tcW w:w="3536" w:type="dxa"/>
            <w:shd w:val="clear" w:color="auto" w:fill="auto"/>
          </w:tcPr>
          <w:p w14:paraId="6618CB57" w14:textId="77777777" w:rsidR="00CB542F" w:rsidRDefault="00573A58">
            <w:pPr>
              <w:widowControl w:val="0"/>
              <w:kinsoku w:val="0"/>
              <w:overflowPunct w:val="0"/>
              <w:autoSpaceDE w:val="0"/>
              <w:autoSpaceDN w:val="0"/>
              <w:adjustRightInd w:val="0"/>
              <w:ind w:left="285"/>
              <w:rPr>
                <w:color w:val="000000"/>
                <w:szCs w:val="22"/>
                <w:lang w:val="sl-SI" w:eastAsia="sl-SI"/>
              </w:rPr>
            </w:pPr>
            <w:r>
              <w:t>Aspartataminotransferazės aktyvumo padidėjimas</w:t>
            </w:r>
          </w:p>
        </w:tc>
        <w:tc>
          <w:tcPr>
            <w:tcW w:w="2977" w:type="dxa"/>
          </w:tcPr>
          <w:p w14:paraId="603DAB0F" w14:textId="77777777" w:rsidR="00CB542F" w:rsidRDefault="00573A58">
            <w:pPr>
              <w:widowControl w:val="0"/>
              <w:kinsoku w:val="0"/>
              <w:overflowPunct w:val="0"/>
              <w:autoSpaceDE w:val="0"/>
              <w:autoSpaceDN w:val="0"/>
              <w:adjustRightInd w:val="0"/>
              <w:jc w:val="center"/>
            </w:pPr>
            <w:r>
              <w:t>Nedažnas</w:t>
            </w:r>
          </w:p>
        </w:tc>
        <w:tc>
          <w:tcPr>
            <w:tcW w:w="2787" w:type="dxa"/>
          </w:tcPr>
          <w:p w14:paraId="38D85237" w14:textId="77777777" w:rsidR="00CB542F" w:rsidRDefault="00573A58">
            <w:pPr>
              <w:widowControl w:val="0"/>
              <w:kinsoku w:val="0"/>
              <w:overflowPunct w:val="0"/>
              <w:autoSpaceDE w:val="0"/>
              <w:autoSpaceDN w:val="0"/>
              <w:adjustRightInd w:val="0"/>
              <w:jc w:val="center"/>
            </w:pPr>
            <w:r>
              <w:t>Nedažnas</w:t>
            </w:r>
          </w:p>
        </w:tc>
      </w:tr>
      <w:tr w:rsidR="00CB542F" w14:paraId="2D60D724" w14:textId="77777777">
        <w:trPr>
          <w:trHeight w:val="253"/>
        </w:trPr>
        <w:tc>
          <w:tcPr>
            <w:tcW w:w="3536" w:type="dxa"/>
            <w:shd w:val="clear" w:color="auto" w:fill="auto"/>
          </w:tcPr>
          <w:p w14:paraId="15887F26" w14:textId="77777777" w:rsidR="00CB542F" w:rsidRDefault="00573A58">
            <w:pPr>
              <w:widowControl w:val="0"/>
              <w:kinsoku w:val="0"/>
              <w:overflowPunct w:val="0"/>
              <w:autoSpaceDE w:val="0"/>
              <w:autoSpaceDN w:val="0"/>
              <w:adjustRightInd w:val="0"/>
              <w:ind w:left="285"/>
              <w:rPr>
                <w:color w:val="000000"/>
                <w:szCs w:val="22"/>
                <w:lang w:val="sl-SI" w:eastAsia="sl-SI"/>
              </w:rPr>
            </w:pPr>
            <w:r>
              <w:t>Kepenų fermentų aktyvumo padidėjimas</w:t>
            </w:r>
          </w:p>
        </w:tc>
        <w:tc>
          <w:tcPr>
            <w:tcW w:w="2977" w:type="dxa"/>
          </w:tcPr>
          <w:p w14:paraId="30828B34" w14:textId="77777777" w:rsidR="00CB542F" w:rsidRDefault="00573A58">
            <w:pPr>
              <w:widowControl w:val="0"/>
              <w:kinsoku w:val="0"/>
              <w:overflowPunct w:val="0"/>
              <w:autoSpaceDE w:val="0"/>
              <w:autoSpaceDN w:val="0"/>
              <w:adjustRightInd w:val="0"/>
              <w:jc w:val="center"/>
            </w:pPr>
            <w:r>
              <w:t>Retas</w:t>
            </w:r>
          </w:p>
        </w:tc>
        <w:tc>
          <w:tcPr>
            <w:tcW w:w="2787" w:type="dxa"/>
          </w:tcPr>
          <w:p w14:paraId="1B231EC9" w14:textId="77777777" w:rsidR="00CB542F" w:rsidRDefault="00573A58">
            <w:pPr>
              <w:widowControl w:val="0"/>
              <w:kinsoku w:val="0"/>
              <w:overflowPunct w:val="0"/>
              <w:autoSpaceDE w:val="0"/>
              <w:autoSpaceDN w:val="0"/>
              <w:adjustRightInd w:val="0"/>
              <w:jc w:val="center"/>
            </w:pPr>
            <w:r>
              <w:t>Nedažnas</w:t>
            </w:r>
          </w:p>
        </w:tc>
      </w:tr>
      <w:tr w:rsidR="00CB542F" w14:paraId="64E3DD0A" w14:textId="77777777">
        <w:trPr>
          <w:trHeight w:val="251"/>
        </w:trPr>
        <w:tc>
          <w:tcPr>
            <w:tcW w:w="3536" w:type="dxa"/>
            <w:shd w:val="clear" w:color="auto" w:fill="auto"/>
          </w:tcPr>
          <w:p w14:paraId="772A5CE9" w14:textId="77777777" w:rsidR="00CB542F" w:rsidRDefault="00573A58">
            <w:pPr>
              <w:widowControl w:val="0"/>
              <w:kinsoku w:val="0"/>
              <w:overflowPunct w:val="0"/>
              <w:autoSpaceDE w:val="0"/>
              <w:autoSpaceDN w:val="0"/>
              <w:adjustRightInd w:val="0"/>
              <w:ind w:left="285"/>
              <w:rPr>
                <w:color w:val="000000"/>
                <w:szCs w:val="22"/>
                <w:lang w:val="sl-SI" w:eastAsia="sl-SI"/>
              </w:rPr>
            </w:pPr>
            <w:r>
              <w:t>Hiperbilirubinemija</w:t>
            </w:r>
          </w:p>
        </w:tc>
        <w:tc>
          <w:tcPr>
            <w:tcW w:w="2977" w:type="dxa"/>
          </w:tcPr>
          <w:p w14:paraId="2F3B58DF" w14:textId="77777777" w:rsidR="00CB542F" w:rsidRDefault="00573A58">
            <w:pPr>
              <w:widowControl w:val="0"/>
              <w:kinsoku w:val="0"/>
              <w:overflowPunct w:val="0"/>
              <w:autoSpaceDE w:val="0"/>
              <w:autoSpaceDN w:val="0"/>
              <w:adjustRightInd w:val="0"/>
              <w:jc w:val="center"/>
            </w:pPr>
            <w:r>
              <w:t>Retas</w:t>
            </w:r>
          </w:p>
        </w:tc>
        <w:tc>
          <w:tcPr>
            <w:tcW w:w="2787" w:type="dxa"/>
          </w:tcPr>
          <w:p w14:paraId="12CD312A" w14:textId="77777777" w:rsidR="00CB542F" w:rsidRDefault="00573A58">
            <w:pPr>
              <w:widowControl w:val="0"/>
              <w:kinsoku w:val="0"/>
              <w:overflowPunct w:val="0"/>
              <w:autoSpaceDE w:val="0"/>
              <w:autoSpaceDN w:val="0"/>
              <w:adjustRightInd w:val="0"/>
              <w:jc w:val="center"/>
            </w:pPr>
            <w:r>
              <w:rPr>
                <w:color w:val="000000"/>
                <w:szCs w:val="22"/>
                <w:lang w:val="sl-SI" w:eastAsia="sl-SI"/>
              </w:rPr>
              <w:t>Dažnis nežinomas</w:t>
            </w:r>
          </w:p>
        </w:tc>
      </w:tr>
      <w:tr w:rsidR="00CB542F" w14:paraId="15E89D6C" w14:textId="77777777">
        <w:trPr>
          <w:trHeight w:val="253"/>
        </w:trPr>
        <w:tc>
          <w:tcPr>
            <w:tcW w:w="3536" w:type="dxa"/>
            <w:shd w:val="clear" w:color="auto" w:fill="auto"/>
          </w:tcPr>
          <w:p w14:paraId="14A3BF19" w14:textId="77777777" w:rsidR="00CB542F" w:rsidRDefault="00573A58">
            <w:pPr>
              <w:widowControl w:val="0"/>
              <w:kinsoku w:val="0"/>
              <w:overflowPunct w:val="0"/>
              <w:autoSpaceDE w:val="0"/>
              <w:autoSpaceDN w:val="0"/>
              <w:adjustRightInd w:val="0"/>
              <w:ind w:left="105"/>
              <w:rPr>
                <w:color w:val="000000"/>
                <w:szCs w:val="22"/>
                <w:lang w:val="sl-SI" w:eastAsia="sl-SI"/>
              </w:rPr>
            </w:pPr>
            <w:r>
              <w:t>Odos ir poodinio audinio sutrikimai</w:t>
            </w:r>
          </w:p>
        </w:tc>
        <w:tc>
          <w:tcPr>
            <w:tcW w:w="2977" w:type="dxa"/>
          </w:tcPr>
          <w:p w14:paraId="68E6DC39" w14:textId="77777777" w:rsidR="00CB542F" w:rsidRDefault="00CB542F">
            <w:pPr>
              <w:widowControl w:val="0"/>
              <w:kinsoku w:val="0"/>
              <w:overflowPunct w:val="0"/>
              <w:autoSpaceDE w:val="0"/>
              <w:autoSpaceDN w:val="0"/>
              <w:adjustRightInd w:val="0"/>
              <w:ind w:left="105"/>
            </w:pPr>
          </w:p>
        </w:tc>
        <w:tc>
          <w:tcPr>
            <w:tcW w:w="2787" w:type="dxa"/>
          </w:tcPr>
          <w:p w14:paraId="7B9B751C" w14:textId="77777777" w:rsidR="00CB542F" w:rsidRDefault="00CB542F">
            <w:pPr>
              <w:widowControl w:val="0"/>
              <w:kinsoku w:val="0"/>
              <w:overflowPunct w:val="0"/>
              <w:autoSpaceDE w:val="0"/>
              <w:autoSpaceDN w:val="0"/>
              <w:adjustRightInd w:val="0"/>
              <w:ind w:left="105"/>
            </w:pPr>
          </w:p>
        </w:tc>
      </w:tr>
      <w:tr w:rsidR="00CB542F" w14:paraId="2FFC815D" w14:textId="77777777">
        <w:trPr>
          <w:trHeight w:val="251"/>
        </w:trPr>
        <w:tc>
          <w:tcPr>
            <w:tcW w:w="3536" w:type="dxa"/>
            <w:shd w:val="clear" w:color="auto" w:fill="auto"/>
          </w:tcPr>
          <w:p w14:paraId="17EC0198"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 į odą</w:t>
            </w:r>
          </w:p>
        </w:tc>
        <w:tc>
          <w:tcPr>
            <w:tcW w:w="2977" w:type="dxa"/>
          </w:tcPr>
          <w:p w14:paraId="5405D106" w14:textId="77777777" w:rsidR="00CB542F" w:rsidRDefault="00573A58">
            <w:pPr>
              <w:widowControl w:val="0"/>
              <w:kinsoku w:val="0"/>
              <w:overflowPunct w:val="0"/>
              <w:autoSpaceDE w:val="0"/>
              <w:autoSpaceDN w:val="0"/>
              <w:adjustRightInd w:val="0"/>
              <w:jc w:val="center"/>
            </w:pPr>
            <w:r>
              <w:rPr>
                <w:color w:val="000000"/>
                <w:szCs w:val="22"/>
                <w:lang w:val="sl-SI" w:eastAsia="sl-SI"/>
              </w:rPr>
              <w:t>Dažnas</w:t>
            </w:r>
          </w:p>
        </w:tc>
        <w:tc>
          <w:tcPr>
            <w:tcW w:w="2787" w:type="dxa"/>
          </w:tcPr>
          <w:p w14:paraId="7E30C4D8" w14:textId="77777777" w:rsidR="00CB542F" w:rsidRDefault="00573A58">
            <w:pPr>
              <w:widowControl w:val="0"/>
              <w:kinsoku w:val="0"/>
              <w:overflowPunct w:val="0"/>
              <w:autoSpaceDE w:val="0"/>
              <w:autoSpaceDN w:val="0"/>
              <w:adjustRightInd w:val="0"/>
              <w:jc w:val="center"/>
            </w:pPr>
            <w:r>
              <w:rPr>
                <w:color w:val="000000"/>
                <w:szCs w:val="22"/>
                <w:lang w:val="sl-SI" w:eastAsia="sl-SI"/>
              </w:rPr>
              <w:t>Dažnas</w:t>
            </w:r>
          </w:p>
        </w:tc>
      </w:tr>
      <w:tr w:rsidR="00CB542F" w14:paraId="3CE8EAE2" w14:textId="77777777">
        <w:trPr>
          <w:trHeight w:val="251"/>
        </w:trPr>
        <w:tc>
          <w:tcPr>
            <w:tcW w:w="3536" w:type="dxa"/>
            <w:shd w:val="clear" w:color="auto" w:fill="auto"/>
          </w:tcPr>
          <w:p w14:paraId="04FBA009" w14:textId="77777777" w:rsidR="00CB542F" w:rsidRDefault="00573A58">
            <w:pPr>
              <w:widowControl w:val="0"/>
              <w:kinsoku w:val="0"/>
              <w:overflowPunct w:val="0"/>
              <w:autoSpaceDE w:val="0"/>
              <w:autoSpaceDN w:val="0"/>
              <w:adjustRightInd w:val="0"/>
              <w:ind w:left="285"/>
              <w:rPr>
                <w:color w:val="000000"/>
                <w:szCs w:val="22"/>
                <w:lang w:val="sl-SI" w:eastAsia="sl-SI"/>
              </w:rPr>
            </w:pPr>
            <w:r>
              <w:t>Alopecija</w:t>
            </w:r>
          </w:p>
        </w:tc>
        <w:tc>
          <w:tcPr>
            <w:tcW w:w="2977" w:type="dxa"/>
          </w:tcPr>
          <w:p w14:paraId="4437252D" w14:textId="77777777" w:rsidR="00CB542F" w:rsidRDefault="00573A58">
            <w:pPr>
              <w:widowControl w:val="0"/>
              <w:kinsoku w:val="0"/>
              <w:overflowPunct w:val="0"/>
              <w:autoSpaceDE w:val="0"/>
              <w:autoSpaceDN w:val="0"/>
              <w:adjustRightInd w:val="0"/>
              <w:jc w:val="center"/>
            </w:pPr>
            <w:r>
              <w:t>Dažnis nežinomas</w:t>
            </w:r>
          </w:p>
        </w:tc>
        <w:tc>
          <w:tcPr>
            <w:tcW w:w="2787" w:type="dxa"/>
          </w:tcPr>
          <w:p w14:paraId="129A1A20" w14:textId="77777777" w:rsidR="00CB542F" w:rsidRDefault="00573A58">
            <w:pPr>
              <w:widowControl w:val="0"/>
              <w:kinsoku w:val="0"/>
              <w:overflowPunct w:val="0"/>
              <w:autoSpaceDE w:val="0"/>
              <w:autoSpaceDN w:val="0"/>
              <w:adjustRightInd w:val="0"/>
              <w:jc w:val="center"/>
            </w:pPr>
            <w:r>
              <w:t>Dažnis nežinomas</w:t>
            </w:r>
          </w:p>
        </w:tc>
      </w:tr>
      <w:tr w:rsidR="00CB542F" w14:paraId="464BB75D" w14:textId="77777777">
        <w:trPr>
          <w:trHeight w:val="253"/>
        </w:trPr>
        <w:tc>
          <w:tcPr>
            <w:tcW w:w="9300" w:type="dxa"/>
            <w:gridSpan w:val="3"/>
            <w:shd w:val="clear" w:color="auto" w:fill="auto"/>
          </w:tcPr>
          <w:p w14:paraId="4E87AEDA" w14:textId="77777777" w:rsidR="00CB542F" w:rsidRDefault="00573A58">
            <w:pPr>
              <w:widowControl w:val="0"/>
              <w:kinsoku w:val="0"/>
              <w:overflowPunct w:val="0"/>
              <w:autoSpaceDE w:val="0"/>
              <w:autoSpaceDN w:val="0"/>
              <w:adjustRightInd w:val="0"/>
              <w:ind w:left="105"/>
            </w:pPr>
            <w:r>
              <w:t>Skeleto, raumenų ir jungiamojo audinio sutrikimai</w:t>
            </w:r>
          </w:p>
        </w:tc>
      </w:tr>
      <w:tr w:rsidR="00CB542F" w14:paraId="753F66F6" w14:textId="77777777">
        <w:trPr>
          <w:trHeight w:val="253"/>
        </w:trPr>
        <w:tc>
          <w:tcPr>
            <w:tcW w:w="3536" w:type="dxa"/>
            <w:shd w:val="clear" w:color="auto" w:fill="auto"/>
          </w:tcPr>
          <w:p w14:paraId="61C64047" w14:textId="77777777" w:rsidR="00CB542F" w:rsidRDefault="00573A58">
            <w:pPr>
              <w:widowControl w:val="0"/>
              <w:kinsoku w:val="0"/>
              <w:overflowPunct w:val="0"/>
              <w:autoSpaceDE w:val="0"/>
              <w:autoSpaceDN w:val="0"/>
              <w:adjustRightInd w:val="0"/>
              <w:ind w:left="285"/>
              <w:rPr>
                <w:color w:val="000000"/>
                <w:szCs w:val="22"/>
                <w:lang w:val="sl-SI" w:eastAsia="sl-SI"/>
              </w:rPr>
            </w:pPr>
            <w:r>
              <w:t>Hemartrozė</w:t>
            </w:r>
          </w:p>
        </w:tc>
        <w:tc>
          <w:tcPr>
            <w:tcW w:w="2977" w:type="dxa"/>
          </w:tcPr>
          <w:p w14:paraId="0D9CC74D" w14:textId="77777777" w:rsidR="00CB542F" w:rsidRDefault="00573A58">
            <w:pPr>
              <w:widowControl w:val="0"/>
              <w:kinsoku w:val="0"/>
              <w:overflowPunct w:val="0"/>
              <w:autoSpaceDE w:val="0"/>
              <w:autoSpaceDN w:val="0"/>
              <w:adjustRightInd w:val="0"/>
              <w:jc w:val="center"/>
            </w:pPr>
            <w:r>
              <w:t>Retas</w:t>
            </w:r>
          </w:p>
        </w:tc>
        <w:tc>
          <w:tcPr>
            <w:tcW w:w="2787" w:type="dxa"/>
          </w:tcPr>
          <w:p w14:paraId="529690D7" w14:textId="77777777" w:rsidR="00CB542F" w:rsidRDefault="00573A58">
            <w:pPr>
              <w:widowControl w:val="0"/>
              <w:kinsoku w:val="0"/>
              <w:overflowPunct w:val="0"/>
              <w:autoSpaceDE w:val="0"/>
              <w:autoSpaceDN w:val="0"/>
              <w:adjustRightInd w:val="0"/>
              <w:jc w:val="center"/>
            </w:pPr>
            <w:r>
              <w:t>Nedažnas</w:t>
            </w:r>
          </w:p>
        </w:tc>
      </w:tr>
      <w:tr w:rsidR="00CB542F" w14:paraId="6B1A6AE1" w14:textId="77777777">
        <w:trPr>
          <w:trHeight w:val="251"/>
        </w:trPr>
        <w:tc>
          <w:tcPr>
            <w:tcW w:w="3536" w:type="dxa"/>
            <w:shd w:val="clear" w:color="auto" w:fill="auto"/>
          </w:tcPr>
          <w:p w14:paraId="1C5DE9EC" w14:textId="77777777" w:rsidR="00CB542F" w:rsidRDefault="00573A58">
            <w:pPr>
              <w:widowControl w:val="0"/>
              <w:kinsoku w:val="0"/>
              <w:overflowPunct w:val="0"/>
              <w:autoSpaceDE w:val="0"/>
              <w:autoSpaceDN w:val="0"/>
              <w:adjustRightInd w:val="0"/>
              <w:ind w:left="105"/>
              <w:rPr>
                <w:color w:val="000000"/>
                <w:szCs w:val="22"/>
                <w:lang w:val="sl-SI" w:eastAsia="sl-SI"/>
              </w:rPr>
            </w:pPr>
            <w:r>
              <w:t>Inkstų ir šlapimo takų sutrikimai</w:t>
            </w:r>
          </w:p>
        </w:tc>
        <w:tc>
          <w:tcPr>
            <w:tcW w:w="2977" w:type="dxa"/>
          </w:tcPr>
          <w:p w14:paraId="59E3D4A1" w14:textId="77777777" w:rsidR="00CB542F" w:rsidRDefault="00CB542F">
            <w:pPr>
              <w:widowControl w:val="0"/>
              <w:kinsoku w:val="0"/>
              <w:overflowPunct w:val="0"/>
              <w:autoSpaceDE w:val="0"/>
              <w:autoSpaceDN w:val="0"/>
              <w:adjustRightInd w:val="0"/>
              <w:ind w:left="105"/>
            </w:pPr>
          </w:p>
        </w:tc>
        <w:tc>
          <w:tcPr>
            <w:tcW w:w="2787" w:type="dxa"/>
          </w:tcPr>
          <w:p w14:paraId="146112C9" w14:textId="77777777" w:rsidR="00CB542F" w:rsidRDefault="00CB542F">
            <w:pPr>
              <w:widowControl w:val="0"/>
              <w:kinsoku w:val="0"/>
              <w:overflowPunct w:val="0"/>
              <w:autoSpaceDE w:val="0"/>
              <w:autoSpaceDN w:val="0"/>
              <w:adjustRightInd w:val="0"/>
              <w:ind w:left="105"/>
            </w:pPr>
          </w:p>
        </w:tc>
      </w:tr>
      <w:tr w:rsidR="00CB542F" w14:paraId="38A225E2" w14:textId="77777777">
        <w:trPr>
          <w:trHeight w:val="506"/>
        </w:trPr>
        <w:tc>
          <w:tcPr>
            <w:tcW w:w="3536" w:type="dxa"/>
            <w:shd w:val="clear" w:color="auto" w:fill="auto"/>
          </w:tcPr>
          <w:p w14:paraId="6F832CFA" w14:textId="77777777" w:rsidR="00CB542F" w:rsidRDefault="00573A58">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Kraujavimas iš lyties ir šlapimo organų, įskaitant hematuriją</w:t>
            </w:r>
          </w:p>
        </w:tc>
        <w:tc>
          <w:tcPr>
            <w:tcW w:w="2977" w:type="dxa"/>
          </w:tcPr>
          <w:p w14:paraId="16615AC0"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787" w:type="dxa"/>
          </w:tcPr>
          <w:p w14:paraId="2FE328D4"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CB542F" w14:paraId="2EA65D3F" w14:textId="77777777">
        <w:trPr>
          <w:trHeight w:val="253"/>
        </w:trPr>
        <w:tc>
          <w:tcPr>
            <w:tcW w:w="9300" w:type="dxa"/>
            <w:gridSpan w:val="3"/>
            <w:shd w:val="clear" w:color="auto" w:fill="auto"/>
          </w:tcPr>
          <w:p w14:paraId="3F9412E9" w14:textId="77777777" w:rsidR="00CB542F" w:rsidRDefault="00573A58">
            <w:pPr>
              <w:widowControl w:val="0"/>
              <w:kinsoku w:val="0"/>
              <w:overflowPunct w:val="0"/>
              <w:autoSpaceDE w:val="0"/>
              <w:autoSpaceDN w:val="0"/>
              <w:adjustRightInd w:val="0"/>
              <w:ind w:left="105"/>
            </w:pPr>
            <w:r>
              <w:t>Bendrieji sutrikimai ir vartojimo vietos pažeidimai</w:t>
            </w:r>
          </w:p>
        </w:tc>
      </w:tr>
      <w:tr w:rsidR="00CB542F" w14:paraId="66F4019F" w14:textId="77777777">
        <w:trPr>
          <w:trHeight w:val="251"/>
        </w:trPr>
        <w:tc>
          <w:tcPr>
            <w:tcW w:w="3536" w:type="dxa"/>
            <w:shd w:val="clear" w:color="auto" w:fill="auto"/>
          </w:tcPr>
          <w:p w14:paraId="3F54033E"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 iš injekcijos vietos</w:t>
            </w:r>
          </w:p>
        </w:tc>
        <w:tc>
          <w:tcPr>
            <w:tcW w:w="2977" w:type="dxa"/>
          </w:tcPr>
          <w:p w14:paraId="150D34B2" w14:textId="77777777" w:rsidR="00CB542F" w:rsidRDefault="00573A58">
            <w:pPr>
              <w:widowControl w:val="0"/>
              <w:kinsoku w:val="0"/>
              <w:overflowPunct w:val="0"/>
              <w:autoSpaceDE w:val="0"/>
              <w:autoSpaceDN w:val="0"/>
              <w:adjustRightInd w:val="0"/>
              <w:jc w:val="center"/>
            </w:pPr>
            <w:r>
              <w:t>Retas</w:t>
            </w:r>
          </w:p>
        </w:tc>
        <w:tc>
          <w:tcPr>
            <w:tcW w:w="2787" w:type="dxa"/>
          </w:tcPr>
          <w:p w14:paraId="36AB5BF8" w14:textId="77777777" w:rsidR="00CB542F" w:rsidRDefault="00573A58">
            <w:pPr>
              <w:widowControl w:val="0"/>
              <w:kinsoku w:val="0"/>
              <w:overflowPunct w:val="0"/>
              <w:autoSpaceDE w:val="0"/>
              <w:autoSpaceDN w:val="0"/>
              <w:adjustRightInd w:val="0"/>
              <w:jc w:val="center"/>
            </w:pPr>
            <w:r>
              <w:t>Retas</w:t>
            </w:r>
          </w:p>
        </w:tc>
      </w:tr>
      <w:tr w:rsidR="00CB542F" w14:paraId="23739695" w14:textId="77777777">
        <w:trPr>
          <w:trHeight w:val="253"/>
        </w:trPr>
        <w:tc>
          <w:tcPr>
            <w:tcW w:w="3536" w:type="dxa"/>
            <w:shd w:val="clear" w:color="auto" w:fill="auto"/>
          </w:tcPr>
          <w:p w14:paraId="39EF2A5F" w14:textId="77777777" w:rsidR="00CB542F" w:rsidRDefault="00573A58">
            <w:pPr>
              <w:widowControl w:val="0"/>
              <w:kinsoku w:val="0"/>
              <w:overflowPunct w:val="0"/>
              <w:autoSpaceDE w:val="0"/>
              <w:autoSpaceDN w:val="0"/>
              <w:adjustRightInd w:val="0"/>
              <w:ind w:left="285"/>
              <w:rPr>
                <w:color w:val="000000"/>
                <w:szCs w:val="22"/>
                <w:lang w:val="sl-SI" w:eastAsia="sl-SI"/>
              </w:rPr>
            </w:pPr>
            <w:r>
              <w:t>Kraujavimas iš kateterio vietos</w:t>
            </w:r>
          </w:p>
        </w:tc>
        <w:tc>
          <w:tcPr>
            <w:tcW w:w="2977" w:type="dxa"/>
          </w:tcPr>
          <w:p w14:paraId="273950C9" w14:textId="77777777" w:rsidR="00CB542F" w:rsidRDefault="00573A58">
            <w:pPr>
              <w:widowControl w:val="0"/>
              <w:kinsoku w:val="0"/>
              <w:overflowPunct w:val="0"/>
              <w:autoSpaceDE w:val="0"/>
              <w:autoSpaceDN w:val="0"/>
              <w:adjustRightInd w:val="0"/>
              <w:jc w:val="center"/>
            </w:pPr>
            <w:r>
              <w:t>Retas</w:t>
            </w:r>
          </w:p>
        </w:tc>
        <w:tc>
          <w:tcPr>
            <w:tcW w:w="2787" w:type="dxa"/>
          </w:tcPr>
          <w:p w14:paraId="5CDCF36D" w14:textId="77777777" w:rsidR="00CB542F" w:rsidRDefault="00573A58">
            <w:pPr>
              <w:widowControl w:val="0"/>
              <w:kinsoku w:val="0"/>
              <w:overflowPunct w:val="0"/>
              <w:autoSpaceDE w:val="0"/>
              <w:autoSpaceDN w:val="0"/>
              <w:adjustRightInd w:val="0"/>
              <w:jc w:val="center"/>
            </w:pPr>
            <w:r>
              <w:t>Retas</w:t>
            </w:r>
          </w:p>
        </w:tc>
      </w:tr>
      <w:tr w:rsidR="00CB542F" w14:paraId="437CADE8" w14:textId="77777777">
        <w:trPr>
          <w:trHeight w:val="251"/>
        </w:trPr>
        <w:tc>
          <w:tcPr>
            <w:tcW w:w="9300" w:type="dxa"/>
            <w:gridSpan w:val="3"/>
            <w:shd w:val="clear" w:color="auto" w:fill="auto"/>
          </w:tcPr>
          <w:p w14:paraId="2464A0E1" w14:textId="77777777" w:rsidR="00CB542F" w:rsidRDefault="00573A58">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lastRenderedPageBreak/>
              <w:t>Sužalojimai, apsinuodijimai ir procedūrų komplikacijos</w:t>
            </w:r>
          </w:p>
        </w:tc>
      </w:tr>
      <w:tr w:rsidR="00CB542F" w14:paraId="7C4A9B71" w14:textId="77777777">
        <w:trPr>
          <w:trHeight w:val="253"/>
        </w:trPr>
        <w:tc>
          <w:tcPr>
            <w:tcW w:w="3536" w:type="dxa"/>
            <w:shd w:val="clear" w:color="auto" w:fill="auto"/>
          </w:tcPr>
          <w:p w14:paraId="212872C7" w14:textId="77777777" w:rsidR="00CB542F" w:rsidRDefault="00573A58">
            <w:pPr>
              <w:widowControl w:val="0"/>
              <w:kinsoku w:val="0"/>
              <w:overflowPunct w:val="0"/>
              <w:autoSpaceDE w:val="0"/>
              <w:autoSpaceDN w:val="0"/>
              <w:adjustRightInd w:val="0"/>
              <w:ind w:left="285"/>
              <w:rPr>
                <w:color w:val="000000"/>
                <w:szCs w:val="22"/>
                <w:lang w:val="sl-SI" w:eastAsia="sl-SI"/>
              </w:rPr>
            </w:pPr>
            <w:r>
              <w:t>Trauminis kraujavimas</w:t>
            </w:r>
          </w:p>
        </w:tc>
        <w:tc>
          <w:tcPr>
            <w:tcW w:w="2977" w:type="dxa"/>
          </w:tcPr>
          <w:p w14:paraId="27C7F970" w14:textId="77777777" w:rsidR="00CB542F" w:rsidRDefault="00573A58">
            <w:pPr>
              <w:widowControl w:val="0"/>
              <w:kinsoku w:val="0"/>
              <w:overflowPunct w:val="0"/>
              <w:autoSpaceDE w:val="0"/>
              <w:autoSpaceDN w:val="0"/>
              <w:adjustRightInd w:val="0"/>
              <w:jc w:val="center"/>
            </w:pPr>
            <w:r>
              <w:t>Retas</w:t>
            </w:r>
          </w:p>
        </w:tc>
        <w:tc>
          <w:tcPr>
            <w:tcW w:w="2787" w:type="dxa"/>
          </w:tcPr>
          <w:p w14:paraId="3DB8F98E" w14:textId="77777777" w:rsidR="00CB542F" w:rsidRDefault="00573A58">
            <w:pPr>
              <w:widowControl w:val="0"/>
              <w:kinsoku w:val="0"/>
              <w:overflowPunct w:val="0"/>
              <w:autoSpaceDE w:val="0"/>
              <w:autoSpaceDN w:val="0"/>
              <w:adjustRightInd w:val="0"/>
              <w:jc w:val="center"/>
            </w:pPr>
            <w:r>
              <w:t>Nedažnas</w:t>
            </w:r>
          </w:p>
        </w:tc>
      </w:tr>
      <w:tr w:rsidR="00CB542F" w14:paraId="023DC04E" w14:textId="77777777">
        <w:trPr>
          <w:trHeight w:val="251"/>
        </w:trPr>
        <w:tc>
          <w:tcPr>
            <w:tcW w:w="3536" w:type="dxa"/>
            <w:shd w:val="clear" w:color="auto" w:fill="auto"/>
          </w:tcPr>
          <w:p w14:paraId="553A3C9B" w14:textId="77777777" w:rsidR="00CB542F" w:rsidRDefault="00573A58">
            <w:pPr>
              <w:widowControl w:val="0"/>
              <w:kinsoku w:val="0"/>
              <w:overflowPunct w:val="0"/>
              <w:autoSpaceDE w:val="0"/>
              <w:autoSpaceDN w:val="0"/>
              <w:adjustRightInd w:val="0"/>
              <w:ind w:left="285"/>
            </w:pPr>
            <w:r>
              <w:t>Kraujavimas iš pjūvio vietos</w:t>
            </w:r>
          </w:p>
        </w:tc>
        <w:tc>
          <w:tcPr>
            <w:tcW w:w="2977" w:type="dxa"/>
          </w:tcPr>
          <w:p w14:paraId="3633D835" w14:textId="77777777" w:rsidR="00CB542F" w:rsidRDefault="00573A58">
            <w:pPr>
              <w:widowControl w:val="0"/>
              <w:kinsoku w:val="0"/>
              <w:overflowPunct w:val="0"/>
              <w:autoSpaceDE w:val="0"/>
              <w:autoSpaceDN w:val="0"/>
              <w:adjustRightInd w:val="0"/>
              <w:jc w:val="center"/>
            </w:pPr>
            <w:r>
              <w:t>Retas</w:t>
            </w:r>
          </w:p>
        </w:tc>
        <w:tc>
          <w:tcPr>
            <w:tcW w:w="2787" w:type="dxa"/>
          </w:tcPr>
          <w:p w14:paraId="7DFA312E" w14:textId="77777777" w:rsidR="00CB542F" w:rsidRDefault="00573A58">
            <w:pPr>
              <w:widowControl w:val="0"/>
              <w:kinsoku w:val="0"/>
              <w:overflowPunct w:val="0"/>
              <w:autoSpaceDE w:val="0"/>
              <w:autoSpaceDN w:val="0"/>
              <w:adjustRightInd w:val="0"/>
              <w:jc w:val="center"/>
            </w:pPr>
            <w:r>
              <w:t>Retas</w:t>
            </w:r>
          </w:p>
        </w:tc>
      </w:tr>
    </w:tbl>
    <w:p w14:paraId="160716ED" w14:textId="77777777" w:rsidR="00CB542F" w:rsidRDefault="00CB542F">
      <w:pPr>
        <w:ind w:left="567" w:hanging="567"/>
        <w:rPr>
          <w:b/>
        </w:rPr>
      </w:pPr>
    </w:p>
    <w:p w14:paraId="29074A7C" w14:textId="77777777" w:rsidR="00CB542F" w:rsidRDefault="00573A58">
      <w:pPr>
        <w:rPr>
          <w:u w:val="single"/>
        </w:rPr>
      </w:pPr>
      <w:r>
        <w:rPr>
          <w:u w:val="single"/>
        </w:rPr>
        <w:t>Atrinktų nepageidaujamų reakcijų apibūdinimas</w:t>
      </w:r>
    </w:p>
    <w:p w14:paraId="17C12CFF" w14:textId="77777777" w:rsidR="00CB542F" w:rsidRDefault="00CB542F"/>
    <w:p w14:paraId="68E80415" w14:textId="77777777" w:rsidR="00CB542F" w:rsidRDefault="00573A58">
      <w:pPr>
        <w:rPr>
          <w:i/>
          <w:iCs/>
          <w:u w:val="single"/>
        </w:rPr>
      </w:pPr>
      <w:r>
        <w:rPr>
          <w:i/>
          <w:iCs/>
          <w:u w:val="single"/>
        </w:rPr>
        <w:t>Kraujavimo reakcijos</w:t>
      </w:r>
    </w:p>
    <w:p w14:paraId="27F1847A" w14:textId="77777777" w:rsidR="00CB542F" w:rsidRDefault="00CB542F"/>
    <w:p w14:paraId="777416E8" w14:textId="77777777" w:rsidR="00CB542F" w:rsidRDefault="00573A58">
      <w: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dabigatrano eteksilatu, palyginti su gydymu vitamino K antagonistais (VKA), stebėtas dažniau. Taigi, siekiant nustatyti slaptąjį kraujavimą, svarbu ne tik tinkamai kliniškai prižiūrėti, bet ir atlikti hemoglobino/hematokrito laboratorinius tyrimus. Tam tikrų grupių pacientams gali būti padidėjusi kraujavimo rizika, pvz., pacientams, kuriems yra vidutinio sunkumo inkstų funkcijos sutrikimas ir (arba) kuriems kartu taikomas hemostazę veikiantis gydymas arba gydymas stipriais P-gp inhibitoriais (žr. 4.4 skyrių, „Kraujavimo rizika“). Kraujavimo komplikacijos gali pasireikšti silpnumu, blyškumu, svaiguliu, galvos skausmu ar dėl neaiškių priežasčių atsiradusiu patinimu, dispnėja ir dėl neaiškių priežasčių pasireiškusiu šoku).</w:t>
      </w:r>
    </w:p>
    <w:p w14:paraId="3B9FB346" w14:textId="77777777" w:rsidR="00CB542F" w:rsidRDefault="00CB542F"/>
    <w:p w14:paraId="78AD5AF8" w14:textId="77777777" w:rsidR="00CB542F" w:rsidRDefault="00573A58">
      <w:r>
        <w:t xml:space="preserve">Pranešta apie vartojant dabigatrano eteksilato pasireiškusias žinomas kraujavimo komplikacijas, tokias kaip raumenų guolio ankštumo sindromą (angl. </w:t>
      </w:r>
      <w:r>
        <w:rPr>
          <w:i/>
          <w:iCs/>
        </w:rPr>
        <w:t>compartment syndrome</w:t>
      </w:r>
      <w:r>
        <w:t>) ir ūminį inkstų nepakankamumą dėl hipoperfuzijos, susijusias su antikoaguliantų vartojimu nefropatijos pacientams, turintiems predisponuojančių rizikos veiksnių. Todėl vertinant bet kurio antikoaguliantais gydomo paciento būklę reikia atsižvelgti į kraujavimo galimybę. Suaugusiems pacientams nekontroliuojamo kraujavimo atvejams skirtas specifinis dabigatraną neutralizuojantis vaistinis preparatas idarucizumabas (žr. 4.9 skyrių).</w:t>
      </w:r>
    </w:p>
    <w:p w14:paraId="2D87D46E" w14:textId="77777777" w:rsidR="00CB542F" w:rsidRDefault="00CB542F"/>
    <w:p w14:paraId="4EED4F02" w14:textId="77777777" w:rsidR="00CB542F" w:rsidRDefault="00573A58">
      <w:pPr>
        <w:rPr>
          <w:i/>
          <w:iCs/>
        </w:rPr>
      </w:pPr>
      <w:r>
        <w:rPr>
          <w:i/>
          <w:iCs/>
        </w:rPr>
        <w:t>Insulto ir sisteminės embolijos profilaktika su vožtuvų liga nesusijusiu prieširdžių virpėjimu sergantiems suaugusiems pacientams, kuriems yra vienas arba daugiau rizikos veiksnių (IPPV)</w:t>
      </w:r>
    </w:p>
    <w:p w14:paraId="00FCF1C6" w14:textId="77777777" w:rsidR="00CB542F" w:rsidRDefault="00CB542F"/>
    <w:p w14:paraId="02D3D794" w14:textId="77777777" w:rsidR="00CB542F" w:rsidRDefault="00573A58">
      <w:r>
        <w:t>12-ojoje lentelėje pateikti kraujavimo, suskirstyto į didijį ir bet kokį, reiškiniai, kurių atsirado tromboembolinio insulto ir sisteminės embolijos profilaktikos prieširdžių virpėjimu sergantiems pacientams pagrindinio tyrimo metu.</w:t>
      </w:r>
    </w:p>
    <w:p w14:paraId="14020769" w14:textId="77777777" w:rsidR="00CB542F" w:rsidRDefault="00CB542F"/>
    <w:p w14:paraId="2CE3006D" w14:textId="77777777" w:rsidR="00CB542F" w:rsidRDefault="00573A58">
      <w:pPr>
        <w:rPr>
          <w:b/>
          <w:bCs/>
        </w:rPr>
      </w:pPr>
      <w:r>
        <w:rPr>
          <w:b/>
          <w:bCs/>
        </w:rPr>
        <w:t>12 lentelė. Kraujavimo reiškiniai, kurių atsirado tromboembolinio insulto ir sisteminės embolijos profilaktikos prieširdžių virpėjimu sergantiems pacientams tyrimo metu</w:t>
      </w:r>
    </w:p>
    <w:p w14:paraId="1B942669" w14:textId="77777777" w:rsidR="00CB542F" w:rsidRDefault="00CB542F">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44"/>
        <w:gridCol w:w="2160"/>
        <w:gridCol w:w="2162"/>
        <w:gridCol w:w="1905"/>
      </w:tblGrid>
      <w:tr w:rsidR="00CB542F" w14:paraId="525FA177" w14:textId="77777777">
        <w:trPr>
          <w:trHeight w:val="505"/>
        </w:trPr>
        <w:tc>
          <w:tcPr>
            <w:tcW w:w="2844" w:type="dxa"/>
            <w:shd w:val="clear" w:color="auto" w:fill="auto"/>
          </w:tcPr>
          <w:p w14:paraId="1D924CF2" w14:textId="77777777" w:rsidR="00CB542F" w:rsidRDefault="00CB542F">
            <w:pPr>
              <w:widowControl w:val="0"/>
              <w:kinsoku w:val="0"/>
              <w:overflowPunct w:val="0"/>
              <w:autoSpaceDE w:val="0"/>
              <w:autoSpaceDN w:val="0"/>
              <w:adjustRightInd w:val="0"/>
              <w:rPr>
                <w:color w:val="000000"/>
                <w:szCs w:val="22"/>
                <w:lang w:val="sl-SI" w:eastAsia="sl-SI"/>
              </w:rPr>
            </w:pPr>
          </w:p>
        </w:tc>
        <w:tc>
          <w:tcPr>
            <w:tcW w:w="2160" w:type="dxa"/>
            <w:shd w:val="clear" w:color="auto" w:fill="auto"/>
          </w:tcPr>
          <w:p w14:paraId="109EA3FD"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2 kartus per parą</w:t>
            </w:r>
          </w:p>
        </w:tc>
        <w:tc>
          <w:tcPr>
            <w:tcW w:w="2162" w:type="dxa"/>
            <w:shd w:val="clear" w:color="auto" w:fill="auto"/>
          </w:tcPr>
          <w:p w14:paraId="3105E85B"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05" w:type="dxa"/>
            <w:shd w:val="clear" w:color="auto" w:fill="auto"/>
          </w:tcPr>
          <w:p w14:paraId="4AAFB92C"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r>
      <w:tr w:rsidR="00CB542F" w14:paraId="18FBFE98" w14:textId="77777777">
        <w:trPr>
          <w:trHeight w:val="251"/>
        </w:trPr>
        <w:tc>
          <w:tcPr>
            <w:tcW w:w="2844" w:type="dxa"/>
            <w:shd w:val="clear" w:color="auto" w:fill="auto"/>
          </w:tcPr>
          <w:p w14:paraId="39C23789" w14:textId="77777777" w:rsidR="00CB542F" w:rsidRDefault="00573A58">
            <w:pPr>
              <w:widowControl w:val="0"/>
              <w:kinsoku w:val="0"/>
              <w:overflowPunct w:val="0"/>
              <w:autoSpaceDE w:val="0"/>
              <w:autoSpaceDN w:val="0"/>
              <w:adjustRightInd w:val="0"/>
              <w:spacing w:line="232" w:lineRule="exact"/>
              <w:ind w:left="105"/>
              <w:rPr>
                <w:color w:val="000000"/>
                <w:szCs w:val="22"/>
                <w:lang w:val="sl-SI" w:eastAsia="sl-SI"/>
              </w:rPr>
            </w:pPr>
            <w:r>
              <w:t>Atsitiktinių imčių būdu atrinktų tiriamųjų skaičius</w:t>
            </w:r>
          </w:p>
        </w:tc>
        <w:tc>
          <w:tcPr>
            <w:tcW w:w="2160" w:type="dxa"/>
            <w:shd w:val="clear" w:color="auto" w:fill="auto"/>
          </w:tcPr>
          <w:p w14:paraId="6AD94C6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162" w:type="dxa"/>
            <w:shd w:val="clear" w:color="auto" w:fill="auto"/>
          </w:tcPr>
          <w:p w14:paraId="2D55BA4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05" w:type="dxa"/>
            <w:shd w:val="clear" w:color="auto" w:fill="auto"/>
          </w:tcPr>
          <w:p w14:paraId="4CD8172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CB542F" w14:paraId="04E53E84" w14:textId="77777777">
        <w:trPr>
          <w:trHeight w:val="273"/>
        </w:trPr>
        <w:tc>
          <w:tcPr>
            <w:tcW w:w="2844" w:type="dxa"/>
            <w:shd w:val="clear" w:color="auto" w:fill="auto"/>
          </w:tcPr>
          <w:p w14:paraId="1662CA23" w14:textId="77777777" w:rsidR="00CB542F" w:rsidRDefault="00573A58">
            <w:pPr>
              <w:widowControl w:val="0"/>
              <w:kinsoku w:val="0"/>
              <w:overflowPunct w:val="0"/>
              <w:autoSpaceDE w:val="0"/>
              <w:autoSpaceDN w:val="0"/>
              <w:adjustRightInd w:val="0"/>
              <w:spacing w:line="247" w:lineRule="exact"/>
              <w:ind w:left="105"/>
              <w:rPr>
                <w:color w:val="000000"/>
                <w:szCs w:val="22"/>
                <w:lang w:val="sl-SI" w:eastAsia="sl-SI"/>
              </w:rPr>
            </w:pPr>
            <w:r>
              <w:t>Didysis kraujavimas</w:t>
            </w:r>
          </w:p>
        </w:tc>
        <w:tc>
          <w:tcPr>
            <w:tcW w:w="2160" w:type="dxa"/>
            <w:shd w:val="clear" w:color="auto" w:fill="auto"/>
          </w:tcPr>
          <w:p w14:paraId="66F16E0A"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347 (2,92 %)</w:t>
            </w:r>
          </w:p>
        </w:tc>
        <w:tc>
          <w:tcPr>
            <w:tcW w:w="2162" w:type="dxa"/>
            <w:shd w:val="clear" w:color="auto" w:fill="auto"/>
          </w:tcPr>
          <w:p w14:paraId="571760DB"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409 (3,40 %)</w:t>
            </w:r>
          </w:p>
        </w:tc>
        <w:tc>
          <w:tcPr>
            <w:tcW w:w="1905" w:type="dxa"/>
            <w:shd w:val="clear" w:color="auto" w:fill="auto"/>
          </w:tcPr>
          <w:p w14:paraId="36EB88A0"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426 (3,61 %)</w:t>
            </w:r>
          </w:p>
        </w:tc>
      </w:tr>
      <w:tr w:rsidR="00CB542F" w14:paraId="5414BF91" w14:textId="77777777">
        <w:trPr>
          <w:trHeight w:val="253"/>
        </w:trPr>
        <w:tc>
          <w:tcPr>
            <w:tcW w:w="2844" w:type="dxa"/>
            <w:shd w:val="clear" w:color="auto" w:fill="auto"/>
          </w:tcPr>
          <w:p w14:paraId="699C0001" w14:textId="77777777" w:rsidR="00CB542F" w:rsidRDefault="00573A58">
            <w:pPr>
              <w:widowControl w:val="0"/>
              <w:kinsoku w:val="0"/>
              <w:overflowPunct w:val="0"/>
              <w:autoSpaceDE w:val="0"/>
              <w:autoSpaceDN w:val="0"/>
              <w:adjustRightInd w:val="0"/>
              <w:spacing w:line="234" w:lineRule="exact"/>
              <w:ind w:left="388"/>
              <w:rPr>
                <w:color w:val="000000"/>
                <w:szCs w:val="22"/>
                <w:lang w:val="sl-SI" w:eastAsia="sl-SI"/>
              </w:rPr>
            </w:pPr>
            <w:r>
              <w:t>Kraujavimas į kaukolės vidų</w:t>
            </w:r>
          </w:p>
        </w:tc>
        <w:tc>
          <w:tcPr>
            <w:tcW w:w="2160" w:type="dxa"/>
            <w:shd w:val="clear" w:color="auto" w:fill="auto"/>
          </w:tcPr>
          <w:p w14:paraId="20B90D1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 (0,23 %)</w:t>
            </w:r>
          </w:p>
        </w:tc>
        <w:tc>
          <w:tcPr>
            <w:tcW w:w="2162" w:type="dxa"/>
            <w:shd w:val="clear" w:color="auto" w:fill="auto"/>
          </w:tcPr>
          <w:p w14:paraId="7638065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(0,32 %)</w:t>
            </w:r>
          </w:p>
        </w:tc>
        <w:tc>
          <w:tcPr>
            <w:tcW w:w="1905" w:type="dxa"/>
            <w:shd w:val="clear" w:color="auto" w:fill="auto"/>
          </w:tcPr>
          <w:p w14:paraId="5E573EE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 (0,77 %)</w:t>
            </w:r>
          </w:p>
        </w:tc>
      </w:tr>
      <w:tr w:rsidR="00CB542F" w14:paraId="1F7A2D14" w14:textId="77777777">
        <w:trPr>
          <w:trHeight w:val="251"/>
        </w:trPr>
        <w:tc>
          <w:tcPr>
            <w:tcW w:w="2844" w:type="dxa"/>
            <w:shd w:val="clear" w:color="auto" w:fill="auto"/>
          </w:tcPr>
          <w:p w14:paraId="3B05F87D" w14:textId="77777777" w:rsidR="00CB542F" w:rsidRDefault="00573A58">
            <w:pPr>
              <w:widowControl w:val="0"/>
              <w:kinsoku w:val="0"/>
              <w:overflowPunct w:val="0"/>
              <w:autoSpaceDE w:val="0"/>
              <w:autoSpaceDN w:val="0"/>
              <w:adjustRightInd w:val="0"/>
              <w:spacing w:line="232" w:lineRule="exact"/>
              <w:ind w:left="388"/>
              <w:rPr>
                <w:color w:val="000000"/>
                <w:szCs w:val="22"/>
                <w:lang w:val="sl-SI" w:eastAsia="sl-SI"/>
              </w:rPr>
            </w:pPr>
            <w:r>
              <w:t>Kraujavimas iš skrandžio ar žarnų</w:t>
            </w:r>
          </w:p>
        </w:tc>
        <w:tc>
          <w:tcPr>
            <w:tcW w:w="2160" w:type="dxa"/>
            <w:shd w:val="clear" w:color="auto" w:fill="auto"/>
          </w:tcPr>
          <w:p w14:paraId="6F1AB2F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134 (1,13 %)</w:t>
            </w:r>
          </w:p>
        </w:tc>
        <w:tc>
          <w:tcPr>
            <w:tcW w:w="2162" w:type="dxa"/>
            <w:shd w:val="clear" w:color="auto" w:fill="auto"/>
          </w:tcPr>
          <w:p w14:paraId="6E4FB817"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192 (1,60 %)</w:t>
            </w:r>
          </w:p>
        </w:tc>
        <w:tc>
          <w:tcPr>
            <w:tcW w:w="1905" w:type="dxa"/>
            <w:shd w:val="clear" w:color="auto" w:fill="auto"/>
          </w:tcPr>
          <w:p w14:paraId="035643F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128 (1,09 %)</w:t>
            </w:r>
          </w:p>
        </w:tc>
      </w:tr>
      <w:tr w:rsidR="00CB542F" w14:paraId="4563B586" w14:textId="77777777">
        <w:trPr>
          <w:trHeight w:val="253"/>
        </w:trPr>
        <w:tc>
          <w:tcPr>
            <w:tcW w:w="2844" w:type="dxa"/>
            <w:shd w:val="clear" w:color="auto" w:fill="auto"/>
          </w:tcPr>
          <w:p w14:paraId="2D2023A5" w14:textId="77777777" w:rsidR="00CB542F" w:rsidRDefault="00573A58">
            <w:pPr>
              <w:widowControl w:val="0"/>
              <w:kinsoku w:val="0"/>
              <w:overflowPunct w:val="0"/>
              <w:autoSpaceDE w:val="0"/>
              <w:autoSpaceDN w:val="0"/>
              <w:adjustRightInd w:val="0"/>
              <w:spacing w:line="234" w:lineRule="exact"/>
              <w:ind w:left="388"/>
              <w:rPr>
                <w:color w:val="000000"/>
                <w:szCs w:val="22"/>
                <w:lang w:val="sl-SI" w:eastAsia="sl-SI"/>
              </w:rPr>
            </w:pPr>
            <w:r>
              <w:t>Mirtinas kraujavimas</w:t>
            </w:r>
          </w:p>
        </w:tc>
        <w:tc>
          <w:tcPr>
            <w:tcW w:w="2160" w:type="dxa"/>
            <w:shd w:val="clear" w:color="auto" w:fill="auto"/>
          </w:tcPr>
          <w:p w14:paraId="4504407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26 (0,22 %)</w:t>
            </w:r>
          </w:p>
        </w:tc>
        <w:tc>
          <w:tcPr>
            <w:tcW w:w="2162" w:type="dxa"/>
            <w:shd w:val="clear" w:color="auto" w:fill="auto"/>
          </w:tcPr>
          <w:p w14:paraId="4F28FE2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(0,25 %)</w:t>
            </w:r>
          </w:p>
        </w:tc>
        <w:tc>
          <w:tcPr>
            <w:tcW w:w="1905" w:type="dxa"/>
            <w:shd w:val="clear" w:color="auto" w:fill="auto"/>
          </w:tcPr>
          <w:p w14:paraId="72ABD6F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42 (0,36 %)</w:t>
            </w:r>
          </w:p>
        </w:tc>
      </w:tr>
      <w:tr w:rsidR="00CB542F" w14:paraId="178F3AB7" w14:textId="77777777">
        <w:trPr>
          <w:trHeight w:val="251"/>
        </w:trPr>
        <w:tc>
          <w:tcPr>
            <w:tcW w:w="2844" w:type="dxa"/>
            <w:shd w:val="clear" w:color="auto" w:fill="auto"/>
          </w:tcPr>
          <w:p w14:paraId="1D37BB36" w14:textId="77777777" w:rsidR="00CB542F" w:rsidRDefault="00573A58">
            <w:pPr>
              <w:widowControl w:val="0"/>
              <w:kinsoku w:val="0"/>
              <w:overflowPunct w:val="0"/>
              <w:autoSpaceDE w:val="0"/>
              <w:autoSpaceDN w:val="0"/>
              <w:adjustRightInd w:val="0"/>
              <w:spacing w:line="232" w:lineRule="exact"/>
              <w:ind w:left="105"/>
              <w:rPr>
                <w:color w:val="000000"/>
                <w:szCs w:val="22"/>
                <w:lang w:val="sl-SI" w:eastAsia="sl-SI"/>
              </w:rPr>
            </w:pPr>
            <w:r>
              <w:t>Silpnas kraujavimas</w:t>
            </w:r>
          </w:p>
        </w:tc>
        <w:tc>
          <w:tcPr>
            <w:tcW w:w="2160" w:type="dxa"/>
            <w:shd w:val="clear" w:color="auto" w:fill="auto"/>
          </w:tcPr>
          <w:p w14:paraId="7E15BECF"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1,566 (13,16 %)</w:t>
            </w:r>
          </w:p>
        </w:tc>
        <w:tc>
          <w:tcPr>
            <w:tcW w:w="2162" w:type="dxa"/>
            <w:shd w:val="clear" w:color="auto" w:fill="auto"/>
          </w:tcPr>
          <w:p w14:paraId="2346143F"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1,787 (14,85 %)</w:t>
            </w:r>
          </w:p>
        </w:tc>
        <w:tc>
          <w:tcPr>
            <w:tcW w:w="1905" w:type="dxa"/>
            <w:shd w:val="clear" w:color="auto" w:fill="auto"/>
          </w:tcPr>
          <w:p w14:paraId="528370E7"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1,931 (16,37 %)</w:t>
            </w:r>
          </w:p>
        </w:tc>
      </w:tr>
      <w:tr w:rsidR="00CB542F" w14:paraId="7F920E96" w14:textId="77777777">
        <w:trPr>
          <w:trHeight w:val="253"/>
        </w:trPr>
        <w:tc>
          <w:tcPr>
            <w:tcW w:w="2844" w:type="dxa"/>
            <w:shd w:val="clear" w:color="auto" w:fill="auto"/>
          </w:tcPr>
          <w:p w14:paraId="6CCC4E6D"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Bet koks kraujavimas</w:t>
            </w:r>
          </w:p>
        </w:tc>
        <w:tc>
          <w:tcPr>
            <w:tcW w:w="2160" w:type="dxa"/>
            <w:shd w:val="clear" w:color="auto" w:fill="auto"/>
          </w:tcPr>
          <w:p w14:paraId="74E9A487"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1,759 (14,78 %)</w:t>
            </w:r>
          </w:p>
        </w:tc>
        <w:tc>
          <w:tcPr>
            <w:tcW w:w="2162" w:type="dxa"/>
            <w:shd w:val="clear" w:color="auto" w:fill="auto"/>
          </w:tcPr>
          <w:p w14:paraId="4259D5D7"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1,997 (16,60 %)</w:t>
            </w:r>
          </w:p>
        </w:tc>
        <w:tc>
          <w:tcPr>
            <w:tcW w:w="1905" w:type="dxa"/>
            <w:shd w:val="clear" w:color="auto" w:fill="auto"/>
          </w:tcPr>
          <w:p w14:paraId="0B6D6A4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2,169 (18,39 %)</w:t>
            </w:r>
          </w:p>
        </w:tc>
      </w:tr>
    </w:tbl>
    <w:p w14:paraId="21467B91" w14:textId="77777777" w:rsidR="00CB542F" w:rsidRDefault="00CB542F">
      <w:pPr>
        <w:rPr>
          <w:b/>
        </w:rPr>
      </w:pPr>
    </w:p>
    <w:p w14:paraId="27FF32E2" w14:textId="77777777" w:rsidR="00CB542F" w:rsidRDefault="00573A58">
      <w:r>
        <w:t xml:space="preserve">Tiriamiesiems, atsitiktinių imčių būdu atrinktiems 2 kartus per parą vartoti 110 mg arba 2 kartus per parą vartoti 150 mg dabigatrano eteksilato dozę, gyvybei pavojingo kraujavimo ir kraujavimo į kaukolės vidų rizika buvo reikšmingai mažesnė negu vartojusiems varfarino (p &lt; 0,05). Be to, tiek vieną, tiek kitą dabigatrano eteksilato dozę vartojusiems pacientams statistiškai reikšmingai mažesnis </w:t>
      </w:r>
      <w:r>
        <w:lastRenderedPageBreak/>
        <w:t>buvo ir bendro kraujavimo dažnis. Tiriamiesiems, atsitiktinių imčių būdu 2 kartus per parą vartojusiems 110 mg dabigatrano eteksilato dozę, didžiojo kraujavimo rizika buvo reikšmingai mažesnė negu pacientams, vartojusiems varfarino (rizikos santykis: 0,81; p = 0,0027). Tiriamiesiems, atsitiktinių imčių būdu 2 kartus per parą vartojusiems 150 mg dabigatrano eteksilato dozę, didžiojo kraujavimo iš skrandžio ir žarnų rizika buvo reikšmingai didesnė negu pacientams, vartojusiems varfarino (rizikos santykis: 1,48; p = 0,0005). Toks poveikis daugiausia pasireiškė ≥75 metų pacientams.</w:t>
      </w:r>
    </w:p>
    <w:p w14:paraId="044FCD57" w14:textId="77777777" w:rsidR="00CB542F" w:rsidRDefault="00573A58">
      <w:r>
        <w:t>Insulto ir sisteminės embolijos profilaktikos bei intracerebrinės hemoragijos (ICH) rizikos mažėjimo atžvilgiu klinikinė dabigatrano, palyginti su varfarinu, nauda išliko visuose pacientų pogrupiuose, pvz., inkstų funkcijos sutrikimas, amžius, derinimas su kitais vaistiniais preparatais, tokiais kaip antitrombocitiniai preparatai arba P-glikoproteino inhibitoriai. Nors gydymo antikoaguliantais metu tam tikrų grupių pacientams padidėja didžiojo kraujavimo rizika, gydymo dabigatranu metu kraujavimo rizikos perviršį lemia kraujavimas į skrandį ir žarnas, kuris paprastai pasireiškia per pirmus 3-6 mėnesius nuo gydymo dabigatrano eteksilatu pradžios.</w:t>
      </w:r>
    </w:p>
    <w:p w14:paraId="04852FCB" w14:textId="77777777" w:rsidR="00CB542F" w:rsidRDefault="00CB542F"/>
    <w:p w14:paraId="0487202B" w14:textId="77777777" w:rsidR="00CB542F" w:rsidRDefault="00573A58">
      <w:pPr>
        <w:rPr>
          <w:i/>
          <w:iCs/>
        </w:rPr>
      </w:pPr>
      <w:r>
        <w:rPr>
          <w:i/>
          <w:iCs/>
        </w:rPr>
        <w:t>GVT ir PE gydymas bei recidyvinių GVT ir PE profilaktika suaugusiesiems (GVT/PE gydymas)</w:t>
      </w:r>
    </w:p>
    <w:p w14:paraId="4EE9C58C" w14:textId="77777777" w:rsidR="00CB542F" w:rsidRDefault="00CB542F"/>
    <w:p w14:paraId="794C60FA" w14:textId="77777777" w:rsidR="00CB542F" w:rsidRDefault="00573A58">
      <w:r>
        <w:t>13-ojoje lentelėje pateikti kraujavimo reiškiniai, pastebėti jungtinių pagrindinių RE-COVER ir RECOVER II tyrimų metu, tiriant GVT ir PE gydymą. Jungtinių tyrimų metu saugumo pirminių vertinamųjų baigčių, t. y. didžiojo kraujavimo, didžiojo arba kliniškai reikšmingo kraujavimo ir bet kokio kraujavimo, dažnis buvo reikšmingai mažesnis, palyginti su varfarino sukeliamu, kai nominalinis alfa lygmuo 5 %.</w:t>
      </w:r>
    </w:p>
    <w:p w14:paraId="02313DDA" w14:textId="77777777" w:rsidR="00CB542F" w:rsidRDefault="00CB542F"/>
    <w:p w14:paraId="361E7E62" w14:textId="77777777" w:rsidR="00CB542F" w:rsidRDefault="00573A58">
      <w:pPr>
        <w:rPr>
          <w:b/>
          <w:bCs/>
        </w:rPr>
      </w:pPr>
      <w:r>
        <w:rPr>
          <w:b/>
          <w:bCs/>
        </w:rPr>
        <w:t>13 lentelė. Kraujavimo reiškiniai, pastebėti RE-COVER ir RE-COVER II tyrimų metu, tiriant GVT ir PE gydymą</w:t>
      </w:r>
    </w:p>
    <w:p w14:paraId="4AE33332" w14:textId="77777777" w:rsidR="00CB542F" w:rsidRDefault="00CB542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3"/>
        <w:gridCol w:w="2242"/>
        <w:gridCol w:w="2033"/>
        <w:gridCol w:w="2127"/>
      </w:tblGrid>
      <w:tr w:rsidR="00CB542F" w14:paraId="243B3B2C" w14:textId="77777777">
        <w:trPr>
          <w:trHeight w:val="1012"/>
        </w:trPr>
        <w:tc>
          <w:tcPr>
            <w:tcW w:w="2813" w:type="dxa"/>
            <w:shd w:val="clear" w:color="auto" w:fill="auto"/>
          </w:tcPr>
          <w:p w14:paraId="092FDB7C" w14:textId="77777777" w:rsidR="00CB542F" w:rsidRDefault="00CB542F">
            <w:pPr>
              <w:widowControl w:val="0"/>
              <w:kinsoku w:val="0"/>
              <w:overflowPunct w:val="0"/>
              <w:autoSpaceDE w:val="0"/>
              <w:autoSpaceDN w:val="0"/>
              <w:adjustRightInd w:val="0"/>
              <w:rPr>
                <w:color w:val="000000"/>
                <w:szCs w:val="22"/>
                <w:lang w:val="sl-SI" w:eastAsia="sl-SI"/>
              </w:rPr>
            </w:pPr>
          </w:p>
        </w:tc>
        <w:tc>
          <w:tcPr>
            <w:tcW w:w="2242" w:type="dxa"/>
            <w:shd w:val="clear" w:color="auto" w:fill="auto"/>
          </w:tcPr>
          <w:p w14:paraId="0C03E11E" w14:textId="77777777" w:rsidR="00CB542F" w:rsidRDefault="00573A58">
            <w:pPr>
              <w:widowControl w:val="0"/>
              <w:kinsoku w:val="0"/>
              <w:overflowPunct w:val="0"/>
              <w:autoSpaceDE w:val="0"/>
              <w:autoSpaceDN w:val="0"/>
              <w:adjustRightInd w:val="0"/>
              <w:spacing w:line="242" w:lineRule="auto"/>
              <w:jc w:val="center"/>
              <w:rPr>
                <w:color w:val="000000"/>
                <w:szCs w:val="22"/>
                <w:lang w:val="sl-SI" w:eastAsia="sl-SI"/>
              </w:rPr>
            </w:pPr>
            <w:r>
              <w:t>Dabigatrano eteksilatas 150 mg 2 kartus per parą</w:t>
            </w:r>
          </w:p>
        </w:tc>
        <w:tc>
          <w:tcPr>
            <w:tcW w:w="2033" w:type="dxa"/>
            <w:shd w:val="clear" w:color="auto" w:fill="auto"/>
          </w:tcPr>
          <w:p w14:paraId="0BDFF0CD"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Varfarinas</w:t>
            </w:r>
          </w:p>
        </w:tc>
        <w:tc>
          <w:tcPr>
            <w:tcW w:w="2127" w:type="dxa"/>
            <w:shd w:val="clear" w:color="auto" w:fill="auto"/>
          </w:tcPr>
          <w:p w14:paraId="2925A517" w14:textId="77777777" w:rsidR="00CB542F" w:rsidRDefault="00573A58">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CB542F" w14:paraId="105745D3" w14:textId="77777777">
        <w:trPr>
          <w:trHeight w:val="505"/>
        </w:trPr>
        <w:tc>
          <w:tcPr>
            <w:tcW w:w="2813" w:type="dxa"/>
            <w:shd w:val="clear" w:color="auto" w:fill="auto"/>
          </w:tcPr>
          <w:p w14:paraId="0F59DC55"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Pacientų, įtrauktų į saugumo analizę, skaičius</w:t>
            </w:r>
          </w:p>
        </w:tc>
        <w:tc>
          <w:tcPr>
            <w:tcW w:w="2242" w:type="dxa"/>
            <w:shd w:val="clear" w:color="auto" w:fill="auto"/>
          </w:tcPr>
          <w:p w14:paraId="05665816"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2456</w:t>
            </w:r>
          </w:p>
        </w:tc>
        <w:tc>
          <w:tcPr>
            <w:tcW w:w="2033" w:type="dxa"/>
            <w:shd w:val="clear" w:color="auto" w:fill="auto"/>
          </w:tcPr>
          <w:p w14:paraId="424E081A"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2462</w:t>
            </w:r>
          </w:p>
        </w:tc>
        <w:tc>
          <w:tcPr>
            <w:tcW w:w="2127" w:type="dxa"/>
            <w:shd w:val="clear" w:color="auto" w:fill="auto"/>
          </w:tcPr>
          <w:p w14:paraId="4699AB8E"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5391E111" w14:textId="77777777">
        <w:trPr>
          <w:trHeight w:val="254"/>
        </w:trPr>
        <w:tc>
          <w:tcPr>
            <w:tcW w:w="2813" w:type="dxa"/>
            <w:shd w:val="clear" w:color="auto" w:fill="auto"/>
          </w:tcPr>
          <w:p w14:paraId="7F1E5DF4"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t>Didžiojo kraujavimo reiškiniai</w:t>
            </w:r>
          </w:p>
        </w:tc>
        <w:tc>
          <w:tcPr>
            <w:tcW w:w="2242" w:type="dxa"/>
            <w:shd w:val="clear" w:color="auto" w:fill="auto"/>
          </w:tcPr>
          <w:p w14:paraId="4B07639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 (1,0 %)</w:t>
            </w:r>
          </w:p>
        </w:tc>
        <w:tc>
          <w:tcPr>
            <w:tcW w:w="2033" w:type="dxa"/>
            <w:shd w:val="clear" w:color="auto" w:fill="auto"/>
          </w:tcPr>
          <w:p w14:paraId="7584346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(1,6 %)</w:t>
            </w:r>
          </w:p>
        </w:tc>
        <w:tc>
          <w:tcPr>
            <w:tcW w:w="2127" w:type="dxa"/>
            <w:shd w:val="clear" w:color="auto" w:fill="auto"/>
          </w:tcPr>
          <w:p w14:paraId="6BDB351F"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0,60 (0,36, 0,99)</w:t>
            </w:r>
          </w:p>
        </w:tc>
      </w:tr>
      <w:tr w:rsidR="00CB542F" w14:paraId="66709B39" w14:textId="77777777">
        <w:trPr>
          <w:trHeight w:val="342"/>
        </w:trPr>
        <w:tc>
          <w:tcPr>
            <w:tcW w:w="2813" w:type="dxa"/>
            <w:shd w:val="clear" w:color="auto" w:fill="auto"/>
          </w:tcPr>
          <w:p w14:paraId="1E743E4B" w14:textId="77777777" w:rsidR="00CB542F" w:rsidRDefault="00573A58">
            <w:pPr>
              <w:widowControl w:val="0"/>
              <w:kinsoku w:val="0"/>
              <w:overflowPunct w:val="0"/>
              <w:autoSpaceDE w:val="0"/>
              <w:autoSpaceDN w:val="0"/>
              <w:adjustRightInd w:val="0"/>
              <w:spacing w:line="246" w:lineRule="exact"/>
              <w:ind w:left="715"/>
              <w:rPr>
                <w:color w:val="000000"/>
                <w:szCs w:val="22"/>
                <w:lang w:val="sl-SI" w:eastAsia="sl-SI"/>
              </w:rPr>
            </w:pPr>
            <w:r>
              <w:t>Kraujavimas į kaukolės vidų</w:t>
            </w:r>
          </w:p>
        </w:tc>
        <w:tc>
          <w:tcPr>
            <w:tcW w:w="2242" w:type="dxa"/>
            <w:shd w:val="clear" w:color="auto" w:fill="auto"/>
          </w:tcPr>
          <w:p w14:paraId="6C86730C"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(0,1 %)</w:t>
            </w:r>
          </w:p>
        </w:tc>
        <w:tc>
          <w:tcPr>
            <w:tcW w:w="2033" w:type="dxa"/>
            <w:shd w:val="clear" w:color="auto" w:fill="auto"/>
          </w:tcPr>
          <w:p w14:paraId="7CF88F36"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(0,2 %)</w:t>
            </w:r>
          </w:p>
        </w:tc>
        <w:tc>
          <w:tcPr>
            <w:tcW w:w="2127" w:type="dxa"/>
            <w:shd w:val="clear" w:color="auto" w:fill="auto"/>
          </w:tcPr>
          <w:p w14:paraId="669B148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0,50 (0,09, 2,74)</w:t>
            </w:r>
          </w:p>
        </w:tc>
      </w:tr>
      <w:tr w:rsidR="00CB542F" w14:paraId="69CB8DBD" w14:textId="77777777">
        <w:trPr>
          <w:trHeight w:val="251"/>
        </w:trPr>
        <w:tc>
          <w:tcPr>
            <w:tcW w:w="2813" w:type="dxa"/>
            <w:shd w:val="clear" w:color="auto" w:fill="auto"/>
          </w:tcPr>
          <w:p w14:paraId="08FFBB6B" w14:textId="77777777" w:rsidR="00CB542F" w:rsidRDefault="00573A58">
            <w:pPr>
              <w:widowControl w:val="0"/>
              <w:kinsoku w:val="0"/>
              <w:overflowPunct w:val="0"/>
              <w:autoSpaceDE w:val="0"/>
              <w:autoSpaceDN w:val="0"/>
              <w:adjustRightInd w:val="0"/>
              <w:spacing w:line="232" w:lineRule="exact"/>
              <w:ind w:left="715"/>
              <w:rPr>
                <w:color w:val="000000"/>
                <w:szCs w:val="22"/>
                <w:lang w:val="sl-SI" w:eastAsia="sl-SI"/>
              </w:rPr>
            </w:pPr>
            <w:r>
              <w:t>Didysis kraujavimas į VT</w:t>
            </w:r>
          </w:p>
        </w:tc>
        <w:tc>
          <w:tcPr>
            <w:tcW w:w="2242" w:type="dxa"/>
            <w:shd w:val="clear" w:color="auto" w:fill="auto"/>
          </w:tcPr>
          <w:p w14:paraId="55C5A5F3"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 (0,4 %)</w:t>
            </w:r>
          </w:p>
        </w:tc>
        <w:tc>
          <w:tcPr>
            <w:tcW w:w="2033" w:type="dxa"/>
            <w:shd w:val="clear" w:color="auto" w:fill="auto"/>
          </w:tcPr>
          <w:p w14:paraId="1A7C505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(0,5 %)</w:t>
            </w:r>
          </w:p>
        </w:tc>
        <w:tc>
          <w:tcPr>
            <w:tcW w:w="2127" w:type="dxa"/>
            <w:shd w:val="clear" w:color="auto" w:fill="auto"/>
          </w:tcPr>
          <w:p w14:paraId="2E2202A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0,83 (0,36, 1,93)</w:t>
            </w:r>
          </w:p>
        </w:tc>
      </w:tr>
      <w:tr w:rsidR="00CB542F" w14:paraId="26BEFDF5" w14:textId="77777777">
        <w:trPr>
          <w:trHeight w:val="505"/>
        </w:trPr>
        <w:tc>
          <w:tcPr>
            <w:tcW w:w="2813" w:type="dxa"/>
            <w:shd w:val="clear" w:color="auto" w:fill="auto"/>
          </w:tcPr>
          <w:p w14:paraId="41096ECA" w14:textId="77777777" w:rsidR="00CB542F" w:rsidRDefault="00573A58">
            <w:pPr>
              <w:widowControl w:val="0"/>
              <w:kinsoku w:val="0"/>
              <w:overflowPunct w:val="0"/>
              <w:autoSpaceDE w:val="0"/>
              <w:autoSpaceDN w:val="0"/>
              <w:adjustRightInd w:val="0"/>
              <w:spacing w:line="247" w:lineRule="exact"/>
              <w:ind w:left="715"/>
              <w:rPr>
                <w:color w:val="000000"/>
                <w:szCs w:val="22"/>
                <w:lang w:val="sl-SI" w:eastAsia="sl-SI"/>
              </w:rPr>
            </w:pPr>
            <w:r>
              <w:t>Gyvybei pavojingas kraujavimas</w:t>
            </w:r>
          </w:p>
        </w:tc>
        <w:tc>
          <w:tcPr>
            <w:tcW w:w="2242" w:type="dxa"/>
            <w:shd w:val="clear" w:color="auto" w:fill="auto"/>
          </w:tcPr>
          <w:p w14:paraId="21EC2123"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(0,2 %)</w:t>
            </w:r>
          </w:p>
        </w:tc>
        <w:tc>
          <w:tcPr>
            <w:tcW w:w="2033" w:type="dxa"/>
            <w:shd w:val="clear" w:color="auto" w:fill="auto"/>
          </w:tcPr>
          <w:p w14:paraId="7AC008D0"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 (0,2 %)</w:t>
            </w:r>
          </w:p>
        </w:tc>
        <w:tc>
          <w:tcPr>
            <w:tcW w:w="2127" w:type="dxa"/>
            <w:shd w:val="clear" w:color="auto" w:fill="auto"/>
          </w:tcPr>
          <w:p w14:paraId="341F103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0,66 (0,19, 2,36)</w:t>
            </w:r>
          </w:p>
        </w:tc>
      </w:tr>
      <w:tr w:rsidR="00CB542F" w14:paraId="5EF00621" w14:textId="77777777">
        <w:trPr>
          <w:trHeight w:val="760"/>
        </w:trPr>
        <w:tc>
          <w:tcPr>
            <w:tcW w:w="2813" w:type="dxa"/>
            <w:shd w:val="clear" w:color="auto" w:fill="auto"/>
          </w:tcPr>
          <w:p w14:paraId="082154E8"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42" w:type="dxa"/>
            <w:shd w:val="clear" w:color="auto" w:fill="auto"/>
          </w:tcPr>
          <w:p w14:paraId="01C304E7"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109 (4,4 %)</w:t>
            </w:r>
          </w:p>
        </w:tc>
        <w:tc>
          <w:tcPr>
            <w:tcW w:w="2033" w:type="dxa"/>
            <w:shd w:val="clear" w:color="auto" w:fill="auto"/>
          </w:tcPr>
          <w:p w14:paraId="319FC35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189 (7,7 %)</w:t>
            </w:r>
          </w:p>
        </w:tc>
        <w:tc>
          <w:tcPr>
            <w:tcW w:w="2127" w:type="dxa"/>
            <w:shd w:val="clear" w:color="auto" w:fill="auto"/>
          </w:tcPr>
          <w:p w14:paraId="5916E8DB"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0,56 (0,45, 0,71)</w:t>
            </w:r>
          </w:p>
        </w:tc>
      </w:tr>
      <w:tr w:rsidR="00CB542F" w14:paraId="0170890C" w14:textId="77777777">
        <w:trPr>
          <w:trHeight w:val="251"/>
        </w:trPr>
        <w:tc>
          <w:tcPr>
            <w:tcW w:w="2813" w:type="dxa"/>
            <w:shd w:val="clear" w:color="auto" w:fill="auto"/>
          </w:tcPr>
          <w:p w14:paraId="39280165"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t>Bet koks kraujavimas</w:t>
            </w:r>
          </w:p>
        </w:tc>
        <w:tc>
          <w:tcPr>
            <w:tcW w:w="2242" w:type="dxa"/>
            <w:shd w:val="clear" w:color="auto" w:fill="auto"/>
          </w:tcPr>
          <w:p w14:paraId="4ECA5EA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354 (14,4 %)</w:t>
            </w:r>
          </w:p>
        </w:tc>
        <w:tc>
          <w:tcPr>
            <w:tcW w:w="2033" w:type="dxa"/>
            <w:shd w:val="clear" w:color="auto" w:fill="auto"/>
          </w:tcPr>
          <w:p w14:paraId="449CFF49"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 (20,4 %)</w:t>
            </w:r>
          </w:p>
        </w:tc>
        <w:tc>
          <w:tcPr>
            <w:tcW w:w="2127" w:type="dxa"/>
            <w:shd w:val="clear" w:color="auto" w:fill="auto"/>
          </w:tcPr>
          <w:p w14:paraId="55FA613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(0,59, 0,77)</w:t>
            </w:r>
          </w:p>
        </w:tc>
      </w:tr>
      <w:tr w:rsidR="00CB542F" w14:paraId="2FE2267B" w14:textId="77777777">
        <w:trPr>
          <w:trHeight w:val="253"/>
        </w:trPr>
        <w:tc>
          <w:tcPr>
            <w:tcW w:w="2813" w:type="dxa"/>
            <w:shd w:val="clear" w:color="auto" w:fill="auto"/>
          </w:tcPr>
          <w:p w14:paraId="554653D2" w14:textId="77777777" w:rsidR="00CB542F" w:rsidRDefault="00573A58">
            <w:pPr>
              <w:widowControl w:val="0"/>
              <w:kinsoku w:val="0"/>
              <w:overflowPunct w:val="0"/>
              <w:autoSpaceDE w:val="0"/>
              <w:autoSpaceDN w:val="0"/>
              <w:adjustRightInd w:val="0"/>
              <w:spacing w:line="234" w:lineRule="exact"/>
              <w:ind w:left="659"/>
              <w:rPr>
                <w:color w:val="000000"/>
                <w:szCs w:val="22"/>
                <w:lang w:val="sl-SI" w:eastAsia="sl-SI"/>
              </w:rPr>
            </w:pPr>
            <w:r>
              <w:t>Bet koks kraujavimas į VT</w:t>
            </w:r>
          </w:p>
        </w:tc>
        <w:tc>
          <w:tcPr>
            <w:tcW w:w="2242" w:type="dxa"/>
            <w:shd w:val="clear" w:color="auto" w:fill="auto"/>
          </w:tcPr>
          <w:p w14:paraId="060A7D8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 (2,9 %)</w:t>
            </w:r>
          </w:p>
        </w:tc>
        <w:tc>
          <w:tcPr>
            <w:tcW w:w="2033" w:type="dxa"/>
            <w:shd w:val="clear" w:color="auto" w:fill="auto"/>
          </w:tcPr>
          <w:p w14:paraId="5B7F5C7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55 (2,2 %)</w:t>
            </w:r>
          </w:p>
        </w:tc>
        <w:tc>
          <w:tcPr>
            <w:tcW w:w="2127" w:type="dxa"/>
            <w:shd w:val="clear" w:color="auto" w:fill="auto"/>
          </w:tcPr>
          <w:p w14:paraId="400C388C"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1,27 (0,90, 1,82)</w:t>
            </w:r>
          </w:p>
        </w:tc>
      </w:tr>
    </w:tbl>
    <w:p w14:paraId="11EB0B70" w14:textId="77777777" w:rsidR="00CB542F" w:rsidRDefault="00CB542F"/>
    <w:p w14:paraId="0122777F" w14:textId="77777777" w:rsidR="00CB542F" w:rsidRDefault="00573A58">
      <w:r>
        <w:t>Abiejų gydymo grupių atveju kraujavimo reiškiniai buvo suskaičiuoti nuo pirmos dabigatrano eteksilato ar varfarino dozės pavartojimo po paranterinio gydymo nutraukimo (gydymo tik geriamaisiais preparatais laikotarpiu). Įtraukti visi kraujavimo reiškiniai, atsiradę gydymo dabigatrano eteksilatu metu. Įtraukti visi kraujavimo reiškiniai, atsiradę gydymo varfarinu metu, išskyrus tuos, kurių atsirado iš dalies vienas ant kito užeinančio gydymo varfarinu ir paranteriniu būdu vartojamais vaistiniais preparatais periodu.</w:t>
      </w:r>
    </w:p>
    <w:p w14:paraId="224EF245" w14:textId="77777777" w:rsidR="00CB542F" w:rsidRDefault="00CB542F"/>
    <w:p w14:paraId="49B0FE35" w14:textId="77777777" w:rsidR="00CB542F" w:rsidRDefault="00573A58">
      <w:r>
        <w:t xml:space="preserve">14-ojoje lentelėje pateikti kraujavimo reiškiniai, pastebėti pagrindinio tyrimo RE-MEDY, kuriuo buvo tiriama GVT ir PE profilaktika, metu. Kai kurių kraujavimo reiškinių (didžiojo kraujavimo reiškiniai / </w:t>
      </w:r>
      <w:r>
        <w:lastRenderedPageBreak/>
        <w:t>kliniškai reikšmingo kraujavimo reiškiniai, bet koks kraujavimas) dažnis, kai nominalinis alfa lygmuo 5 %, dabigatrano eteksilatu gydomiems pacientams buvo reikšmingai mažesnis, palyginti su varfarino vartojančiais pacientais.</w:t>
      </w:r>
    </w:p>
    <w:p w14:paraId="261524FD" w14:textId="77777777" w:rsidR="00CB542F" w:rsidRDefault="00CB542F"/>
    <w:p w14:paraId="1438C518" w14:textId="77777777" w:rsidR="00CB542F" w:rsidRDefault="00573A58">
      <w:pPr>
        <w:rPr>
          <w:b/>
          <w:bCs/>
        </w:rPr>
      </w:pPr>
      <w:r>
        <w:rPr>
          <w:b/>
          <w:bCs/>
        </w:rPr>
        <w:t>14 lentelė. Kraujavimo reiškiniai, pastebėti tyrimo RE-MEDY, kuriuo buvo tiriama GVT ir PE profilaktika, metu</w:t>
      </w:r>
    </w:p>
    <w:p w14:paraId="60EDF29F" w14:textId="77777777" w:rsidR="00CB542F" w:rsidRDefault="00CB542F"/>
    <w:tbl>
      <w:tblPr>
        <w:tblW w:w="0" w:type="auto"/>
        <w:tblInd w:w="103" w:type="dxa"/>
        <w:tblLayout w:type="fixed"/>
        <w:tblCellMar>
          <w:left w:w="0" w:type="dxa"/>
          <w:right w:w="0" w:type="dxa"/>
        </w:tblCellMar>
        <w:tblLook w:val="0000" w:firstRow="0" w:lastRow="0" w:firstColumn="0" w:lastColumn="0" w:noHBand="0" w:noVBand="0"/>
      </w:tblPr>
      <w:tblGrid>
        <w:gridCol w:w="2854"/>
        <w:gridCol w:w="2254"/>
        <w:gridCol w:w="2218"/>
        <w:gridCol w:w="1918"/>
      </w:tblGrid>
      <w:tr w:rsidR="00CB542F" w14:paraId="343D3389" w14:textId="77777777">
        <w:trPr>
          <w:trHeight w:val="1012"/>
        </w:trPr>
        <w:tc>
          <w:tcPr>
            <w:tcW w:w="2854" w:type="dxa"/>
            <w:tcBorders>
              <w:top w:val="single" w:sz="4" w:space="0" w:color="000000"/>
              <w:left w:val="single" w:sz="4" w:space="0" w:color="000000"/>
              <w:bottom w:val="single" w:sz="4" w:space="0" w:color="000000"/>
              <w:right w:val="single" w:sz="4" w:space="0" w:color="000000"/>
            </w:tcBorders>
          </w:tcPr>
          <w:p w14:paraId="2381B3DA" w14:textId="77777777" w:rsidR="00CB542F" w:rsidRDefault="00CB542F">
            <w:pPr>
              <w:widowControl w:val="0"/>
              <w:kinsoku w:val="0"/>
              <w:overflowPunct w:val="0"/>
              <w:autoSpaceDE w:val="0"/>
              <w:autoSpaceDN w:val="0"/>
              <w:adjustRightInd w:val="0"/>
              <w:rPr>
                <w:color w:val="000000"/>
                <w:szCs w:val="22"/>
                <w:lang w:val="sl-SI" w:eastAsia="sl-SI"/>
              </w:rPr>
            </w:pPr>
          </w:p>
        </w:tc>
        <w:tc>
          <w:tcPr>
            <w:tcW w:w="2254" w:type="dxa"/>
            <w:tcBorders>
              <w:top w:val="single" w:sz="4" w:space="0" w:color="000000"/>
              <w:left w:val="single" w:sz="4" w:space="0" w:color="000000"/>
              <w:bottom w:val="single" w:sz="4" w:space="0" w:color="000000"/>
              <w:right w:val="single" w:sz="4" w:space="0" w:color="000000"/>
            </w:tcBorders>
          </w:tcPr>
          <w:p w14:paraId="41DD6FDD"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8" w:type="dxa"/>
            <w:tcBorders>
              <w:top w:val="single" w:sz="4" w:space="0" w:color="000000"/>
              <w:left w:val="single" w:sz="4" w:space="0" w:color="000000"/>
              <w:bottom w:val="single" w:sz="4" w:space="0" w:color="000000"/>
              <w:right w:val="single" w:sz="4" w:space="0" w:color="000000"/>
            </w:tcBorders>
          </w:tcPr>
          <w:p w14:paraId="67193791"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c>
          <w:tcPr>
            <w:tcW w:w="1918" w:type="dxa"/>
            <w:tcBorders>
              <w:top w:val="single" w:sz="4" w:space="0" w:color="000000"/>
              <w:left w:val="single" w:sz="4" w:space="0" w:color="000000"/>
              <w:bottom w:val="single" w:sz="4" w:space="0" w:color="000000"/>
              <w:right w:val="single" w:sz="4" w:space="0" w:color="000000"/>
            </w:tcBorders>
          </w:tcPr>
          <w:p w14:paraId="4D759E0D" w14:textId="77777777" w:rsidR="00CB542F" w:rsidRDefault="00573A58">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CB542F" w14:paraId="4636EA1A"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2AEEEE4E"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t>Gydytų pacientų skaičius</w:t>
            </w:r>
          </w:p>
        </w:tc>
        <w:tc>
          <w:tcPr>
            <w:tcW w:w="2254" w:type="dxa"/>
            <w:tcBorders>
              <w:top w:val="single" w:sz="4" w:space="0" w:color="000000"/>
              <w:left w:val="single" w:sz="4" w:space="0" w:color="000000"/>
              <w:bottom w:val="single" w:sz="4" w:space="0" w:color="000000"/>
              <w:right w:val="single" w:sz="4" w:space="0" w:color="000000"/>
            </w:tcBorders>
          </w:tcPr>
          <w:p w14:paraId="2B38F084"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218" w:type="dxa"/>
            <w:tcBorders>
              <w:top w:val="single" w:sz="4" w:space="0" w:color="000000"/>
              <w:left w:val="single" w:sz="4" w:space="0" w:color="000000"/>
              <w:bottom w:val="single" w:sz="4" w:space="0" w:color="000000"/>
              <w:right w:val="single" w:sz="4" w:space="0" w:color="000000"/>
            </w:tcBorders>
          </w:tcPr>
          <w:p w14:paraId="426FCB0C"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c>
          <w:tcPr>
            <w:tcW w:w="1918" w:type="dxa"/>
            <w:tcBorders>
              <w:top w:val="single" w:sz="4" w:space="0" w:color="000000"/>
              <w:left w:val="single" w:sz="4" w:space="0" w:color="000000"/>
              <w:bottom w:val="single" w:sz="4" w:space="0" w:color="000000"/>
              <w:right w:val="single" w:sz="4" w:space="0" w:color="000000"/>
            </w:tcBorders>
          </w:tcPr>
          <w:p w14:paraId="55CD760E"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53D73CFA"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43BFBA51"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t>Didžiojo kraujavimo reiškiniai</w:t>
            </w:r>
          </w:p>
        </w:tc>
        <w:tc>
          <w:tcPr>
            <w:tcW w:w="2254" w:type="dxa"/>
            <w:tcBorders>
              <w:top w:val="single" w:sz="4" w:space="0" w:color="000000"/>
              <w:left w:val="single" w:sz="4" w:space="0" w:color="000000"/>
              <w:bottom w:val="single" w:sz="4" w:space="0" w:color="000000"/>
              <w:right w:val="single" w:sz="4" w:space="0" w:color="000000"/>
            </w:tcBorders>
          </w:tcPr>
          <w:p w14:paraId="2D5B8B3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 (0,9 %)</w:t>
            </w:r>
          </w:p>
        </w:tc>
        <w:tc>
          <w:tcPr>
            <w:tcW w:w="2218" w:type="dxa"/>
            <w:tcBorders>
              <w:top w:val="single" w:sz="4" w:space="0" w:color="000000"/>
              <w:left w:val="single" w:sz="4" w:space="0" w:color="000000"/>
              <w:bottom w:val="single" w:sz="4" w:space="0" w:color="000000"/>
              <w:right w:val="single" w:sz="4" w:space="0" w:color="000000"/>
            </w:tcBorders>
          </w:tcPr>
          <w:p w14:paraId="2BF8BC5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25 (1,8 %)</w:t>
            </w:r>
          </w:p>
        </w:tc>
        <w:tc>
          <w:tcPr>
            <w:tcW w:w="1918" w:type="dxa"/>
            <w:tcBorders>
              <w:top w:val="single" w:sz="4" w:space="0" w:color="000000"/>
              <w:left w:val="single" w:sz="4" w:space="0" w:color="000000"/>
              <w:bottom w:val="single" w:sz="4" w:space="0" w:color="000000"/>
              <w:right w:val="single" w:sz="4" w:space="0" w:color="000000"/>
            </w:tcBorders>
          </w:tcPr>
          <w:p w14:paraId="005EE72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0,54 (0,25, 1,16)</w:t>
            </w:r>
          </w:p>
        </w:tc>
      </w:tr>
      <w:tr w:rsidR="00CB542F" w14:paraId="193B6457"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034B334B" w14:textId="77777777" w:rsidR="00CB542F" w:rsidRDefault="00573A58">
            <w:pPr>
              <w:widowControl w:val="0"/>
              <w:kinsoku w:val="0"/>
              <w:overflowPunct w:val="0"/>
              <w:autoSpaceDE w:val="0"/>
              <w:autoSpaceDN w:val="0"/>
              <w:adjustRightInd w:val="0"/>
              <w:spacing w:line="234" w:lineRule="exact"/>
              <w:ind w:left="815"/>
              <w:rPr>
                <w:color w:val="000000"/>
                <w:szCs w:val="22"/>
                <w:lang w:val="sl-SI" w:eastAsia="sl-SI"/>
              </w:rPr>
            </w:pPr>
            <w:r>
              <w:t>Kraujavimas į kaukolės vidų</w:t>
            </w:r>
          </w:p>
        </w:tc>
        <w:tc>
          <w:tcPr>
            <w:tcW w:w="2254" w:type="dxa"/>
            <w:tcBorders>
              <w:top w:val="single" w:sz="4" w:space="0" w:color="000000"/>
              <w:left w:val="single" w:sz="4" w:space="0" w:color="000000"/>
              <w:bottom w:val="single" w:sz="4" w:space="0" w:color="000000"/>
              <w:right w:val="single" w:sz="4" w:space="0" w:color="000000"/>
            </w:tcBorders>
          </w:tcPr>
          <w:p w14:paraId="76FB786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(0,1 %)</w:t>
            </w:r>
          </w:p>
        </w:tc>
        <w:tc>
          <w:tcPr>
            <w:tcW w:w="2218" w:type="dxa"/>
            <w:tcBorders>
              <w:top w:val="single" w:sz="4" w:space="0" w:color="000000"/>
              <w:left w:val="single" w:sz="4" w:space="0" w:color="000000"/>
              <w:bottom w:val="single" w:sz="4" w:space="0" w:color="000000"/>
              <w:right w:val="single" w:sz="4" w:space="0" w:color="000000"/>
            </w:tcBorders>
          </w:tcPr>
          <w:p w14:paraId="2846A4B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 (0,3</w:t>
            </w:r>
            <w:r>
              <w:t> </w:t>
            </w:r>
            <w:r>
              <w:rPr>
                <w:color w:val="000000"/>
                <w:szCs w:val="22"/>
                <w:lang w:val="sl-SI" w:eastAsia="sl-SI"/>
              </w:rPr>
              <w:t>%)</w:t>
            </w:r>
          </w:p>
        </w:tc>
        <w:tc>
          <w:tcPr>
            <w:tcW w:w="1918" w:type="dxa"/>
            <w:tcBorders>
              <w:top w:val="single" w:sz="4" w:space="0" w:color="000000"/>
              <w:left w:val="single" w:sz="4" w:space="0" w:color="000000"/>
              <w:bottom w:val="single" w:sz="4" w:space="0" w:color="000000"/>
              <w:right w:val="single" w:sz="4" w:space="0" w:color="000000"/>
            </w:tcBorders>
          </w:tcPr>
          <w:p w14:paraId="3929F22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t>Neapskaičiuojamas</w:t>
            </w:r>
            <w:r>
              <w:rPr>
                <w:color w:val="000000"/>
                <w:szCs w:val="22"/>
                <w:lang w:val="sl-SI" w:eastAsia="sl-SI"/>
              </w:rPr>
              <w:t>*</w:t>
            </w:r>
          </w:p>
        </w:tc>
      </w:tr>
      <w:tr w:rsidR="00CB542F" w14:paraId="6AACAB5F"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16850A7E" w14:textId="77777777" w:rsidR="00CB542F" w:rsidRDefault="00573A58">
            <w:pPr>
              <w:widowControl w:val="0"/>
              <w:kinsoku w:val="0"/>
              <w:overflowPunct w:val="0"/>
              <w:autoSpaceDE w:val="0"/>
              <w:autoSpaceDN w:val="0"/>
              <w:adjustRightInd w:val="0"/>
              <w:spacing w:line="232" w:lineRule="exact"/>
              <w:ind w:left="815"/>
              <w:rPr>
                <w:color w:val="000000"/>
                <w:szCs w:val="22"/>
                <w:lang w:val="sl-SI" w:eastAsia="sl-SI"/>
              </w:rPr>
            </w:pPr>
            <w:r>
              <w:t>Didysis kraujavimas į VT</w:t>
            </w:r>
          </w:p>
        </w:tc>
        <w:tc>
          <w:tcPr>
            <w:tcW w:w="2254" w:type="dxa"/>
            <w:tcBorders>
              <w:top w:val="single" w:sz="4" w:space="0" w:color="000000"/>
              <w:left w:val="single" w:sz="4" w:space="0" w:color="000000"/>
              <w:bottom w:val="single" w:sz="4" w:space="0" w:color="000000"/>
              <w:right w:val="single" w:sz="4" w:space="0" w:color="000000"/>
            </w:tcBorders>
          </w:tcPr>
          <w:p w14:paraId="08F02FAF"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 (0,3 %)</w:t>
            </w:r>
          </w:p>
        </w:tc>
        <w:tc>
          <w:tcPr>
            <w:tcW w:w="2218" w:type="dxa"/>
            <w:tcBorders>
              <w:top w:val="single" w:sz="4" w:space="0" w:color="000000"/>
              <w:left w:val="single" w:sz="4" w:space="0" w:color="000000"/>
              <w:bottom w:val="single" w:sz="4" w:space="0" w:color="000000"/>
              <w:right w:val="single" w:sz="4" w:space="0" w:color="000000"/>
            </w:tcBorders>
          </w:tcPr>
          <w:p w14:paraId="016210FD"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 (0,5 %)</w:t>
            </w:r>
          </w:p>
        </w:tc>
        <w:tc>
          <w:tcPr>
            <w:tcW w:w="1918" w:type="dxa"/>
            <w:tcBorders>
              <w:top w:val="single" w:sz="4" w:space="0" w:color="000000"/>
              <w:left w:val="single" w:sz="4" w:space="0" w:color="000000"/>
              <w:bottom w:val="single" w:sz="4" w:space="0" w:color="000000"/>
              <w:right w:val="single" w:sz="4" w:space="0" w:color="000000"/>
            </w:tcBorders>
          </w:tcPr>
          <w:p w14:paraId="2A32672B"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t>Neapskaičiuojamas</w:t>
            </w:r>
            <w:r>
              <w:rPr>
                <w:color w:val="000000"/>
                <w:szCs w:val="22"/>
                <w:lang w:val="sl-SI" w:eastAsia="sl-SI"/>
              </w:rPr>
              <w:t>*</w:t>
            </w:r>
          </w:p>
        </w:tc>
      </w:tr>
      <w:tr w:rsidR="00CB542F" w14:paraId="4C1FD548" w14:textId="77777777">
        <w:trPr>
          <w:trHeight w:val="387"/>
        </w:trPr>
        <w:tc>
          <w:tcPr>
            <w:tcW w:w="2854" w:type="dxa"/>
            <w:tcBorders>
              <w:top w:val="single" w:sz="4" w:space="0" w:color="000000"/>
              <w:left w:val="single" w:sz="4" w:space="0" w:color="000000"/>
              <w:bottom w:val="single" w:sz="4" w:space="0" w:color="000000"/>
              <w:right w:val="single" w:sz="4" w:space="0" w:color="000000"/>
            </w:tcBorders>
          </w:tcPr>
          <w:p w14:paraId="7D373D2D" w14:textId="77777777" w:rsidR="00CB542F" w:rsidRDefault="00573A58">
            <w:pPr>
              <w:widowControl w:val="0"/>
              <w:kinsoku w:val="0"/>
              <w:overflowPunct w:val="0"/>
              <w:autoSpaceDE w:val="0"/>
              <w:autoSpaceDN w:val="0"/>
              <w:adjustRightInd w:val="0"/>
              <w:spacing w:line="247" w:lineRule="exact"/>
              <w:ind w:left="815"/>
              <w:rPr>
                <w:color w:val="000000"/>
                <w:szCs w:val="22"/>
                <w:lang w:val="sl-SI" w:eastAsia="sl-SI"/>
              </w:rPr>
            </w:pPr>
            <w:r>
              <w:t>Gyvybei pavojingas kraujavimas</w:t>
            </w:r>
          </w:p>
        </w:tc>
        <w:tc>
          <w:tcPr>
            <w:tcW w:w="2254" w:type="dxa"/>
            <w:tcBorders>
              <w:top w:val="single" w:sz="4" w:space="0" w:color="000000"/>
              <w:left w:val="single" w:sz="4" w:space="0" w:color="000000"/>
              <w:bottom w:val="single" w:sz="4" w:space="0" w:color="000000"/>
              <w:right w:val="single" w:sz="4" w:space="0" w:color="000000"/>
            </w:tcBorders>
          </w:tcPr>
          <w:p w14:paraId="4B32F1D1"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 (0,1% )</w:t>
            </w:r>
          </w:p>
        </w:tc>
        <w:tc>
          <w:tcPr>
            <w:tcW w:w="2218" w:type="dxa"/>
            <w:tcBorders>
              <w:top w:val="single" w:sz="4" w:space="0" w:color="000000"/>
              <w:left w:val="single" w:sz="4" w:space="0" w:color="000000"/>
              <w:bottom w:val="single" w:sz="4" w:space="0" w:color="000000"/>
              <w:right w:val="single" w:sz="4" w:space="0" w:color="000000"/>
            </w:tcBorders>
          </w:tcPr>
          <w:p w14:paraId="7C73AC2C"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 (0,2 %))</w:t>
            </w:r>
          </w:p>
        </w:tc>
        <w:tc>
          <w:tcPr>
            <w:tcW w:w="1918" w:type="dxa"/>
            <w:tcBorders>
              <w:top w:val="single" w:sz="4" w:space="0" w:color="000000"/>
              <w:left w:val="single" w:sz="4" w:space="0" w:color="000000"/>
              <w:bottom w:val="single" w:sz="4" w:space="0" w:color="000000"/>
              <w:right w:val="single" w:sz="4" w:space="0" w:color="000000"/>
            </w:tcBorders>
          </w:tcPr>
          <w:p w14:paraId="7CA11E99"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Neapskaičiuojamas</w:t>
            </w:r>
            <w:r>
              <w:rPr>
                <w:color w:val="000000"/>
                <w:szCs w:val="22"/>
                <w:lang w:val="sl-SI" w:eastAsia="sl-SI"/>
              </w:rPr>
              <w:t>*</w:t>
            </w:r>
          </w:p>
        </w:tc>
      </w:tr>
      <w:tr w:rsidR="00CB542F" w14:paraId="3D23875E" w14:textId="77777777">
        <w:trPr>
          <w:trHeight w:val="506"/>
        </w:trPr>
        <w:tc>
          <w:tcPr>
            <w:tcW w:w="2854" w:type="dxa"/>
            <w:tcBorders>
              <w:top w:val="single" w:sz="4" w:space="0" w:color="000000"/>
              <w:left w:val="single" w:sz="4" w:space="0" w:color="000000"/>
              <w:bottom w:val="single" w:sz="4" w:space="0" w:color="000000"/>
              <w:right w:val="single" w:sz="4" w:space="0" w:color="000000"/>
            </w:tcBorders>
          </w:tcPr>
          <w:p w14:paraId="7C46152D"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54" w:type="dxa"/>
            <w:tcBorders>
              <w:top w:val="single" w:sz="4" w:space="0" w:color="000000"/>
              <w:left w:val="single" w:sz="4" w:space="0" w:color="000000"/>
              <w:bottom w:val="single" w:sz="4" w:space="0" w:color="000000"/>
              <w:right w:val="single" w:sz="4" w:space="0" w:color="000000"/>
            </w:tcBorders>
          </w:tcPr>
          <w:p w14:paraId="27A76060"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80 (5,6 %)</w:t>
            </w:r>
          </w:p>
        </w:tc>
        <w:tc>
          <w:tcPr>
            <w:tcW w:w="2218" w:type="dxa"/>
            <w:tcBorders>
              <w:top w:val="single" w:sz="4" w:space="0" w:color="000000"/>
              <w:left w:val="single" w:sz="4" w:space="0" w:color="000000"/>
              <w:bottom w:val="single" w:sz="4" w:space="0" w:color="000000"/>
              <w:right w:val="single" w:sz="4" w:space="0" w:color="000000"/>
            </w:tcBorders>
          </w:tcPr>
          <w:p w14:paraId="5B29149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145 (10,2 %)</w:t>
            </w:r>
          </w:p>
        </w:tc>
        <w:tc>
          <w:tcPr>
            <w:tcW w:w="1918" w:type="dxa"/>
            <w:tcBorders>
              <w:top w:val="single" w:sz="4" w:space="0" w:color="000000"/>
              <w:left w:val="single" w:sz="4" w:space="0" w:color="000000"/>
              <w:bottom w:val="single" w:sz="4" w:space="0" w:color="000000"/>
              <w:right w:val="single" w:sz="4" w:space="0" w:color="000000"/>
            </w:tcBorders>
          </w:tcPr>
          <w:p w14:paraId="5208F81E"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0,55 ( 0,41, 0,72)</w:t>
            </w:r>
          </w:p>
        </w:tc>
      </w:tr>
      <w:tr w:rsidR="00CB542F" w14:paraId="040F0DBA" w14:textId="77777777">
        <w:trPr>
          <w:trHeight w:val="344"/>
        </w:trPr>
        <w:tc>
          <w:tcPr>
            <w:tcW w:w="2854" w:type="dxa"/>
            <w:tcBorders>
              <w:top w:val="single" w:sz="4" w:space="0" w:color="000000"/>
              <w:left w:val="single" w:sz="4" w:space="0" w:color="000000"/>
              <w:bottom w:val="single" w:sz="4" w:space="0" w:color="000000"/>
              <w:right w:val="single" w:sz="4" w:space="0" w:color="000000"/>
            </w:tcBorders>
          </w:tcPr>
          <w:p w14:paraId="170CED47"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Bet koks kraujavimas</w:t>
            </w:r>
          </w:p>
        </w:tc>
        <w:tc>
          <w:tcPr>
            <w:tcW w:w="2254" w:type="dxa"/>
            <w:tcBorders>
              <w:top w:val="single" w:sz="4" w:space="0" w:color="000000"/>
              <w:left w:val="single" w:sz="4" w:space="0" w:color="000000"/>
              <w:bottom w:val="single" w:sz="4" w:space="0" w:color="000000"/>
              <w:right w:val="single" w:sz="4" w:space="0" w:color="000000"/>
            </w:tcBorders>
          </w:tcPr>
          <w:p w14:paraId="65F7853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278 (19,4 %)</w:t>
            </w:r>
          </w:p>
        </w:tc>
        <w:tc>
          <w:tcPr>
            <w:tcW w:w="2218" w:type="dxa"/>
            <w:tcBorders>
              <w:top w:val="single" w:sz="4" w:space="0" w:color="000000"/>
              <w:left w:val="single" w:sz="4" w:space="0" w:color="000000"/>
              <w:bottom w:val="single" w:sz="4" w:space="0" w:color="000000"/>
              <w:right w:val="single" w:sz="4" w:space="0" w:color="000000"/>
            </w:tcBorders>
          </w:tcPr>
          <w:p w14:paraId="63BFB486"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373 (26,2 %)</w:t>
            </w:r>
          </w:p>
        </w:tc>
        <w:tc>
          <w:tcPr>
            <w:tcW w:w="1918" w:type="dxa"/>
            <w:tcBorders>
              <w:top w:val="single" w:sz="4" w:space="0" w:color="000000"/>
              <w:left w:val="single" w:sz="4" w:space="0" w:color="000000"/>
              <w:bottom w:val="single" w:sz="4" w:space="0" w:color="000000"/>
              <w:right w:val="single" w:sz="4" w:space="0" w:color="000000"/>
            </w:tcBorders>
          </w:tcPr>
          <w:p w14:paraId="4C7D756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(0,61, 0,83)</w:t>
            </w:r>
          </w:p>
        </w:tc>
      </w:tr>
      <w:tr w:rsidR="00CB542F" w14:paraId="5DFDCF14" w14:textId="77777777">
        <w:trPr>
          <w:trHeight w:val="258"/>
        </w:trPr>
        <w:tc>
          <w:tcPr>
            <w:tcW w:w="2854" w:type="dxa"/>
            <w:tcBorders>
              <w:top w:val="single" w:sz="4" w:space="0" w:color="000000"/>
              <w:left w:val="single" w:sz="4" w:space="0" w:color="000000"/>
              <w:bottom w:val="single" w:sz="4" w:space="0" w:color="000000"/>
              <w:right w:val="single" w:sz="4" w:space="0" w:color="000000"/>
            </w:tcBorders>
          </w:tcPr>
          <w:p w14:paraId="508E4959" w14:textId="77777777" w:rsidR="00CB542F" w:rsidRDefault="00573A58">
            <w:pPr>
              <w:widowControl w:val="0"/>
              <w:kinsoku w:val="0"/>
              <w:overflowPunct w:val="0"/>
              <w:autoSpaceDE w:val="0"/>
              <w:autoSpaceDN w:val="0"/>
              <w:adjustRightInd w:val="0"/>
              <w:spacing w:line="239" w:lineRule="exact"/>
              <w:ind w:left="674"/>
              <w:rPr>
                <w:color w:val="000000"/>
                <w:szCs w:val="22"/>
                <w:lang w:val="sl-SI" w:eastAsia="sl-SI"/>
              </w:rPr>
            </w:pPr>
            <w:r>
              <w:t>Bet koks kraujavimas į VT</w:t>
            </w:r>
          </w:p>
        </w:tc>
        <w:tc>
          <w:tcPr>
            <w:tcW w:w="2254" w:type="dxa"/>
            <w:tcBorders>
              <w:top w:val="single" w:sz="4" w:space="0" w:color="000000"/>
              <w:left w:val="single" w:sz="4" w:space="0" w:color="000000"/>
              <w:bottom w:val="single" w:sz="4" w:space="0" w:color="000000"/>
              <w:right w:val="single" w:sz="4" w:space="0" w:color="000000"/>
            </w:tcBorders>
          </w:tcPr>
          <w:p w14:paraId="7DA0BEAF" w14:textId="77777777" w:rsidR="00CB542F" w:rsidRDefault="00573A58">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45 (3,1 %)</w:t>
            </w:r>
          </w:p>
        </w:tc>
        <w:tc>
          <w:tcPr>
            <w:tcW w:w="2218" w:type="dxa"/>
            <w:tcBorders>
              <w:top w:val="single" w:sz="4" w:space="0" w:color="000000"/>
              <w:left w:val="single" w:sz="4" w:space="0" w:color="000000"/>
              <w:bottom w:val="single" w:sz="4" w:space="0" w:color="000000"/>
              <w:right w:val="single" w:sz="4" w:space="0" w:color="000000"/>
            </w:tcBorders>
          </w:tcPr>
          <w:p w14:paraId="1AC03A3C" w14:textId="77777777" w:rsidR="00CB542F" w:rsidRDefault="00573A58">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32 (2,2 %)</w:t>
            </w:r>
          </w:p>
        </w:tc>
        <w:tc>
          <w:tcPr>
            <w:tcW w:w="1918" w:type="dxa"/>
            <w:tcBorders>
              <w:top w:val="single" w:sz="4" w:space="0" w:color="000000"/>
              <w:left w:val="single" w:sz="4" w:space="0" w:color="000000"/>
              <w:bottom w:val="single" w:sz="4" w:space="0" w:color="000000"/>
              <w:right w:val="single" w:sz="4" w:space="0" w:color="000000"/>
            </w:tcBorders>
          </w:tcPr>
          <w:p w14:paraId="5B86D09C" w14:textId="77777777" w:rsidR="00CB542F" w:rsidRDefault="00573A58">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1,39 (0,87, 2,20)</w:t>
            </w:r>
          </w:p>
        </w:tc>
      </w:tr>
    </w:tbl>
    <w:p w14:paraId="6CFE2D5F" w14:textId="77777777" w:rsidR="00CB542F" w:rsidRDefault="00573A58">
      <w:r>
        <w:t>*RS neįvertintas, kadangi reiškinio nebuvo nė vienoje kohortoje / gydymo grupėje</w:t>
      </w:r>
    </w:p>
    <w:p w14:paraId="6E1F800F" w14:textId="77777777" w:rsidR="00CB542F" w:rsidRDefault="00CB542F"/>
    <w:p w14:paraId="4980A4AD" w14:textId="77777777" w:rsidR="00CB542F" w:rsidRDefault="00573A58">
      <w:r>
        <w:t>15-ojoje lentelėje pateikti kraujavimo reiškiniai, pastebėti pagrindinio tyrimo RE-SONATE, kuriuo buvo tiriama GVT ir PE profilaktika, metu. Bendras didžiojo kraujavimo reiškinių ir kliniškai reikšmingo kraujavimo reiškinių dažnis ir bet kokio kraujavimo dažnis, kai nominalinis alfa lygmuo 5 %, placebo vartojantiems pacientams buvo reikšmingai mažesnis, palyginti su dabigatrano eteksilatu gydomais pacientais.</w:t>
      </w:r>
    </w:p>
    <w:p w14:paraId="673A69F8" w14:textId="77777777" w:rsidR="00CB542F" w:rsidRDefault="00CB542F"/>
    <w:p w14:paraId="4700493A" w14:textId="77777777" w:rsidR="00CB542F" w:rsidRDefault="00573A58">
      <w:pPr>
        <w:rPr>
          <w:b/>
          <w:bCs/>
        </w:rPr>
      </w:pPr>
      <w:r>
        <w:rPr>
          <w:b/>
          <w:bCs/>
        </w:rPr>
        <w:t>15 lentelė. Kraujavimo reiškiniai, pastebėti tyrimo RE-SONATE, kuriuo buvo tiriama GVT ir PE profilaktika, metu</w:t>
      </w:r>
    </w:p>
    <w:p w14:paraId="710612C1" w14:textId="77777777" w:rsidR="00CB542F" w:rsidRDefault="00CB542F">
      <w:pPr>
        <w:rPr>
          <w:b/>
          <w:bCs/>
        </w:rPr>
      </w:pPr>
    </w:p>
    <w:tbl>
      <w:tblPr>
        <w:tblW w:w="0" w:type="auto"/>
        <w:tblInd w:w="-8" w:type="dxa"/>
        <w:tblLayout w:type="fixed"/>
        <w:tblCellMar>
          <w:left w:w="0" w:type="dxa"/>
          <w:right w:w="0" w:type="dxa"/>
        </w:tblCellMar>
        <w:tblLook w:val="0000" w:firstRow="0" w:lastRow="0" w:firstColumn="0" w:lastColumn="0" w:noHBand="0" w:noVBand="0"/>
      </w:tblPr>
      <w:tblGrid>
        <w:gridCol w:w="2851"/>
        <w:gridCol w:w="2261"/>
        <w:gridCol w:w="2213"/>
        <w:gridCol w:w="1918"/>
      </w:tblGrid>
      <w:tr w:rsidR="00CB542F" w14:paraId="2C33BA28" w14:textId="77777777">
        <w:trPr>
          <w:trHeight w:val="1012"/>
        </w:trPr>
        <w:tc>
          <w:tcPr>
            <w:tcW w:w="2851" w:type="dxa"/>
            <w:tcBorders>
              <w:top w:val="single" w:sz="4" w:space="0" w:color="000000"/>
              <w:left w:val="single" w:sz="4" w:space="0" w:color="000000"/>
              <w:bottom w:val="single" w:sz="4" w:space="0" w:color="000000"/>
              <w:right w:val="single" w:sz="4" w:space="0" w:color="000000"/>
            </w:tcBorders>
          </w:tcPr>
          <w:p w14:paraId="110A6A68" w14:textId="77777777" w:rsidR="00CB542F" w:rsidRDefault="00CB542F">
            <w:pPr>
              <w:widowControl w:val="0"/>
              <w:kinsoku w:val="0"/>
              <w:overflowPunct w:val="0"/>
              <w:autoSpaceDE w:val="0"/>
              <w:autoSpaceDN w:val="0"/>
              <w:adjustRightInd w:val="0"/>
              <w:rPr>
                <w:color w:val="000000"/>
                <w:szCs w:val="22"/>
                <w:lang w:val="sl-SI" w:eastAsia="sl-SI"/>
              </w:rPr>
            </w:pPr>
          </w:p>
        </w:tc>
        <w:tc>
          <w:tcPr>
            <w:tcW w:w="2261" w:type="dxa"/>
            <w:tcBorders>
              <w:top w:val="single" w:sz="4" w:space="0" w:color="000000"/>
              <w:left w:val="single" w:sz="4" w:space="0" w:color="000000"/>
              <w:bottom w:val="single" w:sz="4" w:space="0" w:color="000000"/>
              <w:right w:val="single" w:sz="4" w:space="0" w:color="000000"/>
            </w:tcBorders>
          </w:tcPr>
          <w:p w14:paraId="57A0C7A9"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3" w:type="dxa"/>
            <w:tcBorders>
              <w:top w:val="single" w:sz="4" w:space="0" w:color="000000"/>
              <w:left w:val="single" w:sz="4" w:space="0" w:color="000000"/>
              <w:bottom w:val="single" w:sz="4" w:space="0" w:color="000000"/>
              <w:right w:val="single" w:sz="4" w:space="0" w:color="000000"/>
            </w:tcBorders>
          </w:tcPr>
          <w:p w14:paraId="4E187ADB"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Placebas</w:t>
            </w:r>
          </w:p>
        </w:tc>
        <w:tc>
          <w:tcPr>
            <w:tcW w:w="1918" w:type="dxa"/>
            <w:tcBorders>
              <w:top w:val="single" w:sz="4" w:space="0" w:color="000000"/>
              <w:left w:val="single" w:sz="4" w:space="0" w:color="000000"/>
              <w:bottom w:val="single" w:sz="4" w:space="0" w:color="000000"/>
              <w:right w:val="single" w:sz="4" w:space="0" w:color="000000"/>
            </w:tcBorders>
          </w:tcPr>
          <w:p w14:paraId="1C2E02F2" w14:textId="77777777" w:rsidR="00CB542F" w:rsidRDefault="00573A58">
            <w:pPr>
              <w:widowControl w:val="0"/>
              <w:kinsoku w:val="0"/>
              <w:overflowPunct w:val="0"/>
              <w:autoSpaceDE w:val="0"/>
              <w:autoSpaceDN w:val="0"/>
              <w:adjustRightInd w:val="0"/>
              <w:spacing w:line="242" w:lineRule="auto"/>
              <w:ind w:left="162"/>
              <w:jc w:val="center"/>
              <w:rPr>
                <w:color w:val="000000"/>
                <w:szCs w:val="22"/>
                <w:lang w:val="sl-SI" w:eastAsia="sl-SI"/>
              </w:rPr>
            </w:pPr>
            <w:r>
              <w:t>Rizikos, palyginti su placebu, santykis (95 % pasikliautinasis intervalas)</w:t>
            </w:r>
          </w:p>
        </w:tc>
      </w:tr>
      <w:tr w:rsidR="00CB542F" w14:paraId="4C3132A3" w14:textId="77777777">
        <w:trPr>
          <w:trHeight w:val="253"/>
        </w:trPr>
        <w:tc>
          <w:tcPr>
            <w:tcW w:w="2851" w:type="dxa"/>
            <w:tcBorders>
              <w:top w:val="single" w:sz="4" w:space="0" w:color="000000"/>
              <w:left w:val="single" w:sz="4" w:space="0" w:color="000000"/>
              <w:bottom w:val="single" w:sz="4" w:space="0" w:color="000000"/>
              <w:right w:val="single" w:sz="4" w:space="0" w:color="000000"/>
            </w:tcBorders>
          </w:tcPr>
          <w:p w14:paraId="57796BDE"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t>Gydytų pacientų skaičius</w:t>
            </w:r>
          </w:p>
        </w:tc>
        <w:tc>
          <w:tcPr>
            <w:tcW w:w="2261" w:type="dxa"/>
            <w:tcBorders>
              <w:top w:val="single" w:sz="4" w:space="0" w:color="000000"/>
              <w:left w:val="single" w:sz="4" w:space="0" w:color="000000"/>
              <w:bottom w:val="single" w:sz="4" w:space="0" w:color="000000"/>
              <w:right w:val="single" w:sz="4" w:space="0" w:color="000000"/>
            </w:tcBorders>
          </w:tcPr>
          <w:p w14:paraId="682C0D9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684</w:t>
            </w:r>
          </w:p>
        </w:tc>
        <w:tc>
          <w:tcPr>
            <w:tcW w:w="2213" w:type="dxa"/>
            <w:tcBorders>
              <w:top w:val="single" w:sz="4" w:space="0" w:color="000000"/>
              <w:left w:val="single" w:sz="4" w:space="0" w:color="000000"/>
              <w:bottom w:val="single" w:sz="4" w:space="0" w:color="000000"/>
              <w:right w:val="single" w:sz="4" w:space="0" w:color="000000"/>
            </w:tcBorders>
          </w:tcPr>
          <w:p w14:paraId="7D127A4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659</w:t>
            </w:r>
          </w:p>
        </w:tc>
        <w:tc>
          <w:tcPr>
            <w:tcW w:w="1918" w:type="dxa"/>
            <w:tcBorders>
              <w:top w:val="single" w:sz="4" w:space="0" w:color="000000"/>
              <w:left w:val="single" w:sz="4" w:space="0" w:color="000000"/>
              <w:bottom w:val="single" w:sz="4" w:space="0" w:color="000000"/>
              <w:right w:val="single" w:sz="4" w:space="0" w:color="000000"/>
            </w:tcBorders>
          </w:tcPr>
          <w:p w14:paraId="48E9CB83" w14:textId="77777777" w:rsidR="00CB542F" w:rsidRDefault="00CB542F">
            <w:pPr>
              <w:widowControl w:val="0"/>
              <w:kinsoku w:val="0"/>
              <w:overflowPunct w:val="0"/>
              <w:autoSpaceDE w:val="0"/>
              <w:autoSpaceDN w:val="0"/>
              <w:adjustRightInd w:val="0"/>
              <w:rPr>
                <w:color w:val="000000"/>
                <w:szCs w:val="22"/>
                <w:lang w:val="sl-SI" w:eastAsia="sl-SI"/>
              </w:rPr>
            </w:pPr>
          </w:p>
        </w:tc>
      </w:tr>
      <w:tr w:rsidR="00CB542F" w14:paraId="1ED30CED" w14:textId="77777777">
        <w:trPr>
          <w:trHeight w:val="280"/>
        </w:trPr>
        <w:tc>
          <w:tcPr>
            <w:tcW w:w="2851" w:type="dxa"/>
            <w:tcBorders>
              <w:top w:val="single" w:sz="4" w:space="0" w:color="000000"/>
              <w:left w:val="single" w:sz="4" w:space="0" w:color="000000"/>
              <w:bottom w:val="single" w:sz="4" w:space="0" w:color="000000"/>
              <w:right w:val="single" w:sz="4" w:space="0" w:color="000000"/>
            </w:tcBorders>
          </w:tcPr>
          <w:p w14:paraId="16706D16"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Didžiojo kraujavimo</w:t>
            </w:r>
          </w:p>
          <w:p w14:paraId="72159E9C"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reiškiniai</w:t>
            </w:r>
          </w:p>
        </w:tc>
        <w:tc>
          <w:tcPr>
            <w:tcW w:w="2261" w:type="dxa"/>
            <w:tcBorders>
              <w:top w:val="single" w:sz="4" w:space="0" w:color="000000"/>
              <w:left w:val="single" w:sz="4" w:space="0" w:color="000000"/>
              <w:bottom w:val="single" w:sz="4" w:space="0" w:color="000000"/>
              <w:right w:val="single" w:sz="4" w:space="0" w:color="000000"/>
            </w:tcBorders>
          </w:tcPr>
          <w:p w14:paraId="4272BAA9"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(0,3 %)</w:t>
            </w:r>
          </w:p>
        </w:tc>
        <w:tc>
          <w:tcPr>
            <w:tcW w:w="2213" w:type="dxa"/>
            <w:tcBorders>
              <w:top w:val="single" w:sz="4" w:space="0" w:color="000000"/>
              <w:left w:val="single" w:sz="4" w:space="0" w:color="000000"/>
              <w:bottom w:val="single" w:sz="4" w:space="0" w:color="000000"/>
              <w:right w:val="single" w:sz="4" w:space="0" w:color="000000"/>
            </w:tcBorders>
          </w:tcPr>
          <w:p w14:paraId="466FC620" w14:textId="77777777" w:rsidR="00CB542F" w:rsidRDefault="00573A58">
            <w:pPr>
              <w:widowControl w:val="0"/>
              <w:kinsoku w:val="0"/>
              <w:overflowPunct w:val="0"/>
              <w:autoSpaceDE w:val="0"/>
              <w:autoSpaceDN w:val="0"/>
              <w:adjustRightInd w:val="0"/>
              <w:spacing w:line="247"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4910A692"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Neapskaičiuojamas*</w:t>
            </w:r>
          </w:p>
        </w:tc>
      </w:tr>
      <w:tr w:rsidR="00CB542F" w14:paraId="04EB3E90" w14:textId="77777777">
        <w:trPr>
          <w:trHeight w:val="397"/>
        </w:trPr>
        <w:tc>
          <w:tcPr>
            <w:tcW w:w="2851" w:type="dxa"/>
            <w:tcBorders>
              <w:top w:val="single" w:sz="4" w:space="0" w:color="000000"/>
              <w:left w:val="single" w:sz="4" w:space="0" w:color="000000"/>
              <w:bottom w:val="single" w:sz="4" w:space="0" w:color="000000"/>
              <w:right w:val="single" w:sz="4" w:space="0" w:color="000000"/>
            </w:tcBorders>
          </w:tcPr>
          <w:p w14:paraId="21A3AA6E" w14:textId="77777777" w:rsidR="00CB542F" w:rsidRDefault="00573A58">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Kraujavimas į</w:t>
            </w:r>
          </w:p>
          <w:p w14:paraId="1ECDF8A2" w14:textId="77777777" w:rsidR="00CB542F" w:rsidRDefault="00573A58">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kaukolės vidų</w:t>
            </w:r>
          </w:p>
        </w:tc>
        <w:tc>
          <w:tcPr>
            <w:tcW w:w="2261" w:type="dxa"/>
            <w:tcBorders>
              <w:top w:val="single" w:sz="4" w:space="0" w:color="000000"/>
              <w:left w:val="single" w:sz="4" w:space="0" w:color="000000"/>
              <w:bottom w:val="single" w:sz="4" w:space="0" w:color="000000"/>
              <w:right w:val="single" w:sz="4" w:space="0" w:color="000000"/>
            </w:tcBorders>
          </w:tcPr>
          <w:p w14:paraId="5EC81AF1"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3DBE8351" w14:textId="77777777" w:rsidR="00CB542F" w:rsidRDefault="00573A58">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50C08641" w14:textId="77777777" w:rsidR="00CB542F" w:rsidRDefault="00573A58">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Neapskaičiuojamas*</w:t>
            </w:r>
          </w:p>
        </w:tc>
      </w:tr>
      <w:tr w:rsidR="00CB542F" w14:paraId="190A025E" w14:textId="77777777">
        <w:trPr>
          <w:trHeight w:val="418"/>
        </w:trPr>
        <w:tc>
          <w:tcPr>
            <w:tcW w:w="2851" w:type="dxa"/>
            <w:tcBorders>
              <w:top w:val="single" w:sz="4" w:space="0" w:color="000000"/>
              <w:left w:val="single" w:sz="4" w:space="0" w:color="000000"/>
              <w:bottom w:val="single" w:sz="4" w:space="0" w:color="000000"/>
              <w:right w:val="single" w:sz="4" w:space="0" w:color="000000"/>
            </w:tcBorders>
          </w:tcPr>
          <w:p w14:paraId="4FCBD0B6" w14:textId="77777777" w:rsidR="00CB542F" w:rsidRDefault="00573A58">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Didysis kraujavimas</w:t>
            </w:r>
          </w:p>
          <w:p w14:paraId="5912AB02" w14:textId="77777777" w:rsidR="00CB542F" w:rsidRDefault="00573A58">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į VT</w:t>
            </w:r>
          </w:p>
        </w:tc>
        <w:tc>
          <w:tcPr>
            <w:tcW w:w="2261" w:type="dxa"/>
            <w:tcBorders>
              <w:top w:val="single" w:sz="4" w:space="0" w:color="000000"/>
              <w:left w:val="single" w:sz="4" w:space="0" w:color="000000"/>
              <w:bottom w:val="single" w:sz="4" w:space="0" w:color="000000"/>
              <w:right w:val="single" w:sz="4" w:space="0" w:color="000000"/>
            </w:tcBorders>
          </w:tcPr>
          <w:p w14:paraId="3C376436"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 (0,3 %)</w:t>
            </w:r>
          </w:p>
        </w:tc>
        <w:tc>
          <w:tcPr>
            <w:tcW w:w="2213" w:type="dxa"/>
            <w:tcBorders>
              <w:top w:val="single" w:sz="4" w:space="0" w:color="000000"/>
              <w:left w:val="single" w:sz="4" w:space="0" w:color="000000"/>
              <w:bottom w:val="single" w:sz="4" w:space="0" w:color="000000"/>
              <w:right w:val="single" w:sz="4" w:space="0" w:color="000000"/>
            </w:tcBorders>
          </w:tcPr>
          <w:p w14:paraId="340C4874" w14:textId="77777777" w:rsidR="00CB542F" w:rsidRDefault="00573A58">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56446600" w14:textId="77777777" w:rsidR="00CB542F" w:rsidRDefault="00573A58">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CB542F" w14:paraId="001AE6B4"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300986FF" w14:textId="77777777" w:rsidR="00CB542F" w:rsidRDefault="00573A58">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Gyvybei pavojingas</w:t>
            </w:r>
          </w:p>
          <w:p w14:paraId="788CBCF9" w14:textId="77777777" w:rsidR="00CB542F" w:rsidRDefault="00573A58">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kraujavimas</w:t>
            </w:r>
          </w:p>
        </w:tc>
        <w:tc>
          <w:tcPr>
            <w:tcW w:w="2261" w:type="dxa"/>
            <w:tcBorders>
              <w:top w:val="single" w:sz="4" w:space="0" w:color="000000"/>
              <w:left w:val="single" w:sz="4" w:space="0" w:color="000000"/>
              <w:bottom w:val="single" w:sz="4" w:space="0" w:color="000000"/>
              <w:right w:val="single" w:sz="4" w:space="0" w:color="000000"/>
            </w:tcBorders>
          </w:tcPr>
          <w:p w14:paraId="4A3AA294"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467BE700" w14:textId="77777777" w:rsidR="00CB542F" w:rsidRDefault="00573A58">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1A59BFAC" w14:textId="77777777" w:rsidR="00CB542F" w:rsidRDefault="00573A58">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CB542F" w14:paraId="1DEB8E70"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23114A3B" w14:textId="77777777" w:rsidR="00CB542F" w:rsidRDefault="00573A58">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Didžiojo kraujavimo</w:t>
            </w:r>
          </w:p>
          <w:p w14:paraId="69596DCF" w14:textId="77777777" w:rsidR="00CB542F" w:rsidRDefault="00573A58">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reiškiniai / kliniškai</w:t>
            </w:r>
          </w:p>
          <w:p w14:paraId="26D68527" w14:textId="77777777" w:rsidR="00CB542F" w:rsidRDefault="00573A58">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reikšmingas kraujavimas</w:t>
            </w:r>
          </w:p>
        </w:tc>
        <w:tc>
          <w:tcPr>
            <w:tcW w:w="2261" w:type="dxa"/>
            <w:tcBorders>
              <w:top w:val="single" w:sz="4" w:space="0" w:color="000000"/>
              <w:left w:val="single" w:sz="4" w:space="0" w:color="000000"/>
              <w:bottom w:val="single" w:sz="4" w:space="0" w:color="000000"/>
              <w:right w:val="single" w:sz="4" w:space="0" w:color="000000"/>
            </w:tcBorders>
          </w:tcPr>
          <w:p w14:paraId="0EBEF2AD"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36 (5,3 %)</w:t>
            </w:r>
          </w:p>
        </w:tc>
        <w:tc>
          <w:tcPr>
            <w:tcW w:w="2213" w:type="dxa"/>
            <w:tcBorders>
              <w:top w:val="single" w:sz="4" w:space="0" w:color="000000"/>
              <w:left w:val="single" w:sz="4" w:space="0" w:color="000000"/>
              <w:bottom w:val="single" w:sz="4" w:space="0" w:color="000000"/>
              <w:right w:val="single" w:sz="4" w:space="0" w:color="000000"/>
            </w:tcBorders>
          </w:tcPr>
          <w:p w14:paraId="4E709197"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13 (2,0 %)</w:t>
            </w:r>
          </w:p>
        </w:tc>
        <w:tc>
          <w:tcPr>
            <w:tcW w:w="1918" w:type="dxa"/>
            <w:tcBorders>
              <w:top w:val="single" w:sz="4" w:space="0" w:color="000000"/>
              <w:left w:val="single" w:sz="4" w:space="0" w:color="000000"/>
              <w:bottom w:val="single" w:sz="4" w:space="0" w:color="000000"/>
              <w:right w:val="single" w:sz="4" w:space="0" w:color="000000"/>
            </w:tcBorders>
          </w:tcPr>
          <w:p w14:paraId="4F8E3747"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2,69 (1,43, 5,07)</w:t>
            </w:r>
          </w:p>
        </w:tc>
      </w:tr>
      <w:tr w:rsidR="00CB542F" w14:paraId="694BA8C1"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70C42AE3"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Bet koks kraujavimas</w:t>
            </w:r>
          </w:p>
        </w:tc>
        <w:tc>
          <w:tcPr>
            <w:tcW w:w="2261" w:type="dxa"/>
            <w:tcBorders>
              <w:top w:val="single" w:sz="4" w:space="0" w:color="000000"/>
              <w:left w:val="single" w:sz="4" w:space="0" w:color="000000"/>
              <w:bottom w:val="single" w:sz="4" w:space="0" w:color="000000"/>
              <w:right w:val="single" w:sz="4" w:space="0" w:color="000000"/>
            </w:tcBorders>
          </w:tcPr>
          <w:p w14:paraId="30AE3C4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72 (10,5 %)</w:t>
            </w:r>
          </w:p>
        </w:tc>
        <w:tc>
          <w:tcPr>
            <w:tcW w:w="2213" w:type="dxa"/>
            <w:tcBorders>
              <w:top w:val="single" w:sz="4" w:space="0" w:color="000000"/>
              <w:left w:val="single" w:sz="4" w:space="0" w:color="000000"/>
              <w:bottom w:val="single" w:sz="4" w:space="0" w:color="000000"/>
              <w:right w:val="single" w:sz="4" w:space="0" w:color="000000"/>
            </w:tcBorders>
          </w:tcPr>
          <w:p w14:paraId="274A51C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(6,1 %)</w:t>
            </w:r>
          </w:p>
        </w:tc>
        <w:tc>
          <w:tcPr>
            <w:tcW w:w="1918" w:type="dxa"/>
            <w:tcBorders>
              <w:top w:val="single" w:sz="4" w:space="0" w:color="000000"/>
              <w:left w:val="single" w:sz="4" w:space="0" w:color="000000"/>
              <w:bottom w:val="single" w:sz="4" w:space="0" w:color="000000"/>
              <w:right w:val="single" w:sz="4" w:space="0" w:color="000000"/>
            </w:tcBorders>
          </w:tcPr>
          <w:p w14:paraId="692FC95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1,77 (1,20, 2,61)</w:t>
            </w:r>
          </w:p>
        </w:tc>
      </w:tr>
      <w:tr w:rsidR="00CB542F" w14:paraId="116D5818"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1695DD04" w14:textId="77777777" w:rsidR="00CB542F" w:rsidRDefault="00573A58">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Bet koks</w:t>
            </w:r>
          </w:p>
          <w:p w14:paraId="0E4CA152" w14:textId="77777777" w:rsidR="00CB542F" w:rsidRDefault="00573A58">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kraujavimas į VT</w:t>
            </w:r>
          </w:p>
        </w:tc>
        <w:tc>
          <w:tcPr>
            <w:tcW w:w="2261" w:type="dxa"/>
            <w:tcBorders>
              <w:top w:val="single" w:sz="4" w:space="0" w:color="000000"/>
              <w:left w:val="single" w:sz="4" w:space="0" w:color="000000"/>
              <w:bottom w:val="single" w:sz="4" w:space="0" w:color="000000"/>
              <w:right w:val="single" w:sz="4" w:space="0" w:color="000000"/>
            </w:tcBorders>
          </w:tcPr>
          <w:p w14:paraId="2CD5897A"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(0,7 %)</w:t>
            </w:r>
          </w:p>
        </w:tc>
        <w:tc>
          <w:tcPr>
            <w:tcW w:w="2213" w:type="dxa"/>
            <w:tcBorders>
              <w:top w:val="single" w:sz="4" w:space="0" w:color="000000"/>
              <w:left w:val="single" w:sz="4" w:space="0" w:color="000000"/>
              <w:bottom w:val="single" w:sz="4" w:space="0" w:color="000000"/>
              <w:right w:val="single" w:sz="4" w:space="0" w:color="000000"/>
            </w:tcBorders>
          </w:tcPr>
          <w:p w14:paraId="1707DA2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1918" w:type="dxa"/>
            <w:tcBorders>
              <w:top w:val="single" w:sz="4" w:space="0" w:color="000000"/>
              <w:left w:val="single" w:sz="4" w:space="0" w:color="000000"/>
              <w:bottom w:val="single" w:sz="4" w:space="0" w:color="000000"/>
              <w:right w:val="single" w:sz="4" w:space="0" w:color="000000"/>
            </w:tcBorders>
          </w:tcPr>
          <w:p w14:paraId="2347B81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2,38 (0,46, 12,27)</w:t>
            </w:r>
          </w:p>
        </w:tc>
      </w:tr>
    </w:tbl>
    <w:p w14:paraId="2AD9441F" w14:textId="77777777" w:rsidR="00CB542F" w:rsidRDefault="00573A58">
      <w:r>
        <w:lastRenderedPageBreak/>
        <w:t>*RS neįvertintas, kadangi reiškinio nebuvo nė vienoje gydymo grupėje</w:t>
      </w:r>
    </w:p>
    <w:p w14:paraId="6C1723F6" w14:textId="77777777" w:rsidR="00CB542F" w:rsidRDefault="00CB542F">
      <w:pPr>
        <w:rPr>
          <w:b/>
        </w:rPr>
      </w:pPr>
    </w:p>
    <w:p w14:paraId="4ECB983E" w14:textId="77777777" w:rsidR="00CB542F" w:rsidRDefault="00573A58">
      <w:pPr>
        <w:rPr>
          <w:i/>
          <w:iCs/>
          <w:u w:val="single"/>
        </w:rPr>
      </w:pPr>
      <w:r>
        <w:rPr>
          <w:i/>
          <w:iCs/>
          <w:u w:val="single"/>
        </w:rPr>
        <w:t>Agranulocitozė ir neutropenija</w:t>
      </w:r>
    </w:p>
    <w:p w14:paraId="739C505F" w14:textId="77777777" w:rsidR="00CB542F" w:rsidRDefault="00CB542F"/>
    <w:p w14:paraId="4EC44226" w14:textId="77777777" w:rsidR="00CB542F" w:rsidRDefault="00573A58">
      <w:r>
        <w:t>Vartojant dabigatrano eteksilatą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5A2A8C89" w14:textId="77777777" w:rsidR="00CB542F" w:rsidRDefault="00CB542F"/>
    <w:p w14:paraId="2D5E50B7" w14:textId="77777777" w:rsidR="00CB542F" w:rsidRDefault="00573A58">
      <w:pPr>
        <w:rPr>
          <w:u w:val="single"/>
        </w:rPr>
      </w:pPr>
      <w:r>
        <w:rPr>
          <w:u w:val="single"/>
        </w:rPr>
        <w:t>Vaikų populiacija</w:t>
      </w:r>
    </w:p>
    <w:p w14:paraId="164B5A5E" w14:textId="77777777" w:rsidR="00CB542F" w:rsidRDefault="00CB542F">
      <w:pPr>
        <w:rPr>
          <w:u w:val="single"/>
        </w:rPr>
      </w:pPr>
    </w:p>
    <w:p w14:paraId="63D6927A" w14:textId="77777777" w:rsidR="00CB542F" w:rsidRDefault="00573A58">
      <w:r>
        <w:t>Dabigatrano eteksilato saugumas gydant VTE ir skiriant VTE pasikartojimo profilaktikai pacientams vaikams tirtas atliekant du III fazės tyrimus (DIVERSITY ir 1160.108). Dabigatrano eteksilatu buvo gydyti iš viso 328 pacientai vaikai. Pacientams buvo skirtos pagal amžių ir svorį ir jų amžių atitinkančios dabigatrano eteksilato farmacinės formos dozės.</w:t>
      </w:r>
    </w:p>
    <w:p w14:paraId="39BE335A" w14:textId="77777777" w:rsidR="00CB542F" w:rsidRDefault="00573A58">
      <w:r>
        <w:t>Bendrai tikimasi, kad saugumo profilis vaikams bus panašus į suaugusiųjų.</w:t>
      </w:r>
    </w:p>
    <w:p w14:paraId="50C4E626" w14:textId="77777777" w:rsidR="00CB542F" w:rsidRDefault="00573A58">
      <w:r>
        <w:t>Nepageidaujamų reakcijų patyrė iš viso 26 % pacientų vaikų, vartojusių dabigatrano eteksilato VTE gydyti ir VTE pasikartojimo profilaktikai.</w:t>
      </w:r>
    </w:p>
    <w:p w14:paraId="2CBE3392" w14:textId="77777777" w:rsidR="00CB542F" w:rsidRDefault="00CB542F"/>
    <w:p w14:paraId="17CD33DF" w14:textId="77777777" w:rsidR="00CB542F" w:rsidRDefault="00573A58">
      <w:pPr>
        <w:rPr>
          <w:i/>
          <w:iCs/>
          <w:u w:val="single"/>
        </w:rPr>
      </w:pPr>
      <w:r>
        <w:rPr>
          <w:i/>
          <w:iCs/>
          <w:u w:val="single"/>
        </w:rPr>
        <w:t>Nepageidaujamų reakcijų santrauka lentelėje</w:t>
      </w:r>
    </w:p>
    <w:p w14:paraId="364B9E98" w14:textId="77777777" w:rsidR="00CB542F" w:rsidRDefault="00CB542F"/>
    <w:p w14:paraId="0E1009FC" w14:textId="77777777" w:rsidR="00CB542F" w:rsidRDefault="00573A58">
      <w:pPr>
        <w:widowControl w:val="0"/>
        <w:kinsoku w:val="0"/>
        <w:overflowPunct w:val="0"/>
        <w:autoSpaceDE w:val="0"/>
        <w:autoSpaceDN w:val="0"/>
        <w:adjustRightInd w:val="0"/>
        <w:rPr>
          <w:b/>
        </w:rPr>
      </w:pPr>
      <w:r>
        <w:t xml:space="preserve">16-ojoje lentelėje išvardytos nepageidaujamos reakcijos, nustatytos pacientų vaikų tyrimuose, skirtuose VTE gydyti ir VTE pasikartojimo profilaktikai. Jos suklasifikuotos pagal organų sistemų klases (OSK) ir dažnį, kuris apibūdinamas taip: labai dažnas (≥1/10), dažnas (nuo ≥1/100 iki </w:t>
      </w:r>
      <w:r>
        <w:rPr>
          <w:color w:val="000000"/>
          <w:szCs w:val="22"/>
          <w:lang w:val="sl-SI" w:eastAsia="sl-SI"/>
        </w:rPr>
        <w:t xml:space="preserve">&lt;1/10), nedažnas (nuo ≥1/1 000 iki &lt;1/100), retas (nuo ≥1/10 000 iki &lt;1/1 000), labai retas (&lt;1/10 000), </w:t>
      </w:r>
      <w:r>
        <w:t>dažnis nežinomas (negali būti apskaičiuotas pagal turimus duomenis).</w:t>
      </w:r>
    </w:p>
    <w:p w14:paraId="185BB715" w14:textId="77777777" w:rsidR="00CB542F" w:rsidRDefault="00CB542F">
      <w:pPr>
        <w:ind w:left="567" w:hanging="567"/>
      </w:pPr>
    </w:p>
    <w:p w14:paraId="118B4C64" w14:textId="77777777" w:rsidR="00CB542F" w:rsidRDefault="00573A58">
      <w:pPr>
        <w:ind w:left="567" w:hanging="567"/>
        <w:rPr>
          <w:b/>
          <w:bCs/>
        </w:rPr>
      </w:pPr>
      <w:r>
        <w:rPr>
          <w:b/>
          <w:bCs/>
        </w:rPr>
        <w:t>16 lentelė. Nepageidaujamos reakcijos</w:t>
      </w:r>
    </w:p>
    <w:p w14:paraId="27FE4ECE" w14:textId="77777777" w:rsidR="00CB542F" w:rsidRDefault="00CB542F">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CB542F" w14:paraId="70142EBB" w14:textId="77777777">
        <w:tc>
          <w:tcPr>
            <w:tcW w:w="4542" w:type="dxa"/>
            <w:shd w:val="clear" w:color="auto" w:fill="auto"/>
          </w:tcPr>
          <w:p w14:paraId="6221EA55" w14:textId="77777777" w:rsidR="00CB542F" w:rsidRDefault="00CB542F">
            <w:pPr>
              <w:widowControl w:val="0"/>
              <w:kinsoku w:val="0"/>
              <w:overflowPunct w:val="0"/>
              <w:autoSpaceDE w:val="0"/>
              <w:autoSpaceDN w:val="0"/>
              <w:adjustRightInd w:val="0"/>
              <w:rPr>
                <w:color w:val="000000"/>
                <w:szCs w:val="22"/>
                <w:lang w:val="sl-SI" w:eastAsia="sl-SI"/>
              </w:rPr>
            </w:pPr>
          </w:p>
        </w:tc>
        <w:tc>
          <w:tcPr>
            <w:tcW w:w="4518" w:type="dxa"/>
            <w:shd w:val="clear" w:color="auto" w:fill="auto"/>
          </w:tcPr>
          <w:p w14:paraId="4A27B33E" w14:textId="77777777" w:rsidR="00CB542F" w:rsidRDefault="00573A58">
            <w:pPr>
              <w:widowControl w:val="0"/>
              <w:kinsoku w:val="0"/>
              <w:overflowPunct w:val="0"/>
              <w:autoSpaceDE w:val="0"/>
              <w:autoSpaceDN w:val="0"/>
              <w:adjustRightInd w:val="0"/>
              <w:jc w:val="center"/>
              <w:rPr>
                <w:color w:val="000000"/>
                <w:szCs w:val="22"/>
                <w:lang w:val="sl-SI" w:eastAsia="sl-SI"/>
              </w:rPr>
            </w:pPr>
            <w:r>
              <w:t>Dažnis</w:t>
            </w:r>
          </w:p>
        </w:tc>
      </w:tr>
      <w:tr w:rsidR="00CB542F" w14:paraId="7686B569" w14:textId="77777777">
        <w:tc>
          <w:tcPr>
            <w:tcW w:w="4542" w:type="dxa"/>
            <w:shd w:val="clear" w:color="auto" w:fill="auto"/>
          </w:tcPr>
          <w:p w14:paraId="5151BAA3" w14:textId="77777777" w:rsidR="00CB542F" w:rsidRDefault="00573A58">
            <w:pPr>
              <w:widowControl w:val="0"/>
              <w:kinsoku w:val="0"/>
              <w:overflowPunct w:val="0"/>
              <w:autoSpaceDE w:val="0"/>
              <w:autoSpaceDN w:val="0"/>
              <w:adjustRightInd w:val="0"/>
              <w:rPr>
                <w:color w:val="000000"/>
                <w:szCs w:val="22"/>
                <w:lang w:val="sl-SI" w:eastAsia="sl-SI"/>
              </w:rPr>
            </w:pPr>
            <w:r>
              <w:t>Organų sistemų klasė / pirmenybinis terminas</w:t>
            </w:r>
          </w:p>
        </w:tc>
        <w:tc>
          <w:tcPr>
            <w:tcW w:w="4518" w:type="dxa"/>
            <w:shd w:val="clear" w:color="auto" w:fill="auto"/>
          </w:tcPr>
          <w:p w14:paraId="4771DF0C" w14:textId="77777777" w:rsidR="00CB542F" w:rsidRDefault="00573A58">
            <w:pPr>
              <w:widowControl w:val="0"/>
              <w:kinsoku w:val="0"/>
              <w:overflowPunct w:val="0"/>
              <w:autoSpaceDE w:val="0"/>
              <w:autoSpaceDN w:val="0"/>
              <w:adjustRightInd w:val="0"/>
              <w:jc w:val="center"/>
              <w:rPr>
                <w:color w:val="000000"/>
                <w:szCs w:val="22"/>
                <w:lang w:val="sl-SI" w:eastAsia="sl-SI"/>
              </w:rPr>
            </w:pPr>
            <w:r>
              <w:t>VTE gydymas ir VTE pasikartojimo profilaktika pacientams vaikams</w:t>
            </w:r>
          </w:p>
        </w:tc>
      </w:tr>
      <w:tr w:rsidR="00CB542F" w14:paraId="435C792C" w14:textId="77777777">
        <w:tc>
          <w:tcPr>
            <w:tcW w:w="9060" w:type="dxa"/>
            <w:gridSpan w:val="2"/>
            <w:shd w:val="clear" w:color="auto" w:fill="auto"/>
          </w:tcPr>
          <w:p w14:paraId="28EA661F"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Kraujo ir limfinės sistemos sutrikimai</w:t>
            </w:r>
          </w:p>
        </w:tc>
      </w:tr>
      <w:tr w:rsidR="00CB542F" w14:paraId="0C5AF72D" w14:textId="77777777">
        <w:tc>
          <w:tcPr>
            <w:tcW w:w="4542" w:type="dxa"/>
            <w:shd w:val="clear" w:color="auto" w:fill="auto"/>
          </w:tcPr>
          <w:p w14:paraId="4DA15284" w14:textId="77777777" w:rsidR="00CB542F" w:rsidRDefault="00573A58">
            <w:pPr>
              <w:widowControl w:val="0"/>
              <w:kinsoku w:val="0"/>
              <w:overflowPunct w:val="0"/>
              <w:autoSpaceDE w:val="0"/>
              <w:autoSpaceDN w:val="0"/>
              <w:adjustRightInd w:val="0"/>
              <w:ind w:left="284"/>
              <w:rPr>
                <w:color w:val="000000"/>
                <w:szCs w:val="22"/>
                <w:lang w:val="sl-SI" w:eastAsia="sl-SI"/>
              </w:rPr>
            </w:pPr>
            <w:r>
              <w:t>Anemija</w:t>
            </w:r>
          </w:p>
        </w:tc>
        <w:tc>
          <w:tcPr>
            <w:tcW w:w="4518" w:type="dxa"/>
            <w:shd w:val="clear" w:color="auto" w:fill="auto"/>
          </w:tcPr>
          <w:p w14:paraId="40E7815F"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157446B4" w14:textId="77777777">
        <w:tc>
          <w:tcPr>
            <w:tcW w:w="4542" w:type="dxa"/>
            <w:shd w:val="clear" w:color="auto" w:fill="auto"/>
          </w:tcPr>
          <w:p w14:paraId="18C92EC6" w14:textId="77777777" w:rsidR="00CB542F" w:rsidRDefault="00573A58">
            <w:pPr>
              <w:widowControl w:val="0"/>
              <w:kinsoku w:val="0"/>
              <w:overflowPunct w:val="0"/>
              <w:autoSpaceDE w:val="0"/>
              <w:autoSpaceDN w:val="0"/>
              <w:adjustRightInd w:val="0"/>
              <w:ind w:left="284"/>
              <w:rPr>
                <w:color w:val="000000"/>
                <w:szCs w:val="22"/>
                <w:lang w:val="sl-SI" w:eastAsia="sl-SI"/>
              </w:rPr>
            </w:pPr>
            <w:r>
              <w:t>Hemoglobino kiekio sumažėjimas</w:t>
            </w:r>
          </w:p>
        </w:tc>
        <w:tc>
          <w:tcPr>
            <w:tcW w:w="4518" w:type="dxa"/>
            <w:shd w:val="clear" w:color="auto" w:fill="auto"/>
          </w:tcPr>
          <w:p w14:paraId="791428F5"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5F989DCD" w14:textId="77777777">
        <w:tc>
          <w:tcPr>
            <w:tcW w:w="4542" w:type="dxa"/>
            <w:shd w:val="clear" w:color="auto" w:fill="auto"/>
          </w:tcPr>
          <w:p w14:paraId="28C91912" w14:textId="77777777" w:rsidR="00CB542F" w:rsidRDefault="00573A58">
            <w:pPr>
              <w:widowControl w:val="0"/>
              <w:kinsoku w:val="0"/>
              <w:overflowPunct w:val="0"/>
              <w:autoSpaceDE w:val="0"/>
              <w:autoSpaceDN w:val="0"/>
              <w:adjustRightInd w:val="0"/>
              <w:ind w:left="284"/>
              <w:rPr>
                <w:color w:val="000000"/>
                <w:szCs w:val="22"/>
                <w:lang w:val="sl-SI" w:eastAsia="sl-SI"/>
              </w:rPr>
            </w:pPr>
            <w:r>
              <w:t>Trombocitopenija</w:t>
            </w:r>
          </w:p>
        </w:tc>
        <w:tc>
          <w:tcPr>
            <w:tcW w:w="4518" w:type="dxa"/>
            <w:shd w:val="clear" w:color="auto" w:fill="auto"/>
          </w:tcPr>
          <w:p w14:paraId="45D38B6D"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269296DA" w14:textId="77777777">
        <w:tc>
          <w:tcPr>
            <w:tcW w:w="4542" w:type="dxa"/>
            <w:shd w:val="clear" w:color="auto" w:fill="auto"/>
          </w:tcPr>
          <w:p w14:paraId="7CEAAD11" w14:textId="77777777" w:rsidR="00CB542F" w:rsidRDefault="00573A58">
            <w:pPr>
              <w:widowControl w:val="0"/>
              <w:kinsoku w:val="0"/>
              <w:overflowPunct w:val="0"/>
              <w:autoSpaceDE w:val="0"/>
              <w:autoSpaceDN w:val="0"/>
              <w:adjustRightInd w:val="0"/>
              <w:ind w:left="284"/>
              <w:rPr>
                <w:color w:val="000000"/>
                <w:szCs w:val="22"/>
                <w:lang w:val="sl-SI" w:eastAsia="sl-SI"/>
              </w:rPr>
            </w:pPr>
            <w:r>
              <w:t>Hematokrito sumažėjimas</w:t>
            </w:r>
          </w:p>
        </w:tc>
        <w:tc>
          <w:tcPr>
            <w:tcW w:w="4518" w:type="dxa"/>
            <w:shd w:val="clear" w:color="auto" w:fill="auto"/>
          </w:tcPr>
          <w:p w14:paraId="51FE5F15"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36F4BF19" w14:textId="77777777">
        <w:tc>
          <w:tcPr>
            <w:tcW w:w="4542" w:type="dxa"/>
            <w:shd w:val="clear" w:color="auto" w:fill="auto"/>
          </w:tcPr>
          <w:p w14:paraId="60B1E416" w14:textId="77777777" w:rsidR="00CB542F" w:rsidRDefault="00573A58">
            <w:pPr>
              <w:widowControl w:val="0"/>
              <w:kinsoku w:val="0"/>
              <w:overflowPunct w:val="0"/>
              <w:autoSpaceDE w:val="0"/>
              <w:autoSpaceDN w:val="0"/>
              <w:adjustRightInd w:val="0"/>
              <w:ind w:left="284"/>
              <w:rPr>
                <w:color w:val="000000"/>
                <w:szCs w:val="22"/>
                <w:lang w:val="sl-SI" w:eastAsia="sl-SI"/>
              </w:rPr>
            </w:pPr>
            <w:r>
              <w:t>Neutropenija</w:t>
            </w:r>
          </w:p>
        </w:tc>
        <w:tc>
          <w:tcPr>
            <w:tcW w:w="4518" w:type="dxa"/>
            <w:shd w:val="clear" w:color="auto" w:fill="auto"/>
          </w:tcPr>
          <w:p w14:paraId="2388175B"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28876FFA" w14:textId="77777777">
        <w:tc>
          <w:tcPr>
            <w:tcW w:w="4542" w:type="dxa"/>
            <w:shd w:val="clear" w:color="auto" w:fill="auto"/>
          </w:tcPr>
          <w:p w14:paraId="6653EF08" w14:textId="77777777" w:rsidR="00CB542F" w:rsidRDefault="00573A58">
            <w:pPr>
              <w:widowControl w:val="0"/>
              <w:kinsoku w:val="0"/>
              <w:overflowPunct w:val="0"/>
              <w:autoSpaceDE w:val="0"/>
              <w:autoSpaceDN w:val="0"/>
              <w:adjustRightInd w:val="0"/>
              <w:ind w:left="284"/>
              <w:rPr>
                <w:color w:val="000000"/>
                <w:szCs w:val="22"/>
                <w:lang w:val="sl-SI" w:eastAsia="sl-SI"/>
              </w:rPr>
            </w:pPr>
            <w:r>
              <w:t>Agranulocitozė</w:t>
            </w:r>
          </w:p>
        </w:tc>
        <w:tc>
          <w:tcPr>
            <w:tcW w:w="4518" w:type="dxa"/>
            <w:shd w:val="clear" w:color="auto" w:fill="auto"/>
          </w:tcPr>
          <w:p w14:paraId="3D05F4A7"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47D08AA8" w14:textId="77777777">
        <w:tc>
          <w:tcPr>
            <w:tcW w:w="4542" w:type="dxa"/>
            <w:shd w:val="clear" w:color="auto" w:fill="auto"/>
          </w:tcPr>
          <w:p w14:paraId="6EDFA455"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Imuninės sistemos sutrikimai</w:t>
            </w:r>
          </w:p>
        </w:tc>
        <w:tc>
          <w:tcPr>
            <w:tcW w:w="4518" w:type="dxa"/>
            <w:shd w:val="clear" w:color="auto" w:fill="auto"/>
          </w:tcPr>
          <w:p w14:paraId="14B03AE8"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41CBEC82" w14:textId="77777777">
        <w:tc>
          <w:tcPr>
            <w:tcW w:w="4542" w:type="dxa"/>
            <w:shd w:val="clear" w:color="auto" w:fill="auto"/>
          </w:tcPr>
          <w:p w14:paraId="26642799" w14:textId="77777777" w:rsidR="00CB542F" w:rsidRDefault="00573A58">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Jautrumo vaistiniam preparatui</w:t>
            </w:r>
          </w:p>
          <w:p w14:paraId="6B4FE6E1" w14:textId="77777777" w:rsidR="00CB542F" w:rsidRDefault="00573A58">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73593ED2"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7E90DD49" w14:textId="77777777">
        <w:tc>
          <w:tcPr>
            <w:tcW w:w="4542" w:type="dxa"/>
            <w:shd w:val="clear" w:color="auto" w:fill="auto"/>
          </w:tcPr>
          <w:p w14:paraId="473D188F" w14:textId="77777777" w:rsidR="00CB542F" w:rsidRDefault="00573A58">
            <w:pPr>
              <w:widowControl w:val="0"/>
              <w:kinsoku w:val="0"/>
              <w:overflowPunct w:val="0"/>
              <w:autoSpaceDE w:val="0"/>
              <w:autoSpaceDN w:val="0"/>
              <w:adjustRightInd w:val="0"/>
              <w:ind w:left="284"/>
              <w:rPr>
                <w:color w:val="000000"/>
                <w:szCs w:val="22"/>
                <w:lang w:val="sl-SI" w:eastAsia="sl-SI"/>
              </w:rPr>
            </w:pPr>
            <w:r>
              <w:t>Išbėrimas</w:t>
            </w:r>
          </w:p>
        </w:tc>
        <w:tc>
          <w:tcPr>
            <w:tcW w:w="4518" w:type="dxa"/>
            <w:shd w:val="clear" w:color="auto" w:fill="auto"/>
          </w:tcPr>
          <w:p w14:paraId="0DE3FDEB"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5BED6063" w14:textId="77777777">
        <w:tc>
          <w:tcPr>
            <w:tcW w:w="4542" w:type="dxa"/>
            <w:shd w:val="clear" w:color="auto" w:fill="auto"/>
          </w:tcPr>
          <w:p w14:paraId="16862D36" w14:textId="77777777" w:rsidR="00CB542F" w:rsidRDefault="00573A58">
            <w:pPr>
              <w:widowControl w:val="0"/>
              <w:kinsoku w:val="0"/>
              <w:overflowPunct w:val="0"/>
              <w:autoSpaceDE w:val="0"/>
              <w:autoSpaceDN w:val="0"/>
              <w:adjustRightInd w:val="0"/>
              <w:ind w:left="284"/>
              <w:rPr>
                <w:color w:val="000000"/>
                <w:szCs w:val="22"/>
                <w:lang w:val="sl-SI" w:eastAsia="sl-SI"/>
              </w:rPr>
            </w:pPr>
            <w:r>
              <w:t>Niežėjimas</w:t>
            </w:r>
          </w:p>
        </w:tc>
        <w:tc>
          <w:tcPr>
            <w:tcW w:w="4518" w:type="dxa"/>
            <w:shd w:val="clear" w:color="auto" w:fill="auto"/>
          </w:tcPr>
          <w:p w14:paraId="3481357A"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440B9BE6" w14:textId="77777777">
        <w:tc>
          <w:tcPr>
            <w:tcW w:w="4542" w:type="dxa"/>
            <w:shd w:val="clear" w:color="auto" w:fill="auto"/>
          </w:tcPr>
          <w:p w14:paraId="3C97925A" w14:textId="77777777" w:rsidR="00CB542F" w:rsidRDefault="00573A58">
            <w:pPr>
              <w:widowControl w:val="0"/>
              <w:kinsoku w:val="0"/>
              <w:overflowPunct w:val="0"/>
              <w:autoSpaceDE w:val="0"/>
              <w:autoSpaceDN w:val="0"/>
              <w:adjustRightInd w:val="0"/>
              <w:ind w:left="284"/>
              <w:rPr>
                <w:color w:val="000000"/>
                <w:szCs w:val="22"/>
                <w:lang w:val="sl-SI" w:eastAsia="sl-SI"/>
              </w:rPr>
            </w:pPr>
            <w:r>
              <w:t>Anafilaksinė reakcija</w:t>
            </w:r>
          </w:p>
        </w:tc>
        <w:tc>
          <w:tcPr>
            <w:tcW w:w="4518" w:type="dxa"/>
            <w:shd w:val="clear" w:color="auto" w:fill="auto"/>
          </w:tcPr>
          <w:p w14:paraId="1DD65F1D"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6CE04188" w14:textId="77777777">
        <w:tc>
          <w:tcPr>
            <w:tcW w:w="4542" w:type="dxa"/>
            <w:shd w:val="clear" w:color="auto" w:fill="auto"/>
          </w:tcPr>
          <w:p w14:paraId="0C68A185" w14:textId="77777777" w:rsidR="00CB542F" w:rsidRDefault="00573A58">
            <w:pPr>
              <w:widowControl w:val="0"/>
              <w:kinsoku w:val="0"/>
              <w:overflowPunct w:val="0"/>
              <w:autoSpaceDE w:val="0"/>
              <w:autoSpaceDN w:val="0"/>
              <w:adjustRightInd w:val="0"/>
              <w:ind w:left="284"/>
              <w:rPr>
                <w:color w:val="000000"/>
                <w:szCs w:val="22"/>
                <w:lang w:val="sl-SI" w:eastAsia="sl-SI"/>
              </w:rPr>
            </w:pPr>
            <w:r>
              <w:t>Angioedema</w:t>
            </w:r>
          </w:p>
        </w:tc>
        <w:tc>
          <w:tcPr>
            <w:tcW w:w="4518" w:type="dxa"/>
            <w:shd w:val="clear" w:color="auto" w:fill="auto"/>
          </w:tcPr>
          <w:p w14:paraId="2509326D"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17A96A0E" w14:textId="77777777">
        <w:tc>
          <w:tcPr>
            <w:tcW w:w="4542" w:type="dxa"/>
            <w:shd w:val="clear" w:color="auto" w:fill="auto"/>
          </w:tcPr>
          <w:p w14:paraId="723EF89D" w14:textId="77777777" w:rsidR="00CB542F" w:rsidRDefault="00573A58">
            <w:pPr>
              <w:widowControl w:val="0"/>
              <w:kinsoku w:val="0"/>
              <w:overflowPunct w:val="0"/>
              <w:autoSpaceDE w:val="0"/>
              <w:autoSpaceDN w:val="0"/>
              <w:adjustRightInd w:val="0"/>
              <w:ind w:left="284"/>
              <w:rPr>
                <w:color w:val="000000"/>
                <w:szCs w:val="22"/>
                <w:lang w:val="sl-SI" w:eastAsia="sl-SI"/>
              </w:rPr>
            </w:pPr>
            <w:r>
              <w:t>Dilgėlinė</w:t>
            </w:r>
          </w:p>
        </w:tc>
        <w:tc>
          <w:tcPr>
            <w:tcW w:w="4518" w:type="dxa"/>
            <w:shd w:val="clear" w:color="auto" w:fill="auto"/>
          </w:tcPr>
          <w:p w14:paraId="74D482C3"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66EEE45F" w14:textId="77777777">
        <w:tc>
          <w:tcPr>
            <w:tcW w:w="4542" w:type="dxa"/>
            <w:shd w:val="clear" w:color="auto" w:fill="auto"/>
          </w:tcPr>
          <w:p w14:paraId="59564E43" w14:textId="77777777" w:rsidR="00CB542F" w:rsidRDefault="00573A58">
            <w:pPr>
              <w:widowControl w:val="0"/>
              <w:kinsoku w:val="0"/>
              <w:overflowPunct w:val="0"/>
              <w:autoSpaceDE w:val="0"/>
              <w:autoSpaceDN w:val="0"/>
              <w:adjustRightInd w:val="0"/>
              <w:ind w:left="284"/>
              <w:rPr>
                <w:color w:val="000000"/>
                <w:szCs w:val="22"/>
                <w:lang w:val="sl-SI" w:eastAsia="sl-SI"/>
              </w:rPr>
            </w:pPr>
            <w:r>
              <w:t>Bronchų spazmas</w:t>
            </w:r>
          </w:p>
        </w:tc>
        <w:tc>
          <w:tcPr>
            <w:tcW w:w="4518" w:type="dxa"/>
            <w:shd w:val="clear" w:color="auto" w:fill="auto"/>
          </w:tcPr>
          <w:p w14:paraId="5F053C80"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48E304C9" w14:textId="77777777">
        <w:tc>
          <w:tcPr>
            <w:tcW w:w="9060" w:type="dxa"/>
            <w:gridSpan w:val="2"/>
            <w:shd w:val="clear" w:color="auto" w:fill="auto"/>
          </w:tcPr>
          <w:p w14:paraId="75BC0399"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Nervų sistemos sutrikimai</w:t>
            </w:r>
          </w:p>
        </w:tc>
      </w:tr>
      <w:tr w:rsidR="00CB542F" w14:paraId="6A4AC56A" w14:textId="77777777">
        <w:tc>
          <w:tcPr>
            <w:tcW w:w="4542" w:type="dxa"/>
            <w:shd w:val="clear" w:color="auto" w:fill="auto"/>
          </w:tcPr>
          <w:p w14:paraId="483B64C4" w14:textId="77777777" w:rsidR="00CB542F" w:rsidRDefault="00573A58">
            <w:pPr>
              <w:widowControl w:val="0"/>
              <w:kinsoku w:val="0"/>
              <w:overflowPunct w:val="0"/>
              <w:autoSpaceDE w:val="0"/>
              <w:autoSpaceDN w:val="0"/>
              <w:adjustRightInd w:val="0"/>
              <w:ind w:left="284"/>
              <w:rPr>
                <w:color w:val="000000"/>
                <w:szCs w:val="22"/>
                <w:lang w:val="sl-SI" w:eastAsia="sl-SI"/>
              </w:rPr>
            </w:pPr>
            <w:r>
              <w:t>Intrakranijinis kraujavimas</w:t>
            </w:r>
          </w:p>
        </w:tc>
        <w:tc>
          <w:tcPr>
            <w:tcW w:w="4518" w:type="dxa"/>
            <w:shd w:val="clear" w:color="auto" w:fill="auto"/>
          </w:tcPr>
          <w:p w14:paraId="29959390"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5F49D674" w14:textId="77777777">
        <w:tc>
          <w:tcPr>
            <w:tcW w:w="9060" w:type="dxa"/>
            <w:gridSpan w:val="2"/>
            <w:shd w:val="clear" w:color="auto" w:fill="auto"/>
          </w:tcPr>
          <w:p w14:paraId="518465FF"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Kraujagyslių sutrikimai</w:t>
            </w:r>
          </w:p>
        </w:tc>
      </w:tr>
      <w:tr w:rsidR="00CB542F" w14:paraId="1CCB0BC3" w14:textId="77777777">
        <w:tc>
          <w:tcPr>
            <w:tcW w:w="4542" w:type="dxa"/>
            <w:shd w:val="clear" w:color="auto" w:fill="auto"/>
          </w:tcPr>
          <w:p w14:paraId="2EB512C8" w14:textId="77777777" w:rsidR="00CB542F" w:rsidRDefault="00573A58">
            <w:pPr>
              <w:widowControl w:val="0"/>
              <w:kinsoku w:val="0"/>
              <w:overflowPunct w:val="0"/>
              <w:autoSpaceDE w:val="0"/>
              <w:autoSpaceDN w:val="0"/>
              <w:adjustRightInd w:val="0"/>
              <w:spacing w:line="232" w:lineRule="exact"/>
              <w:ind w:left="285"/>
              <w:rPr>
                <w:color w:val="000000"/>
                <w:szCs w:val="22"/>
                <w:lang w:val="sl-SI" w:eastAsia="sl-SI"/>
              </w:rPr>
            </w:pPr>
            <w:r>
              <w:t>Hematoma</w:t>
            </w:r>
          </w:p>
        </w:tc>
        <w:tc>
          <w:tcPr>
            <w:tcW w:w="4518" w:type="dxa"/>
            <w:shd w:val="clear" w:color="auto" w:fill="auto"/>
          </w:tcPr>
          <w:p w14:paraId="739E590C"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424E3868" w14:textId="77777777">
        <w:tc>
          <w:tcPr>
            <w:tcW w:w="4542" w:type="dxa"/>
            <w:shd w:val="clear" w:color="auto" w:fill="auto"/>
          </w:tcPr>
          <w:p w14:paraId="348EE89F" w14:textId="77777777" w:rsidR="00CB542F" w:rsidRDefault="00573A58">
            <w:pPr>
              <w:widowControl w:val="0"/>
              <w:kinsoku w:val="0"/>
              <w:overflowPunct w:val="0"/>
              <w:autoSpaceDE w:val="0"/>
              <w:autoSpaceDN w:val="0"/>
              <w:adjustRightInd w:val="0"/>
              <w:spacing w:line="232" w:lineRule="exact"/>
              <w:ind w:left="285"/>
              <w:rPr>
                <w:color w:val="000000"/>
                <w:szCs w:val="22"/>
                <w:lang w:val="sl-SI" w:eastAsia="sl-SI"/>
              </w:rPr>
            </w:pPr>
            <w:r>
              <w:t>Kraujavimas</w:t>
            </w:r>
          </w:p>
        </w:tc>
        <w:tc>
          <w:tcPr>
            <w:tcW w:w="4518" w:type="dxa"/>
            <w:shd w:val="clear" w:color="auto" w:fill="auto"/>
          </w:tcPr>
          <w:p w14:paraId="697ED8C0"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45B1B98B" w14:textId="77777777">
        <w:tc>
          <w:tcPr>
            <w:tcW w:w="9060" w:type="dxa"/>
            <w:gridSpan w:val="2"/>
            <w:shd w:val="clear" w:color="auto" w:fill="auto"/>
          </w:tcPr>
          <w:p w14:paraId="4DD6D4E2"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Kvėpavimo sistemos, krūtinės ląstos ir tarpuplaučio sutrikimai</w:t>
            </w:r>
          </w:p>
        </w:tc>
      </w:tr>
      <w:tr w:rsidR="00CB542F" w14:paraId="579328D1" w14:textId="77777777">
        <w:tc>
          <w:tcPr>
            <w:tcW w:w="4542" w:type="dxa"/>
            <w:shd w:val="clear" w:color="auto" w:fill="auto"/>
          </w:tcPr>
          <w:p w14:paraId="4E27E25C"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iš nosies</w:t>
            </w:r>
          </w:p>
        </w:tc>
        <w:tc>
          <w:tcPr>
            <w:tcW w:w="4518" w:type="dxa"/>
            <w:shd w:val="clear" w:color="auto" w:fill="auto"/>
          </w:tcPr>
          <w:p w14:paraId="6B23CD98"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307F2DD7" w14:textId="77777777">
        <w:tc>
          <w:tcPr>
            <w:tcW w:w="4542" w:type="dxa"/>
            <w:shd w:val="clear" w:color="auto" w:fill="auto"/>
          </w:tcPr>
          <w:p w14:paraId="4391C9A5" w14:textId="77777777" w:rsidR="00CB542F" w:rsidRDefault="00573A58">
            <w:pPr>
              <w:widowControl w:val="0"/>
              <w:kinsoku w:val="0"/>
              <w:overflowPunct w:val="0"/>
              <w:autoSpaceDE w:val="0"/>
              <w:autoSpaceDN w:val="0"/>
              <w:adjustRightInd w:val="0"/>
              <w:ind w:left="284"/>
              <w:rPr>
                <w:color w:val="000000"/>
                <w:szCs w:val="22"/>
                <w:lang w:val="sl-SI" w:eastAsia="sl-SI"/>
              </w:rPr>
            </w:pPr>
            <w:r>
              <w:lastRenderedPageBreak/>
              <w:t>Skrepliavimas krauju</w:t>
            </w:r>
          </w:p>
        </w:tc>
        <w:tc>
          <w:tcPr>
            <w:tcW w:w="4518" w:type="dxa"/>
            <w:shd w:val="clear" w:color="auto" w:fill="auto"/>
          </w:tcPr>
          <w:p w14:paraId="4AF1921D"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33919576" w14:textId="77777777">
        <w:tc>
          <w:tcPr>
            <w:tcW w:w="9060" w:type="dxa"/>
            <w:gridSpan w:val="2"/>
            <w:shd w:val="clear" w:color="auto" w:fill="auto"/>
          </w:tcPr>
          <w:p w14:paraId="1A0E59A4"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Virškinimo trakto sutrikimai</w:t>
            </w:r>
          </w:p>
        </w:tc>
      </w:tr>
      <w:tr w:rsidR="00CB542F" w14:paraId="3F3EA61B" w14:textId="77777777">
        <w:tc>
          <w:tcPr>
            <w:tcW w:w="4542" w:type="dxa"/>
            <w:shd w:val="clear" w:color="auto" w:fill="auto"/>
          </w:tcPr>
          <w:p w14:paraId="731FA223"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iš skrandžio ir žarnyno</w:t>
            </w:r>
          </w:p>
        </w:tc>
        <w:tc>
          <w:tcPr>
            <w:tcW w:w="4518" w:type="dxa"/>
            <w:shd w:val="clear" w:color="auto" w:fill="auto"/>
          </w:tcPr>
          <w:p w14:paraId="1F9C037D"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7346E838" w14:textId="77777777">
        <w:tc>
          <w:tcPr>
            <w:tcW w:w="4542" w:type="dxa"/>
            <w:shd w:val="clear" w:color="auto" w:fill="auto"/>
          </w:tcPr>
          <w:p w14:paraId="61772F86" w14:textId="77777777" w:rsidR="00CB542F" w:rsidRDefault="00573A58">
            <w:pPr>
              <w:widowControl w:val="0"/>
              <w:kinsoku w:val="0"/>
              <w:overflowPunct w:val="0"/>
              <w:autoSpaceDE w:val="0"/>
              <w:autoSpaceDN w:val="0"/>
              <w:adjustRightInd w:val="0"/>
              <w:ind w:left="284"/>
              <w:rPr>
                <w:color w:val="000000"/>
                <w:szCs w:val="22"/>
                <w:lang w:val="sl-SI" w:eastAsia="sl-SI"/>
              </w:rPr>
            </w:pPr>
            <w:r>
              <w:t>Pilvo skausmas</w:t>
            </w:r>
          </w:p>
        </w:tc>
        <w:tc>
          <w:tcPr>
            <w:tcW w:w="4518" w:type="dxa"/>
            <w:shd w:val="clear" w:color="auto" w:fill="auto"/>
          </w:tcPr>
          <w:p w14:paraId="34672017"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55832DB4" w14:textId="77777777">
        <w:tc>
          <w:tcPr>
            <w:tcW w:w="4542" w:type="dxa"/>
            <w:shd w:val="clear" w:color="auto" w:fill="auto"/>
          </w:tcPr>
          <w:p w14:paraId="0247B2B2" w14:textId="77777777" w:rsidR="00CB542F" w:rsidRDefault="00573A58">
            <w:pPr>
              <w:widowControl w:val="0"/>
              <w:kinsoku w:val="0"/>
              <w:overflowPunct w:val="0"/>
              <w:autoSpaceDE w:val="0"/>
              <w:autoSpaceDN w:val="0"/>
              <w:adjustRightInd w:val="0"/>
              <w:ind w:left="284"/>
              <w:rPr>
                <w:color w:val="000000"/>
                <w:szCs w:val="22"/>
                <w:lang w:val="sl-SI" w:eastAsia="sl-SI"/>
              </w:rPr>
            </w:pPr>
            <w:r>
              <w:t>Viduriavimas</w:t>
            </w:r>
          </w:p>
        </w:tc>
        <w:tc>
          <w:tcPr>
            <w:tcW w:w="4518" w:type="dxa"/>
            <w:shd w:val="clear" w:color="auto" w:fill="auto"/>
          </w:tcPr>
          <w:p w14:paraId="139EFE01"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6568C4BE" w14:textId="77777777">
        <w:tc>
          <w:tcPr>
            <w:tcW w:w="4542" w:type="dxa"/>
            <w:shd w:val="clear" w:color="auto" w:fill="auto"/>
          </w:tcPr>
          <w:p w14:paraId="247D2BDB" w14:textId="77777777" w:rsidR="00CB542F" w:rsidRDefault="00573A58">
            <w:pPr>
              <w:widowControl w:val="0"/>
              <w:kinsoku w:val="0"/>
              <w:overflowPunct w:val="0"/>
              <w:autoSpaceDE w:val="0"/>
              <w:autoSpaceDN w:val="0"/>
              <w:adjustRightInd w:val="0"/>
              <w:ind w:left="284"/>
              <w:rPr>
                <w:color w:val="000000"/>
                <w:szCs w:val="22"/>
                <w:lang w:val="sl-SI" w:eastAsia="sl-SI"/>
              </w:rPr>
            </w:pPr>
            <w:r>
              <w:t>Dispepsija</w:t>
            </w:r>
          </w:p>
        </w:tc>
        <w:tc>
          <w:tcPr>
            <w:tcW w:w="4518" w:type="dxa"/>
            <w:shd w:val="clear" w:color="auto" w:fill="auto"/>
          </w:tcPr>
          <w:p w14:paraId="710845C0"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32D3ED3F" w14:textId="77777777">
        <w:tc>
          <w:tcPr>
            <w:tcW w:w="4542" w:type="dxa"/>
            <w:shd w:val="clear" w:color="auto" w:fill="auto"/>
          </w:tcPr>
          <w:p w14:paraId="7F509FBC" w14:textId="77777777" w:rsidR="00CB542F" w:rsidRDefault="00573A58">
            <w:pPr>
              <w:widowControl w:val="0"/>
              <w:kinsoku w:val="0"/>
              <w:overflowPunct w:val="0"/>
              <w:autoSpaceDE w:val="0"/>
              <w:autoSpaceDN w:val="0"/>
              <w:adjustRightInd w:val="0"/>
              <w:ind w:left="284"/>
            </w:pPr>
            <w:r>
              <w:t>Pykinimas</w:t>
            </w:r>
          </w:p>
        </w:tc>
        <w:tc>
          <w:tcPr>
            <w:tcW w:w="4518" w:type="dxa"/>
            <w:shd w:val="clear" w:color="auto" w:fill="auto"/>
          </w:tcPr>
          <w:p w14:paraId="530CF305"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106080F3" w14:textId="77777777">
        <w:tc>
          <w:tcPr>
            <w:tcW w:w="4542" w:type="dxa"/>
            <w:shd w:val="clear" w:color="auto" w:fill="auto"/>
          </w:tcPr>
          <w:p w14:paraId="074148FB"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iš tiesiosios žarnos</w:t>
            </w:r>
          </w:p>
        </w:tc>
        <w:tc>
          <w:tcPr>
            <w:tcW w:w="4518" w:type="dxa"/>
            <w:shd w:val="clear" w:color="auto" w:fill="auto"/>
          </w:tcPr>
          <w:p w14:paraId="6E997669"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25F2929A" w14:textId="77777777">
        <w:tc>
          <w:tcPr>
            <w:tcW w:w="4542" w:type="dxa"/>
            <w:shd w:val="clear" w:color="auto" w:fill="auto"/>
          </w:tcPr>
          <w:p w14:paraId="613FA5D8" w14:textId="77777777" w:rsidR="00CB542F" w:rsidRDefault="00573A58">
            <w:pPr>
              <w:widowControl w:val="0"/>
              <w:kinsoku w:val="0"/>
              <w:overflowPunct w:val="0"/>
              <w:autoSpaceDE w:val="0"/>
              <w:autoSpaceDN w:val="0"/>
              <w:adjustRightInd w:val="0"/>
              <w:ind w:left="284"/>
              <w:rPr>
                <w:color w:val="000000"/>
                <w:szCs w:val="22"/>
                <w:lang w:val="sl-SI" w:eastAsia="sl-SI"/>
              </w:rPr>
            </w:pPr>
            <w:r>
              <w:t>Hemorojinis kraujavimas</w:t>
            </w:r>
          </w:p>
        </w:tc>
        <w:tc>
          <w:tcPr>
            <w:tcW w:w="4518" w:type="dxa"/>
            <w:shd w:val="clear" w:color="auto" w:fill="auto"/>
          </w:tcPr>
          <w:p w14:paraId="61CA38D1"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093C50C7" w14:textId="77777777">
        <w:trPr>
          <w:trHeight w:val="516"/>
        </w:trPr>
        <w:tc>
          <w:tcPr>
            <w:tcW w:w="4542" w:type="dxa"/>
            <w:shd w:val="clear" w:color="auto" w:fill="auto"/>
          </w:tcPr>
          <w:p w14:paraId="65EEEE44" w14:textId="77777777" w:rsidR="00CB542F" w:rsidRDefault="00573A58">
            <w:pPr>
              <w:widowControl w:val="0"/>
              <w:kinsoku w:val="0"/>
              <w:overflowPunct w:val="0"/>
              <w:autoSpaceDE w:val="0"/>
              <w:autoSpaceDN w:val="0"/>
              <w:adjustRightInd w:val="0"/>
              <w:ind w:left="284"/>
              <w:rPr>
                <w:color w:val="000000"/>
                <w:szCs w:val="22"/>
                <w:lang w:val="sl-SI" w:eastAsia="sl-SI"/>
              </w:rPr>
            </w:pPr>
            <w:r>
              <w:t>Skrandžio ar žarnų opa, įskaitant</w:t>
            </w:r>
          </w:p>
          <w:p w14:paraId="1A379C1E" w14:textId="77777777" w:rsidR="00CB542F" w:rsidRDefault="00573A58">
            <w:pPr>
              <w:widowControl w:val="0"/>
              <w:kinsoku w:val="0"/>
              <w:overflowPunct w:val="0"/>
              <w:autoSpaceDE w:val="0"/>
              <w:autoSpaceDN w:val="0"/>
              <w:adjustRightInd w:val="0"/>
              <w:ind w:left="284"/>
              <w:rPr>
                <w:color w:val="000000"/>
                <w:szCs w:val="22"/>
                <w:lang w:val="sl-SI" w:eastAsia="sl-SI"/>
              </w:rPr>
            </w:pPr>
            <w:r>
              <w:t>stemplės opą</w:t>
            </w:r>
          </w:p>
        </w:tc>
        <w:tc>
          <w:tcPr>
            <w:tcW w:w="4518" w:type="dxa"/>
            <w:shd w:val="clear" w:color="auto" w:fill="auto"/>
          </w:tcPr>
          <w:p w14:paraId="626CF693"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219E3743" w14:textId="77777777">
        <w:tc>
          <w:tcPr>
            <w:tcW w:w="4542" w:type="dxa"/>
            <w:shd w:val="clear" w:color="auto" w:fill="auto"/>
          </w:tcPr>
          <w:p w14:paraId="69F3A0EE" w14:textId="77777777" w:rsidR="00CB542F" w:rsidRDefault="00573A58">
            <w:pPr>
              <w:widowControl w:val="0"/>
              <w:kinsoku w:val="0"/>
              <w:overflowPunct w:val="0"/>
              <w:autoSpaceDE w:val="0"/>
              <w:autoSpaceDN w:val="0"/>
              <w:adjustRightInd w:val="0"/>
              <w:ind w:left="284"/>
              <w:rPr>
                <w:color w:val="000000"/>
                <w:szCs w:val="22"/>
                <w:lang w:val="sl-SI" w:eastAsia="sl-SI"/>
              </w:rPr>
            </w:pPr>
            <w:r>
              <w:t>Gastroezofagitas</w:t>
            </w:r>
          </w:p>
        </w:tc>
        <w:tc>
          <w:tcPr>
            <w:tcW w:w="4518" w:type="dxa"/>
            <w:shd w:val="clear" w:color="auto" w:fill="auto"/>
          </w:tcPr>
          <w:p w14:paraId="4271C4F8"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4A453971" w14:textId="77777777">
        <w:tc>
          <w:tcPr>
            <w:tcW w:w="4542" w:type="dxa"/>
            <w:shd w:val="clear" w:color="auto" w:fill="auto"/>
          </w:tcPr>
          <w:p w14:paraId="4DBABEA9" w14:textId="77777777" w:rsidR="00CB542F" w:rsidRDefault="00573A58">
            <w:pPr>
              <w:widowControl w:val="0"/>
              <w:kinsoku w:val="0"/>
              <w:overflowPunct w:val="0"/>
              <w:autoSpaceDE w:val="0"/>
              <w:autoSpaceDN w:val="0"/>
              <w:adjustRightInd w:val="0"/>
              <w:ind w:left="284"/>
              <w:rPr>
                <w:color w:val="000000"/>
                <w:szCs w:val="22"/>
                <w:lang w:val="sl-SI" w:eastAsia="sl-SI"/>
              </w:rPr>
            </w:pPr>
            <w:r>
              <w:t>Gastroezofaginio refliukso liga</w:t>
            </w:r>
          </w:p>
        </w:tc>
        <w:tc>
          <w:tcPr>
            <w:tcW w:w="4518" w:type="dxa"/>
            <w:shd w:val="clear" w:color="auto" w:fill="auto"/>
          </w:tcPr>
          <w:p w14:paraId="10313183"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3128ED32" w14:textId="77777777">
        <w:tc>
          <w:tcPr>
            <w:tcW w:w="4542" w:type="dxa"/>
            <w:shd w:val="clear" w:color="auto" w:fill="auto"/>
          </w:tcPr>
          <w:p w14:paraId="5CB98F7F" w14:textId="77777777" w:rsidR="00CB542F" w:rsidRDefault="00573A58">
            <w:pPr>
              <w:widowControl w:val="0"/>
              <w:kinsoku w:val="0"/>
              <w:overflowPunct w:val="0"/>
              <w:autoSpaceDE w:val="0"/>
              <w:autoSpaceDN w:val="0"/>
              <w:adjustRightInd w:val="0"/>
              <w:ind w:left="284"/>
            </w:pPr>
            <w:r>
              <w:t>Vėmimas</w:t>
            </w:r>
          </w:p>
        </w:tc>
        <w:tc>
          <w:tcPr>
            <w:tcW w:w="4518" w:type="dxa"/>
            <w:shd w:val="clear" w:color="auto" w:fill="auto"/>
          </w:tcPr>
          <w:p w14:paraId="55C2E71B" w14:textId="77777777" w:rsidR="00CB542F" w:rsidRDefault="00573A58">
            <w:pPr>
              <w:widowControl w:val="0"/>
              <w:kinsoku w:val="0"/>
              <w:overflowPunct w:val="0"/>
              <w:autoSpaceDE w:val="0"/>
              <w:autoSpaceDN w:val="0"/>
              <w:adjustRightInd w:val="0"/>
              <w:jc w:val="center"/>
            </w:pPr>
            <w:r>
              <w:t>Dažnas</w:t>
            </w:r>
          </w:p>
        </w:tc>
      </w:tr>
      <w:tr w:rsidR="00CB542F" w14:paraId="58605C18" w14:textId="77777777">
        <w:tc>
          <w:tcPr>
            <w:tcW w:w="4542" w:type="dxa"/>
            <w:shd w:val="clear" w:color="auto" w:fill="auto"/>
          </w:tcPr>
          <w:p w14:paraId="0A2070B5" w14:textId="77777777" w:rsidR="00CB542F" w:rsidRDefault="00573A58">
            <w:pPr>
              <w:widowControl w:val="0"/>
              <w:kinsoku w:val="0"/>
              <w:overflowPunct w:val="0"/>
              <w:autoSpaceDE w:val="0"/>
              <w:autoSpaceDN w:val="0"/>
              <w:adjustRightInd w:val="0"/>
              <w:ind w:left="284"/>
            </w:pPr>
            <w:r>
              <w:t>Disfagija</w:t>
            </w:r>
          </w:p>
        </w:tc>
        <w:tc>
          <w:tcPr>
            <w:tcW w:w="4518" w:type="dxa"/>
            <w:shd w:val="clear" w:color="auto" w:fill="auto"/>
          </w:tcPr>
          <w:p w14:paraId="1990858E" w14:textId="77777777" w:rsidR="00CB542F" w:rsidRDefault="00573A58">
            <w:pPr>
              <w:widowControl w:val="0"/>
              <w:kinsoku w:val="0"/>
              <w:overflowPunct w:val="0"/>
              <w:autoSpaceDE w:val="0"/>
              <w:autoSpaceDN w:val="0"/>
              <w:adjustRightInd w:val="0"/>
              <w:jc w:val="center"/>
            </w:pPr>
            <w:r>
              <w:t>Nedažnas</w:t>
            </w:r>
          </w:p>
        </w:tc>
      </w:tr>
      <w:tr w:rsidR="00CB542F" w14:paraId="10649A0B" w14:textId="77777777">
        <w:tc>
          <w:tcPr>
            <w:tcW w:w="9060" w:type="dxa"/>
            <w:gridSpan w:val="2"/>
            <w:shd w:val="clear" w:color="auto" w:fill="auto"/>
          </w:tcPr>
          <w:p w14:paraId="03B9F7D0"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Kepenų, tulžies pūslės ir latakų sutrikimai</w:t>
            </w:r>
          </w:p>
        </w:tc>
      </w:tr>
      <w:tr w:rsidR="00CB542F" w14:paraId="2EBA0DDF" w14:textId="77777777">
        <w:tc>
          <w:tcPr>
            <w:tcW w:w="4542" w:type="dxa"/>
            <w:shd w:val="clear" w:color="auto" w:fill="auto"/>
          </w:tcPr>
          <w:p w14:paraId="7E76434D" w14:textId="77777777" w:rsidR="00CB542F" w:rsidRDefault="00573A58">
            <w:pPr>
              <w:widowControl w:val="0"/>
              <w:kinsoku w:val="0"/>
              <w:overflowPunct w:val="0"/>
              <w:autoSpaceDE w:val="0"/>
              <w:autoSpaceDN w:val="0"/>
              <w:adjustRightInd w:val="0"/>
              <w:ind w:left="284"/>
              <w:rPr>
                <w:color w:val="000000"/>
                <w:szCs w:val="22"/>
                <w:lang w:val="sl-SI" w:eastAsia="sl-SI"/>
              </w:rPr>
            </w:pPr>
            <w:r>
              <w:t>Nenormali kepenų funkcija / nenormalūs kepenų funkcijos tyrimų duomenys</w:t>
            </w:r>
          </w:p>
        </w:tc>
        <w:tc>
          <w:tcPr>
            <w:tcW w:w="4518" w:type="dxa"/>
            <w:shd w:val="clear" w:color="auto" w:fill="auto"/>
          </w:tcPr>
          <w:p w14:paraId="1A00E0BA"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Dažnois nežinomas</w:t>
            </w:r>
          </w:p>
        </w:tc>
      </w:tr>
      <w:tr w:rsidR="00CB542F" w14:paraId="054C836E" w14:textId="77777777">
        <w:tc>
          <w:tcPr>
            <w:tcW w:w="4542" w:type="dxa"/>
            <w:shd w:val="clear" w:color="auto" w:fill="auto"/>
          </w:tcPr>
          <w:p w14:paraId="32B2F6BC" w14:textId="77777777" w:rsidR="00CB542F" w:rsidRDefault="00573A58">
            <w:pPr>
              <w:widowControl w:val="0"/>
              <w:kinsoku w:val="0"/>
              <w:overflowPunct w:val="0"/>
              <w:autoSpaceDE w:val="0"/>
              <w:autoSpaceDN w:val="0"/>
              <w:adjustRightInd w:val="0"/>
              <w:ind w:left="284"/>
              <w:rPr>
                <w:color w:val="000000"/>
                <w:szCs w:val="22"/>
                <w:lang w:val="sl-SI" w:eastAsia="sl-SI"/>
              </w:rPr>
            </w:pPr>
            <w:r>
              <w:t>Alaninaminotransferazės aktyvumo padidėjimas</w:t>
            </w:r>
          </w:p>
        </w:tc>
        <w:tc>
          <w:tcPr>
            <w:tcW w:w="4518" w:type="dxa"/>
            <w:shd w:val="clear" w:color="auto" w:fill="auto"/>
          </w:tcPr>
          <w:p w14:paraId="16B0522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7B1DA3DC" w14:textId="77777777">
        <w:tc>
          <w:tcPr>
            <w:tcW w:w="4542" w:type="dxa"/>
            <w:shd w:val="clear" w:color="auto" w:fill="auto"/>
          </w:tcPr>
          <w:p w14:paraId="635ABD98" w14:textId="77777777" w:rsidR="00CB542F" w:rsidRDefault="00573A58">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Aspartataminotransferazės aktyvumo</w:t>
            </w:r>
          </w:p>
          <w:p w14:paraId="2B28579F" w14:textId="77777777" w:rsidR="00CB542F" w:rsidRDefault="00573A58">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45B63BB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3D8DB6D4" w14:textId="77777777">
        <w:tc>
          <w:tcPr>
            <w:tcW w:w="4542" w:type="dxa"/>
            <w:shd w:val="clear" w:color="auto" w:fill="auto"/>
          </w:tcPr>
          <w:p w14:paraId="3B241A98" w14:textId="77777777" w:rsidR="00CB542F" w:rsidRDefault="00573A58">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Kepenų fermentų aktyvumo padidėjimas</w:t>
            </w:r>
          </w:p>
        </w:tc>
        <w:tc>
          <w:tcPr>
            <w:tcW w:w="4518" w:type="dxa"/>
            <w:shd w:val="clear" w:color="auto" w:fill="auto"/>
          </w:tcPr>
          <w:p w14:paraId="731D13CE"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CB542F" w14:paraId="616450A2" w14:textId="77777777">
        <w:tc>
          <w:tcPr>
            <w:tcW w:w="4542" w:type="dxa"/>
            <w:shd w:val="clear" w:color="auto" w:fill="auto"/>
          </w:tcPr>
          <w:p w14:paraId="00ABB990" w14:textId="77777777" w:rsidR="00CB542F" w:rsidRDefault="00573A58">
            <w:pPr>
              <w:widowControl w:val="0"/>
              <w:kinsoku w:val="0"/>
              <w:overflowPunct w:val="0"/>
              <w:autoSpaceDE w:val="0"/>
              <w:autoSpaceDN w:val="0"/>
              <w:adjustRightInd w:val="0"/>
              <w:ind w:left="284"/>
              <w:rPr>
                <w:color w:val="000000"/>
                <w:szCs w:val="22"/>
                <w:lang w:val="sl-SI" w:eastAsia="sl-SI"/>
              </w:rPr>
            </w:pPr>
            <w:r>
              <w:t>Hiperbilirubinemija</w:t>
            </w:r>
          </w:p>
        </w:tc>
        <w:tc>
          <w:tcPr>
            <w:tcW w:w="4518" w:type="dxa"/>
            <w:shd w:val="clear" w:color="auto" w:fill="auto"/>
          </w:tcPr>
          <w:p w14:paraId="56FA74EB"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34786278" w14:textId="77777777">
        <w:tc>
          <w:tcPr>
            <w:tcW w:w="9060" w:type="dxa"/>
            <w:gridSpan w:val="2"/>
            <w:shd w:val="clear" w:color="auto" w:fill="auto"/>
          </w:tcPr>
          <w:p w14:paraId="6076466B"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Odos ir poodinio audinio sutrikimai</w:t>
            </w:r>
          </w:p>
        </w:tc>
      </w:tr>
      <w:tr w:rsidR="00CB542F" w14:paraId="773D3F35" w14:textId="77777777">
        <w:tc>
          <w:tcPr>
            <w:tcW w:w="4542" w:type="dxa"/>
            <w:shd w:val="clear" w:color="auto" w:fill="auto"/>
          </w:tcPr>
          <w:p w14:paraId="09666924"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į odą</w:t>
            </w:r>
          </w:p>
        </w:tc>
        <w:tc>
          <w:tcPr>
            <w:tcW w:w="4518" w:type="dxa"/>
            <w:shd w:val="clear" w:color="auto" w:fill="auto"/>
          </w:tcPr>
          <w:p w14:paraId="38DC51DC"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75EAAE9F" w14:textId="77777777">
        <w:tc>
          <w:tcPr>
            <w:tcW w:w="4542" w:type="dxa"/>
            <w:shd w:val="clear" w:color="auto" w:fill="auto"/>
          </w:tcPr>
          <w:p w14:paraId="03AECFBD" w14:textId="77777777" w:rsidR="00CB542F" w:rsidRDefault="00573A58">
            <w:pPr>
              <w:widowControl w:val="0"/>
              <w:kinsoku w:val="0"/>
              <w:overflowPunct w:val="0"/>
              <w:autoSpaceDE w:val="0"/>
              <w:autoSpaceDN w:val="0"/>
              <w:adjustRightInd w:val="0"/>
              <w:ind w:left="284"/>
              <w:rPr>
                <w:color w:val="000000"/>
                <w:szCs w:val="22"/>
                <w:lang w:val="sl-SI" w:eastAsia="sl-SI"/>
              </w:rPr>
            </w:pPr>
            <w:r>
              <w:t>Alopecija</w:t>
            </w:r>
          </w:p>
        </w:tc>
        <w:tc>
          <w:tcPr>
            <w:tcW w:w="4518" w:type="dxa"/>
            <w:shd w:val="clear" w:color="auto" w:fill="auto"/>
          </w:tcPr>
          <w:p w14:paraId="64644652" w14:textId="77777777" w:rsidR="00CB542F" w:rsidRDefault="00573A58">
            <w:pPr>
              <w:widowControl w:val="0"/>
              <w:kinsoku w:val="0"/>
              <w:overflowPunct w:val="0"/>
              <w:autoSpaceDE w:val="0"/>
              <w:autoSpaceDN w:val="0"/>
              <w:adjustRightInd w:val="0"/>
              <w:jc w:val="center"/>
              <w:rPr>
                <w:color w:val="000000"/>
                <w:szCs w:val="22"/>
                <w:lang w:val="sl-SI" w:eastAsia="sl-SI"/>
              </w:rPr>
            </w:pPr>
            <w:r>
              <w:t>Dažnas</w:t>
            </w:r>
          </w:p>
        </w:tc>
      </w:tr>
      <w:tr w:rsidR="00CB542F" w14:paraId="1915D50C" w14:textId="77777777">
        <w:tc>
          <w:tcPr>
            <w:tcW w:w="9060" w:type="dxa"/>
            <w:gridSpan w:val="2"/>
            <w:shd w:val="clear" w:color="auto" w:fill="auto"/>
          </w:tcPr>
          <w:p w14:paraId="473A0D1C"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Skeleto, raumenų ir jungiamojo audinio sutrikimai</w:t>
            </w:r>
          </w:p>
        </w:tc>
      </w:tr>
      <w:tr w:rsidR="00CB542F" w14:paraId="1CC87821" w14:textId="77777777">
        <w:tc>
          <w:tcPr>
            <w:tcW w:w="4542" w:type="dxa"/>
            <w:shd w:val="clear" w:color="auto" w:fill="auto"/>
          </w:tcPr>
          <w:p w14:paraId="759AFA15" w14:textId="77777777" w:rsidR="00CB542F" w:rsidRDefault="00573A58">
            <w:pPr>
              <w:widowControl w:val="0"/>
              <w:kinsoku w:val="0"/>
              <w:overflowPunct w:val="0"/>
              <w:autoSpaceDE w:val="0"/>
              <w:autoSpaceDN w:val="0"/>
              <w:adjustRightInd w:val="0"/>
              <w:ind w:left="284"/>
              <w:rPr>
                <w:color w:val="000000"/>
                <w:szCs w:val="22"/>
                <w:lang w:val="sl-SI" w:eastAsia="sl-SI"/>
              </w:rPr>
            </w:pPr>
            <w:r>
              <w:t>Hemartrozė</w:t>
            </w:r>
          </w:p>
        </w:tc>
        <w:tc>
          <w:tcPr>
            <w:tcW w:w="4518" w:type="dxa"/>
            <w:shd w:val="clear" w:color="auto" w:fill="auto"/>
          </w:tcPr>
          <w:p w14:paraId="5578F7D5"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31FDE4A7" w14:textId="77777777">
        <w:tc>
          <w:tcPr>
            <w:tcW w:w="9060" w:type="dxa"/>
            <w:gridSpan w:val="2"/>
            <w:shd w:val="clear" w:color="auto" w:fill="auto"/>
          </w:tcPr>
          <w:p w14:paraId="51B543FB"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Inkstų ir šlapimo takų sutrikimai</w:t>
            </w:r>
          </w:p>
        </w:tc>
      </w:tr>
      <w:tr w:rsidR="00CB542F" w14:paraId="33EEDCE8" w14:textId="77777777">
        <w:tc>
          <w:tcPr>
            <w:tcW w:w="4542" w:type="dxa"/>
            <w:shd w:val="clear" w:color="auto" w:fill="auto"/>
          </w:tcPr>
          <w:p w14:paraId="7439A6CB" w14:textId="77777777" w:rsidR="00CB542F" w:rsidRDefault="00573A58">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Kraujavimas iš lyties ir šlapimo organų,</w:t>
            </w:r>
          </w:p>
          <w:p w14:paraId="62C0A890" w14:textId="77777777" w:rsidR="00CB542F" w:rsidRDefault="00573A58">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įskaitant hematuriją</w:t>
            </w:r>
          </w:p>
        </w:tc>
        <w:tc>
          <w:tcPr>
            <w:tcW w:w="4518" w:type="dxa"/>
            <w:shd w:val="clear" w:color="auto" w:fill="auto"/>
          </w:tcPr>
          <w:p w14:paraId="140F8F08"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CB542F" w14:paraId="4BE605AE" w14:textId="77777777">
        <w:tc>
          <w:tcPr>
            <w:tcW w:w="9060" w:type="dxa"/>
            <w:gridSpan w:val="2"/>
            <w:shd w:val="clear" w:color="auto" w:fill="auto"/>
          </w:tcPr>
          <w:p w14:paraId="6D9D7031"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Bendrieji sutrikimai ir vartojimo vietos pažeidimai</w:t>
            </w:r>
          </w:p>
        </w:tc>
      </w:tr>
      <w:tr w:rsidR="00CB542F" w14:paraId="46817555" w14:textId="77777777">
        <w:tc>
          <w:tcPr>
            <w:tcW w:w="4542" w:type="dxa"/>
            <w:shd w:val="clear" w:color="auto" w:fill="auto"/>
          </w:tcPr>
          <w:p w14:paraId="5274C40B"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iš injekcijos vietos</w:t>
            </w:r>
          </w:p>
        </w:tc>
        <w:tc>
          <w:tcPr>
            <w:tcW w:w="4518" w:type="dxa"/>
            <w:shd w:val="clear" w:color="auto" w:fill="auto"/>
          </w:tcPr>
          <w:p w14:paraId="6491C00C"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08CC5BA2" w14:textId="77777777">
        <w:tc>
          <w:tcPr>
            <w:tcW w:w="4542" w:type="dxa"/>
            <w:shd w:val="clear" w:color="auto" w:fill="auto"/>
          </w:tcPr>
          <w:p w14:paraId="6F7F2A13"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iš kateterio vietos</w:t>
            </w:r>
          </w:p>
        </w:tc>
        <w:tc>
          <w:tcPr>
            <w:tcW w:w="4518" w:type="dxa"/>
            <w:shd w:val="clear" w:color="auto" w:fill="auto"/>
          </w:tcPr>
          <w:p w14:paraId="7C7DFFD4"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r w:rsidR="00CB542F" w14:paraId="22D91B15" w14:textId="77777777">
        <w:tc>
          <w:tcPr>
            <w:tcW w:w="9060" w:type="dxa"/>
            <w:gridSpan w:val="2"/>
            <w:shd w:val="clear" w:color="auto" w:fill="auto"/>
          </w:tcPr>
          <w:p w14:paraId="22E413D2"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Sužalojimai, apsinuodijimai ir procedūrų komplikacijos</w:t>
            </w:r>
          </w:p>
        </w:tc>
      </w:tr>
      <w:tr w:rsidR="00CB542F" w14:paraId="30B67FF0" w14:textId="77777777">
        <w:tc>
          <w:tcPr>
            <w:tcW w:w="4542" w:type="dxa"/>
            <w:shd w:val="clear" w:color="auto" w:fill="auto"/>
          </w:tcPr>
          <w:p w14:paraId="7DF0CC84" w14:textId="77777777" w:rsidR="00CB542F" w:rsidRDefault="00573A58">
            <w:pPr>
              <w:widowControl w:val="0"/>
              <w:kinsoku w:val="0"/>
              <w:overflowPunct w:val="0"/>
              <w:autoSpaceDE w:val="0"/>
              <w:autoSpaceDN w:val="0"/>
              <w:adjustRightInd w:val="0"/>
              <w:ind w:left="284"/>
              <w:rPr>
                <w:color w:val="000000"/>
                <w:szCs w:val="22"/>
                <w:lang w:val="sl-SI" w:eastAsia="sl-SI"/>
              </w:rPr>
            </w:pPr>
            <w:r>
              <w:t>Trauminis kraujavimas</w:t>
            </w:r>
          </w:p>
        </w:tc>
        <w:tc>
          <w:tcPr>
            <w:tcW w:w="4518" w:type="dxa"/>
            <w:shd w:val="clear" w:color="auto" w:fill="auto"/>
          </w:tcPr>
          <w:p w14:paraId="19E2E6A1" w14:textId="77777777" w:rsidR="00CB542F" w:rsidRDefault="00573A58">
            <w:pPr>
              <w:widowControl w:val="0"/>
              <w:kinsoku w:val="0"/>
              <w:overflowPunct w:val="0"/>
              <w:autoSpaceDE w:val="0"/>
              <w:autoSpaceDN w:val="0"/>
              <w:adjustRightInd w:val="0"/>
              <w:jc w:val="center"/>
              <w:rPr>
                <w:color w:val="000000"/>
                <w:szCs w:val="22"/>
                <w:lang w:val="sl-SI" w:eastAsia="sl-SI"/>
              </w:rPr>
            </w:pPr>
            <w:r>
              <w:t>Nedažnas</w:t>
            </w:r>
          </w:p>
        </w:tc>
      </w:tr>
      <w:tr w:rsidR="00CB542F" w14:paraId="40186E88" w14:textId="77777777">
        <w:tc>
          <w:tcPr>
            <w:tcW w:w="4542" w:type="dxa"/>
            <w:shd w:val="clear" w:color="auto" w:fill="auto"/>
          </w:tcPr>
          <w:p w14:paraId="6456DEAC" w14:textId="77777777" w:rsidR="00CB542F" w:rsidRDefault="00573A58">
            <w:pPr>
              <w:widowControl w:val="0"/>
              <w:kinsoku w:val="0"/>
              <w:overflowPunct w:val="0"/>
              <w:autoSpaceDE w:val="0"/>
              <w:autoSpaceDN w:val="0"/>
              <w:adjustRightInd w:val="0"/>
              <w:ind w:left="284"/>
              <w:rPr>
                <w:color w:val="000000"/>
                <w:szCs w:val="22"/>
                <w:lang w:val="sl-SI" w:eastAsia="sl-SI"/>
              </w:rPr>
            </w:pPr>
            <w:r>
              <w:t>Kraujavimas iš pjūvio vietos</w:t>
            </w:r>
          </w:p>
        </w:tc>
        <w:tc>
          <w:tcPr>
            <w:tcW w:w="4518" w:type="dxa"/>
            <w:shd w:val="clear" w:color="auto" w:fill="auto"/>
          </w:tcPr>
          <w:p w14:paraId="73A94712" w14:textId="77777777" w:rsidR="00CB542F" w:rsidRDefault="00573A58">
            <w:pPr>
              <w:widowControl w:val="0"/>
              <w:kinsoku w:val="0"/>
              <w:overflowPunct w:val="0"/>
              <w:autoSpaceDE w:val="0"/>
              <w:autoSpaceDN w:val="0"/>
              <w:adjustRightInd w:val="0"/>
              <w:jc w:val="center"/>
              <w:rPr>
                <w:color w:val="000000"/>
                <w:szCs w:val="22"/>
                <w:lang w:val="sl-SI" w:eastAsia="sl-SI"/>
              </w:rPr>
            </w:pPr>
            <w:r>
              <w:t>Dažnis nežinomas</w:t>
            </w:r>
          </w:p>
        </w:tc>
      </w:tr>
    </w:tbl>
    <w:p w14:paraId="04552DF4" w14:textId="77777777" w:rsidR="00CB542F" w:rsidRDefault="00573A58">
      <w:pPr>
        <w:rPr>
          <w:u w:val="single"/>
        </w:rPr>
      </w:pPr>
      <w:r>
        <w:rPr>
          <w:u w:val="single"/>
        </w:rPr>
        <w:t>Kraujavimo reakcijos</w:t>
      </w:r>
    </w:p>
    <w:p w14:paraId="52D09540" w14:textId="77777777" w:rsidR="00CB542F" w:rsidRDefault="00573A58">
      <w:r>
        <w:t>Dviejuose III fazės tyrimuose, kurių metų vaistinis preparatas skirtas VTE gydymo ir VTE pasikartojimo profilaktikos indikacijai pacientams vaikams, iš viso 7 pacientai (2,1 %) patyrė didžiojo kraujavimo reiškinį, 5 pacientai (1,5 %) – kliniškai reikšmingo ne didžiojo kraujavimo reiškinį ir 75 pacientai (22,9 %) lengvo kraujavimo reiškinį. Kraujavimo reiškinių dažnis bendrai buvo didesnis vyriausio amžiaus grupėje (nuo 12 iki &lt; 18 metų: 28,6 %) nei jaunesnio amžiaus grupėse (nuo gimimo iki &lt; 2 metų: 23,3 %; nuo 2 iki &lt; 12 metų: 16,2 %). Didysis arba sunkus kraujavimas, nepaisant vietos, gali sukelti neįgalumą, pavojų gyvybei ar mirtį.</w:t>
      </w:r>
    </w:p>
    <w:p w14:paraId="26FA8727" w14:textId="77777777" w:rsidR="00CB542F" w:rsidRDefault="00CB542F"/>
    <w:p w14:paraId="741FA0E8" w14:textId="77777777" w:rsidR="00CB542F" w:rsidRDefault="00573A58">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7C6CD7E4" w14:textId="77777777" w:rsidR="00CB542F" w:rsidRDefault="00573A58">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snapToGrid w:val="0"/>
            <w:szCs w:val="22"/>
            <w:u w:val="single"/>
            <w:lang w:val="en-US"/>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9" w:history="1">
        <w:r>
          <w:rPr>
            <w:snapToGrid w:val="0"/>
            <w:szCs w:val="22"/>
            <w:u w:val="single"/>
            <w:lang w:val="en-US"/>
          </w:rPr>
          <w:t>https://www.vvkt.lt/index.php?1399030386</w:t>
        </w:r>
      </w:hyperlink>
      <w:r>
        <w:rPr>
          <w:snapToGrid w:val="0"/>
          <w:szCs w:val="22"/>
        </w:rPr>
        <w:t>, ir atsiųsti elektroniniu paštu (adresu NepageidaujamaR@vvkt.lt).</w:t>
      </w:r>
    </w:p>
    <w:p w14:paraId="76A35084" w14:textId="77777777" w:rsidR="00CB542F" w:rsidRDefault="00CB542F">
      <w:pPr>
        <w:ind w:left="567" w:hanging="567"/>
        <w:rPr>
          <w:b/>
        </w:rPr>
      </w:pPr>
    </w:p>
    <w:p w14:paraId="7254E08B" w14:textId="77777777" w:rsidR="00CB542F" w:rsidRDefault="00573A58">
      <w:pPr>
        <w:ind w:left="567" w:hanging="567"/>
        <w:rPr>
          <w:b/>
        </w:rPr>
      </w:pPr>
      <w:r>
        <w:rPr>
          <w:b/>
        </w:rPr>
        <w:t>4.9</w:t>
      </w:r>
      <w:r>
        <w:rPr>
          <w:b/>
        </w:rPr>
        <w:tab/>
        <w:t>Perdozavimas</w:t>
      </w:r>
    </w:p>
    <w:p w14:paraId="3D3739CB" w14:textId="77777777" w:rsidR="00CB542F" w:rsidRDefault="00CB542F">
      <w:pPr>
        <w:ind w:left="567" w:hanging="567"/>
      </w:pPr>
    </w:p>
    <w:p w14:paraId="0AB0FFFC" w14:textId="77777777" w:rsidR="00CB542F" w:rsidRDefault="00573A58">
      <w:r>
        <w:t>Didesnės už rekomenduojamas dabigatrano eteksilato dozės didina kraujavimo riziką.</w:t>
      </w:r>
    </w:p>
    <w:p w14:paraId="435914DA" w14:textId="77777777" w:rsidR="00CB542F" w:rsidRDefault="00CB542F"/>
    <w:p w14:paraId="4B81D2C6" w14:textId="77777777" w:rsidR="00CB542F" w:rsidRDefault="00573A58">
      <w:r>
        <w:t>Įtarus, kad vaistinio preparato perdozuota, kraujavimo riziką nustatyti gali padėti kraujo krešėjimo tyrimai (žr. 4.4 ir 5.1 skyrius). Kalibruotas kiekybinis PTL tyrimas arba kartotinis PTL matavimas leidžia numatyti laiką, kada atsiras tam tikras dabigatrano kiekis (žr. 5.1 skyrių) ir kada būtina imtis papildomų priemonių, pvz., atlikti dializę.</w:t>
      </w:r>
    </w:p>
    <w:p w14:paraId="4E7FDF21" w14:textId="77777777" w:rsidR="00CB542F" w:rsidRDefault="00CB542F"/>
    <w:p w14:paraId="1A9FCFBB" w14:textId="77777777" w:rsidR="00CB542F" w:rsidRDefault="00573A58">
      <w:r>
        <w:t>Jeigu antikoaguliacinis poveikis per stiprus, gali reikėti gydymą dabigatrano eteksilatu nutraukti.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7FF0EB22" w14:textId="77777777" w:rsidR="00CB542F" w:rsidRDefault="00CB542F"/>
    <w:p w14:paraId="58796C04" w14:textId="77777777" w:rsidR="00CB542F" w:rsidRDefault="00573A58">
      <w:pPr>
        <w:rPr>
          <w:u w:val="single"/>
        </w:rPr>
      </w:pPr>
      <w:r>
        <w:rPr>
          <w:u w:val="single"/>
        </w:rPr>
        <w:t>Kraujavimo komplikacijų valdymas</w:t>
      </w:r>
    </w:p>
    <w:p w14:paraId="4531A840" w14:textId="77777777" w:rsidR="00CB542F" w:rsidRDefault="00CB542F"/>
    <w:p w14:paraId="1D106E14" w14:textId="77777777" w:rsidR="00CB542F" w:rsidRDefault="00573A58">
      <w:r>
        <w:t>Atsiradus hemoragijos sukeltų komplikacijų, gydymą dabigatrano eteksilatu būtina nutraukti ir nustatyti kraujavimo vietą. Priklausomai nuo klinikinės situacijos gydytojo nuožiūra reikia taikyti tinkamą palaikomąjį gydymą, pvz., chirurginę hemostazę ir kraujo tūrio didinimą.</w:t>
      </w:r>
    </w:p>
    <w:p w14:paraId="1A5BAC0A" w14:textId="77777777" w:rsidR="00CB542F" w:rsidRDefault="00573A58">
      <w:r>
        <w:t>Tomis aplinkybėmis, kai būtina greitai panaikinti antikoaguliacinį dabigatrano eteksilato poveikį, suaugusiems pacientams tinka specifinis neutralizuojantis vaistinis preparatas (idarucizumabas), naikinantis farmakodinaminį dabigatrano poveikį. Idarucizumabo veiksmingumas ir saugumas pacientams vaikams neištirti (žr. 4.4 skyrių).</w:t>
      </w:r>
    </w:p>
    <w:p w14:paraId="49E3CD01" w14:textId="77777777" w:rsidR="00CB542F" w:rsidRDefault="00CB542F"/>
    <w:p w14:paraId="433C833E" w14:textId="77777777" w:rsidR="00CB542F" w:rsidRDefault="00573A58">
      <w:r>
        <w:t>Galima svarstyti gydymą krešėjimo faktorių koncentratais (aktyvintais arba neaktyvintais) arba rekombinantiniu VIIa faktoriumi. Yra šiek tiek eksperimentinių duomenų šių vaistinių preparatų reikšmei naikinant antikoaguliacinį dabigatrano poveikį paremti, tačiau duomenys apie jų naudingumą klinikinėmis situacijomis bei galimam tromboembolijos atsigavimui yra labai riboti. Po minėtų krešėjimo faktorių koncentratų pavartojimo krešėjimo tyrimai gali tapti nepatikimi. Gautus jų rezultatus reikia vertinti atsargiai. Jeigu yra trombocitopenija arba buvo vartota ilgai veikiančių antitrombocitinių vaistinių preparatų, reikia apsvarstyti gydymą trombocitų koncentratais. Visas simptominis gydymas turi būti taikomas gydytojo sprendimu.</w:t>
      </w:r>
    </w:p>
    <w:p w14:paraId="0383C03D" w14:textId="77777777" w:rsidR="00CB542F" w:rsidRDefault="00CB542F"/>
    <w:p w14:paraId="7072880C" w14:textId="77777777" w:rsidR="00CB542F" w:rsidRDefault="00573A58">
      <w:r>
        <w:t>Didžiojo kraujavimo atveju reikėtų pasitarti su koaguliacijos ekspertu, jeigu jis yra pasiekiamas.</w:t>
      </w:r>
    </w:p>
    <w:p w14:paraId="74DA34C9" w14:textId="77777777" w:rsidR="00CB542F" w:rsidRDefault="00CB542F">
      <w:pPr>
        <w:ind w:left="567" w:hanging="567"/>
      </w:pPr>
    </w:p>
    <w:p w14:paraId="7227E9BE" w14:textId="77777777" w:rsidR="00CB542F" w:rsidRDefault="00573A58">
      <w:pPr>
        <w:ind w:left="567" w:hanging="567"/>
        <w:rPr>
          <w:b/>
          <w:caps/>
        </w:rPr>
      </w:pPr>
      <w:r>
        <w:rPr>
          <w:b/>
          <w:caps/>
        </w:rPr>
        <w:t>5.</w:t>
      </w:r>
      <w:r>
        <w:rPr>
          <w:b/>
          <w:caps/>
        </w:rPr>
        <w:tab/>
      </w:r>
      <w:r>
        <w:rPr>
          <w:b/>
        </w:rPr>
        <w:t xml:space="preserve">FARMAKOLOGINĖS </w:t>
      </w:r>
      <w:r>
        <w:rPr>
          <w:b/>
          <w:caps/>
        </w:rPr>
        <w:t>savybės</w:t>
      </w:r>
    </w:p>
    <w:p w14:paraId="003F1F6E" w14:textId="77777777" w:rsidR="00CB542F" w:rsidRDefault="00CB542F">
      <w:pPr>
        <w:ind w:left="567" w:hanging="567"/>
      </w:pPr>
    </w:p>
    <w:p w14:paraId="10A566C0" w14:textId="77777777" w:rsidR="00CB542F" w:rsidRDefault="00573A58">
      <w:pPr>
        <w:ind w:left="567" w:hanging="567"/>
        <w:rPr>
          <w:b/>
        </w:rPr>
      </w:pPr>
      <w:r>
        <w:rPr>
          <w:b/>
        </w:rPr>
        <w:t>5.1</w:t>
      </w:r>
      <w:r>
        <w:rPr>
          <w:b/>
        </w:rPr>
        <w:tab/>
        <w:t xml:space="preserve">Farmakodinaminės savybės </w:t>
      </w:r>
    </w:p>
    <w:p w14:paraId="34639889" w14:textId="77777777" w:rsidR="00CB542F" w:rsidRDefault="00CB542F">
      <w:pPr>
        <w:ind w:left="567" w:hanging="567"/>
      </w:pPr>
    </w:p>
    <w:p w14:paraId="6BDF9E3C" w14:textId="77777777" w:rsidR="00CB542F" w:rsidRDefault="00573A58">
      <w:pPr>
        <w:numPr>
          <w:ilvl w:val="12"/>
          <w:numId w:val="0"/>
        </w:numPr>
        <w:tabs>
          <w:tab w:val="left" w:pos="567"/>
        </w:tabs>
        <w:ind w:right="-2"/>
      </w:pPr>
      <w:r>
        <w:t>Farmakoterapinė grupė – antitrombozinės medžiagos, tiesioginiai trombino inhibitoriai, ATC kodas – B01AE07.</w:t>
      </w:r>
    </w:p>
    <w:p w14:paraId="7CC64760" w14:textId="77777777" w:rsidR="00CB542F" w:rsidRDefault="00CB542F">
      <w:pPr>
        <w:numPr>
          <w:ilvl w:val="12"/>
          <w:numId w:val="0"/>
        </w:numPr>
        <w:tabs>
          <w:tab w:val="left" w:pos="567"/>
        </w:tabs>
        <w:ind w:right="-2"/>
      </w:pPr>
    </w:p>
    <w:p w14:paraId="5DAD1726" w14:textId="77777777" w:rsidR="00CB542F" w:rsidRDefault="00573A58">
      <w:pPr>
        <w:numPr>
          <w:ilvl w:val="12"/>
          <w:numId w:val="0"/>
        </w:numPr>
        <w:tabs>
          <w:tab w:val="left" w:pos="567"/>
        </w:tabs>
        <w:ind w:right="-2"/>
        <w:rPr>
          <w:u w:val="single"/>
        </w:rPr>
      </w:pPr>
      <w:r>
        <w:rPr>
          <w:u w:val="single"/>
        </w:rPr>
        <w:t>Veikimo mechanizmas</w:t>
      </w:r>
    </w:p>
    <w:p w14:paraId="545DEE96" w14:textId="77777777" w:rsidR="00CB542F" w:rsidRDefault="00CB542F">
      <w:pPr>
        <w:numPr>
          <w:ilvl w:val="12"/>
          <w:numId w:val="0"/>
        </w:numPr>
        <w:tabs>
          <w:tab w:val="left" w:pos="567"/>
        </w:tabs>
        <w:ind w:right="-2"/>
      </w:pPr>
    </w:p>
    <w:p w14:paraId="3296CBE8" w14:textId="77777777" w:rsidR="00CB542F" w:rsidRDefault="00573A58">
      <w:pPr>
        <w:numPr>
          <w:ilvl w:val="12"/>
          <w:numId w:val="0"/>
        </w:numPr>
        <w:tabs>
          <w:tab w:val="left" w:pos="567"/>
        </w:tabs>
        <w:ind w:right="-2"/>
      </w:pPr>
      <w:r>
        <w:t>Dabigatrano eteksilatas yra mažos molekulės provaistas, kuris nėra farmakologiškai aktyvus.</w:t>
      </w:r>
    </w:p>
    <w:p w14:paraId="5E194DD5" w14:textId="77777777" w:rsidR="00CB542F" w:rsidRDefault="00573A58">
      <w:pPr>
        <w:numPr>
          <w:ilvl w:val="12"/>
          <w:numId w:val="0"/>
        </w:numPr>
        <w:tabs>
          <w:tab w:val="left" w:pos="567"/>
        </w:tabs>
        <w:ind w:right="-2"/>
      </w:pPr>
      <w:r>
        <w:t>Išgertas dabigatrano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0BCBDA52" w14:textId="77777777" w:rsidR="00CB542F" w:rsidRDefault="00573A58">
      <w:pPr>
        <w:numPr>
          <w:ilvl w:val="12"/>
          <w:numId w:val="0"/>
        </w:numPr>
        <w:tabs>
          <w:tab w:val="left" w:pos="567"/>
        </w:tabs>
        <w:ind w:right="-2"/>
      </w:pPr>
      <w: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26832B85" w14:textId="77777777" w:rsidR="00CB542F" w:rsidRDefault="00CB542F">
      <w:pPr>
        <w:numPr>
          <w:ilvl w:val="12"/>
          <w:numId w:val="0"/>
        </w:numPr>
        <w:tabs>
          <w:tab w:val="left" w:pos="567"/>
        </w:tabs>
        <w:ind w:right="-2"/>
      </w:pPr>
    </w:p>
    <w:p w14:paraId="11295BD8" w14:textId="77777777" w:rsidR="00CB542F" w:rsidRDefault="00573A58">
      <w:pPr>
        <w:numPr>
          <w:ilvl w:val="12"/>
          <w:numId w:val="0"/>
        </w:numPr>
        <w:tabs>
          <w:tab w:val="left" w:pos="567"/>
        </w:tabs>
        <w:ind w:right="-2"/>
        <w:rPr>
          <w:u w:val="single"/>
        </w:rPr>
      </w:pPr>
      <w:r>
        <w:rPr>
          <w:u w:val="single"/>
        </w:rPr>
        <w:t>Farmakodinaminis poveikis</w:t>
      </w:r>
    </w:p>
    <w:p w14:paraId="7AB52EBA" w14:textId="77777777" w:rsidR="00CB542F" w:rsidRDefault="00CB542F">
      <w:pPr>
        <w:numPr>
          <w:ilvl w:val="12"/>
          <w:numId w:val="0"/>
        </w:numPr>
        <w:tabs>
          <w:tab w:val="left" w:pos="567"/>
        </w:tabs>
        <w:ind w:right="-2"/>
      </w:pPr>
    </w:p>
    <w:p w14:paraId="13CE9DCB" w14:textId="77777777" w:rsidR="00CB542F" w:rsidRDefault="00573A58">
      <w:pPr>
        <w:numPr>
          <w:ilvl w:val="12"/>
          <w:numId w:val="0"/>
        </w:numPr>
        <w:tabs>
          <w:tab w:val="left" w:pos="567"/>
        </w:tabs>
        <w:ind w:right="-2"/>
      </w:pPr>
      <w:r>
        <w:lastRenderedPageBreak/>
        <w:t xml:space="preserve">Į veną suleisto dabigatrano ir išgerto dabigatrano eteksilato antitrombozinis veiksmingumas ir antikoaguliacinis aktyvumas įrodytas tyrimais </w:t>
      </w:r>
      <w:r>
        <w:rPr>
          <w:i/>
          <w:iCs/>
        </w:rPr>
        <w:t>in vivo</w:t>
      </w:r>
      <w:r>
        <w:t xml:space="preserve"> ir </w:t>
      </w:r>
      <w:r>
        <w:rPr>
          <w:i/>
          <w:iCs/>
        </w:rPr>
        <w:t>ex vivo</w:t>
      </w:r>
      <w:r>
        <w:t xml:space="preserve"> su gyvūnais, tiriant įvairius gyvūnų trombozės modelius.</w:t>
      </w:r>
    </w:p>
    <w:p w14:paraId="788830E9" w14:textId="77777777" w:rsidR="00CB542F" w:rsidRDefault="00CB542F">
      <w:pPr>
        <w:numPr>
          <w:ilvl w:val="12"/>
          <w:numId w:val="0"/>
        </w:numPr>
        <w:tabs>
          <w:tab w:val="left" w:pos="567"/>
        </w:tabs>
        <w:ind w:right="-2"/>
      </w:pPr>
    </w:p>
    <w:p w14:paraId="1BC95561" w14:textId="77777777" w:rsidR="00CB542F" w:rsidRDefault="00573A58">
      <w:pPr>
        <w:numPr>
          <w:ilvl w:val="12"/>
          <w:numId w:val="0"/>
        </w:numPr>
        <w:tabs>
          <w:tab w:val="left" w:pos="567"/>
        </w:tabs>
        <w:ind w:right="-2"/>
      </w:pPr>
      <w:r>
        <w:t>Remiantis II fazės tyrimais, tarp dabigatrano koncentracijos kraujo plazmoje ir antikoaguliacinio poveikio stiprumo yra aiški koreliacija. Dabigatranas ilgina trombino laiką (TL), EKL ir DATL.</w:t>
      </w:r>
    </w:p>
    <w:p w14:paraId="15DD3219" w14:textId="77777777" w:rsidR="00CB542F" w:rsidRDefault="00CB542F">
      <w:pPr>
        <w:numPr>
          <w:ilvl w:val="12"/>
          <w:numId w:val="0"/>
        </w:numPr>
        <w:tabs>
          <w:tab w:val="left" w:pos="567"/>
        </w:tabs>
        <w:ind w:right="-2"/>
      </w:pPr>
    </w:p>
    <w:p w14:paraId="61D7A3F9" w14:textId="77777777" w:rsidR="00CB542F" w:rsidRDefault="00573A58">
      <w:pPr>
        <w:numPr>
          <w:ilvl w:val="12"/>
          <w:numId w:val="0"/>
        </w:numPr>
        <w:tabs>
          <w:tab w:val="left" w:pos="567"/>
        </w:tabs>
        <w:ind w:right="-2"/>
      </w:pPr>
      <w:r>
        <w:t>Kalibruotas kiekybinis praskiesto TL (PTL) tyrimas rodo apytikrę dabigatrano koncentraciją kraujo plazmoje, kuri gali būti panaši į tikėtiną dabigatrano koncentraciją kraujo plazmoje. Jeigu kalibruotas PTL tyrimas rodo, kad dabigatrano koncentracija kraujo plazmoje yra prie kiekybinio nustatymo ribos arba mažesnė, reikia apsvarstyti papildomo kraujo krešėjimo tyrimo, pvz., TL, EKL, DATL, atlikimo būtinybę.</w:t>
      </w:r>
    </w:p>
    <w:p w14:paraId="28BA7ED2" w14:textId="77777777" w:rsidR="00CB542F" w:rsidRDefault="00CB542F">
      <w:pPr>
        <w:numPr>
          <w:ilvl w:val="12"/>
          <w:numId w:val="0"/>
        </w:numPr>
        <w:tabs>
          <w:tab w:val="left" w:pos="567"/>
        </w:tabs>
        <w:ind w:right="-2"/>
      </w:pPr>
    </w:p>
    <w:p w14:paraId="159FFF54" w14:textId="77777777" w:rsidR="00CB542F" w:rsidRDefault="00573A58">
      <w:pPr>
        <w:numPr>
          <w:ilvl w:val="12"/>
          <w:numId w:val="0"/>
        </w:numPr>
        <w:tabs>
          <w:tab w:val="left" w:pos="567"/>
        </w:tabs>
        <w:ind w:right="-2"/>
      </w:pPr>
      <w:r>
        <w:t>EKL tyrimu galima nustatyti aiškų tiesioginių trombino inhibitorių aktyvumo laipsnį.</w:t>
      </w:r>
    </w:p>
    <w:p w14:paraId="36130678" w14:textId="77777777" w:rsidR="00CB542F" w:rsidRDefault="00CB542F">
      <w:pPr>
        <w:numPr>
          <w:ilvl w:val="12"/>
          <w:numId w:val="0"/>
        </w:numPr>
        <w:tabs>
          <w:tab w:val="left" w:pos="567"/>
        </w:tabs>
        <w:ind w:right="-2"/>
      </w:pPr>
    </w:p>
    <w:p w14:paraId="12EBF1FA" w14:textId="77777777" w:rsidR="00CB542F" w:rsidRDefault="00573A58">
      <w:pPr>
        <w:numPr>
          <w:ilvl w:val="12"/>
          <w:numId w:val="0"/>
        </w:numPr>
        <w:tabs>
          <w:tab w:val="left" w:pos="567"/>
        </w:tabs>
        <w:ind w:right="-2"/>
      </w:pPr>
      <w:r>
        <w:t>DATL tyrimas taikomas plačiai ir juo nustatomas apytikslis dabigatrano sukeltos antikoaguliacijos stiprumas. Vis dėlto DATL tyrimas yra riboto jautrumo ir tiksliam kiekybiniam antikoaguliacinio poveikio vertinimui netinka, ypač tuo atveju, jeigu dabigatrano koncentracija kraujo plazmoje yra didelė. Nors dideles DATL reikšmes reikia vertinti atsargiai, tačiau didelė DATL reikšmė rodo, kad pacientui yra sukeltas antikoaguliacinis poveikis.</w:t>
      </w:r>
    </w:p>
    <w:p w14:paraId="00AEC922" w14:textId="77777777" w:rsidR="00CB542F" w:rsidRDefault="00CB542F">
      <w:pPr>
        <w:numPr>
          <w:ilvl w:val="12"/>
          <w:numId w:val="0"/>
        </w:numPr>
        <w:tabs>
          <w:tab w:val="left" w:pos="567"/>
        </w:tabs>
        <w:ind w:right="-2"/>
      </w:pPr>
    </w:p>
    <w:p w14:paraId="4C66D180" w14:textId="77777777" w:rsidR="00CB542F" w:rsidRDefault="00573A58">
      <w:pPr>
        <w:numPr>
          <w:ilvl w:val="12"/>
          <w:numId w:val="0"/>
        </w:numPr>
        <w:tabs>
          <w:tab w:val="left" w:pos="567"/>
        </w:tabs>
        <w:ind w:right="-2"/>
      </w:pPr>
      <w:r>
        <w:t>Paprastai galima manyti, kad minėti antikoaguliacinio aktyvumo rodikliai gali atspindėti dabigatrano kiekį kraujo plazmoje ir rodyti, jog reikia įvertinti kraujavimo riziką, t. y. mažiausios dabigatrano koncentracijos kraujo plazmoje arba koaguliacijos rodiklio, pvz., DATL, nustatyto tuo metu, kai koncentracija kraujo plazmoje mažiausia (DATL slenksčiai nurodyti 4.4 skyriaus 6-ojoje lentelėje), 90-ojo procentilio viršijimas yra laikomas susijusiu su kraujavimo rizikos padidėjimu.</w:t>
      </w:r>
    </w:p>
    <w:p w14:paraId="1F800587" w14:textId="77777777" w:rsidR="00CB542F" w:rsidRDefault="00CB542F">
      <w:pPr>
        <w:numPr>
          <w:ilvl w:val="12"/>
          <w:numId w:val="0"/>
        </w:numPr>
        <w:tabs>
          <w:tab w:val="left" w:pos="567"/>
        </w:tabs>
        <w:ind w:right="-2"/>
      </w:pPr>
    </w:p>
    <w:p w14:paraId="0D60CBCF" w14:textId="77777777" w:rsidR="00CB542F" w:rsidRDefault="00573A58">
      <w:pPr>
        <w:widowControl w:val="0"/>
        <w:autoSpaceDE w:val="0"/>
        <w:autoSpaceDN w:val="0"/>
        <w:rPr>
          <w:i/>
          <w:iCs/>
          <w:u w:val="single"/>
        </w:rPr>
      </w:pPr>
      <w:r>
        <w:rPr>
          <w:i/>
          <w:iCs/>
          <w:u w:val="single"/>
        </w:rPr>
        <w:t>Insulto ir sisteminės embolijos profilaktika suaugusiems pacientams, sergantiems NVPV, jeigu yra vienas arba daugiau rizikos veiksnių (IPPV)</w:t>
      </w:r>
    </w:p>
    <w:p w14:paraId="55778DC7" w14:textId="77777777" w:rsidR="00CB542F" w:rsidRDefault="00CB542F">
      <w:pPr>
        <w:widowControl w:val="0"/>
        <w:autoSpaceDE w:val="0"/>
        <w:autoSpaceDN w:val="0"/>
      </w:pPr>
    </w:p>
    <w:p w14:paraId="6686F35E" w14:textId="77777777" w:rsidR="00CB542F" w:rsidRDefault="00573A58">
      <w:pPr>
        <w:widowControl w:val="0"/>
        <w:autoSpaceDE w:val="0"/>
        <w:autoSpaceDN w:val="0"/>
      </w:pPr>
      <w:r>
        <w:t>Nusistovėjus pusiausvyrinei koncentracijai, didžiausios dabigatrano koncentracijos kraujo plazmoje, išmatuotos praėjus maždaug 2 val. po 2 kartus per parą vartojamos 150 mg dabigatrano eteksilato dozės pavartojimo, geometrinis vidurkis buvo 175 ng/ml, svyravimo ribos – 117-275 ng/ml (25-75 procentilių intervale). Mažiausios dabigatrano koncentracijos kraujo plazmoje, išmatuotos ryte, intervalo tarp dozių vartojimo pabaigoje (t. y. praėjus 12 val. po vakarinės 150 mg dabigatrano dozės pavartojimo), geometrinis vidurkis buvo vidutiniškai 91 ng/ml, svyravimo ribos – 61-143 ng/ml (25-75 procentilių intervale).</w:t>
      </w:r>
    </w:p>
    <w:p w14:paraId="62334273" w14:textId="77777777" w:rsidR="00CB542F" w:rsidRDefault="00CB542F">
      <w:pPr>
        <w:widowControl w:val="0"/>
        <w:autoSpaceDE w:val="0"/>
        <w:autoSpaceDN w:val="0"/>
      </w:pPr>
    </w:p>
    <w:p w14:paraId="638925CB" w14:textId="77777777" w:rsidR="00CB542F" w:rsidRDefault="00573A58">
      <w:pPr>
        <w:widowControl w:val="0"/>
        <w:autoSpaceDE w:val="0"/>
        <w:autoSpaceDN w:val="0"/>
      </w:pPr>
      <w:r>
        <w:t>NVPV sergantiems pacientams, 2 kartus per parą vartojantiems 150 mg dabigatrano eteksilato dozę insulto ir sisteminės embolijos profilaktikai:</w:t>
      </w:r>
    </w:p>
    <w:p w14:paraId="1F7BCBCB" w14:textId="77777777" w:rsidR="00CB542F" w:rsidRDefault="00573A58">
      <w:pPr>
        <w:widowControl w:val="0"/>
        <w:numPr>
          <w:ilvl w:val="0"/>
          <w:numId w:val="5"/>
        </w:numPr>
        <w:autoSpaceDE w:val="0"/>
        <w:autoSpaceDN w:val="0"/>
        <w:ind w:left="567" w:hanging="567"/>
        <w:jc w:val="both"/>
        <w:rPr>
          <w:color w:val="000000"/>
          <w:szCs w:val="22"/>
          <w:lang w:val="sl-SI" w:eastAsia="sl-SI"/>
        </w:rPr>
      </w:pPr>
      <w:r>
        <w:t>dabigatrano koncentracijos kraujo plazmoje, išmatuotos tuo metu, kai ji mažiausia (praėjus 10-16 val. po ankstesnės dozės pavartojimo), 90-asis procentilis buvo maždaug 200 ng/ml;</w:t>
      </w:r>
    </w:p>
    <w:p w14:paraId="6B45E590" w14:textId="77777777" w:rsidR="00CB542F" w:rsidRDefault="00573A58">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3 kartus, palyginti su viršutine normos reikšme, atspindi sekto EKL 90-ojo procentilio pailgėjimą 103 sekundėmis;</w:t>
      </w:r>
    </w:p>
    <w:p w14:paraId="7384B5B4" w14:textId="77777777" w:rsidR="00CB542F" w:rsidRDefault="00573A58">
      <w:pPr>
        <w:widowControl w:val="0"/>
        <w:numPr>
          <w:ilvl w:val="0"/>
          <w:numId w:val="5"/>
        </w:numPr>
        <w:autoSpaceDE w:val="0"/>
        <w:autoSpaceDN w:val="0"/>
        <w:ind w:left="567" w:hanging="567"/>
        <w:jc w:val="both"/>
        <w:rPr>
          <w:color w:val="000000"/>
          <w:szCs w:val="22"/>
          <w:lang w:val="sl-SI" w:eastAsia="sl-SI"/>
        </w:rPr>
      </w:pPr>
      <w:r>
        <w:t>DATL, nustatyto tuo metu, kai koncentracija mažiausia (praėjus 10-16 val. po ankstesnės dozės pavartojimo), pailgėjimas daugiau negu 2 kartus, palyginti su viršutine normos reikšme (DATL pailgėjimas maždaug 80 sekundžių) atspindi 90-ąjį stebėjimo procentilį.</w:t>
      </w:r>
    </w:p>
    <w:p w14:paraId="453BA5EA" w14:textId="77777777" w:rsidR="00CB542F" w:rsidRDefault="00CB542F">
      <w:pPr>
        <w:widowControl w:val="0"/>
        <w:autoSpaceDE w:val="0"/>
        <w:autoSpaceDN w:val="0"/>
      </w:pPr>
    </w:p>
    <w:p w14:paraId="1C58CEA9" w14:textId="77777777" w:rsidR="00CB542F" w:rsidRDefault="00573A58">
      <w:pPr>
        <w:widowControl w:val="0"/>
        <w:autoSpaceDE w:val="0"/>
        <w:autoSpaceDN w:val="0"/>
        <w:rPr>
          <w:i/>
        </w:rPr>
      </w:pPr>
      <w:r>
        <w:rPr>
          <w:i/>
        </w:rPr>
        <w:t>GVT ir PE gydymas bei recidyvinių GVT ir PE profilaktika suaugusiesiems (GVT/PE)</w:t>
      </w:r>
    </w:p>
    <w:p w14:paraId="15FCFC45" w14:textId="77777777" w:rsidR="00CB542F" w:rsidRDefault="00CB542F">
      <w:pPr>
        <w:widowControl w:val="0"/>
        <w:autoSpaceDE w:val="0"/>
        <w:autoSpaceDN w:val="0"/>
      </w:pPr>
    </w:p>
    <w:p w14:paraId="2566927F" w14:textId="77777777" w:rsidR="00CB542F" w:rsidRDefault="00573A58">
      <w:pPr>
        <w:widowControl w:val="0"/>
        <w:autoSpaceDE w:val="0"/>
        <w:autoSpaceDN w:val="0"/>
      </w:pPr>
      <w:r>
        <w:t>Pacientams, GVT ir PE gydymui vartojantiems 150 mg dabigatrano eteksilato dozę 2 kartus per parą, mažiausios dabigatrano koncentracijos kraujyje, išmatuotos praėjus 10</w:t>
      </w:r>
      <w:r>
        <w:noBreakHyphen/>
        <w:t>-16 val. po dozės pavartojimo, t. y dozavimo intervalo pabaigoje (t. y. praėjus 12 valandų po vakarinės 150 mg dozės pavartojimo), geometrinis vidurkis buvo 59,7 ng/ml, svyravimo ribos – 38,6</w:t>
      </w:r>
      <w:r>
        <w:noBreakHyphen/>
        <w:t>94,5 ng/ml (25</w:t>
      </w:r>
      <w:r>
        <w:noBreakHyphen/>
        <w:t>75 procentilių intervale). GVT ir PE gydant 2 kartus per parą vartojama 150 mg dabigatrano eteksilato doze:</w:t>
      </w:r>
    </w:p>
    <w:p w14:paraId="6B0EEB26" w14:textId="77777777" w:rsidR="00CB542F" w:rsidRDefault="00573A58">
      <w:pPr>
        <w:widowControl w:val="0"/>
        <w:numPr>
          <w:ilvl w:val="0"/>
          <w:numId w:val="5"/>
        </w:numPr>
        <w:autoSpaceDE w:val="0"/>
        <w:autoSpaceDN w:val="0"/>
        <w:ind w:left="567" w:hanging="567"/>
        <w:jc w:val="both"/>
        <w:rPr>
          <w:color w:val="000000"/>
          <w:szCs w:val="22"/>
          <w:lang w:val="sl-SI" w:eastAsia="sl-SI"/>
        </w:rPr>
      </w:pPr>
      <w:r>
        <w:t xml:space="preserve">dabigatrano koncentracijos kraujo plazmoje, išmatuotos tuo metu, kai ji mažiausia (praėjus 10-16 </w:t>
      </w:r>
      <w:r>
        <w:lastRenderedPageBreak/>
        <w:t>val. po ankstesnės dozės pavartojimo), 90-asis procentilis buvo maždaug 146 ng/ml;</w:t>
      </w:r>
    </w:p>
    <w:p w14:paraId="366008EA" w14:textId="77777777" w:rsidR="00CB542F" w:rsidRDefault="00573A58">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2-3 kartus, palyginti su pradiniu, atspindi sekto EKL 90-ojo procentilio pailgėjimą 74 sekundėmis;</w:t>
      </w:r>
    </w:p>
    <w:p w14:paraId="1D42D971" w14:textId="77777777" w:rsidR="00CB542F" w:rsidRDefault="00573A58">
      <w:pPr>
        <w:widowControl w:val="0"/>
        <w:numPr>
          <w:ilvl w:val="0"/>
          <w:numId w:val="5"/>
        </w:numPr>
        <w:autoSpaceDE w:val="0"/>
        <w:autoSpaceDN w:val="0"/>
        <w:ind w:left="567" w:hanging="567"/>
        <w:jc w:val="both"/>
        <w:rPr>
          <w:color w:val="000000"/>
          <w:szCs w:val="22"/>
          <w:lang w:val="sl-SI" w:eastAsia="sl-SI"/>
        </w:rPr>
      </w:pPr>
      <w:r>
        <w:t>DATL 90-asis procentilis, nustatytas tuo metu, kai koncentracija mažiausia (praėjus 10-16 val. po ankstesnės dozės pavartojimo), buvo 62 sekundės, kuris galėtų būti 1,8 karto ilgesnis, palyginti su pradiniu.</w:t>
      </w:r>
    </w:p>
    <w:p w14:paraId="289C9520" w14:textId="77777777" w:rsidR="00CB542F" w:rsidRDefault="00CB542F">
      <w:pPr>
        <w:widowControl w:val="0"/>
        <w:autoSpaceDE w:val="0"/>
        <w:autoSpaceDN w:val="0"/>
        <w:jc w:val="both"/>
        <w:rPr>
          <w:color w:val="000000"/>
          <w:szCs w:val="22"/>
          <w:lang w:val="sl-SI" w:eastAsia="sl-SI"/>
        </w:rPr>
      </w:pPr>
    </w:p>
    <w:p w14:paraId="1A11B4A2" w14:textId="77777777" w:rsidR="00CB542F" w:rsidRDefault="00573A58">
      <w:pPr>
        <w:widowControl w:val="0"/>
        <w:autoSpaceDE w:val="0"/>
        <w:autoSpaceDN w:val="0"/>
        <w:jc w:val="both"/>
        <w:rPr>
          <w:color w:val="000000"/>
          <w:szCs w:val="22"/>
          <w:lang w:val="sl-SI" w:eastAsia="sl-SI"/>
        </w:rPr>
      </w:pPr>
      <w:r>
        <w:t>Farmakokinetikos pacientų, kuriems buvo taikoma recidyvinių GVT ir PE profilaktika 2 kartus per parą vartojama 150 mg dabigatrano eteksilato doze, organizme duomenų nėra.</w:t>
      </w:r>
    </w:p>
    <w:p w14:paraId="344B73AF" w14:textId="77777777" w:rsidR="00CB542F" w:rsidRDefault="00CB542F">
      <w:pPr>
        <w:widowControl w:val="0"/>
        <w:autoSpaceDE w:val="0"/>
        <w:autoSpaceDN w:val="0"/>
      </w:pPr>
    </w:p>
    <w:p w14:paraId="4DA1C954" w14:textId="77777777" w:rsidR="00CB542F" w:rsidRDefault="00573A58">
      <w:pPr>
        <w:widowControl w:val="0"/>
        <w:autoSpaceDE w:val="0"/>
        <w:autoSpaceDN w:val="0"/>
        <w:rPr>
          <w:u w:val="single"/>
        </w:rPr>
      </w:pPr>
      <w:r>
        <w:rPr>
          <w:u w:val="single"/>
        </w:rPr>
        <w:t>Klinikinis veiksmingumas ir saugumas</w:t>
      </w:r>
    </w:p>
    <w:p w14:paraId="52B583AA" w14:textId="77777777" w:rsidR="00CB542F" w:rsidRDefault="00CB542F">
      <w:pPr>
        <w:widowControl w:val="0"/>
        <w:autoSpaceDE w:val="0"/>
        <w:autoSpaceDN w:val="0"/>
      </w:pPr>
    </w:p>
    <w:p w14:paraId="1888FD08" w14:textId="77777777" w:rsidR="00CB542F" w:rsidRDefault="00573A58">
      <w:pPr>
        <w:widowControl w:val="0"/>
        <w:autoSpaceDE w:val="0"/>
        <w:autoSpaceDN w:val="0"/>
        <w:rPr>
          <w:i/>
          <w:iCs/>
        </w:rPr>
      </w:pPr>
      <w:r>
        <w:rPr>
          <w:i/>
          <w:iCs/>
        </w:rPr>
        <w:t>Etninė grupė</w:t>
      </w:r>
    </w:p>
    <w:p w14:paraId="5A5FE170" w14:textId="77777777" w:rsidR="00CB542F" w:rsidRDefault="00573A58">
      <w:pPr>
        <w:widowControl w:val="0"/>
        <w:autoSpaceDE w:val="0"/>
        <w:autoSpaceDN w:val="0"/>
      </w:pPr>
      <w:r>
        <w:t>Priklausomai nuo etninės grupės kliniškai reikšmingų poveikio skirtumų europidams, afroamerikiečiams, ispanams, japonams ar kinams nepastebėta.</w:t>
      </w:r>
    </w:p>
    <w:p w14:paraId="2B58751C" w14:textId="77777777" w:rsidR="00CB542F" w:rsidRDefault="00CB542F">
      <w:pPr>
        <w:widowControl w:val="0"/>
        <w:autoSpaceDE w:val="0"/>
        <w:autoSpaceDN w:val="0"/>
      </w:pPr>
    </w:p>
    <w:p w14:paraId="7B916A77" w14:textId="77777777" w:rsidR="00CB542F" w:rsidRDefault="00573A58">
      <w:pPr>
        <w:widowControl w:val="0"/>
        <w:autoSpaceDE w:val="0"/>
        <w:autoSpaceDN w:val="0"/>
        <w:rPr>
          <w:i/>
          <w:iCs/>
          <w:u w:val="single"/>
        </w:rPr>
      </w:pPr>
      <w:r>
        <w:rPr>
          <w:i/>
          <w:iCs/>
          <w:u w:val="single"/>
        </w:rPr>
        <w:t>Insulto ir sisteminės embolijos profilaktika suaugusiems pacientams, sergantiems NVPV, jeigu yra vienas arba daugiau rizikos veiksnių</w:t>
      </w:r>
    </w:p>
    <w:p w14:paraId="14AE5962" w14:textId="77777777" w:rsidR="00CB542F" w:rsidRDefault="00CB542F">
      <w:pPr>
        <w:widowControl w:val="0"/>
        <w:autoSpaceDE w:val="0"/>
        <w:autoSpaceDN w:val="0"/>
      </w:pPr>
    </w:p>
    <w:p w14:paraId="7FA7CBB4" w14:textId="77777777" w:rsidR="00CB542F" w:rsidRDefault="00573A58">
      <w:pPr>
        <w:widowControl w:val="0"/>
        <w:autoSpaceDE w:val="0"/>
        <w:autoSpaceDN w:val="0"/>
      </w:pPr>
      <w:r>
        <w:t>Klinikiniai duomenys apie dabigatrano eteksilato veiksmingumą buvo gauti atlikus daugiacentrį, daugianacionalinį, atsitiktinių imčių, paralelinių grupių ilgalaikio gydymo antikoaguliantais tyrimą (RE-LY tyrimą), kurio metu dviejų koduotų dabigatrano dozių (2 kartus per parą vartojamų 110 mg ir 150 mg dozių ) poveikis prieširdžių virpėjimu sergantiems pacientams, kuriems buvo vidutinė arba didelė insulto ir sisteminės embolijos rizika, buvo lygintas su atviru būdu vartojamo varfarino poveikiu. Svarbiausias šio tyrimo tikslas buvo nustatyti, ar dabigatrano eteksilato poveikis nėra blogesnis už varfarino mažinant sudėtinės vertinamosios baigties, t. y. insulto ir sisteminės embolijos, pasireiškimo dažnį. Buvo analizuotas ir statistinis pranašumas.</w:t>
      </w:r>
    </w:p>
    <w:p w14:paraId="633EC70D" w14:textId="77777777" w:rsidR="00CB542F" w:rsidRDefault="00CB542F">
      <w:pPr>
        <w:widowControl w:val="0"/>
        <w:autoSpaceDE w:val="0"/>
        <w:autoSpaceDN w:val="0"/>
      </w:pPr>
    </w:p>
    <w:p w14:paraId="7A6737ED" w14:textId="77777777" w:rsidR="00CB542F" w:rsidRDefault="00573A58">
      <w:pPr>
        <w:widowControl w:val="0"/>
        <w:autoSpaceDE w:val="0"/>
        <w:autoSpaceDN w:val="0"/>
      </w:pPr>
      <w:r>
        <w:t>RE-LY tyrimui atsitiktinių imčių būdu iš viso buvo atrinkta 18 113 pacientų, kurių vidutinis amžius – 71,5 metų, vidutinis CHADS</w:t>
      </w:r>
      <w:r>
        <w:rPr>
          <w:vertAlign w:val="subscript"/>
        </w:rPr>
        <w:t>2</w:t>
      </w:r>
      <w:r>
        <w:t xml:space="preserve"> rodmuo – 2,1. 64 % tiriamųjų buvo vyrai, 70 % – europidai, 16 % – azijiečiai. Gydymui varfarinu atsitiktinių imčių būdu atrinktų tiriamųjų vidutinė procentinė laiko terapinėse ribose (angl. </w:t>
      </w:r>
      <w:r>
        <w:rPr>
          <w:i/>
          <w:iCs/>
        </w:rPr>
        <w:t>time in therapeutic range, TTR</w:t>
      </w:r>
      <w:r>
        <w:t>) (TNS 2-3) dalis buvo 64,4 % (TTR mediana 67 %).</w:t>
      </w:r>
    </w:p>
    <w:p w14:paraId="64D9891D" w14:textId="77777777" w:rsidR="00CB542F" w:rsidRDefault="00CB542F">
      <w:pPr>
        <w:widowControl w:val="0"/>
        <w:autoSpaceDE w:val="0"/>
        <w:autoSpaceDN w:val="0"/>
      </w:pPr>
    </w:p>
    <w:p w14:paraId="086E0DDB" w14:textId="77777777" w:rsidR="00CB542F" w:rsidRDefault="00573A58">
      <w:pPr>
        <w:widowControl w:val="0"/>
        <w:autoSpaceDE w:val="0"/>
        <w:autoSpaceDN w:val="0"/>
      </w:pPr>
      <w:r>
        <w:t>RE-LY tyrimas parodė, kad gydymas 2 kartus per parą vartojama 110 mg dabigatrano eteksilato doze, palyginti su gydymu varfarinu, nėra blogesnis insulto ir sisteminės embolijos profilaktikai prieširdžių virpėjimu sergantiems pacientams, kuriems ICH, bendro kraujavimo ir didžiojo kraujavimo rizika yra sumažėjusi. 2 kartus per parą vartojama 150 mg dozė, palyginti su varfarinu, reikšmingai sumažino išeminio ir hemoraginio insulto riziką, mirties dėl kraujagyslių sutrikimo, ICH ir bendro kraujavimo riziką. Vartojant šią dozę, didžiojo kraujavimo dažnis buvo panašus į dažnį varfarino vartojimo metu. Pacientams, vartojantiems 110 mg arba 150 mg dabigatrano eteksilato dozę 2 kartus per parą, miokardo infarkto dažnis buvo šiek tiek didesnis negu vartojantiems varfarino (atitinkamai rizikos santykis 1,29; p = 0,0929, ir rizikos santykis 1,27; p = 0,1240). Pagerinus TNS stebėjimą, stebėtas palankus dabigatrano eteksilato poveikis, palyginti su varfarino, mažėjo.</w:t>
      </w:r>
    </w:p>
    <w:p w14:paraId="011648C1" w14:textId="77777777" w:rsidR="00CB542F" w:rsidRDefault="00CB542F">
      <w:pPr>
        <w:widowControl w:val="0"/>
        <w:autoSpaceDE w:val="0"/>
        <w:autoSpaceDN w:val="0"/>
      </w:pPr>
    </w:p>
    <w:p w14:paraId="4EF1BE72" w14:textId="77777777" w:rsidR="00CB542F" w:rsidRDefault="00573A58">
      <w:pPr>
        <w:widowControl w:val="0"/>
        <w:autoSpaceDE w:val="0"/>
        <w:autoSpaceDN w:val="0"/>
      </w:pPr>
      <w:r>
        <w:t>17-19 lentelėse pateikti svarbiausi visos tirtos populiacijos rezultatai.</w:t>
      </w:r>
    </w:p>
    <w:p w14:paraId="2B240D4F" w14:textId="77777777" w:rsidR="00CB542F" w:rsidRDefault="00CB542F">
      <w:pPr>
        <w:widowControl w:val="0"/>
        <w:autoSpaceDE w:val="0"/>
        <w:autoSpaceDN w:val="0"/>
      </w:pPr>
    </w:p>
    <w:p w14:paraId="211F523D" w14:textId="77777777" w:rsidR="00CB542F" w:rsidRDefault="00573A58">
      <w:pPr>
        <w:widowControl w:val="0"/>
        <w:autoSpaceDE w:val="0"/>
        <w:autoSpaceDN w:val="0"/>
        <w:rPr>
          <w:b/>
          <w:bCs/>
        </w:rPr>
      </w:pPr>
      <w:r>
        <w:rPr>
          <w:b/>
          <w:bCs/>
        </w:rPr>
        <w:t>17 lentelė. Insulto ar sisteminės embolijos (pirminės vertinamosios baigties) pirmo pasireiškimo RE-LY tyrimo laikotarpiu analizė</w:t>
      </w:r>
    </w:p>
    <w:p w14:paraId="49A2AD06"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74"/>
        <w:gridCol w:w="2373"/>
        <w:gridCol w:w="2243"/>
        <w:gridCol w:w="1979"/>
      </w:tblGrid>
      <w:tr w:rsidR="00CB542F" w14:paraId="35DBB2C5" w14:textId="77777777">
        <w:trPr>
          <w:trHeight w:val="508"/>
        </w:trPr>
        <w:tc>
          <w:tcPr>
            <w:tcW w:w="2474" w:type="dxa"/>
            <w:shd w:val="clear" w:color="auto" w:fill="auto"/>
          </w:tcPr>
          <w:p w14:paraId="00D4A83C" w14:textId="77777777" w:rsidR="00CB542F" w:rsidRDefault="00CB542F">
            <w:pPr>
              <w:widowControl w:val="0"/>
              <w:kinsoku w:val="0"/>
              <w:overflowPunct w:val="0"/>
              <w:autoSpaceDE w:val="0"/>
              <w:autoSpaceDN w:val="0"/>
              <w:adjustRightInd w:val="0"/>
              <w:rPr>
                <w:color w:val="000000"/>
                <w:szCs w:val="22"/>
                <w:lang w:val="sl-SI" w:eastAsia="sl-SI"/>
              </w:rPr>
            </w:pPr>
          </w:p>
        </w:tc>
        <w:tc>
          <w:tcPr>
            <w:tcW w:w="2373" w:type="dxa"/>
            <w:shd w:val="clear" w:color="auto" w:fill="auto"/>
          </w:tcPr>
          <w:p w14:paraId="7946AC3B"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243" w:type="dxa"/>
            <w:shd w:val="clear" w:color="auto" w:fill="auto"/>
          </w:tcPr>
          <w:p w14:paraId="274A5A9B"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79" w:type="dxa"/>
            <w:shd w:val="clear" w:color="auto" w:fill="auto"/>
          </w:tcPr>
          <w:p w14:paraId="6A82C565"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CB542F" w14:paraId="3E85C06A" w14:textId="77777777">
        <w:trPr>
          <w:trHeight w:val="316"/>
        </w:trPr>
        <w:tc>
          <w:tcPr>
            <w:tcW w:w="2474" w:type="dxa"/>
            <w:shd w:val="clear" w:color="auto" w:fill="auto"/>
          </w:tcPr>
          <w:p w14:paraId="48660BCE"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Atsitiktinių imčių būdu atrinktų tiriamųjų skaičius</w:t>
            </w:r>
          </w:p>
        </w:tc>
        <w:tc>
          <w:tcPr>
            <w:tcW w:w="2373" w:type="dxa"/>
            <w:shd w:val="clear" w:color="auto" w:fill="auto"/>
          </w:tcPr>
          <w:p w14:paraId="0DDFA851"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6,015</w:t>
            </w:r>
          </w:p>
        </w:tc>
        <w:tc>
          <w:tcPr>
            <w:tcW w:w="2243" w:type="dxa"/>
            <w:shd w:val="clear" w:color="auto" w:fill="auto"/>
          </w:tcPr>
          <w:p w14:paraId="5848F408"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6,076</w:t>
            </w:r>
          </w:p>
        </w:tc>
        <w:tc>
          <w:tcPr>
            <w:tcW w:w="1979" w:type="dxa"/>
            <w:shd w:val="clear" w:color="auto" w:fill="auto"/>
          </w:tcPr>
          <w:p w14:paraId="01C6B120"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6,022</w:t>
            </w:r>
          </w:p>
        </w:tc>
      </w:tr>
      <w:tr w:rsidR="00CB542F" w14:paraId="2AFC69EC" w14:textId="77777777">
        <w:trPr>
          <w:trHeight w:val="505"/>
        </w:trPr>
        <w:tc>
          <w:tcPr>
            <w:tcW w:w="2474" w:type="dxa"/>
            <w:shd w:val="clear" w:color="auto" w:fill="auto"/>
          </w:tcPr>
          <w:p w14:paraId="2C33674C" w14:textId="77777777" w:rsidR="00CB542F" w:rsidRDefault="00573A58">
            <w:pPr>
              <w:widowControl w:val="0"/>
              <w:kinsoku w:val="0"/>
              <w:overflowPunct w:val="0"/>
              <w:autoSpaceDE w:val="0"/>
              <w:autoSpaceDN w:val="0"/>
              <w:adjustRightInd w:val="0"/>
              <w:spacing w:line="248" w:lineRule="exact"/>
              <w:ind w:left="51"/>
              <w:jc w:val="center"/>
              <w:rPr>
                <w:color w:val="000000"/>
                <w:szCs w:val="22"/>
                <w:lang w:val="sl-SI" w:eastAsia="sl-SI"/>
              </w:rPr>
            </w:pPr>
            <w:r>
              <w:lastRenderedPageBreak/>
              <w:t>Insultas ir (arba) sisteminė embolija</w:t>
            </w:r>
          </w:p>
        </w:tc>
        <w:tc>
          <w:tcPr>
            <w:tcW w:w="2373" w:type="dxa"/>
            <w:shd w:val="clear" w:color="auto" w:fill="auto"/>
          </w:tcPr>
          <w:p w14:paraId="4B0E8F59" w14:textId="77777777" w:rsidR="00CB542F" w:rsidRDefault="00CB542F">
            <w:pPr>
              <w:widowControl w:val="0"/>
              <w:kinsoku w:val="0"/>
              <w:overflowPunct w:val="0"/>
              <w:autoSpaceDE w:val="0"/>
              <w:autoSpaceDN w:val="0"/>
              <w:adjustRightInd w:val="0"/>
              <w:rPr>
                <w:color w:val="000000"/>
                <w:szCs w:val="22"/>
                <w:lang w:val="sl-SI" w:eastAsia="sl-SI"/>
              </w:rPr>
            </w:pPr>
          </w:p>
        </w:tc>
        <w:tc>
          <w:tcPr>
            <w:tcW w:w="2243" w:type="dxa"/>
            <w:shd w:val="clear" w:color="auto" w:fill="auto"/>
          </w:tcPr>
          <w:p w14:paraId="089E20C7" w14:textId="77777777" w:rsidR="00CB542F" w:rsidRDefault="00CB542F">
            <w:pPr>
              <w:widowControl w:val="0"/>
              <w:kinsoku w:val="0"/>
              <w:overflowPunct w:val="0"/>
              <w:autoSpaceDE w:val="0"/>
              <w:autoSpaceDN w:val="0"/>
              <w:adjustRightInd w:val="0"/>
              <w:rPr>
                <w:color w:val="000000"/>
                <w:szCs w:val="22"/>
                <w:lang w:val="sl-SI" w:eastAsia="sl-SI"/>
              </w:rPr>
            </w:pPr>
          </w:p>
        </w:tc>
        <w:tc>
          <w:tcPr>
            <w:tcW w:w="1979" w:type="dxa"/>
            <w:shd w:val="clear" w:color="auto" w:fill="auto"/>
          </w:tcPr>
          <w:p w14:paraId="355C24CC" w14:textId="77777777" w:rsidR="00CB542F" w:rsidRDefault="00CB542F">
            <w:pPr>
              <w:widowControl w:val="0"/>
              <w:kinsoku w:val="0"/>
              <w:overflowPunct w:val="0"/>
              <w:autoSpaceDE w:val="0"/>
              <w:autoSpaceDN w:val="0"/>
              <w:adjustRightInd w:val="0"/>
              <w:rPr>
                <w:color w:val="000000"/>
                <w:szCs w:val="22"/>
                <w:lang w:val="sl-SI" w:eastAsia="sl-SI"/>
              </w:rPr>
            </w:pPr>
          </w:p>
        </w:tc>
      </w:tr>
      <w:tr w:rsidR="00CB542F" w14:paraId="1BCE067B" w14:textId="77777777">
        <w:trPr>
          <w:trHeight w:val="253"/>
        </w:trPr>
        <w:tc>
          <w:tcPr>
            <w:tcW w:w="2474" w:type="dxa"/>
            <w:shd w:val="clear" w:color="auto" w:fill="auto"/>
          </w:tcPr>
          <w:p w14:paraId="307844F9" w14:textId="77777777" w:rsidR="00CB542F" w:rsidRDefault="00573A58">
            <w:pPr>
              <w:widowControl w:val="0"/>
              <w:kinsoku w:val="0"/>
              <w:overflowPunct w:val="0"/>
              <w:autoSpaceDE w:val="0"/>
              <w:autoSpaceDN w:val="0"/>
              <w:adjustRightInd w:val="0"/>
              <w:spacing w:line="234" w:lineRule="exact"/>
              <w:ind w:left="429"/>
              <w:rPr>
                <w:color w:val="000000"/>
                <w:szCs w:val="22"/>
                <w:lang w:val="sl-SI" w:eastAsia="sl-SI"/>
              </w:rPr>
            </w:pPr>
            <w:r>
              <w:t>Reiškinių dažnis (%)</w:t>
            </w:r>
          </w:p>
        </w:tc>
        <w:tc>
          <w:tcPr>
            <w:tcW w:w="2373" w:type="dxa"/>
            <w:shd w:val="clear" w:color="auto" w:fill="auto"/>
          </w:tcPr>
          <w:p w14:paraId="10FACDD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(1,54)</w:t>
            </w:r>
          </w:p>
        </w:tc>
        <w:tc>
          <w:tcPr>
            <w:tcW w:w="2243" w:type="dxa"/>
            <w:shd w:val="clear" w:color="auto" w:fill="auto"/>
          </w:tcPr>
          <w:p w14:paraId="00B677B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135 (1,12)</w:t>
            </w:r>
          </w:p>
        </w:tc>
        <w:tc>
          <w:tcPr>
            <w:tcW w:w="1979" w:type="dxa"/>
            <w:shd w:val="clear" w:color="auto" w:fill="auto"/>
          </w:tcPr>
          <w:p w14:paraId="731C3299"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203 (1,72)</w:t>
            </w:r>
          </w:p>
        </w:tc>
      </w:tr>
      <w:tr w:rsidR="00CB542F" w14:paraId="50BBA565" w14:textId="77777777">
        <w:trPr>
          <w:trHeight w:val="506"/>
        </w:trPr>
        <w:tc>
          <w:tcPr>
            <w:tcW w:w="2474" w:type="dxa"/>
            <w:shd w:val="clear" w:color="auto" w:fill="auto"/>
          </w:tcPr>
          <w:p w14:paraId="49DB551B" w14:textId="77777777" w:rsidR="00CB542F" w:rsidRDefault="00573A58">
            <w:pPr>
              <w:widowControl w:val="0"/>
              <w:kinsoku w:val="0"/>
              <w:overflowPunct w:val="0"/>
              <w:autoSpaceDE w:val="0"/>
              <w:autoSpaceDN w:val="0"/>
              <w:adjustRightInd w:val="0"/>
              <w:spacing w:line="246" w:lineRule="exact"/>
              <w:ind w:left="429"/>
              <w:rPr>
                <w:color w:val="000000"/>
                <w:szCs w:val="22"/>
                <w:lang w:val="sl-SI" w:eastAsia="sl-SI"/>
              </w:rPr>
            </w:pPr>
            <w:r>
              <w:t>Rizikos santykis, palyginti su varfarino (95 % PI)</w:t>
            </w:r>
          </w:p>
        </w:tc>
        <w:tc>
          <w:tcPr>
            <w:tcW w:w="2373" w:type="dxa"/>
            <w:shd w:val="clear" w:color="auto" w:fill="auto"/>
          </w:tcPr>
          <w:p w14:paraId="7E5CBE07"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0,89 (0,73, 1,09)</w:t>
            </w:r>
          </w:p>
        </w:tc>
        <w:tc>
          <w:tcPr>
            <w:tcW w:w="2243" w:type="dxa"/>
            <w:shd w:val="clear" w:color="auto" w:fill="auto"/>
          </w:tcPr>
          <w:p w14:paraId="46F30ED9"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0,65 (0,52, 0,81)</w:t>
            </w:r>
          </w:p>
        </w:tc>
        <w:tc>
          <w:tcPr>
            <w:tcW w:w="1979" w:type="dxa"/>
            <w:shd w:val="clear" w:color="auto" w:fill="auto"/>
          </w:tcPr>
          <w:p w14:paraId="758D81DB"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E50F6F6" w14:textId="77777777">
        <w:trPr>
          <w:trHeight w:val="253"/>
        </w:trPr>
        <w:tc>
          <w:tcPr>
            <w:tcW w:w="2474" w:type="dxa"/>
            <w:shd w:val="clear" w:color="auto" w:fill="auto"/>
          </w:tcPr>
          <w:p w14:paraId="49C4F0D4" w14:textId="77777777" w:rsidR="00CB542F" w:rsidRDefault="00573A58">
            <w:pPr>
              <w:widowControl w:val="0"/>
              <w:kinsoku w:val="0"/>
              <w:overflowPunct w:val="0"/>
              <w:autoSpaceDE w:val="0"/>
              <w:autoSpaceDN w:val="0"/>
              <w:adjustRightInd w:val="0"/>
              <w:spacing w:line="234" w:lineRule="exact"/>
              <w:ind w:left="429"/>
              <w:rPr>
                <w:color w:val="000000"/>
                <w:szCs w:val="22"/>
                <w:lang w:val="sl-SI" w:eastAsia="sl-SI"/>
              </w:rPr>
            </w:pPr>
            <w:r>
              <w:t>p reikšmė pranašumui</w:t>
            </w:r>
          </w:p>
        </w:tc>
        <w:tc>
          <w:tcPr>
            <w:tcW w:w="2373" w:type="dxa"/>
            <w:shd w:val="clear" w:color="auto" w:fill="auto"/>
          </w:tcPr>
          <w:p w14:paraId="2357C664"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p=0,2721</w:t>
            </w:r>
          </w:p>
        </w:tc>
        <w:tc>
          <w:tcPr>
            <w:tcW w:w="2243" w:type="dxa"/>
            <w:shd w:val="clear" w:color="auto" w:fill="auto"/>
          </w:tcPr>
          <w:p w14:paraId="7962A7D7"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p=0,0001</w:t>
            </w:r>
          </w:p>
        </w:tc>
        <w:tc>
          <w:tcPr>
            <w:tcW w:w="1979" w:type="dxa"/>
            <w:shd w:val="clear" w:color="auto" w:fill="auto"/>
          </w:tcPr>
          <w:p w14:paraId="58CDE82D"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bl>
    <w:p w14:paraId="331F3BCC" w14:textId="77777777" w:rsidR="00CB542F" w:rsidRDefault="00573A58">
      <w:pPr>
        <w:widowControl w:val="0"/>
        <w:autoSpaceDE w:val="0"/>
        <w:autoSpaceDN w:val="0"/>
      </w:pPr>
      <w:r>
        <w:t>% reiškia metinį reiškinio dažnį</w:t>
      </w:r>
    </w:p>
    <w:p w14:paraId="5045C179" w14:textId="77777777" w:rsidR="00CB542F" w:rsidRDefault="00CB542F">
      <w:pPr>
        <w:widowControl w:val="0"/>
        <w:autoSpaceDE w:val="0"/>
        <w:autoSpaceDN w:val="0"/>
      </w:pPr>
    </w:p>
    <w:p w14:paraId="1F1C19EC" w14:textId="77777777" w:rsidR="00CB542F" w:rsidRDefault="00573A58">
      <w:pPr>
        <w:widowControl w:val="0"/>
        <w:autoSpaceDE w:val="0"/>
        <w:autoSpaceDN w:val="0"/>
        <w:rPr>
          <w:b/>
          <w:bCs/>
        </w:rPr>
      </w:pPr>
      <w:r>
        <w:rPr>
          <w:b/>
          <w:bCs/>
        </w:rPr>
        <w:t>18 lentelė. Išeminio ar hemoraginio insulto pirmo pasireiškimo RE-LY tyrimo laikotarpiu analizė</w:t>
      </w:r>
    </w:p>
    <w:p w14:paraId="141B39D8"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CB542F" w14:paraId="2030E061" w14:textId="77777777">
        <w:trPr>
          <w:trHeight w:val="506"/>
        </w:trPr>
        <w:tc>
          <w:tcPr>
            <w:tcW w:w="2434" w:type="dxa"/>
            <w:shd w:val="clear" w:color="auto" w:fill="auto"/>
          </w:tcPr>
          <w:p w14:paraId="7386D567" w14:textId="77777777" w:rsidR="00CB542F" w:rsidRDefault="00CB542F">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16B5CAA1"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572B3FDA"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313D8555"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CB542F" w14:paraId="14BDBD43" w14:textId="77777777">
        <w:trPr>
          <w:trHeight w:val="251"/>
        </w:trPr>
        <w:tc>
          <w:tcPr>
            <w:tcW w:w="2434" w:type="dxa"/>
            <w:shd w:val="clear" w:color="auto" w:fill="auto"/>
          </w:tcPr>
          <w:p w14:paraId="0E1C9C31"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7AA0CB0E"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059ACE54"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1EEA11E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CB542F" w14:paraId="0E676B04" w14:textId="77777777">
        <w:trPr>
          <w:trHeight w:val="253"/>
        </w:trPr>
        <w:tc>
          <w:tcPr>
            <w:tcW w:w="2434" w:type="dxa"/>
            <w:shd w:val="clear" w:color="auto" w:fill="auto"/>
          </w:tcPr>
          <w:p w14:paraId="4E126DDC"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Insultas</w:t>
            </w:r>
          </w:p>
        </w:tc>
        <w:tc>
          <w:tcPr>
            <w:tcW w:w="2338" w:type="dxa"/>
            <w:shd w:val="clear" w:color="auto" w:fill="auto"/>
          </w:tcPr>
          <w:p w14:paraId="340D6571"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00F975B3"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7D24F8BD"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8F91B9B" w14:textId="77777777">
        <w:trPr>
          <w:trHeight w:val="251"/>
        </w:trPr>
        <w:tc>
          <w:tcPr>
            <w:tcW w:w="2434" w:type="dxa"/>
            <w:shd w:val="clear" w:color="auto" w:fill="auto"/>
          </w:tcPr>
          <w:p w14:paraId="30813D50" w14:textId="77777777" w:rsidR="00CB542F" w:rsidRDefault="00573A58">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6919FD2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171 (1,44)</w:t>
            </w:r>
          </w:p>
        </w:tc>
        <w:tc>
          <w:tcPr>
            <w:tcW w:w="2336" w:type="dxa"/>
            <w:shd w:val="clear" w:color="auto" w:fill="auto"/>
          </w:tcPr>
          <w:p w14:paraId="2510B76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123 (1,02)</w:t>
            </w:r>
          </w:p>
        </w:tc>
        <w:tc>
          <w:tcPr>
            <w:tcW w:w="1966" w:type="dxa"/>
            <w:shd w:val="clear" w:color="auto" w:fill="auto"/>
          </w:tcPr>
          <w:p w14:paraId="0D57B64B"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187 (1,59)</w:t>
            </w:r>
          </w:p>
        </w:tc>
      </w:tr>
      <w:tr w:rsidR="00CB542F" w14:paraId="68CA0696" w14:textId="77777777">
        <w:trPr>
          <w:trHeight w:val="505"/>
        </w:trPr>
        <w:tc>
          <w:tcPr>
            <w:tcW w:w="2434" w:type="dxa"/>
            <w:shd w:val="clear" w:color="auto" w:fill="auto"/>
          </w:tcPr>
          <w:p w14:paraId="07A50AA3" w14:textId="77777777" w:rsidR="00CB542F" w:rsidRDefault="00573A58">
            <w:pPr>
              <w:widowControl w:val="0"/>
              <w:kinsoku w:val="0"/>
              <w:overflowPunct w:val="0"/>
              <w:autoSpaceDE w:val="0"/>
              <w:autoSpaceDN w:val="0"/>
              <w:adjustRightInd w:val="0"/>
              <w:spacing w:line="248" w:lineRule="exact"/>
              <w:ind w:left="635"/>
              <w:rPr>
                <w:color w:val="000000"/>
                <w:szCs w:val="22"/>
                <w:lang w:val="sl-SI" w:eastAsia="sl-SI"/>
              </w:rPr>
            </w:pPr>
            <w:r>
              <w:t>Rizikos santykis, palyginti su varfarinu (95 % PI)</w:t>
            </w:r>
          </w:p>
        </w:tc>
        <w:tc>
          <w:tcPr>
            <w:tcW w:w="2338" w:type="dxa"/>
            <w:shd w:val="clear" w:color="auto" w:fill="auto"/>
          </w:tcPr>
          <w:p w14:paraId="6195D678"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(0,74, 1,12)</w:t>
            </w:r>
          </w:p>
        </w:tc>
        <w:tc>
          <w:tcPr>
            <w:tcW w:w="2336" w:type="dxa"/>
            <w:shd w:val="clear" w:color="auto" w:fill="auto"/>
          </w:tcPr>
          <w:p w14:paraId="4C51AFD5"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0,64 (0,51, 0,81)</w:t>
            </w:r>
          </w:p>
        </w:tc>
        <w:tc>
          <w:tcPr>
            <w:tcW w:w="1966" w:type="dxa"/>
            <w:shd w:val="clear" w:color="auto" w:fill="auto"/>
          </w:tcPr>
          <w:p w14:paraId="74D349FB"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7D5885E" w14:textId="77777777">
        <w:trPr>
          <w:trHeight w:val="254"/>
        </w:trPr>
        <w:tc>
          <w:tcPr>
            <w:tcW w:w="2434" w:type="dxa"/>
            <w:shd w:val="clear" w:color="auto" w:fill="auto"/>
          </w:tcPr>
          <w:p w14:paraId="296B919E" w14:textId="77777777" w:rsidR="00CB542F" w:rsidRDefault="00573A58">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1EBE2E2C"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0,3553</w:t>
            </w:r>
          </w:p>
        </w:tc>
        <w:tc>
          <w:tcPr>
            <w:tcW w:w="2336" w:type="dxa"/>
            <w:shd w:val="clear" w:color="auto" w:fill="auto"/>
          </w:tcPr>
          <w:p w14:paraId="00FE045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0,0001</w:t>
            </w:r>
          </w:p>
        </w:tc>
        <w:tc>
          <w:tcPr>
            <w:tcW w:w="1966" w:type="dxa"/>
            <w:shd w:val="clear" w:color="auto" w:fill="auto"/>
          </w:tcPr>
          <w:p w14:paraId="2BF818A0"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4E585C34" w14:textId="77777777">
        <w:trPr>
          <w:trHeight w:val="251"/>
        </w:trPr>
        <w:tc>
          <w:tcPr>
            <w:tcW w:w="2434" w:type="dxa"/>
            <w:shd w:val="clear" w:color="auto" w:fill="auto"/>
          </w:tcPr>
          <w:p w14:paraId="05DD661E"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Sisteminė embolija</w:t>
            </w:r>
          </w:p>
        </w:tc>
        <w:tc>
          <w:tcPr>
            <w:tcW w:w="2338" w:type="dxa"/>
            <w:shd w:val="clear" w:color="auto" w:fill="auto"/>
          </w:tcPr>
          <w:p w14:paraId="19A32E2B"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242EF3FA"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385274D2"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2D392001" w14:textId="77777777">
        <w:trPr>
          <w:trHeight w:val="253"/>
        </w:trPr>
        <w:tc>
          <w:tcPr>
            <w:tcW w:w="2434" w:type="dxa"/>
            <w:shd w:val="clear" w:color="auto" w:fill="auto"/>
          </w:tcPr>
          <w:p w14:paraId="2ED60E69" w14:textId="77777777" w:rsidR="00CB542F" w:rsidRDefault="00573A58">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64F38B9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15 (0,13)</w:t>
            </w:r>
          </w:p>
        </w:tc>
        <w:tc>
          <w:tcPr>
            <w:tcW w:w="2336" w:type="dxa"/>
            <w:shd w:val="clear" w:color="auto" w:fill="auto"/>
          </w:tcPr>
          <w:p w14:paraId="6E3FEC1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(0,11)</w:t>
            </w:r>
          </w:p>
        </w:tc>
        <w:tc>
          <w:tcPr>
            <w:tcW w:w="1966" w:type="dxa"/>
            <w:shd w:val="clear" w:color="auto" w:fill="auto"/>
          </w:tcPr>
          <w:p w14:paraId="2550F0F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 (0,18)</w:t>
            </w:r>
          </w:p>
        </w:tc>
      </w:tr>
      <w:tr w:rsidR="00CB542F" w14:paraId="7EA50839" w14:textId="77777777">
        <w:trPr>
          <w:trHeight w:val="506"/>
        </w:trPr>
        <w:tc>
          <w:tcPr>
            <w:tcW w:w="2434" w:type="dxa"/>
            <w:shd w:val="clear" w:color="auto" w:fill="auto"/>
          </w:tcPr>
          <w:p w14:paraId="038D8BE7" w14:textId="77777777" w:rsidR="00CB542F" w:rsidRDefault="00573A58">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varfarinu (95 % PI)</w:t>
            </w:r>
          </w:p>
        </w:tc>
        <w:tc>
          <w:tcPr>
            <w:tcW w:w="2338" w:type="dxa"/>
            <w:shd w:val="clear" w:color="auto" w:fill="auto"/>
          </w:tcPr>
          <w:p w14:paraId="683CBF9C"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(0.37, 1,38)</w:t>
            </w:r>
          </w:p>
        </w:tc>
        <w:tc>
          <w:tcPr>
            <w:tcW w:w="2336" w:type="dxa"/>
            <w:shd w:val="clear" w:color="auto" w:fill="auto"/>
          </w:tcPr>
          <w:p w14:paraId="7D8FA154"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0,61 (0.,0, 1,21)</w:t>
            </w:r>
          </w:p>
        </w:tc>
        <w:tc>
          <w:tcPr>
            <w:tcW w:w="1966" w:type="dxa"/>
            <w:shd w:val="clear" w:color="auto" w:fill="auto"/>
          </w:tcPr>
          <w:p w14:paraId="0A2D15AB"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1593C22" w14:textId="77777777">
        <w:trPr>
          <w:trHeight w:val="253"/>
        </w:trPr>
        <w:tc>
          <w:tcPr>
            <w:tcW w:w="2434" w:type="dxa"/>
            <w:shd w:val="clear" w:color="auto" w:fill="auto"/>
          </w:tcPr>
          <w:p w14:paraId="1C39815F" w14:textId="77777777" w:rsidR="00CB542F" w:rsidRDefault="00573A58">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6524ED5B" w14:textId="77777777" w:rsidR="00CB542F" w:rsidRDefault="00573A58">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0,3099</w:t>
            </w:r>
          </w:p>
        </w:tc>
        <w:tc>
          <w:tcPr>
            <w:tcW w:w="2336" w:type="dxa"/>
            <w:shd w:val="clear" w:color="auto" w:fill="auto"/>
          </w:tcPr>
          <w:p w14:paraId="54B29FB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0,1582</w:t>
            </w:r>
          </w:p>
        </w:tc>
        <w:tc>
          <w:tcPr>
            <w:tcW w:w="1966" w:type="dxa"/>
            <w:shd w:val="clear" w:color="auto" w:fill="auto"/>
          </w:tcPr>
          <w:p w14:paraId="63A5F948"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1E2A4068" w14:textId="77777777">
        <w:trPr>
          <w:trHeight w:val="251"/>
        </w:trPr>
        <w:tc>
          <w:tcPr>
            <w:tcW w:w="2434" w:type="dxa"/>
            <w:shd w:val="clear" w:color="auto" w:fill="auto"/>
          </w:tcPr>
          <w:p w14:paraId="0764E3A9"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Išeminis insultas</w:t>
            </w:r>
          </w:p>
        </w:tc>
        <w:tc>
          <w:tcPr>
            <w:tcW w:w="2338" w:type="dxa"/>
            <w:shd w:val="clear" w:color="auto" w:fill="auto"/>
          </w:tcPr>
          <w:p w14:paraId="447E6EE2"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4170BF8D"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1D7149D5"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6BF8E1A" w14:textId="77777777">
        <w:trPr>
          <w:trHeight w:val="253"/>
        </w:trPr>
        <w:tc>
          <w:tcPr>
            <w:tcW w:w="2434" w:type="dxa"/>
            <w:shd w:val="clear" w:color="auto" w:fill="auto"/>
          </w:tcPr>
          <w:p w14:paraId="55F588F5" w14:textId="77777777" w:rsidR="00CB542F" w:rsidRDefault="00573A58">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4793FB2A" w14:textId="77777777" w:rsidR="00CB542F" w:rsidRDefault="00573A58">
            <w:pPr>
              <w:widowControl w:val="0"/>
              <w:kinsoku w:val="0"/>
              <w:overflowPunct w:val="0"/>
              <w:autoSpaceDE w:val="0"/>
              <w:autoSpaceDN w:val="0"/>
              <w:adjustRightInd w:val="0"/>
              <w:spacing w:line="234" w:lineRule="exact"/>
              <w:ind w:left="298"/>
              <w:jc w:val="center"/>
              <w:rPr>
                <w:color w:val="000000"/>
                <w:szCs w:val="22"/>
                <w:lang w:val="sl-SI" w:eastAsia="sl-SI"/>
              </w:rPr>
            </w:pPr>
            <w:r>
              <w:rPr>
                <w:color w:val="000000"/>
                <w:szCs w:val="22"/>
                <w:lang w:val="sl-SI" w:eastAsia="sl-SI"/>
              </w:rPr>
              <w:t>152 (1,28)</w:t>
            </w:r>
          </w:p>
        </w:tc>
        <w:tc>
          <w:tcPr>
            <w:tcW w:w="2336" w:type="dxa"/>
            <w:shd w:val="clear" w:color="auto" w:fill="auto"/>
          </w:tcPr>
          <w:p w14:paraId="1317642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104 (0,86)</w:t>
            </w:r>
          </w:p>
        </w:tc>
        <w:tc>
          <w:tcPr>
            <w:tcW w:w="1966" w:type="dxa"/>
            <w:shd w:val="clear" w:color="auto" w:fill="auto"/>
          </w:tcPr>
          <w:p w14:paraId="0369391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134 (1,14)</w:t>
            </w:r>
          </w:p>
        </w:tc>
      </w:tr>
      <w:tr w:rsidR="00CB542F" w14:paraId="7100F867" w14:textId="77777777">
        <w:trPr>
          <w:trHeight w:val="506"/>
        </w:trPr>
        <w:tc>
          <w:tcPr>
            <w:tcW w:w="2434" w:type="dxa"/>
            <w:shd w:val="clear" w:color="auto" w:fill="auto"/>
          </w:tcPr>
          <w:p w14:paraId="2DBB737B" w14:textId="77777777" w:rsidR="00CB542F" w:rsidRDefault="00573A58">
            <w:pPr>
              <w:widowControl w:val="0"/>
              <w:kinsoku w:val="0"/>
              <w:overflowPunct w:val="0"/>
              <w:autoSpaceDE w:val="0"/>
              <w:autoSpaceDN w:val="0"/>
              <w:adjustRightInd w:val="0"/>
              <w:spacing w:line="246" w:lineRule="exact"/>
              <w:ind w:left="635"/>
              <w:rPr>
                <w:color w:val="000000"/>
                <w:szCs w:val="22"/>
                <w:lang w:val="sl-SI" w:eastAsia="sl-SI"/>
              </w:rPr>
            </w:pPr>
            <w:r>
              <w:t>Rizikos santykis, palyginti su varfarinu (95 % PI)</w:t>
            </w:r>
          </w:p>
        </w:tc>
        <w:tc>
          <w:tcPr>
            <w:tcW w:w="2338" w:type="dxa"/>
            <w:shd w:val="clear" w:color="auto" w:fill="auto"/>
          </w:tcPr>
          <w:p w14:paraId="0B4A0F3A" w14:textId="77777777" w:rsidR="00CB542F" w:rsidRDefault="00573A58">
            <w:pPr>
              <w:widowControl w:val="0"/>
              <w:kinsoku w:val="0"/>
              <w:overflowPunct w:val="0"/>
              <w:autoSpaceDE w:val="0"/>
              <w:autoSpaceDN w:val="0"/>
              <w:adjustRightInd w:val="0"/>
              <w:spacing w:line="247" w:lineRule="exact"/>
              <w:ind w:left="300"/>
              <w:jc w:val="center"/>
              <w:rPr>
                <w:color w:val="000000"/>
                <w:szCs w:val="22"/>
                <w:lang w:val="sl-SI" w:eastAsia="sl-SI"/>
              </w:rPr>
            </w:pPr>
            <w:r>
              <w:rPr>
                <w:color w:val="000000"/>
                <w:szCs w:val="22"/>
                <w:lang w:val="sl-SI" w:eastAsia="sl-SI"/>
              </w:rPr>
              <w:t>1,13 (0,89, 1,42)</w:t>
            </w:r>
          </w:p>
        </w:tc>
        <w:tc>
          <w:tcPr>
            <w:tcW w:w="2336" w:type="dxa"/>
            <w:shd w:val="clear" w:color="auto" w:fill="auto"/>
          </w:tcPr>
          <w:p w14:paraId="3336D9DF"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0,76 (0,59, 0,98)</w:t>
            </w:r>
          </w:p>
        </w:tc>
        <w:tc>
          <w:tcPr>
            <w:tcW w:w="1966" w:type="dxa"/>
            <w:shd w:val="clear" w:color="auto" w:fill="auto"/>
          </w:tcPr>
          <w:p w14:paraId="5A510385"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462650B6" w14:textId="77777777">
        <w:trPr>
          <w:trHeight w:val="251"/>
        </w:trPr>
        <w:tc>
          <w:tcPr>
            <w:tcW w:w="2434" w:type="dxa"/>
            <w:shd w:val="clear" w:color="auto" w:fill="auto"/>
          </w:tcPr>
          <w:p w14:paraId="4D46879F" w14:textId="77777777" w:rsidR="00CB542F" w:rsidRDefault="00573A58">
            <w:pPr>
              <w:widowControl w:val="0"/>
              <w:kinsoku w:val="0"/>
              <w:overflowPunct w:val="0"/>
              <w:autoSpaceDE w:val="0"/>
              <w:autoSpaceDN w:val="0"/>
              <w:adjustRightInd w:val="0"/>
              <w:spacing w:line="232" w:lineRule="exact"/>
              <w:ind w:left="635"/>
              <w:rPr>
                <w:color w:val="000000"/>
                <w:szCs w:val="22"/>
                <w:lang w:val="sl-SI" w:eastAsia="sl-SI"/>
              </w:rPr>
            </w:pPr>
            <w:r>
              <w:t>p reikšmė</w:t>
            </w:r>
          </w:p>
        </w:tc>
        <w:tc>
          <w:tcPr>
            <w:tcW w:w="2338" w:type="dxa"/>
            <w:shd w:val="clear" w:color="auto" w:fill="auto"/>
          </w:tcPr>
          <w:p w14:paraId="25CDB083" w14:textId="77777777" w:rsidR="00CB542F" w:rsidRDefault="00573A58">
            <w:pPr>
              <w:widowControl w:val="0"/>
              <w:kinsoku w:val="0"/>
              <w:overflowPunct w:val="0"/>
              <w:autoSpaceDE w:val="0"/>
              <w:autoSpaceDN w:val="0"/>
              <w:adjustRightInd w:val="0"/>
              <w:spacing w:line="232" w:lineRule="exact"/>
              <w:ind w:left="299"/>
              <w:jc w:val="center"/>
              <w:rPr>
                <w:color w:val="000000"/>
                <w:szCs w:val="22"/>
                <w:lang w:val="sl-SI" w:eastAsia="sl-SI"/>
              </w:rPr>
            </w:pPr>
            <w:r>
              <w:rPr>
                <w:color w:val="000000"/>
                <w:szCs w:val="22"/>
                <w:lang w:val="sl-SI" w:eastAsia="sl-SI"/>
              </w:rPr>
              <w:t>0,3138</w:t>
            </w:r>
          </w:p>
        </w:tc>
        <w:tc>
          <w:tcPr>
            <w:tcW w:w="2336" w:type="dxa"/>
            <w:shd w:val="clear" w:color="auto" w:fill="auto"/>
          </w:tcPr>
          <w:p w14:paraId="5EF94B95"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0,0351</w:t>
            </w:r>
          </w:p>
        </w:tc>
        <w:tc>
          <w:tcPr>
            <w:tcW w:w="1966" w:type="dxa"/>
            <w:shd w:val="clear" w:color="auto" w:fill="auto"/>
          </w:tcPr>
          <w:p w14:paraId="1CD58399"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5489BAFB" w14:textId="77777777">
        <w:trPr>
          <w:trHeight w:val="254"/>
        </w:trPr>
        <w:tc>
          <w:tcPr>
            <w:tcW w:w="2434" w:type="dxa"/>
            <w:shd w:val="clear" w:color="auto" w:fill="auto"/>
          </w:tcPr>
          <w:p w14:paraId="46F31E93"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Hemoraginis insultas</w:t>
            </w:r>
          </w:p>
        </w:tc>
        <w:tc>
          <w:tcPr>
            <w:tcW w:w="2338" w:type="dxa"/>
            <w:shd w:val="clear" w:color="auto" w:fill="auto"/>
          </w:tcPr>
          <w:p w14:paraId="77E8B9AD"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36281E9B"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3C2AE46B"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4780A92A" w14:textId="77777777">
        <w:trPr>
          <w:trHeight w:val="251"/>
        </w:trPr>
        <w:tc>
          <w:tcPr>
            <w:tcW w:w="2434" w:type="dxa"/>
            <w:shd w:val="clear" w:color="auto" w:fill="auto"/>
          </w:tcPr>
          <w:p w14:paraId="42D70E6B" w14:textId="77777777" w:rsidR="00CB542F" w:rsidRDefault="00573A58">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4F50F38A" w14:textId="77777777" w:rsidR="00CB542F" w:rsidRDefault="00573A58">
            <w:pPr>
              <w:widowControl w:val="0"/>
              <w:kinsoku w:val="0"/>
              <w:overflowPunct w:val="0"/>
              <w:autoSpaceDE w:val="0"/>
              <w:autoSpaceDN w:val="0"/>
              <w:adjustRightInd w:val="0"/>
              <w:spacing w:line="232" w:lineRule="exact"/>
              <w:ind w:left="298"/>
              <w:jc w:val="center"/>
              <w:rPr>
                <w:color w:val="000000"/>
                <w:szCs w:val="22"/>
                <w:lang w:val="sl-SI" w:eastAsia="sl-SI"/>
              </w:rPr>
            </w:pPr>
            <w:r>
              <w:rPr>
                <w:color w:val="000000"/>
                <w:szCs w:val="22"/>
                <w:lang w:val="sl-SI" w:eastAsia="sl-SI"/>
              </w:rPr>
              <w:t>14 (0,12)</w:t>
            </w:r>
          </w:p>
        </w:tc>
        <w:tc>
          <w:tcPr>
            <w:tcW w:w="2336" w:type="dxa"/>
            <w:shd w:val="clear" w:color="auto" w:fill="auto"/>
          </w:tcPr>
          <w:p w14:paraId="6F9BD8B6"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(0,10)</w:t>
            </w:r>
          </w:p>
        </w:tc>
        <w:tc>
          <w:tcPr>
            <w:tcW w:w="1966" w:type="dxa"/>
            <w:shd w:val="clear" w:color="auto" w:fill="auto"/>
          </w:tcPr>
          <w:p w14:paraId="48D5A75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45 (0,38)</w:t>
            </w:r>
          </w:p>
        </w:tc>
      </w:tr>
      <w:tr w:rsidR="00CB542F" w14:paraId="120CDD39" w14:textId="77777777">
        <w:trPr>
          <w:trHeight w:val="505"/>
        </w:trPr>
        <w:tc>
          <w:tcPr>
            <w:tcW w:w="2434" w:type="dxa"/>
            <w:shd w:val="clear" w:color="auto" w:fill="auto"/>
          </w:tcPr>
          <w:p w14:paraId="2DE688D3" w14:textId="77777777" w:rsidR="00CB542F" w:rsidRDefault="00573A58">
            <w:pPr>
              <w:widowControl w:val="0"/>
              <w:kinsoku w:val="0"/>
              <w:overflowPunct w:val="0"/>
              <w:autoSpaceDE w:val="0"/>
              <w:autoSpaceDN w:val="0"/>
              <w:adjustRightInd w:val="0"/>
              <w:spacing w:line="252" w:lineRule="exact"/>
              <w:ind w:left="635"/>
              <w:rPr>
                <w:color w:val="000000"/>
                <w:szCs w:val="22"/>
                <w:lang w:val="sl-SI" w:eastAsia="sl-SI"/>
              </w:rPr>
            </w:pPr>
            <w:r>
              <w:t>Rizikos santykis, palyginti su varfarinu (95 % PI)</w:t>
            </w:r>
          </w:p>
        </w:tc>
        <w:tc>
          <w:tcPr>
            <w:tcW w:w="2338" w:type="dxa"/>
            <w:shd w:val="clear" w:color="auto" w:fill="auto"/>
          </w:tcPr>
          <w:p w14:paraId="001BD4F5" w14:textId="77777777" w:rsidR="00CB542F" w:rsidRDefault="00573A58">
            <w:pPr>
              <w:widowControl w:val="0"/>
              <w:kinsoku w:val="0"/>
              <w:overflowPunct w:val="0"/>
              <w:autoSpaceDE w:val="0"/>
              <w:autoSpaceDN w:val="0"/>
              <w:adjustRightInd w:val="0"/>
              <w:spacing w:line="249" w:lineRule="exact"/>
              <w:ind w:left="300"/>
              <w:jc w:val="center"/>
              <w:rPr>
                <w:color w:val="000000"/>
                <w:szCs w:val="22"/>
                <w:lang w:val="sl-SI" w:eastAsia="sl-SI"/>
              </w:rPr>
            </w:pPr>
            <w:r>
              <w:rPr>
                <w:color w:val="000000"/>
                <w:szCs w:val="22"/>
                <w:lang w:val="sl-SI" w:eastAsia="sl-SI"/>
              </w:rPr>
              <w:t>0,31 (0,17, 0,56)</w:t>
            </w:r>
          </w:p>
        </w:tc>
        <w:tc>
          <w:tcPr>
            <w:tcW w:w="2336" w:type="dxa"/>
            <w:shd w:val="clear" w:color="auto" w:fill="auto"/>
          </w:tcPr>
          <w:p w14:paraId="46C5675D"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0,26 (0,14, 0,49)</w:t>
            </w:r>
          </w:p>
        </w:tc>
        <w:tc>
          <w:tcPr>
            <w:tcW w:w="1966" w:type="dxa"/>
            <w:shd w:val="clear" w:color="auto" w:fill="auto"/>
          </w:tcPr>
          <w:p w14:paraId="1E1B22A5"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79B34D6" w14:textId="77777777">
        <w:trPr>
          <w:trHeight w:val="254"/>
        </w:trPr>
        <w:tc>
          <w:tcPr>
            <w:tcW w:w="2434" w:type="dxa"/>
            <w:shd w:val="clear" w:color="auto" w:fill="auto"/>
          </w:tcPr>
          <w:p w14:paraId="128F9FEA" w14:textId="77777777" w:rsidR="00CB542F" w:rsidRDefault="00573A58">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2AF67D12" w14:textId="77777777" w:rsidR="00CB542F" w:rsidRDefault="00573A58">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0,0001</w:t>
            </w:r>
          </w:p>
        </w:tc>
        <w:tc>
          <w:tcPr>
            <w:tcW w:w="2336" w:type="dxa"/>
            <w:shd w:val="clear" w:color="auto" w:fill="auto"/>
          </w:tcPr>
          <w:p w14:paraId="4D28E3B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1966" w:type="dxa"/>
            <w:shd w:val="clear" w:color="auto" w:fill="auto"/>
          </w:tcPr>
          <w:p w14:paraId="34B3FA6F"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bl>
    <w:p w14:paraId="1846DEA5" w14:textId="77777777" w:rsidR="00CB542F" w:rsidRDefault="00573A58">
      <w:pPr>
        <w:widowControl w:val="0"/>
        <w:autoSpaceDE w:val="0"/>
        <w:autoSpaceDN w:val="0"/>
      </w:pPr>
      <w:r>
        <w:t>% reiškia metinį reiškinio dažnį</w:t>
      </w:r>
    </w:p>
    <w:p w14:paraId="71D81ECE" w14:textId="77777777" w:rsidR="00CB542F" w:rsidRDefault="00CB542F">
      <w:pPr>
        <w:widowControl w:val="0"/>
        <w:autoSpaceDE w:val="0"/>
        <w:autoSpaceDN w:val="0"/>
      </w:pPr>
    </w:p>
    <w:p w14:paraId="0B22ADE4" w14:textId="77777777" w:rsidR="00CB542F" w:rsidRDefault="00573A58">
      <w:pPr>
        <w:widowControl w:val="0"/>
        <w:autoSpaceDE w:val="0"/>
        <w:autoSpaceDN w:val="0"/>
        <w:rPr>
          <w:b/>
          <w:bCs/>
        </w:rPr>
      </w:pPr>
      <w:r>
        <w:rPr>
          <w:b/>
          <w:bCs/>
        </w:rPr>
        <w:t>19 lentelė. Mirtingumo dėl visų priežasčių ir mirštamumo nuo širdies ir kraujagyslių sutrikimų RE-LY tyrimo metu analizė</w:t>
      </w:r>
    </w:p>
    <w:p w14:paraId="4C75AA6A" w14:textId="77777777" w:rsidR="00CB542F" w:rsidRDefault="00CB542F">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CB542F" w14:paraId="5942FC4E" w14:textId="77777777">
        <w:trPr>
          <w:trHeight w:val="505"/>
        </w:trPr>
        <w:tc>
          <w:tcPr>
            <w:tcW w:w="2434" w:type="dxa"/>
            <w:shd w:val="clear" w:color="auto" w:fill="auto"/>
          </w:tcPr>
          <w:p w14:paraId="59179340" w14:textId="77777777" w:rsidR="00CB542F" w:rsidRDefault="00CB542F">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7878E9EB"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51B2DD3F"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55DEA3E9"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CB542F" w14:paraId="37BAB6C6" w14:textId="77777777">
        <w:trPr>
          <w:trHeight w:val="251"/>
        </w:trPr>
        <w:tc>
          <w:tcPr>
            <w:tcW w:w="2434" w:type="dxa"/>
            <w:shd w:val="clear" w:color="auto" w:fill="auto"/>
          </w:tcPr>
          <w:p w14:paraId="79D6344B"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29A11A0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2470774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099BC3FF"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CB542F" w14:paraId="32A7F7C4" w14:textId="77777777">
        <w:trPr>
          <w:trHeight w:val="254"/>
        </w:trPr>
        <w:tc>
          <w:tcPr>
            <w:tcW w:w="2434" w:type="dxa"/>
            <w:shd w:val="clear" w:color="auto" w:fill="auto"/>
          </w:tcPr>
          <w:p w14:paraId="1102990F"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Mirtingumas dėl visų priežasčių</w:t>
            </w:r>
          </w:p>
        </w:tc>
        <w:tc>
          <w:tcPr>
            <w:tcW w:w="2338" w:type="dxa"/>
            <w:shd w:val="clear" w:color="auto" w:fill="auto"/>
          </w:tcPr>
          <w:p w14:paraId="2BB680BC"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13756D30"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1AEA8974"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1CA1DFAB" w14:textId="77777777">
        <w:trPr>
          <w:trHeight w:val="251"/>
        </w:trPr>
        <w:tc>
          <w:tcPr>
            <w:tcW w:w="2434" w:type="dxa"/>
            <w:shd w:val="clear" w:color="auto" w:fill="auto"/>
          </w:tcPr>
          <w:p w14:paraId="70D8DEC3" w14:textId="77777777" w:rsidR="00CB542F" w:rsidRDefault="00573A58">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4AE6C065"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446 (3,75)</w:t>
            </w:r>
          </w:p>
        </w:tc>
        <w:tc>
          <w:tcPr>
            <w:tcW w:w="2336" w:type="dxa"/>
            <w:shd w:val="clear" w:color="auto" w:fill="auto"/>
          </w:tcPr>
          <w:p w14:paraId="116FCFB7"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438 (3,64)</w:t>
            </w:r>
          </w:p>
        </w:tc>
        <w:tc>
          <w:tcPr>
            <w:tcW w:w="1966" w:type="dxa"/>
            <w:shd w:val="clear" w:color="auto" w:fill="auto"/>
          </w:tcPr>
          <w:p w14:paraId="09805DF9"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487 (4,13)</w:t>
            </w:r>
          </w:p>
        </w:tc>
      </w:tr>
      <w:tr w:rsidR="00CB542F" w14:paraId="5EF588E0" w14:textId="77777777">
        <w:trPr>
          <w:trHeight w:val="506"/>
        </w:trPr>
        <w:tc>
          <w:tcPr>
            <w:tcW w:w="2434" w:type="dxa"/>
            <w:shd w:val="clear" w:color="auto" w:fill="auto"/>
          </w:tcPr>
          <w:p w14:paraId="090E5E2B" w14:textId="77777777" w:rsidR="00CB542F" w:rsidRDefault="00573A58">
            <w:pPr>
              <w:widowControl w:val="0"/>
              <w:kinsoku w:val="0"/>
              <w:overflowPunct w:val="0"/>
              <w:autoSpaceDE w:val="0"/>
              <w:autoSpaceDN w:val="0"/>
              <w:adjustRightInd w:val="0"/>
              <w:spacing w:line="248" w:lineRule="exact"/>
              <w:ind w:left="657"/>
              <w:rPr>
                <w:color w:val="000000"/>
                <w:szCs w:val="22"/>
                <w:lang w:val="sl-SI" w:eastAsia="sl-SI"/>
              </w:rPr>
            </w:pPr>
            <w:r>
              <w:t>Rizikos santykis palyginti su varfarino (95 % PI)</w:t>
            </w:r>
          </w:p>
        </w:tc>
        <w:tc>
          <w:tcPr>
            <w:tcW w:w="2338" w:type="dxa"/>
            <w:shd w:val="clear" w:color="auto" w:fill="auto"/>
          </w:tcPr>
          <w:p w14:paraId="073F5032"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(0,80, 1,03)</w:t>
            </w:r>
          </w:p>
        </w:tc>
        <w:tc>
          <w:tcPr>
            <w:tcW w:w="2336" w:type="dxa"/>
            <w:shd w:val="clear" w:color="auto" w:fill="auto"/>
          </w:tcPr>
          <w:p w14:paraId="22F446F6" w14:textId="77777777" w:rsidR="00CB542F" w:rsidRDefault="00573A58">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0,88 (0,77, 1,00)</w:t>
            </w:r>
          </w:p>
        </w:tc>
        <w:tc>
          <w:tcPr>
            <w:tcW w:w="1966" w:type="dxa"/>
            <w:shd w:val="clear" w:color="auto" w:fill="auto"/>
          </w:tcPr>
          <w:p w14:paraId="10531912"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F942165" w14:textId="77777777">
        <w:trPr>
          <w:trHeight w:val="253"/>
        </w:trPr>
        <w:tc>
          <w:tcPr>
            <w:tcW w:w="2434" w:type="dxa"/>
            <w:shd w:val="clear" w:color="auto" w:fill="auto"/>
          </w:tcPr>
          <w:p w14:paraId="0C90E234" w14:textId="77777777" w:rsidR="00CB542F" w:rsidRDefault="00573A58">
            <w:pPr>
              <w:widowControl w:val="0"/>
              <w:kinsoku w:val="0"/>
              <w:overflowPunct w:val="0"/>
              <w:autoSpaceDE w:val="0"/>
              <w:autoSpaceDN w:val="0"/>
              <w:adjustRightInd w:val="0"/>
              <w:spacing w:line="234" w:lineRule="exact"/>
              <w:ind w:left="657"/>
              <w:rPr>
                <w:color w:val="000000"/>
                <w:szCs w:val="22"/>
                <w:lang w:val="sl-SI" w:eastAsia="sl-SI"/>
              </w:rPr>
            </w:pPr>
            <w:r>
              <w:t>p reikšmė</w:t>
            </w:r>
          </w:p>
        </w:tc>
        <w:tc>
          <w:tcPr>
            <w:tcW w:w="2338" w:type="dxa"/>
            <w:shd w:val="clear" w:color="auto" w:fill="auto"/>
          </w:tcPr>
          <w:p w14:paraId="2D429CCA"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0,1308</w:t>
            </w:r>
          </w:p>
        </w:tc>
        <w:tc>
          <w:tcPr>
            <w:tcW w:w="2336" w:type="dxa"/>
            <w:shd w:val="clear" w:color="auto" w:fill="auto"/>
          </w:tcPr>
          <w:p w14:paraId="6F85B83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0,0517</w:t>
            </w:r>
          </w:p>
        </w:tc>
        <w:tc>
          <w:tcPr>
            <w:tcW w:w="1966" w:type="dxa"/>
            <w:shd w:val="clear" w:color="auto" w:fill="auto"/>
          </w:tcPr>
          <w:p w14:paraId="77F7FC39"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05C66F14" w14:textId="77777777">
        <w:trPr>
          <w:trHeight w:val="254"/>
        </w:trPr>
        <w:tc>
          <w:tcPr>
            <w:tcW w:w="2434" w:type="dxa"/>
            <w:shd w:val="clear" w:color="auto" w:fill="auto"/>
          </w:tcPr>
          <w:p w14:paraId="70D22848"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Mirštamumas dėl kraujagyslių sutrikimų</w:t>
            </w:r>
          </w:p>
        </w:tc>
        <w:tc>
          <w:tcPr>
            <w:tcW w:w="2338" w:type="dxa"/>
            <w:shd w:val="clear" w:color="auto" w:fill="auto"/>
          </w:tcPr>
          <w:p w14:paraId="49605774"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1007DC61"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189E238C"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2D4E775" w14:textId="77777777">
        <w:trPr>
          <w:trHeight w:val="251"/>
        </w:trPr>
        <w:tc>
          <w:tcPr>
            <w:tcW w:w="2434" w:type="dxa"/>
            <w:shd w:val="clear" w:color="auto" w:fill="auto"/>
          </w:tcPr>
          <w:p w14:paraId="28A0151A" w14:textId="77777777" w:rsidR="00CB542F" w:rsidRDefault="00573A58">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2056613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289 (2,43)</w:t>
            </w:r>
          </w:p>
        </w:tc>
        <w:tc>
          <w:tcPr>
            <w:tcW w:w="2336" w:type="dxa"/>
            <w:shd w:val="clear" w:color="auto" w:fill="auto"/>
          </w:tcPr>
          <w:p w14:paraId="2CDB20A4"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274 (2,28)</w:t>
            </w:r>
          </w:p>
        </w:tc>
        <w:tc>
          <w:tcPr>
            <w:tcW w:w="1966" w:type="dxa"/>
            <w:shd w:val="clear" w:color="auto" w:fill="auto"/>
          </w:tcPr>
          <w:p w14:paraId="6D8001E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317 (2,69)</w:t>
            </w:r>
          </w:p>
        </w:tc>
      </w:tr>
      <w:tr w:rsidR="00CB542F" w14:paraId="1A56AFE9" w14:textId="77777777">
        <w:trPr>
          <w:trHeight w:val="505"/>
        </w:trPr>
        <w:tc>
          <w:tcPr>
            <w:tcW w:w="2434" w:type="dxa"/>
            <w:shd w:val="clear" w:color="auto" w:fill="auto"/>
          </w:tcPr>
          <w:p w14:paraId="1CC061BA" w14:textId="77777777" w:rsidR="00CB542F" w:rsidRDefault="00573A58">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varfarino (95 % PI)</w:t>
            </w:r>
          </w:p>
        </w:tc>
        <w:tc>
          <w:tcPr>
            <w:tcW w:w="2338" w:type="dxa"/>
            <w:shd w:val="clear" w:color="auto" w:fill="auto"/>
          </w:tcPr>
          <w:p w14:paraId="1B71D777"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0,90 (0,77, 1,06)</w:t>
            </w:r>
          </w:p>
        </w:tc>
        <w:tc>
          <w:tcPr>
            <w:tcW w:w="2336" w:type="dxa"/>
            <w:shd w:val="clear" w:color="auto" w:fill="auto"/>
          </w:tcPr>
          <w:p w14:paraId="7963C13A"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0,85 (0,72, 0,99)</w:t>
            </w:r>
          </w:p>
        </w:tc>
        <w:tc>
          <w:tcPr>
            <w:tcW w:w="1966" w:type="dxa"/>
            <w:shd w:val="clear" w:color="auto" w:fill="auto"/>
          </w:tcPr>
          <w:p w14:paraId="02F8B57A"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0C5C834" w14:textId="77777777">
        <w:trPr>
          <w:trHeight w:val="254"/>
        </w:trPr>
        <w:tc>
          <w:tcPr>
            <w:tcW w:w="2434" w:type="dxa"/>
            <w:shd w:val="clear" w:color="auto" w:fill="auto"/>
          </w:tcPr>
          <w:p w14:paraId="0AA74608" w14:textId="77777777" w:rsidR="00CB542F" w:rsidRDefault="00573A58">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4E3656DB"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0,2081</w:t>
            </w:r>
          </w:p>
        </w:tc>
        <w:tc>
          <w:tcPr>
            <w:tcW w:w="2336" w:type="dxa"/>
            <w:shd w:val="clear" w:color="auto" w:fill="auto"/>
          </w:tcPr>
          <w:p w14:paraId="15AEE10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0,0430</w:t>
            </w:r>
          </w:p>
        </w:tc>
        <w:tc>
          <w:tcPr>
            <w:tcW w:w="1966" w:type="dxa"/>
            <w:shd w:val="clear" w:color="auto" w:fill="auto"/>
          </w:tcPr>
          <w:p w14:paraId="70FACE35"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bl>
    <w:p w14:paraId="1E9E63F6" w14:textId="77777777" w:rsidR="00CB542F" w:rsidRDefault="00573A58">
      <w:pPr>
        <w:widowControl w:val="0"/>
        <w:autoSpaceDE w:val="0"/>
        <w:autoSpaceDN w:val="0"/>
      </w:pPr>
      <w:r>
        <w:t>% reiškia metinį reiškinio dažnį</w:t>
      </w:r>
    </w:p>
    <w:p w14:paraId="3D6D8B84" w14:textId="77777777" w:rsidR="00CB542F" w:rsidRDefault="00CB542F">
      <w:pPr>
        <w:widowControl w:val="0"/>
        <w:autoSpaceDE w:val="0"/>
        <w:autoSpaceDN w:val="0"/>
      </w:pPr>
    </w:p>
    <w:p w14:paraId="2E8E14CE" w14:textId="77777777" w:rsidR="00CB542F" w:rsidRDefault="00573A58">
      <w:pPr>
        <w:widowControl w:val="0"/>
        <w:autoSpaceDE w:val="0"/>
        <w:autoSpaceDN w:val="0"/>
      </w:pPr>
      <w:r>
        <w:t>20-21 lentelėse pateikti veiksmingumo ir saugumo pirminių vertinamųjų baigčių susijusios populiacijos pogrupiams rezultatai.</w:t>
      </w:r>
    </w:p>
    <w:p w14:paraId="1BC0F21D" w14:textId="77777777" w:rsidR="00CB542F" w:rsidRDefault="00CB542F">
      <w:pPr>
        <w:widowControl w:val="0"/>
        <w:autoSpaceDE w:val="0"/>
        <w:autoSpaceDN w:val="0"/>
      </w:pPr>
    </w:p>
    <w:p w14:paraId="5414FCC1" w14:textId="77777777" w:rsidR="00CB542F" w:rsidRDefault="00573A58">
      <w:pPr>
        <w:widowControl w:val="0"/>
        <w:autoSpaceDE w:val="0"/>
        <w:autoSpaceDN w:val="0"/>
      </w:pPr>
      <w:r>
        <w:t>Tiriant pirminę vertinamąją baigtį, t. y. insulto ir sisteminės embolijos dažnį, skirtingas rizikos santykis, palyginti su varfarino, nebuvo nustatytas nė viename iš pogrupių (t. y. pagal amžių, kūno svorį, lytį, inkstų funkciją, etninę grupę ir kt.).</w:t>
      </w:r>
    </w:p>
    <w:p w14:paraId="4431571F" w14:textId="77777777" w:rsidR="00CB542F" w:rsidRDefault="00CB542F">
      <w:pPr>
        <w:widowControl w:val="0"/>
        <w:autoSpaceDE w:val="0"/>
        <w:autoSpaceDN w:val="0"/>
      </w:pPr>
    </w:p>
    <w:p w14:paraId="33E82664" w14:textId="77777777" w:rsidR="00CB542F" w:rsidRDefault="00573A58">
      <w:pPr>
        <w:widowControl w:val="0"/>
        <w:autoSpaceDE w:val="0"/>
        <w:autoSpaceDN w:val="0"/>
        <w:rPr>
          <w:b/>
          <w:bCs/>
        </w:rPr>
      </w:pPr>
      <w:r>
        <w:rPr>
          <w:b/>
          <w:bCs/>
        </w:rPr>
        <w:t>20 lentelė. Pagal pogrupius suklasifikuoto insulto ir sisteminės embolijos rizikos santykis bei 95 % PI</w:t>
      </w:r>
    </w:p>
    <w:p w14:paraId="6C1593E8" w14:textId="77777777" w:rsidR="00CB542F" w:rsidRDefault="00CB542F">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66"/>
        <w:gridCol w:w="3214"/>
        <w:gridCol w:w="3207"/>
      </w:tblGrid>
      <w:tr w:rsidR="00CB542F" w14:paraId="05DC7DA0" w14:textId="77777777">
        <w:trPr>
          <w:trHeight w:val="506"/>
        </w:trPr>
        <w:tc>
          <w:tcPr>
            <w:tcW w:w="2866" w:type="dxa"/>
            <w:shd w:val="clear" w:color="auto" w:fill="auto"/>
          </w:tcPr>
          <w:p w14:paraId="12D8135C" w14:textId="77777777" w:rsidR="00CB542F" w:rsidRDefault="00573A58">
            <w:pPr>
              <w:widowControl w:val="0"/>
              <w:kinsoku w:val="0"/>
              <w:overflowPunct w:val="0"/>
              <w:autoSpaceDE w:val="0"/>
              <w:autoSpaceDN w:val="0"/>
              <w:adjustRightInd w:val="0"/>
              <w:spacing w:line="247" w:lineRule="exact"/>
              <w:ind w:left="107"/>
              <w:rPr>
                <w:color w:val="000000"/>
                <w:szCs w:val="22"/>
                <w:lang w:val="sl-SI" w:eastAsia="sl-SI"/>
              </w:rPr>
            </w:pPr>
            <w:r>
              <w:t>Vertinamoji baigtis</w:t>
            </w:r>
          </w:p>
        </w:tc>
        <w:tc>
          <w:tcPr>
            <w:tcW w:w="3214" w:type="dxa"/>
            <w:shd w:val="clear" w:color="auto" w:fill="auto"/>
          </w:tcPr>
          <w:p w14:paraId="066B6F71" w14:textId="77777777" w:rsidR="00CB542F" w:rsidRDefault="00573A58">
            <w:pPr>
              <w:widowControl w:val="0"/>
              <w:kinsoku w:val="0"/>
              <w:overflowPunct w:val="0"/>
              <w:autoSpaceDE w:val="0"/>
              <w:autoSpaceDN w:val="0"/>
              <w:adjustRightInd w:val="0"/>
              <w:spacing w:line="240" w:lineRule="exact"/>
              <w:jc w:val="center"/>
              <w:rPr>
                <w:color w:val="000000"/>
                <w:szCs w:val="22"/>
                <w:lang w:val="sl-SI" w:eastAsia="sl-SI"/>
              </w:rPr>
            </w:pPr>
            <w:r>
              <w:t>Dabigatrano eteksilatas 110 mg du kartus per parą, palyginti su varfarinu</w:t>
            </w:r>
          </w:p>
        </w:tc>
        <w:tc>
          <w:tcPr>
            <w:tcW w:w="3207" w:type="dxa"/>
            <w:shd w:val="clear" w:color="auto" w:fill="auto"/>
          </w:tcPr>
          <w:p w14:paraId="629EEC4F" w14:textId="77777777" w:rsidR="00CB542F" w:rsidRDefault="00573A58">
            <w:pPr>
              <w:widowControl w:val="0"/>
              <w:kinsoku w:val="0"/>
              <w:overflowPunct w:val="0"/>
              <w:autoSpaceDE w:val="0"/>
              <w:autoSpaceDN w:val="0"/>
              <w:adjustRightInd w:val="0"/>
              <w:spacing w:line="240" w:lineRule="exact"/>
              <w:jc w:val="center"/>
              <w:rPr>
                <w:color w:val="000000"/>
                <w:szCs w:val="22"/>
                <w:lang w:val="sl-SI" w:eastAsia="sl-SI"/>
              </w:rPr>
            </w:pPr>
            <w:r>
              <w:t>Dabigatrano eteksilatas 150 mg 2 kartus per parą, palyginti su varfarinu</w:t>
            </w:r>
          </w:p>
        </w:tc>
      </w:tr>
      <w:tr w:rsidR="00CB542F" w14:paraId="4677215D" w14:textId="77777777">
        <w:trPr>
          <w:trHeight w:val="251"/>
        </w:trPr>
        <w:tc>
          <w:tcPr>
            <w:tcW w:w="2866" w:type="dxa"/>
            <w:shd w:val="clear" w:color="auto" w:fill="auto"/>
          </w:tcPr>
          <w:p w14:paraId="76CC1E51" w14:textId="77777777" w:rsidR="00CB542F" w:rsidRDefault="00573A58">
            <w:pPr>
              <w:widowControl w:val="0"/>
              <w:kinsoku w:val="0"/>
              <w:overflowPunct w:val="0"/>
              <w:autoSpaceDE w:val="0"/>
              <w:autoSpaceDN w:val="0"/>
              <w:adjustRightInd w:val="0"/>
              <w:spacing w:line="232" w:lineRule="exact"/>
              <w:ind w:left="107"/>
              <w:rPr>
                <w:color w:val="000000"/>
                <w:szCs w:val="22"/>
                <w:lang w:val="sl-SI" w:eastAsia="sl-SI"/>
              </w:rPr>
            </w:pPr>
            <w:r>
              <w:t>Amžius (metai)</w:t>
            </w:r>
          </w:p>
        </w:tc>
        <w:tc>
          <w:tcPr>
            <w:tcW w:w="3214" w:type="dxa"/>
            <w:shd w:val="clear" w:color="auto" w:fill="auto"/>
          </w:tcPr>
          <w:p w14:paraId="0FB3F64D" w14:textId="77777777" w:rsidR="00CB542F" w:rsidRDefault="00CB542F">
            <w:pPr>
              <w:widowControl w:val="0"/>
              <w:kinsoku w:val="0"/>
              <w:overflowPunct w:val="0"/>
              <w:autoSpaceDE w:val="0"/>
              <w:autoSpaceDN w:val="0"/>
              <w:adjustRightInd w:val="0"/>
              <w:rPr>
                <w:color w:val="000000"/>
                <w:szCs w:val="22"/>
                <w:lang w:val="sl-SI" w:eastAsia="sl-SI"/>
              </w:rPr>
            </w:pPr>
          </w:p>
        </w:tc>
        <w:tc>
          <w:tcPr>
            <w:tcW w:w="3207" w:type="dxa"/>
            <w:shd w:val="clear" w:color="auto" w:fill="auto"/>
          </w:tcPr>
          <w:p w14:paraId="05FC989B" w14:textId="77777777" w:rsidR="00CB542F" w:rsidRDefault="00CB542F">
            <w:pPr>
              <w:widowControl w:val="0"/>
              <w:kinsoku w:val="0"/>
              <w:overflowPunct w:val="0"/>
              <w:autoSpaceDE w:val="0"/>
              <w:autoSpaceDN w:val="0"/>
              <w:adjustRightInd w:val="0"/>
              <w:rPr>
                <w:color w:val="000000"/>
                <w:szCs w:val="22"/>
                <w:lang w:val="sl-SI" w:eastAsia="sl-SI"/>
              </w:rPr>
            </w:pPr>
          </w:p>
        </w:tc>
      </w:tr>
      <w:tr w:rsidR="00CB542F" w14:paraId="065C6407" w14:textId="77777777">
        <w:trPr>
          <w:trHeight w:val="253"/>
        </w:trPr>
        <w:tc>
          <w:tcPr>
            <w:tcW w:w="2866" w:type="dxa"/>
            <w:shd w:val="clear" w:color="auto" w:fill="auto"/>
          </w:tcPr>
          <w:p w14:paraId="6347C952" w14:textId="77777777" w:rsidR="00CB542F" w:rsidRDefault="00573A58">
            <w:pPr>
              <w:widowControl w:val="0"/>
              <w:kinsoku w:val="0"/>
              <w:overflowPunct w:val="0"/>
              <w:autoSpaceDE w:val="0"/>
              <w:autoSpaceDN w:val="0"/>
              <w:adjustRightInd w:val="0"/>
              <w:spacing w:line="234" w:lineRule="exact"/>
              <w:ind w:left="1213"/>
              <w:rPr>
                <w:color w:val="000000"/>
                <w:szCs w:val="22"/>
                <w:lang w:val="sl-SI" w:eastAsia="sl-SI"/>
              </w:rPr>
            </w:pPr>
            <w:r>
              <w:rPr>
                <w:color w:val="000000"/>
                <w:szCs w:val="22"/>
                <w:lang w:val="sl-SI" w:eastAsia="sl-SI"/>
              </w:rPr>
              <w:t>&lt; 65</w:t>
            </w:r>
          </w:p>
        </w:tc>
        <w:tc>
          <w:tcPr>
            <w:tcW w:w="3214" w:type="dxa"/>
            <w:shd w:val="clear" w:color="auto" w:fill="auto"/>
          </w:tcPr>
          <w:p w14:paraId="54033524"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1,10 (0,64, 1,87)</w:t>
            </w:r>
          </w:p>
        </w:tc>
        <w:tc>
          <w:tcPr>
            <w:tcW w:w="3207" w:type="dxa"/>
            <w:shd w:val="clear" w:color="auto" w:fill="auto"/>
          </w:tcPr>
          <w:p w14:paraId="1A1A849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0,51 (0,26, 0,98)</w:t>
            </w:r>
          </w:p>
        </w:tc>
      </w:tr>
      <w:tr w:rsidR="00CB542F" w14:paraId="235329C4" w14:textId="77777777">
        <w:trPr>
          <w:trHeight w:val="251"/>
        </w:trPr>
        <w:tc>
          <w:tcPr>
            <w:tcW w:w="2866" w:type="dxa"/>
            <w:shd w:val="clear" w:color="auto" w:fill="auto"/>
          </w:tcPr>
          <w:p w14:paraId="2176209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65 ≤, tačiau &lt; 75</w:t>
            </w:r>
          </w:p>
        </w:tc>
        <w:tc>
          <w:tcPr>
            <w:tcW w:w="3214" w:type="dxa"/>
            <w:shd w:val="clear" w:color="auto" w:fill="auto"/>
          </w:tcPr>
          <w:p w14:paraId="4BCDBFC3"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0,86 (0,62, 1,19)</w:t>
            </w:r>
          </w:p>
        </w:tc>
        <w:tc>
          <w:tcPr>
            <w:tcW w:w="3207" w:type="dxa"/>
            <w:shd w:val="clear" w:color="auto" w:fill="auto"/>
          </w:tcPr>
          <w:p w14:paraId="2F42736F"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(0,47, 0,95)</w:t>
            </w:r>
          </w:p>
        </w:tc>
      </w:tr>
      <w:tr w:rsidR="00CB542F" w14:paraId="1A96D7FA" w14:textId="77777777">
        <w:trPr>
          <w:trHeight w:val="254"/>
        </w:trPr>
        <w:tc>
          <w:tcPr>
            <w:tcW w:w="2866" w:type="dxa"/>
            <w:shd w:val="clear" w:color="auto" w:fill="auto"/>
          </w:tcPr>
          <w:p w14:paraId="4875FFC5" w14:textId="77777777" w:rsidR="00CB542F" w:rsidRDefault="00573A58">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75</w:t>
            </w:r>
          </w:p>
        </w:tc>
        <w:tc>
          <w:tcPr>
            <w:tcW w:w="3214" w:type="dxa"/>
            <w:shd w:val="clear" w:color="auto" w:fill="auto"/>
          </w:tcPr>
          <w:p w14:paraId="71E211EA"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0,88 (0,66, 1,17)</w:t>
            </w:r>
          </w:p>
        </w:tc>
        <w:tc>
          <w:tcPr>
            <w:tcW w:w="3207" w:type="dxa"/>
            <w:shd w:val="clear" w:color="auto" w:fill="auto"/>
          </w:tcPr>
          <w:p w14:paraId="08D626B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0,68 (0,50, 0,92)</w:t>
            </w:r>
          </w:p>
        </w:tc>
      </w:tr>
      <w:tr w:rsidR="00CB542F" w14:paraId="1949FBBF" w14:textId="77777777">
        <w:trPr>
          <w:trHeight w:val="251"/>
        </w:trPr>
        <w:tc>
          <w:tcPr>
            <w:tcW w:w="2866" w:type="dxa"/>
            <w:shd w:val="clear" w:color="auto" w:fill="auto"/>
          </w:tcPr>
          <w:p w14:paraId="27E8417A" w14:textId="77777777" w:rsidR="00CB542F" w:rsidRDefault="00573A58">
            <w:pPr>
              <w:widowControl w:val="0"/>
              <w:kinsoku w:val="0"/>
              <w:overflowPunct w:val="0"/>
              <w:autoSpaceDE w:val="0"/>
              <w:autoSpaceDN w:val="0"/>
              <w:adjustRightInd w:val="0"/>
              <w:spacing w:line="232"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1424ACE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0,68 (0,44, 1,05)</w:t>
            </w:r>
          </w:p>
        </w:tc>
        <w:tc>
          <w:tcPr>
            <w:tcW w:w="3207" w:type="dxa"/>
            <w:shd w:val="clear" w:color="auto" w:fill="auto"/>
          </w:tcPr>
          <w:p w14:paraId="5E08F91F"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(0,44, 1,02)</w:t>
            </w:r>
          </w:p>
        </w:tc>
      </w:tr>
      <w:tr w:rsidR="00CB542F" w14:paraId="2B40DD90" w14:textId="77777777">
        <w:trPr>
          <w:trHeight w:val="253"/>
        </w:trPr>
        <w:tc>
          <w:tcPr>
            <w:tcW w:w="2866" w:type="dxa"/>
            <w:shd w:val="clear" w:color="auto" w:fill="auto"/>
          </w:tcPr>
          <w:p w14:paraId="464B8DED" w14:textId="77777777" w:rsidR="00CB542F" w:rsidRDefault="00573A58">
            <w:pPr>
              <w:widowControl w:val="0"/>
              <w:kinsoku w:val="0"/>
              <w:overflowPunct w:val="0"/>
              <w:autoSpaceDE w:val="0"/>
              <w:autoSpaceDN w:val="0"/>
              <w:adjustRightInd w:val="0"/>
              <w:spacing w:line="234" w:lineRule="exact"/>
              <w:ind w:left="107"/>
              <w:rPr>
                <w:color w:val="000000"/>
                <w:szCs w:val="22"/>
                <w:lang w:val="sl-SI" w:eastAsia="sl-SI"/>
              </w:rPr>
            </w:pPr>
            <w:r>
              <w:t>KrKl (ml/min.)</w:t>
            </w:r>
          </w:p>
        </w:tc>
        <w:tc>
          <w:tcPr>
            <w:tcW w:w="3214" w:type="dxa"/>
            <w:shd w:val="clear" w:color="auto" w:fill="auto"/>
          </w:tcPr>
          <w:p w14:paraId="5B909822"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3207" w:type="dxa"/>
            <w:shd w:val="clear" w:color="auto" w:fill="auto"/>
          </w:tcPr>
          <w:p w14:paraId="552944CA"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393A806" w14:textId="77777777">
        <w:trPr>
          <w:trHeight w:val="253"/>
        </w:trPr>
        <w:tc>
          <w:tcPr>
            <w:tcW w:w="2866" w:type="dxa"/>
            <w:shd w:val="clear" w:color="auto" w:fill="auto"/>
          </w:tcPr>
          <w:p w14:paraId="7280B187"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 tačiau &lt; 50</w:t>
            </w:r>
          </w:p>
        </w:tc>
        <w:tc>
          <w:tcPr>
            <w:tcW w:w="3214" w:type="dxa"/>
            <w:shd w:val="clear" w:color="auto" w:fill="auto"/>
          </w:tcPr>
          <w:p w14:paraId="4E278E8A"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(0,61, 1,31)</w:t>
            </w:r>
          </w:p>
        </w:tc>
        <w:tc>
          <w:tcPr>
            <w:tcW w:w="3207" w:type="dxa"/>
            <w:shd w:val="clear" w:color="auto" w:fill="auto"/>
          </w:tcPr>
          <w:p w14:paraId="5E941FC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(0,31, 0,76)</w:t>
            </w:r>
          </w:p>
        </w:tc>
      </w:tr>
      <w:tr w:rsidR="00CB542F" w14:paraId="0299572D" w14:textId="77777777">
        <w:trPr>
          <w:trHeight w:val="251"/>
        </w:trPr>
        <w:tc>
          <w:tcPr>
            <w:tcW w:w="2866" w:type="dxa"/>
            <w:shd w:val="clear" w:color="auto" w:fill="auto"/>
          </w:tcPr>
          <w:p w14:paraId="02A1D7C2"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 ≤, tačiau &lt; 80</w:t>
            </w:r>
          </w:p>
        </w:tc>
        <w:tc>
          <w:tcPr>
            <w:tcW w:w="3214" w:type="dxa"/>
            <w:shd w:val="clear" w:color="auto" w:fill="auto"/>
          </w:tcPr>
          <w:p w14:paraId="15DEDE6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0,91 (0,68, 1,20)</w:t>
            </w:r>
          </w:p>
        </w:tc>
        <w:tc>
          <w:tcPr>
            <w:tcW w:w="3207" w:type="dxa"/>
            <w:shd w:val="clear" w:color="auto" w:fill="auto"/>
          </w:tcPr>
          <w:p w14:paraId="220706B7"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0,65 (0,47, 0,88)</w:t>
            </w:r>
          </w:p>
        </w:tc>
      </w:tr>
      <w:tr w:rsidR="00CB542F" w14:paraId="51B4798D" w14:textId="77777777">
        <w:trPr>
          <w:trHeight w:val="253"/>
        </w:trPr>
        <w:tc>
          <w:tcPr>
            <w:tcW w:w="2866" w:type="dxa"/>
            <w:shd w:val="clear" w:color="auto" w:fill="auto"/>
          </w:tcPr>
          <w:p w14:paraId="4FB211C5" w14:textId="77777777" w:rsidR="00CB542F" w:rsidRDefault="00573A58">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7D6083CA"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0,81 (0,51, 1,28)</w:t>
            </w:r>
          </w:p>
        </w:tc>
        <w:tc>
          <w:tcPr>
            <w:tcW w:w="3207" w:type="dxa"/>
            <w:shd w:val="clear" w:color="auto" w:fill="auto"/>
          </w:tcPr>
          <w:p w14:paraId="7AACC953" w14:textId="77777777" w:rsidR="00CB542F" w:rsidRDefault="00573A58">
            <w:pPr>
              <w:widowControl w:val="0"/>
              <w:tabs>
                <w:tab w:val="center" w:pos="1495"/>
                <w:tab w:val="right" w:pos="2991"/>
              </w:tabs>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(0,43, 1,12)</w:t>
            </w:r>
          </w:p>
        </w:tc>
      </w:tr>
    </w:tbl>
    <w:p w14:paraId="13A7EE91" w14:textId="77777777" w:rsidR="00CB542F" w:rsidRDefault="00CB542F">
      <w:pPr>
        <w:widowControl w:val="0"/>
        <w:autoSpaceDE w:val="0"/>
        <w:autoSpaceDN w:val="0"/>
      </w:pPr>
    </w:p>
    <w:p w14:paraId="2C77EA13" w14:textId="77777777" w:rsidR="00CB542F" w:rsidRDefault="00573A58">
      <w:pPr>
        <w:widowControl w:val="0"/>
        <w:autoSpaceDE w:val="0"/>
        <w:autoSpaceDN w:val="0"/>
      </w:pPr>
      <w:r>
        <w:t>Pirminės saugumo vertinamosios baigties, t. y. didžiojo kraujavimo, dažnis skyrėsi priklausomai nuo gydymo poveikio ir amžiaus. Dabigatranu gydomiems pacientams santykinė kraujavimo rizika su amžiumi didėjo labiau, negu pacientams, vartojantiems varfarino. Santykinė rizika buvo didžiausia ≥ 75 metų pacientams. Kartu vartojami antitrombocitiniai preparatai, ASR arba klopidogrelis gali maždaug 2 kartus padidinti tiek dabigatrano eteksilato, tiek varfarino sukeliamo didžiojo kraujavimo dažnį. Inkstų funkcija ar CHADS2 rodmuo reikšmingos įtakos nedarė.</w:t>
      </w:r>
    </w:p>
    <w:p w14:paraId="0F5B93A0" w14:textId="77777777" w:rsidR="00CB542F" w:rsidRDefault="00CB542F">
      <w:pPr>
        <w:widowControl w:val="0"/>
        <w:autoSpaceDE w:val="0"/>
        <w:autoSpaceDN w:val="0"/>
      </w:pPr>
    </w:p>
    <w:p w14:paraId="473B27DB" w14:textId="77777777" w:rsidR="00CB542F" w:rsidRDefault="00573A58">
      <w:pPr>
        <w:widowControl w:val="0"/>
        <w:autoSpaceDE w:val="0"/>
        <w:autoSpaceDN w:val="0"/>
        <w:rPr>
          <w:b/>
          <w:bCs/>
        </w:rPr>
      </w:pPr>
      <w:r>
        <w:rPr>
          <w:b/>
          <w:bCs/>
        </w:rPr>
        <w:t>21 lentelė. Pagal pogrupius suskirstyto didžiojo kraujavimo rizikos santykis ir 95 % PI</w:t>
      </w:r>
    </w:p>
    <w:p w14:paraId="4374E861"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98"/>
        <w:gridCol w:w="3136"/>
        <w:gridCol w:w="3136"/>
      </w:tblGrid>
      <w:tr w:rsidR="00CB542F" w14:paraId="7B872A66" w14:textId="77777777">
        <w:trPr>
          <w:trHeight w:val="506"/>
        </w:trPr>
        <w:tc>
          <w:tcPr>
            <w:tcW w:w="2798" w:type="dxa"/>
            <w:shd w:val="clear" w:color="auto" w:fill="auto"/>
          </w:tcPr>
          <w:p w14:paraId="7703B9AF" w14:textId="77777777" w:rsidR="00CB542F" w:rsidRDefault="00573A58">
            <w:pPr>
              <w:widowControl w:val="0"/>
              <w:kinsoku w:val="0"/>
              <w:overflowPunct w:val="0"/>
              <w:autoSpaceDE w:val="0"/>
              <w:autoSpaceDN w:val="0"/>
              <w:adjustRightInd w:val="0"/>
              <w:spacing w:line="247" w:lineRule="exact"/>
              <w:ind w:left="105"/>
              <w:rPr>
                <w:color w:val="000000"/>
                <w:szCs w:val="22"/>
                <w:lang w:val="sl-SI" w:eastAsia="sl-SI"/>
              </w:rPr>
            </w:pPr>
            <w:r>
              <w:t>Vertinamoji baigtis</w:t>
            </w:r>
          </w:p>
        </w:tc>
        <w:tc>
          <w:tcPr>
            <w:tcW w:w="3136" w:type="dxa"/>
            <w:shd w:val="clear" w:color="auto" w:fill="auto"/>
          </w:tcPr>
          <w:p w14:paraId="64F776B8" w14:textId="77777777" w:rsidR="00CB542F" w:rsidRDefault="00573A58">
            <w:pPr>
              <w:widowControl w:val="0"/>
              <w:kinsoku w:val="0"/>
              <w:overflowPunct w:val="0"/>
              <w:autoSpaceDE w:val="0"/>
              <w:autoSpaceDN w:val="0"/>
              <w:adjustRightInd w:val="0"/>
              <w:spacing w:before="1" w:line="238" w:lineRule="exact"/>
              <w:jc w:val="center"/>
              <w:rPr>
                <w:color w:val="000000"/>
                <w:szCs w:val="22"/>
                <w:lang w:val="sl-SI" w:eastAsia="sl-SI"/>
              </w:rPr>
            </w:pPr>
            <w:r>
              <w:t>Dabigatrano eteksilatas 110 mg du kartus per parą, palyginti su varfarinu</w:t>
            </w:r>
          </w:p>
        </w:tc>
        <w:tc>
          <w:tcPr>
            <w:tcW w:w="3136" w:type="dxa"/>
            <w:shd w:val="clear" w:color="auto" w:fill="auto"/>
          </w:tcPr>
          <w:p w14:paraId="04924C56" w14:textId="77777777" w:rsidR="00CB542F" w:rsidRDefault="00573A58">
            <w:pPr>
              <w:widowControl w:val="0"/>
              <w:kinsoku w:val="0"/>
              <w:overflowPunct w:val="0"/>
              <w:autoSpaceDE w:val="0"/>
              <w:autoSpaceDN w:val="0"/>
              <w:adjustRightInd w:val="0"/>
              <w:spacing w:before="1" w:line="238" w:lineRule="exact"/>
              <w:jc w:val="center"/>
              <w:rPr>
                <w:color w:val="000000"/>
                <w:szCs w:val="22"/>
                <w:lang w:val="sl-SI" w:eastAsia="sl-SI"/>
              </w:rPr>
            </w:pPr>
            <w:r>
              <w:t>Dabigatrano eteksilatas 150 mg du kartus per parą, palyginti su varfarinu</w:t>
            </w:r>
          </w:p>
        </w:tc>
      </w:tr>
      <w:tr w:rsidR="00CB542F" w14:paraId="60A5C6D9" w14:textId="77777777">
        <w:trPr>
          <w:trHeight w:val="253"/>
        </w:trPr>
        <w:tc>
          <w:tcPr>
            <w:tcW w:w="2798" w:type="dxa"/>
            <w:shd w:val="clear" w:color="auto" w:fill="auto"/>
          </w:tcPr>
          <w:p w14:paraId="0B727CE0"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Amžius (metai)</w:t>
            </w:r>
          </w:p>
        </w:tc>
        <w:tc>
          <w:tcPr>
            <w:tcW w:w="3136" w:type="dxa"/>
            <w:shd w:val="clear" w:color="auto" w:fill="auto"/>
          </w:tcPr>
          <w:p w14:paraId="422D4D8E" w14:textId="77777777" w:rsidR="00CB542F" w:rsidRDefault="00CB542F">
            <w:pPr>
              <w:widowControl w:val="0"/>
              <w:kinsoku w:val="0"/>
              <w:overflowPunct w:val="0"/>
              <w:autoSpaceDE w:val="0"/>
              <w:autoSpaceDN w:val="0"/>
              <w:adjustRightInd w:val="0"/>
              <w:rPr>
                <w:color w:val="000000"/>
                <w:szCs w:val="22"/>
                <w:lang w:val="sl-SI" w:eastAsia="sl-SI"/>
              </w:rPr>
            </w:pPr>
          </w:p>
        </w:tc>
        <w:tc>
          <w:tcPr>
            <w:tcW w:w="3136" w:type="dxa"/>
            <w:shd w:val="clear" w:color="auto" w:fill="auto"/>
          </w:tcPr>
          <w:p w14:paraId="5F05128E" w14:textId="77777777" w:rsidR="00CB542F" w:rsidRDefault="00CB542F">
            <w:pPr>
              <w:widowControl w:val="0"/>
              <w:kinsoku w:val="0"/>
              <w:overflowPunct w:val="0"/>
              <w:autoSpaceDE w:val="0"/>
              <w:autoSpaceDN w:val="0"/>
              <w:adjustRightInd w:val="0"/>
              <w:rPr>
                <w:color w:val="000000"/>
                <w:szCs w:val="22"/>
                <w:lang w:val="sl-SI" w:eastAsia="sl-SI"/>
              </w:rPr>
            </w:pPr>
          </w:p>
        </w:tc>
      </w:tr>
      <w:tr w:rsidR="00CB542F" w14:paraId="05A206BE" w14:textId="77777777">
        <w:trPr>
          <w:trHeight w:val="251"/>
        </w:trPr>
        <w:tc>
          <w:tcPr>
            <w:tcW w:w="2798" w:type="dxa"/>
            <w:shd w:val="clear" w:color="auto" w:fill="auto"/>
          </w:tcPr>
          <w:p w14:paraId="52CA56EF" w14:textId="77777777" w:rsidR="00CB542F" w:rsidRDefault="00573A58">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&lt; 65</w:t>
            </w:r>
          </w:p>
        </w:tc>
        <w:tc>
          <w:tcPr>
            <w:tcW w:w="3136" w:type="dxa"/>
            <w:shd w:val="clear" w:color="auto" w:fill="auto"/>
          </w:tcPr>
          <w:p w14:paraId="3776027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0,32 (0,18, 0,57)</w:t>
            </w:r>
          </w:p>
        </w:tc>
        <w:tc>
          <w:tcPr>
            <w:tcW w:w="3136" w:type="dxa"/>
            <w:shd w:val="clear" w:color="auto" w:fill="auto"/>
          </w:tcPr>
          <w:p w14:paraId="454866F1"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0,35 (0,20, 0,61)</w:t>
            </w:r>
          </w:p>
        </w:tc>
      </w:tr>
      <w:tr w:rsidR="00CB542F" w14:paraId="1F9515FC" w14:textId="77777777">
        <w:trPr>
          <w:trHeight w:val="254"/>
        </w:trPr>
        <w:tc>
          <w:tcPr>
            <w:tcW w:w="2798" w:type="dxa"/>
            <w:shd w:val="clear" w:color="auto" w:fill="auto"/>
          </w:tcPr>
          <w:p w14:paraId="33E95CAC" w14:textId="77777777" w:rsidR="00CB542F" w:rsidRDefault="00573A58">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65 ≤, tačiau &lt; 75</w:t>
            </w:r>
          </w:p>
        </w:tc>
        <w:tc>
          <w:tcPr>
            <w:tcW w:w="3136" w:type="dxa"/>
            <w:shd w:val="clear" w:color="auto" w:fill="auto"/>
          </w:tcPr>
          <w:p w14:paraId="1A950E6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0,71 (0,56, 0,89)</w:t>
            </w:r>
          </w:p>
        </w:tc>
        <w:tc>
          <w:tcPr>
            <w:tcW w:w="3136" w:type="dxa"/>
            <w:shd w:val="clear" w:color="auto" w:fill="auto"/>
          </w:tcPr>
          <w:p w14:paraId="63571A34"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(0,66, 1,03)</w:t>
            </w:r>
          </w:p>
        </w:tc>
      </w:tr>
      <w:tr w:rsidR="00CB542F" w14:paraId="5FC8B0AD" w14:textId="77777777">
        <w:trPr>
          <w:trHeight w:val="253"/>
        </w:trPr>
        <w:tc>
          <w:tcPr>
            <w:tcW w:w="2798" w:type="dxa"/>
            <w:shd w:val="clear" w:color="auto" w:fill="auto"/>
          </w:tcPr>
          <w:p w14:paraId="357916E6" w14:textId="77777777" w:rsidR="00CB542F" w:rsidRDefault="00573A58">
            <w:pPr>
              <w:widowControl w:val="0"/>
              <w:kinsoku w:val="0"/>
              <w:overflowPunct w:val="0"/>
              <w:autoSpaceDE w:val="0"/>
              <w:autoSpaceDN w:val="0"/>
              <w:adjustRightInd w:val="0"/>
              <w:spacing w:line="234" w:lineRule="exact"/>
              <w:ind w:left="982"/>
              <w:rPr>
                <w:color w:val="000000"/>
                <w:szCs w:val="22"/>
                <w:lang w:val="sl-SI" w:eastAsia="sl-SI"/>
              </w:rPr>
            </w:pPr>
            <w:r>
              <w:rPr>
                <w:color w:val="000000"/>
                <w:szCs w:val="22"/>
                <w:lang w:val="sl-SI" w:eastAsia="sl-SI"/>
              </w:rPr>
              <w:t>≥ 75</w:t>
            </w:r>
          </w:p>
        </w:tc>
        <w:tc>
          <w:tcPr>
            <w:tcW w:w="3136" w:type="dxa"/>
            <w:shd w:val="clear" w:color="auto" w:fill="auto"/>
          </w:tcPr>
          <w:p w14:paraId="017051CC"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1,01 (0,84, 1,23)</w:t>
            </w:r>
          </w:p>
        </w:tc>
        <w:tc>
          <w:tcPr>
            <w:tcW w:w="3136" w:type="dxa"/>
            <w:shd w:val="clear" w:color="auto" w:fill="auto"/>
          </w:tcPr>
          <w:p w14:paraId="4CFEA339"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1,19 (0,99, 1,43)</w:t>
            </w:r>
          </w:p>
        </w:tc>
      </w:tr>
      <w:tr w:rsidR="00CB542F" w14:paraId="26F9CD14" w14:textId="77777777">
        <w:trPr>
          <w:trHeight w:val="251"/>
        </w:trPr>
        <w:tc>
          <w:tcPr>
            <w:tcW w:w="2798" w:type="dxa"/>
            <w:shd w:val="clear" w:color="auto" w:fill="auto"/>
          </w:tcPr>
          <w:p w14:paraId="312EC287" w14:textId="77777777" w:rsidR="00CB542F" w:rsidRDefault="00573A58">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 80</w:t>
            </w:r>
          </w:p>
        </w:tc>
        <w:tc>
          <w:tcPr>
            <w:tcW w:w="3136" w:type="dxa"/>
            <w:shd w:val="clear" w:color="auto" w:fill="auto"/>
          </w:tcPr>
          <w:p w14:paraId="69E97B2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1,14 (0,86, 1,51)</w:t>
            </w:r>
          </w:p>
        </w:tc>
        <w:tc>
          <w:tcPr>
            <w:tcW w:w="3136" w:type="dxa"/>
            <w:shd w:val="clear" w:color="auto" w:fill="auto"/>
          </w:tcPr>
          <w:p w14:paraId="3D2747C9"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1,35 (1,03, 1,76)</w:t>
            </w:r>
          </w:p>
        </w:tc>
      </w:tr>
      <w:tr w:rsidR="00CB542F" w14:paraId="28D233B2" w14:textId="77777777">
        <w:trPr>
          <w:trHeight w:val="253"/>
        </w:trPr>
        <w:tc>
          <w:tcPr>
            <w:tcW w:w="2798" w:type="dxa"/>
            <w:shd w:val="clear" w:color="auto" w:fill="auto"/>
          </w:tcPr>
          <w:p w14:paraId="583D30AF" w14:textId="77777777" w:rsidR="00CB542F" w:rsidRDefault="00573A58">
            <w:pPr>
              <w:widowControl w:val="0"/>
              <w:kinsoku w:val="0"/>
              <w:overflowPunct w:val="0"/>
              <w:autoSpaceDE w:val="0"/>
              <w:autoSpaceDN w:val="0"/>
              <w:adjustRightInd w:val="0"/>
              <w:spacing w:line="234" w:lineRule="exact"/>
              <w:ind w:left="105"/>
              <w:rPr>
                <w:color w:val="000000"/>
                <w:szCs w:val="22"/>
                <w:lang w:val="sl-SI" w:eastAsia="sl-SI"/>
              </w:rPr>
            </w:pPr>
            <w:r>
              <w:t>KrKl (ml/min.)</w:t>
            </w:r>
          </w:p>
        </w:tc>
        <w:tc>
          <w:tcPr>
            <w:tcW w:w="3136" w:type="dxa"/>
            <w:shd w:val="clear" w:color="auto" w:fill="auto"/>
          </w:tcPr>
          <w:p w14:paraId="3E81A129"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3136" w:type="dxa"/>
            <w:shd w:val="clear" w:color="auto" w:fill="auto"/>
          </w:tcPr>
          <w:p w14:paraId="0E1077D7"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1E7EFAEB" w14:textId="77777777">
        <w:trPr>
          <w:trHeight w:val="251"/>
        </w:trPr>
        <w:tc>
          <w:tcPr>
            <w:tcW w:w="2798" w:type="dxa"/>
            <w:shd w:val="clear" w:color="auto" w:fill="auto"/>
          </w:tcPr>
          <w:p w14:paraId="2315FD2C" w14:textId="77777777" w:rsidR="00CB542F" w:rsidRDefault="00573A58">
            <w:pPr>
              <w:widowControl w:val="0"/>
              <w:kinsoku w:val="0"/>
              <w:overflowPunct w:val="0"/>
              <w:autoSpaceDE w:val="0"/>
              <w:autoSpaceDN w:val="0"/>
              <w:adjustRightInd w:val="0"/>
              <w:spacing w:line="232" w:lineRule="exact"/>
              <w:ind w:left="786"/>
              <w:rPr>
                <w:color w:val="000000"/>
                <w:szCs w:val="22"/>
                <w:lang w:val="sl-SI" w:eastAsia="sl-SI"/>
              </w:rPr>
            </w:pPr>
            <w:r>
              <w:rPr>
                <w:color w:val="000000"/>
                <w:szCs w:val="22"/>
                <w:lang w:val="sl-SI" w:eastAsia="sl-SI"/>
              </w:rPr>
              <w:t>30 ≤, tačiau &lt; 50</w:t>
            </w:r>
          </w:p>
        </w:tc>
        <w:tc>
          <w:tcPr>
            <w:tcW w:w="3136" w:type="dxa"/>
            <w:shd w:val="clear" w:color="auto" w:fill="auto"/>
          </w:tcPr>
          <w:p w14:paraId="1D9E3BBB"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1,02 (0,79, 1,32)</w:t>
            </w:r>
          </w:p>
        </w:tc>
        <w:tc>
          <w:tcPr>
            <w:tcW w:w="3136" w:type="dxa"/>
            <w:shd w:val="clear" w:color="auto" w:fill="auto"/>
          </w:tcPr>
          <w:p w14:paraId="5A6637FE"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0,94 (0,73, 1,22)</w:t>
            </w:r>
          </w:p>
        </w:tc>
      </w:tr>
      <w:tr w:rsidR="00CB542F" w14:paraId="0710D6C1" w14:textId="77777777">
        <w:trPr>
          <w:trHeight w:val="254"/>
        </w:trPr>
        <w:tc>
          <w:tcPr>
            <w:tcW w:w="2798" w:type="dxa"/>
            <w:shd w:val="clear" w:color="auto" w:fill="auto"/>
          </w:tcPr>
          <w:p w14:paraId="086CD594" w14:textId="77777777" w:rsidR="00CB542F" w:rsidRDefault="00573A58">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50 ≤, tačiau &lt; 80</w:t>
            </w:r>
          </w:p>
        </w:tc>
        <w:tc>
          <w:tcPr>
            <w:tcW w:w="3136" w:type="dxa"/>
            <w:shd w:val="clear" w:color="auto" w:fill="auto"/>
          </w:tcPr>
          <w:p w14:paraId="524A37D3"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0,75 (0,61, 0,92)</w:t>
            </w:r>
          </w:p>
        </w:tc>
        <w:tc>
          <w:tcPr>
            <w:tcW w:w="3136" w:type="dxa"/>
            <w:shd w:val="clear" w:color="auto" w:fill="auto"/>
          </w:tcPr>
          <w:p w14:paraId="044C882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0,90 (0,74, 1,09)</w:t>
            </w:r>
          </w:p>
        </w:tc>
      </w:tr>
      <w:tr w:rsidR="00CB542F" w14:paraId="08D78AD6" w14:textId="77777777">
        <w:trPr>
          <w:trHeight w:val="251"/>
        </w:trPr>
        <w:tc>
          <w:tcPr>
            <w:tcW w:w="2798" w:type="dxa"/>
            <w:shd w:val="clear" w:color="auto" w:fill="auto"/>
          </w:tcPr>
          <w:p w14:paraId="2C0B6AA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80</w:t>
            </w:r>
          </w:p>
        </w:tc>
        <w:tc>
          <w:tcPr>
            <w:tcW w:w="3136" w:type="dxa"/>
            <w:shd w:val="clear" w:color="auto" w:fill="auto"/>
          </w:tcPr>
          <w:p w14:paraId="4D06650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0,59 (0,43, 0,82)</w:t>
            </w:r>
          </w:p>
        </w:tc>
        <w:tc>
          <w:tcPr>
            <w:tcW w:w="3136" w:type="dxa"/>
            <w:shd w:val="clear" w:color="auto" w:fill="auto"/>
          </w:tcPr>
          <w:p w14:paraId="095E7C69"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0,87 (0,65, 1,17)</w:t>
            </w:r>
          </w:p>
        </w:tc>
      </w:tr>
      <w:tr w:rsidR="00CB542F" w14:paraId="77E7FC69" w14:textId="77777777">
        <w:trPr>
          <w:trHeight w:val="254"/>
        </w:trPr>
        <w:tc>
          <w:tcPr>
            <w:tcW w:w="2798" w:type="dxa"/>
            <w:shd w:val="clear" w:color="auto" w:fill="auto"/>
          </w:tcPr>
          <w:p w14:paraId="4FF5DA2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t>ASR vartojimas</w:t>
            </w:r>
          </w:p>
        </w:tc>
        <w:tc>
          <w:tcPr>
            <w:tcW w:w="3136" w:type="dxa"/>
            <w:shd w:val="clear" w:color="auto" w:fill="auto"/>
          </w:tcPr>
          <w:p w14:paraId="25BFF78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0,84 (0,69, 1,03)</w:t>
            </w:r>
          </w:p>
        </w:tc>
        <w:tc>
          <w:tcPr>
            <w:tcW w:w="3136" w:type="dxa"/>
            <w:shd w:val="clear" w:color="auto" w:fill="auto"/>
          </w:tcPr>
          <w:p w14:paraId="508776D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0,97 (0,79, 1,18)</w:t>
            </w:r>
          </w:p>
        </w:tc>
      </w:tr>
      <w:tr w:rsidR="00CB542F" w14:paraId="49154E45" w14:textId="77777777">
        <w:trPr>
          <w:trHeight w:val="253"/>
        </w:trPr>
        <w:tc>
          <w:tcPr>
            <w:tcW w:w="2798" w:type="dxa"/>
            <w:shd w:val="clear" w:color="auto" w:fill="auto"/>
          </w:tcPr>
          <w:p w14:paraId="19CB3937"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t>Klopidogrelio vartojimas</w:t>
            </w:r>
          </w:p>
        </w:tc>
        <w:tc>
          <w:tcPr>
            <w:tcW w:w="3136" w:type="dxa"/>
            <w:shd w:val="clear" w:color="auto" w:fill="auto"/>
          </w:tcPr>
          <w:p w14:paraId="245EAA34"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(0,55, 1,45)</w:t>
            </w:r>
          </w:p>
        </w:tc>
        <w:tc>
          <w:tcPr>
            <w:tcW w:w="3136" w:type="dxa"/>
            <w:shd w:val="clear" w:color="auto" w:fill="auto"/>
          </w:tcPr>
          <w:p w14:paraId="5EB461B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(0,57, 1,48)</w:t>
            </w:r>
          </w:p>
        </w:tc>
      </w:tr>
    </w:tbl>
    <w:p w14:paraId="51688E06" w14:textId="77777777" w:rsidR="00CB542F" w:rsidRDefault="00CB542F">
      <w:pPr>
        <w:widowControl w:val="0"/>
        <w:autoSpaceDE w:val="0"/>
        <w:autoSpaceDN w:val="0"/>
      </w:pPr>
    </w:p>
    <w:p w14:paraId="331D57AB" w14:textId="77777777" w:rsidR="00CB542F" w:rsidRDefault="00573A58">
      <w:pPr>
        <w:widowControl w:val="0"/>
        <w:autoSpaceDE w:val="0"/>
        <w:autoSpaceDN w:val="0"/>
        <w:rPr>
          <w:i/>
          <w:iCs/>
        </w:rPr>
      </w:pPr>
      <w:r>
        <w:rPr>
          <w:i/>
          <w:iCs/>
        </w:rPr>
        <w:t>RELY-ABLE (ilgalaikis daugiacentris gydymo dabigatranu pratęsimas prieširdžių virpėjimu sergantiems pacientams, kurie baigė RE-LY tyrimą)</w:t>
      </w:r>
    </w:p>
    <w:p w14:paraId="07B90CA6" w14:textId="77777777" w:rsidR="00CB542F" w:rsidRDefault="00CB542F">
      <w:pPr>
        <w:widowControl w:val="0"/>
        <w:autoSpaceDE w:val="0"/>
        <w:autoSpaceDN w:val="0"/>
      </w:pPr>
    </w:p>
    <w:p w14:paraId="6126E164" w14:textId="77777777" w:rsidR="00CB542F" w:rsidRDefault="00573A58">
      <w:pPr>
        <w:widowControl w:val="0"/>
        <w:autoSpaceDE w:val="0"/>
        <w:autoSpaceDN w:val="0"/>
      </w:pPr>
      <w:r>
        <w:t>Pratęstas RE-LY tyrimas (RELY-ABLE) pateikė papildomos saugumo informacijos apie pacientų, kurie tęsė tokios pačios dabigatrano eteksilato dozės, kuri buvo skiriama RE-LY tyrimo metu, grupę. RELY-ABLE tyrimui buvo tinkami tie pacientai, kurie tyrimo RE-LY metu paskutinio apsilankymo pas gydytoją laiku tiriamojo vaistinio preparato vartojimo visam laikui nebuvo nutraukę. Į tyrimą įtraukti pacientai tęsė tos pačios dvigubai koduotos dabigatrano eteksilato dozės, kuri atsitiktiniu būdu buvo skiriama tyrimo RE-LY metu, vartojimą iki 43 tolesnio tyrimo mėnesių po RE-LY tyrimo (bendra vidutinė tolesnio RELY + RELY-ABLE tyrimo trukmė ‒ 4,5 metų). Buvo įtraukti 5 897 pacientai, tarp kurių buvo 49 % pacientų, iš pradžių atsitiktiniu būdu atrinktų vartoti dabigatrano eteksilato tyrimo RE-LY metu, ir 86 % RELY-ABLE tyrimui tikusių pacientų. Per papildomą 2,5 metų gydymą RELY-ABLE tyrimo metu, esant daugiau kaip 6 metų didžiausiai ekspozicijai (bendra ekspozicija: RE-LY + RELY-ABLE tyrimų metu) ilgalaikis dabigatrano eteksilato saugumas buvo patvirtintas abiems jo dozėms, t. y. 110 mg 2 kartus per parą ir 150 mg 2 kartus per parą. Naujų saugumo duomenų nepastebėta.</w:t>
      </w:r>
    </w:p>
    <w:p w14:paraId="2BA1B629" w14:textId="77777777" w:rsidR="00CB542F" w:rsidRDefault="00573A58">
      <w:pPr>
        <w:widowControl w:val="0"/>
        <w:autoSpaceDE w:val="0"/>
        <w:autoSpaceDN w:val="0"/>
      </w:pPr>
      <w:r>
        <w:t>Pasekmių reiškinių, įskaitant didijį kraujavimą ir kitokius kraujavimo reiškinius, dažnis atitiko stebėtą RE-LY tyrimo metu.</w:t>
      </w:r>
    </w:p>
    <w:p w14:paraId="75D60DE5" w14:textId="77777777" w:rsidR="00CB542F" w:rsidRDefault="00CB542F">
      <w:pPr>
        <w:widowControl w:val="0"/>
        <w:autoSpaceDE w:val="0"/>
        <w:autoSpaceDN w:val="0"/>
      </w:pPr>
    </w:p>
    <w:p w14:paraId="2FE00394" w14:textId="77777777" w:rsidR="00CB542F" w:rsidRDefault="00573A58">
      <w:pPr>
        <w:widowControl w:val="0"/>
        <w:autoSpaceDE w:val="0"/>
        <w:autoSpaceDN w:val="0"/>
        <w:rPr>
          <w:i/>
          <w:iCs/>
        </w:rPr>
      </w:pPr>
      <w:r>
        <w:rPr>
          <w:i/>
          <w:iCs/>
        </w:rPr>
        <w:t>Duomenys, gauti neintervenciniais tyrimais</w:t>
      </w:r>
    </w:p>
    <w:p w14:paraId="3FF60222" w14:textId="77777777" w:rsidR="00CB542F" w:rsidRDefault="00CB542F">
      <w:pPr>
        <w:widowControl w:val="0"/>
        <w:autoSpaceDE w:val="0"/>
        <w:autoSpaceDN w:val="0"/>
      </w:pPr>
    </w:p>
    <w:p w14:paraId="5BBCA31F" w14:textId="77777777" w:rsidR="00CB542F" w:rsidRDefault="00573A58">
      <w:pPr>
        <w:widowControl w:val="0"/>
        <w:autoSpaceDE w:val="0"/>
        <w:autoSpaceDN w:val="0"/>
      </w:pPr>
      <w:r>
        <w:t>Neintervencinio tyrimo (GLORIA-AF) metu (antrojoje jo fazėje) perspektyviai surinkti saugumo bei veiksmingumo duomenys realiomis sąlygomis stebint dabigatrano eteksilatu gydomus pacientus, kuriems naujai diagnozuotas NVPV. Tyrime dalyvavo 4 859 pacientai, vartojantys dabigatrano eteksilato (55 % gydyti skiriant po 150 mg du kartus per parą, 43 % gydyti skiriant po 110 mg du kartus per parą, 2 % gydyti skiriant po 75 mg du kartus per parą). Pacientai stebėti 2 metus. Vidutiniai CHADS2 ir HAS-BLED kraujavimo rizikos skalių rodmenys atitinkamai buvo 1,9 ir 1,2. Vidutinė stebėjimo taikant gydymą trukmė buvo 18,3 mėnesio. Didysis kraujavimas pasireiškė 0,97 atvejo 100 pacientų metų. Pagal pranešimus gyvybei pavojingas kraujavimas pasireiškė 0,46 atvejo 100 pacientų metų, kraujavimas į kaukolės vidų – 0,17 atvejo 100 pacientų metų ir kraujavimas iš virškinimo trakto – 0,6 atvejo 100 pacientų metų.Insultas pasireiškė 0,65 atvejo 100 pacientų metų.</w:t>
      </w:r>
    </w:p>
    <w:p w14:paraId="6ECAD51E" w14:textId="77777777" w:rsidR="00CB542F" w:rsidRDefault="00CB542F">
      <w:pPr>
        <w:widowControl w:val="0"/>
        <w:autoSpaceDE w:val="0"/>
        <w:autoSpaceDN w:val="0"/>
      </w:pPr>
    </w:p>
    <w:p w14:paraId="765EDF93" w14:textId="77777777" w:rsidR="00CB542F" w:rsidRDefault="00573A58">
      <w:pPr>
        <w:widowControl w:val="0"/>
        <w:autoSpaceDE w:val="0"/>
        <w:autoSpaceDN w:val="0"/>
      </w:pPr>
      <w:r>
        <w:t>Be to, Jungtinėse Amerikos Valstijose atliktame neintervenciniame tyrime [D. J. Graham ir kt., Circulation. 2015;131:157-164] kuriame dalyvavo daugiau kaip 134 000 senyvų pacientų, sergančių NVPV (kas atitiko daugiau kaip 37 500 sutartinių pacientų metų stebėjimo laikotarpį taikant gydymą), dabigatrano eteksilatas (84 % pacientų vartojo po 150 mg du kartus per parą, 16 % pacientų vartojo po 75 mg du kartus per parą) buvo susijęs su sumažėjusia išeminio insulto (rizikos santykis 0,8; 95 % pasikliautinasis intervalas [PI] 0,67-0,96), intrakranijinės hemoragijos (rizikos santykis 0,34; PI 0,26-0,46) ir mirštamumo (rizikos santykis 0,86; PI 0,77-0,96) rizika ir padidėjusia kraujavimo iš virškinimo trakto rizika (rizikos santykis 1,28; PI 1,14-1,44), palyginti su varfarinu. Skirtumų, susijusių su didžiuoju kraujavimu, nenustatyta (rizikos santykis 0,97; PI 0,88-1,07).</w:t>
      </w:r>
    </w:p>
    <w:p w14:paraId="30B3F806" w14:textId="77777777" w:rsidR="00CB542F" w:rsidRDefault="00CB542F">
      <w:pPr>
        <w:widowControl w:val="0"/>
        <w:autoSpaceDE w:val="0"/>
        <w:autoSpaceDN w:val="0"/>
      </w:pPr>
    </w:p>
    <w:p w14:paraId="033ECE22" w14:textId="77777777" w:rsidR="00CB542F" w:rsidRDefault="00573A58">
      <w:pPr>
        <w:widowControl w:val="0"/>
        <w:autoSpaceDE w:val="0"/>
        <w:autoSpaceDN w:val="0"/>
      </w:pPr>
      <w:r>
        <w:t>Šie realiomis sąlygomis gauti stebėjimų duomenys atitinka patvirtintas dabigatrano eteksilato saugumo bei veiksmingumo savybes, nustatytas jį vartojant šiai indikacijai tyrimo RE-LY metu.</w:t>
      </w:r>
    </w:p>
    <w:p w14:paraId="1B769A90" w14:textId="77777777" w:rsidR="00CB542F" w:rsidRDefault="00CB542F">
      <w:pPr>
        <w:widowControl w:val="0"/>
        <w:autoSpaceDE w:val="0"/>
        <w:autoSpaceDN w:val="0"/>
      </w:pPr>
    </w:p>
    <w:p w14:paraId="3014403C" w14:textId="77777777" w:rsidR="00CB542F" w:rsidRDefault="00573A58">
      <w:pPr>
        <w:widowControl w:val="0"/>
        <w:autoSpaceDE w:val="0"/>
        <w:autoSpaceDN w:val="0"/>
        <w:rPr>
          <w:i/>
          <w:iCs/>
        </w:rPr>
      </w:pPr>
      <w:r>
        <w:rPr>
          <w:i/>
          <w:iCs/>
        </w:rPr>
        <w:t>Pacientai, kuriems atliekama prieširdžių virpėjimo kateterinė abliacija</w:t>
      </w:r>
    </w:p>
    <w:p w14:paraId="13F117F0" w14:textId="77777777" w:rsidR="00CB542F" w:rsidRDefault="00CB542F">
      <w:pPr>
        <w:widowControl w:val="0"/>
        <w:autoSpaceDE w:val="0"/>
        <w:autoSpaceDN w:val="0"/>
      </w:pPr>
    </w:p>
    <w:p w14:paraId="2330195F" w14:textId="77777777" w:rsidR="00CB542F" w:rsidRDefault="00573A58">
      <w:pPr>
        <w:widowControl w:val="0"/>
        <w:autoSpaceDE w:val="0"/>
        <w:autoSpaceDN w:val="0"/>
      </w:pPr>
      <w:r>
        <w:t xml:space="preserve">Atliekant perspektyvinį, atsitiktinių imčių, atvirąjį, daugiacentrį, žvalgomąjį tyrimą, kurio vertinamosios baigtys centralizuotai vertintos akluoju būdu (RE-CIRCUIT), buvo tirti 704 nuolat antikoaguliantais gydomi pacientai. Tyrimu buvo lyginamas po 150 mg du kartus per parą nepertraukiamai vartojamo dabigatrano eteksilato ir varfarino, nepertraukiamai vartojamo pagal TNS koreguojamomis dozėmis, poveikis, atliekant paroksizminio arba persistuojančio prieširdžių virpėjimo kateterinę abliaciją. Iš 704 į tyrimą įtrauktų pacientų 317 tiriamųjų prieširdžių virpėjimo abliacija buvo atlikta nepertraukus dabigatrano vartojimo ir 318 tiriamųjų prieširdžių virpėjimo abliacija atlikta nepertraukus varfarino vartojimo. Visiems pacientams prieš kateterinę abliaciją atlikta transezofaginė echokardiografija (TEE). Pirminės vertinamosios baigties (pagal </w:t>
      </w:r>
      <w:r>
        <w:rPr>
          <w:i/>
          <w:iCs/>
        </w:rPr>
        <w:t>ISTH</w:t>
      </w:r>
      <w:r>
        <w:t xml:space="preserve"> (angl. </w:t>
      </w:r>
      <w:r>
        <w:rPr>
          <w:i/>
          <w:iCs/>
        </w:rPr>
        <w:t>International Society on Thrombosis and Haemostasis</w:t>
      </w:r>
      <w:r>
        <w:t>) kriterijus nepriklausomai išnagrinėti ir įvertinti didžiojo kraujavimo) reiškiniai nustatyti 5 (1,6 %) dabigatrano eteksilatu gydomos grupės pacientams ir 22 (6,9 %) varfarinu gydomos grupės pacientams (rizikos skirtumas –5,3 %; 95 % PI − 8,4, − 2,2; p = 0,0009). Abliacijos metu ir 8 savaičių pooperaciniu laikotarpiu po abliacijos dabigatrano eteksilato grupėje nenustatyta nė vieno insulto, sisteminės embolijos ir praeinančio smegenų išemijos priepuolio (PSIP) (vertintų bendrai) reiškinio, o varfarino grupėje nustatytas vienas reiškinys (PSIP). Šis žvalgomasis tyrimas parodė, kad pacientus, kuriems atliekama abliacija, gydant dabigatrano eteksilatu, SKR dažnis buvo reikšmingai mažesnis nei gydant varfarinu pagal TNS koreguojamomis dozėmis.</w:t>
      </w:r>
    </w:p>
    <w:p w14:paraId="074A1A6C" w14:textId="77777777" w:rsidR="00CB542F" w:rsidRDefault="00CB542F">
      <w:pPr>
        <w:widowControl w:val="0"/>
        <w:autoSpaceDE w:val="0"/>
        <w:autoSpaceDN w:val="0"/>
      </w:pPr>
    </w:p>
    <w:p w14:paraId="40E44A98" w14:textId="77777777" w:rsidR="00CB542F" w:rsidRDefault="00573A58">
      <w:pPr>
        <w:widowControl w:val="0"/>
        <w:autoSpaceDE w:val="0"/>
        <w:autoSpaceDN w:val="0"/>
        <w:rPr>
          <w:i/>
          <w:iCs/>
        </w:rPr>
      </w:pPr>
      <w:r>
        <w:rPr>
          <w:i/>
          <w:iCs/>
        </w:rPr>
        <w:t>Pacientai, kuriems atlikta perkutaninė koronarinė intervencija (PKI) taikant stentavimą</w:t>
      </w:r>
    </w:p>
    <w:p w14:paraId="110E8D40" w14:textId="77777777" w:rsidR="00CB542F" w:rsidRDefault="00CB542F">
      <w:pPr>
        <w:widowControl w:val="0"/>
        <w:autoSpaceDE w:val="0"/>
        <w:autoSpaceDN w:val="0"/>
      </w:pPr>
    </w:p>
    <w:p w14:paraId="764D9688" w14:textId="77777777" w:rsidR="00CB542F" w:rsidRDefault="00573A58">
      <w:pPr>
        <w:widowControl w:val="0"/>
        <w:autoSpaceDE w:val="0"/>
        <w:autoSpaceDN w:val="0"/>
      </w:pPr>
      <w:r>
        <w:t xml:space="preserve">Atliekant perspektyvinį, atsitiktinių imčių, atvirąjį, akluoju būdu vertintų vertinamųjų baigčių (PROBE) tyrimą (IIIb fazės tyrimą), skirtą dviejų vaistinių preparatų deriniui, vartojant dabigatrano eteksilato (110 mg arba 150 mg du kartus per parą) kartu su klopidogreliu arba tikagreloru (P2Y12 antagonistu), palyginti su trijų vaistinių preparatų deriniu, vartojant varfariną (dozę koregavus pagal TNS 2-3) kartu su klopidogreliu arba tikagreloru ir ASR, buvo gydomi 2 725 nevožtuviniu prieširdžių virpėjimu sergantys pacientai, kuriems atlikta PKI taikant stentavimą (RE-DUAL PCI). Pacientai atsitiktinių imčių būdu buvo atrinkti į dviejų vaistinių preparatų derinio grupę, vartojusią 110 mg dabigatrano eteksilato du kartus per parą, dviejų vaistinių preparatų derinio grupę, vartojusią 150 mg dabigatrano eteksilato du kartus per parą, arba trijų vaistinių preparatų derinio grupę, vartojusią varfariną. Už Jungtinių Amerikos Valstijų ribų tirti senyvi pacientai (≥ 80 metų amžiaus visose šalyse, ≥ 70 metų amžiaus Japonijoje) buvo atsitiktinių imčių būdu paskirti į dviejų vaistinių preparatų derinio grupę, vartojusią 110 mg dabigatrano eteksilato, arba trijų vaistinių preparatų derinio grupę, vartojusią varfariną. Sudėtinė pirminė vertinamoji baigtis apėmė didžiojo kraujavimo, apibrėžto pagal Tarptautinės trombozės ir hemostazės draugijos (angl. </w:t>
      </w:r>
      <w:r>
        <w:rPr>
          <w:i/>
          <w:iCs/>
        </w:rPr>
        <w:t>International Society on Thrombosis and Haemostasis, ISTH</w:t>
      </w:r>
      <w:r>
        <w:t>) kriterijus, reiškinius ir kliniškai svarbius nesunkius kraujavimo reiškinius.</w:t>
      </w:r>
    </w:p>
    <w:p w14:paraId="1994C7C9" w14:textId="77777777" w:rsidR="00CB542F" w:rsidRDefault="00CB542F">
      <w:pPr>
        <w:widowControl w:val="0"/>
        <w:autoSpaceDE w:val="0"/>
        <w:autoSpaceDN w:val="0"/>
      </w:pPr>
    </w:p>
    <w:p w14:paraId="7BC11E8A" w14:textId="77777777" w:rsidR="00CB542F" w:rsidRDefault="00573A58">
      <w:pPr>
        <w:widowControl w:val="0"/>
        <w:autoSpaceDE w:val="0"/>
        <w:autoSpaceDN w:val="0"/>
      </w:pPr>
      <w:r>
        <w:t xml:space="preserve">Pirminės vertinamosios baigties reiškinių dažnis dviejų vaistinių preparatų derinio grupėje, vartojusioje 110 mg dabigatrano eteksilato, buvo 15,4 % (151 pacientas), palyginti su 26,9 % (264 pacientai) trijų vaistinių preparatų derinio grupėje, vartojusioje varfariną (RS 0,52; 95 % PI 0,42, 0,63; ne blogesnio poveikio p &lt; 0,0001, pranašumo p &lt; 0,0001), o dviejų vaistinių preparatų derinio grupėje, vartojusioje 150 mg dabigatrano eteksilato, buvo 20,2 % (154 pacientai), palyginti su 25,7 % (196 pacientai) atitinkamoje trijų vaistinių preparatų derinio grupėje, vartojusioje varfariną (RS 0,72; 95 % PI 0,58, 0,88; ne blogesnio poveikio p &lt; 0,0001, pranašumo p = 0,002). Į aprašomąją analizę įtraukti didžiojo kraujavimo reiškiniai pagal miokardo infarktu sergančiųjų trombolizės (angl. </w:t>
      </w:r>
      <w:r>
        <w:rPr>
          <w:i/>
          <w:iCs/>
        </w:rPr>
        <w:t>Thrombolysis In Myocardial Infarction, TIMI</w:t>
      </w:r>
      <w:r>
        <w:t xml:space="preserve">) kriterijus pasireiškė rečiau abiejose dviejų vaistinių preparatų derinio grupėse, vartojusiose dabigatrano eteksilato, negu trijų vaistinių preparatų derinio grupėje, vartojusioje varfariną: 14 reiškinių (1,4 %) dviejų vaistinių preparatų derinio grupėje, vartojusioje 110 mg dabigatrano eteksilato, palyginti su 37 reiškiniais (3,8 %) trijų vaistinių preparatų derinio grupėje, vartojusioje varfariną (RS 0,37; 95 % PI 0,2, 0,68; p = 0,002), taip pat 16 reiškinių (2,1 %) dviejų vaistinių preparatų derinio grupėje, vartojusioje 150 mg dabigatrano eteksilato, palyginti su 30 reiškinių (3,9 %) atitinkamoje trijų vaistinių preparatų derinio grupėje, vartojusioje </w:t>
      </w:r>
      <w:r>
        <w:lastRenderedPageBreak/>
        <w:t>varfariną (RS 0,51; 95 % PI 0,28, 0,93; p = 0,03). Abiejose dviejų vaistinių preparatų derinio grupėse, vartojusiose dabigatrano eteksilato, intrakranijinis kraujavimas pasireiškė rečiau negu atitinkamoje trijų vaistinių preparatų derinio grupėje, vartojusioje varfariną: 3 reiškiniai (0,3 %) dviejų vaistinių preparatų derinio grupėje, vartojusioje 110 mg dabigatrano eteksilato, palyginti su 10 reiškinių (1 %) trijų vaistinių preparatų derinio grupėje, vartojusioje varfariną (RS 0,3; 95 % PI 0,08, 1,07; p = 0,06), taip pat 1 reiškinys (0,1 %) dviejų vaistinių preparatų derinio grupėje, vartojusioje 150 mg dabigatrano eteksilato, palyginti su 8 reiškiniais (1 %) atitinkamoje trijų vaistinių preparatų derinio grupėje, vartojusioje varfariną (RS 0,12; 95 % PI 0,02, 0,98; p = 0,047). Bendras sudėtinių veiksmingumo vertinamųjų baigčių mirties, tromboembolijos reiškinių (miokardo infarkto, insulto ir sisteminės embolijos) ar neplanuotos revaskuliarizacijos dažnis abiejose dviejų vaistinių preparatų derinio grupėse, vartojusiose dabigatrano eteksilato, nenusileido trijų vaistinių preparatų derinio grupei, vartojusiai varfariną (atitinkamai 13,7 %, palyginti su 13,4 %; RS 1,04; 95 % PI 0,84, 1,29; ne blogesnio poveikio p = 0,0047). Statistinių skirtumų tarp atskirų veiksmingumo vertinamųjų baigčių komponentų dviejų vaistinių preparatų derinio grupėse, vartojusiose dabigatrano eteksilato, ir trijų vaistinių preparatų derinio grupėje, vartojusioje varfariną, nebuvo.</w:t>
      </w:r>
    </w:p>
    <w:p w14:paraId="3ABDA100" w14:textId="77777777" w:rsidR="00CB542F" w:rsidRDefault="00CB542F">
      <w:pPr>
        <w:widowControl w:val="0"/>
        <w:autoSpaceDE w:val="0"/>
        <w:autoSpaceDN w:val="0"/>
      </w:pPr>
    </w:p>
    <w:p w14:paraId="17D64310" w14:textId="77777777" w:rsidR="00CB542F" w:rsidRDefault="00573A58">
      <w:pPr>
        <w:widowControl w:val="0"/>
        <w:autoSpaceDE w:val="0"/>
        <w:autoSpaceDN w:val="0"/>
      </w:pPr>
      <w:r>
        <w:t>Šis tyrimas parodė, kad gydymas dviejų vaistinių preparatų deriniu, vartojant dabigatrano eteksilato ir P2Y12 antagonistą, prieširdžių virpėjimu sergantiems pacientams, kuriems atlikta PKI taikant stentavimą, reikšmingai sumažino kraujavimo riziką, palyginti su gydymu trijų vaistinių preparatų deriniu, vartojant varfariną, ir buvo neprastesnis vertinant pagal sudėtinių tromboembolijos reiškinių kriterijus.</w:t>
      </w:r>
    </w:p>
    <w:p w14:paraId="11D769EC" w14:textId="77777777" w:rsidR="00CB542F" w:rsidRDefault="00CB542F">
      <w:pPr>
        <w:widowControl w:val="0"/>
        <w:autoSpaceDE w:val="0"/>
        <w:autoSpaceDN w:val="0"/>
      </w:pPr>
    </w:p>
    <w:p w14:paraId="1007438D" w14:textId="77777777" w:rsidR="00CB542F" w:rsidRDefault="00573A58">
      <w:pPr>
        <w:widowControl w:val="0"/>
        <w:autoSpaceDE w:val="0"/>
        <w:autoSpaceDN w:val="0"/>
        <w:rPr>
          <w:i/>
          <w:iCs/>
          <w:u w:val="single"/>
        </w:rPr>
      </w:pPr>
      <w:r>
        <w:rPr>
          <w:i/>
          <w:iCs/>
          <w:u w:val="single"/>
        </w:rPr>
        <w:t>Suaugusių pacientų GVT ir PE gydymas (GVT/PE gydymas)</w:t>
      </w:r>
    </w:p>
    <w:p w14:paraId="01B73046" w14:textId="77777777" w:rsidR="00CB542F" w:rsidRDefault="00CB542F">
      <w:pPr>
        <w:widowControl w:val="0"/>
        <w:autoSpaceDE w:val="0"/>
        <w:autoSpaceDN w:val="0"/>
      </w:pPr>
    </w:p>
    <w:p w14:paraId="6BC39BCF" w14:textId="77777777" w:rsidR="00CB542F" w:rsidRDefault="00573A58">
      <w:pPr>
        <w:widowControl w:val="0"/>
        <w:autoSpaceDE w:val="0"/>
        <w:autoSpaceDN w:val="0"/>
      </w:pPr>
      <w:r>
        <w:t>Veiksmingumas ir saugumas buvo tiriamas dviem daugiacentriais atsitiktinių imčių dvigubai koduotas paralelinių grupių kopijuojamais tyrimais RE-COVER ir RE-COVER II. Šių tyrimų metu buvo lygintas dabigatrano eteksilato (150 mg du kartus per parą) ir varfarino (siektinas TNS 2-3) poveikis ūmine GVT ir (arba) PE sergantiems pacientams. Svarbiausias šių tyrimų tikslas buvo nustatyti, ar dabigatrano eteksilato poveikis buvo ne prastesnis už varfarino mažinant sudėtinės pirminės vertinamosios baigties, t. y. recidyvinių simptominių GVT ir (arba) PE pasireiškimo bei susijusios mirties per 6 mėnesių gydymo laikotarpį, dažnį.</w:t>
      </w:r>
    </w:p>
    <w:p w14:paraId="4A3D3EC0" w14:textId="77777777" w:rsidR="00CB542F" w:rsidRDefault="00CB542F">
      <w:pPr>
        <w:widowControl w:val="0"/>
        <w:autoSpaceDE w:val="0"/>
        <w:autoSpaceDN w:val="0"/>
      </w:pPr>
    </w:p>
    <w:p w14:paraId="2A9D218B" w14:textId="77777777" w:rsidR="00CB542F" w:rsidRDefault="00573A58">
      <w:pPr>
        <w:widowControl w:val="0"/>
        <w:autoSpaceDE w:val="0"/>
        <w:autoSpaceDN w:val="0"/>
      </w:pPr>
      <w:r>
        <w:t>Jungtiniams tyrimams RE-COVER ir RE-COVER II atsitiktinių imčių būdu iš viso buvo atrinkti 5 153 pacientai ir 5 107 jų buvo gydomi.</w:t>
      </w:r>
    </w:p>
    <w:p w14:paraId="691CAA82" w14:textId="77777777" w:rsidR="00CB542F" w:rsidRDefault="00CB542F">
      <w:pPr>
        <w:widowControl w:val="0"/>
        <w:autoSpaceDE w:val="0"/>
        <w:autoSpaceDN w:val="0"/>
      </w:pPr>
    </w:p>
    <w:p w14:paraId="0BC63557" w14:textId="77777777" w:rsidR="00CB542F" w:rsidRDefault="00573A58">
      <w:pPr>
        <w:widowControl w:val="0"/>
        <w:autoSpaceDE w:val="0"/>
        <w:autoSpaceDN w:val="0"/>
      </w:pPr>
      <w:r>
        <w:t>Gydymo pastovia dabigatrano doze trukmė buvo 174 paros, nestebint kraujo krešėjimo. Pacientų, kurie atsitiktinių imčių būdu buvo atrinkti gydyti varfarinu, laiko terapinėse ribose (TNS 2-3) mediana buvo 60,6 %.</w:t>
      </w:r>
    </w:p>
    <w:p w14:paraId="4DF90499" w14:textId="77777777" w:rsidR="00CB542F" w:rsidRDefault="00CB542F">
      <w:pPr>
        <w:widowControl w:val="0"/>
        <w:autoSpaceDE w:val="0"/>
        <w:autoSpaceDN w:val="0"/>
      </w:pPr>
    </w:p>
    <w:p w14:paraId="6532520C" w14:textId="77777777" w:rsidR="00CB542F" w:rsidRDefault="00573A58">
      <w:pPr>
        <w:widowControl w:val="0"/>
        <w:autoSpaceDE w:val="0"/>
        <w:autoSpaceDN w:val="0"/>
      </w:pPr>
      <w:r>
        <w:t>Tyrimai parodė, kad gydymas 2 kartus per parą vartojama 150 mg dabigatrano doze nenusileido gydymui varfarinu (esant tyrimų RE-COVER ir RE-COVER II ne prastesnio poveikio riboms: rizikos skirtumui ‒ 3,6, rizikos santykiui ‒ 2,75).</w:t>
      </w:r>
    </w:p>
    <w:p w14:paraId="568288D9" w14:textId="77777777" w:rsidR="00CB542F" w:rsidRDefault="00CB542F">
      <w:pPr>
        <w:widowControl w:val="0"/>
        <w:autoSpaceDE w:val="0"/>
        <w:autoSpaceDN w:val="0"/>
      </w:pPr>
    </w:p>
    <w:p w14:paraId="68C8DBA6" w14:textId="77777777" w:rsidR="00CB542F" w:rsidRDefault="00573A58">
      <w:pPr>
        <w:widowControl w:val="0"/>
        <w:autoSpaceDE w:val="0"/>
        <w:autoSpaceDN w:val="0"/>
        <w:rPr>
          <w:b/>
          <w:bCs/>
        </w:rPr>
      </w:pPr>
      <w:r>
        <w:rPr>
          <w:b/>
          <w:bCs/>
        </w:rPr>
        <w:t>22 lentelė. Pirminės ir antrinės veiksmingumo vertinamųjų baigčių (VTE yra sudėtinė: GVT ir (arba) PE), vertintų jungtinių tyrimų RE-COVER ir RE-COVER II metu iki pogydyminio laikotarpio pabaigos, analizė</w:t>
      </w:r>
    </w:p>
    <w:p w14:paraId="7C9F61F1"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906"/>
        <w:gridCol w:w="2695"/>
      </w:tblGrid>
      <w:tr w:rsidR="00CB542F" w14:paraId="2429C9EF" w14:textId="77777777">
        <w:trPr>
          <w:trHeight w:val="505"/>
        </w:trPr>
        <w:tc>
          <w:tcPr>
            <w:tcW w:w="2304" w:type="dxa"/>
            <w:shd w:val="clear" w:color="auto" w:fill="auto"/>
          </w:tcPr>
          <w:p w14:paraId="097D574F" w14:textId="77777777" w:rsidR="00CB542F" w:rsidRDefault="00CB542F">
            <w:pPr>
              <w:widowControl w:val="0"/>
              <w:kinsoku w:val="0"/>
              <w:overflowPunct w:val="0"/>
              <w:autoSpaceDE w:val="0"/>
              <w:autoSpaceDN w:val="0"/>
              <w:adjustRightInd w:val="0"/>
              <w:rPr>
                <w:color w:val="000000"/>
                <w:szCs w:val="22"/>
                <w:lang w:val="sl-SI" w:eastAsia="sl-SI"/>
              </w:rPr>
            </w:pPr>
          </w:p>
        </w:tc>
        <w:tc>
          <w:tcPr>
            <w:tcW w:w="2906" w:type="dxa"/>
            <w:shd w:val="clear" w:color="auto" w:fill="auto"/>
          </w:tcPr>
          <w:p w14:paraId="288B35D0"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2 kartus per parą</w:t>
            </w:r>
          </w:p>
        </w:tc>
        <w:tc>
          <w:tcPr>
            <w:tcW w:w="2695" w:type="dxa"/>
            <w:shd w:val="clear" w:color="auto" w:fill="auto"/>
          </w:tcPr>
          <w:p w14:paraId="7F9C244E"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t>Varfarinas</w:t>
            </w:r>
          </w:p>
        </w:tc>
      </w:tr>
      <w:tr w:rsidR="00CB542F" w14:paraId="1B4FEBE0" w14:textId="77777777">
        <w:trPr>
          <w:trHeight w:val="275"/>
        </w:trPr>
        <w:tc>
          <w:tcPr>
            <w:tcW w:w="2304" w:type="dxa"/>
            <w:shd w:val="clear" w:color="auto" w:fill="auto"/>
          </w:tcPr>
          <w:p w14:paraId="7234AA91"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Gydytų pacientų skaičius</w:t>
            </w:r>
          </w:p>
        </w:tc>
        <w:tc>
          <w:tcPr>
            <w:tcW w:w="2906" w:type="dxa"/>
            <w:shd w:val="clear" w:color="auto" w:fill="auto"/>
          </w:tcPr>
          <w:p w14:paraId="69806739" w14:textId="77777777" w:rsidR="00CB542F" w:rsidRDefault="00573A58">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2553</w:t>
            </w:r>
          </w:p>
        </w:tc>
        <w:tc>
          <w:tcPr>
            <w:tcW w:w="2695" w:type="dxa"/>
            <w:shd w:val="clear" w:color="auto" w:fill="auto"/>
          </w:tcPr>
          <w:p w14:paraId="7E04DAEF" w14:textId="77777777" w:rsidR="00CB542F" w:rsidRDefault="00573A58">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2554</w:t>
            </w:r>
          </w:p>
        </w:tc>
      </w:tr>
      <w:tr w:rsidR="00CB542F" w14:paraId="007C9A05" w14:textId="77777777">
        <w:trPr>
          <w:trHeight w:val="760"/>
        </w:trPr>
        <w:tc>
          <w:tcPr>
            <w:tcW w:w="2304" w:type="dxa"/>
            <w:shd w:val="clear" w:color="auto" w:fill="auto"/>
          </w:tcPr>
          <w:p w14:paraId="6418BD53"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Recidyvinė simptominė VTE ir su VTE susijusi mirtis</w:t>
            </w:r>
          </w:p>
        </w:tc>
        <w:tc>
          <w:tcPr>
            <w:tcW w:w="2906" w:type="dxa"/>
            <w:shd w:val="clear" w:color="auto" w:fill="auto"/>
          </w:tcPr>
          <w:p w14:paraId="242407E6" w14:textId="77777777" w:rsidR="00CB542F" w:rsidRDefault="00CB542F">
            <w:pPr>
              <w:widowControl w:val="0"/>
              <w:kinsoku w:val="0"/>
              <w:overflowPunct w:val="0"/>
              <w:autoSpaceDE w:val="0"/>
              <w:autoSpaceDN w:val="0"/>
              <w:adjustRightInd w:val="0"/>
              <w:spacing w:before="6"/>
              <w:jc w:val="center"/>
              <w:rPr>
                <w:b/>
                <w:bCs/>
                <w:color w:val="000000"/>
                <w:szCs w:val="22"/>
                <w:lang w:val="sl-SI" w:eastAsia="sl-SI"/>
              </w:rPr>
            </w:pPr>
          </w:p>
          <w:p w14:paraId="154FC7DE"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68 ( 2,7 %)</w:t>
            </w:r>
          </w:p>
        </w:tc>
        <w:tc>
          <w:tcPr>
            <w:tcW w:w="2695" w:type="dxa"/>
            <w:shd w:val="clear" w:color="auto" w:fill="auto"/>
          </w:tcPr>
          <w:p w14:paraId="30B343CD" w14:textId="77777777" w:rsidR="00CB542F" w:rsidRDefault="00CB542F">
            <w:pPr>
              <w:widowControl w:val="0"/>
              <w:kinsoku w:val="0"/>
              <w:overflowPunct w:val="0"/>
              <w:autoSpaceDE w:val="0"/>
              <w:autoSpaceDN w:val="0"/>
              <w:adjustRightInd w:val="0"/>
              <w:spacing w:before="6"/>
              <w:jc w:val="center"/>
              <w:rPr>
                <w:b/>
                <w:bCs/>
                <w:color w:val="000000"/>
                <w:szCs w:val="22"/>
                <w:lang w:val="sl-SI" w:eastAsia="sl-SI"/>
              </w:rPr>
            </w:pPr>
          </w:p>
          <w:p w14:paraId="683CD321"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62 ( 2,4 %)</w:t>
            </w:r>
          </w:p>
        </w:tc>
      </w:tr>
      <w:tr w:rsidR="00CB542F" w14:paraId="65FDEC9C" w14:textId="77777777">
        <w:trPr>
          <w:trHeight w:val="757"/>
        </w:trPr>
        <w:tc>
          <w:tcPr>
            <w:tcW w:w="2304" w:type="dxa"/>
            <w:shd w:val="clear" w:color="auto" w:fill="auto"/>
          </w:tcPr>
          <w:p w14:paraId="472D5D0D" w14:textId="77777777" w:rsidR="00CB542F" w:rsidRDefault="00573A58">
            <w:pPr>
              <w:widowControl w:val="0"/>
              <w:kinsoku w:val="0"/>
              <w:overflowPunct w:val="0"/>
              <w:autoSpaceDE w:val="0"/>
              <w:autoSpaceDN w:val="0"/>
              <w:adjustRightInd w:val="0"/>
              <w:spacing w:line="238" w:lineRule="exact"/>
              <w:ind w:left="69"/>
              <w:rPr>
                <w:color w:val="000000"/>
                <w:szCs w:val="22"/>
                <w:lang w:val="sl-SI" w:eastAsia="sl-SI"/>
              </w:rPr>
            </w:pPr>
            <w:r>
              <w:t xml:space="preserve">Rizikos, palyginti su varfarinu, santykis (95 % pasikliautinasis </w:t>
            </w:r>
            <w:r>
              <w:lastRenderedPageBreak/>
              <w:t>intervalas)</w:t>
            </w:r>
          </w:p>
        </w:tc>
        <w:tc>
          <w:tcPr>
            <w:tcW w:w="2906" w:type="dxa"/>
            <w:shd w:val="clear" w:color="auto" w:fill="auto"/>
          </w:tcPr>
          <w:p w14:paraId="32578E25" w14:textId="77777777" w:rsidR="00CB542F" w:rsidRDefault="00573A58">
            <w:pPr>
              <w:widowControl w:val="0"/>
              <w:kinsoku w:val="0"/>
              <w:overflowPunct w:val="0"/>
              <w:autoSpaceDE w:val="0"/>
              <w:autoSpaceDN w:val="0"/>
              <w:adjustRightInd w:val="0"/>
              <w:spacing w:before="121" w:line="252" w:lineRule="exact"/>
              <w:jc w:val="center"/>
              <w:rPr>
                <w:color w:val="000000"/>
                <w:szCs w:val="22"/>
                <w:lang w:val="sl-SI" w:eastAsia="sl-SI"/>
              </w:rPr>
            </w:pPr>
            <w:r>
              <w:rPr>
                <w:color w:val="000000"/>
                <w:szCs w:val="22"/>
                <w:lang w:val="sl-SI" w:eastAsia="sl-SI"/>
              </w:rPr>
              <w:lastRenderedPageBreak/>
              <w:t>1,09</w:t>
            </w:r>
          </w:p>
          <w:p w14:paraId="63F4FF40" w14:textId="77777777" w:rsidR="00CB542F" w:rsidRDefault="00573A58">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(0,77, 1,54)</w:t>
            </w:r>
          </w:p>
        </w:tc>
        <w:tc>
          <w:tcPr>
            <w:tcW w:w="2695" w:type="dxa"/>
            <w:shd w:val="clear" w:color="auto" w:fill="auto"/>
          </w:tcPr>
          <w:p w14:paraId="48F123F9"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29DDA89" w14:textId="77777777">
        <w:trPr>
          <w:trHeight w:val="505"/>
        </w:trPr>
        <w:tc>
          <w:tcPr>
            <w:tcW w:w="2304" w:type="dxa"/>
            <w:shd w:val="clear" w:color="auto" w:fill="auto"/>
          </w:tcPr>
          <w:p w14:paraId="596AFEC0"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Antrinės vertinamosios baigtys</w:t>
            </w:r>
          </w:p>
        </w:tc>
        <w:tc>
          <w:tcPr>
            <w:tcW w:w="2906" w:type="dxa"/>
            <w:shd w:val="clear" w:color="auto" w:fill="auto"/>
          </w:tcPr>
          <w:p w14:paraId="78BC0308"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695" w:type="dxa"/>
            <w:shd w:val="clear" w:color="auto" w:fill="auto"/>
          </w:tcPr>
          <w:p w14:paraId="5FCD50B3"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21E1717" w14:textId="77777777">
        <w:trPr>
          <w:trHeight w:val="760"/>
        </w:trPr>
        <w:tc>
          <w:tcPr>
            <w:tcW w:w="2304" w:type="dxa"/>
            <w:shd w:val="clear" w:color="auto" w:fill="auto"/>
          </w:tcPr>
          <w:p w14:paraId="5CD5AF1B"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Recidyvinė simptominė VTE ir mirtys dėl visų priežasčių</w:t>
            </w:r>
          </w:p>
        </w:tc>
        <w:tc>
          <w:tcPr>
            <w:tcW w:w="2906" w:type="dxa"/>
            <w:shd w:val="clear" w:color="auto" w:fill="auto"/>
          </w:tcPr>
          <w:p w14:paraId="0CAB89E2" w14:textId="77777777" w:rsidR="00CB542F" w:rsidRDefault="00CB542F">
            <w:pPr>
              <w:widowControl w:val="0"/>
              <w:kinsoku w:val="0"/>
              <w:overflowPunct w:val="0"/>
              <w:autoSpaceDE w:val="0"/>
              <w:autoSpaceDN w:val="0"/>
              <w:adjustRightInd w:val="0"/>
              <w:spacing w:before="6"/>
              <w:jc w:val="center"/>
              <w:rPr>
                <w:b/>
                <w:bCs/>
                <w:color w:val="000000"/>
                <w:szCs w:val="22"/>
                <w:lang w:val="sl-SI" w:eastAsia="sl-SI"/>
              </w:rPr>
            </w:pPr>
          </w:p>
          <w:p w14:paraId="2BD56C3C"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109 (4,3 %)</w:t>
            </w:r>
          </w:p>
        </w:tc>
        <w:tc>
          <w:tcPr>
            <w:tcW w:w="2695" w:type="dxa"/>
            <w:shd w:val="clear" w:color="auto" w:fill="auto"/>
          </w:tcPr>
          <w:p w14:paraId="35A5F810" w14:textId="77777777" w:rsidR="00CB542F" w:rsidRDefault="00CB542F">
            <w:pPr>
              <w:widowControl w:val="0"/>
              <w:kinsoku w:val="0"/>
              <w:overflowPunct w:val="0"/>
              <w:autoSpaceDE w:val="0"/>
              <w:autoSpaceDN w:val="0"/>
              <w:adjustRightInd w:val="0"/>
              <w:spacing w:before="6"/>
              <w:jc w:val="center"/>
              <w:rPr>
                <w:b/>
                <w:bCs/>
                <w:color w:val="000000"/>
                <w:szCs w:val="22"/>
                <w:lang w:val="sl-SI" w:eastAsia="sl-SI"/>
              </w:rPr>
            </w:pPr>
          </w:p>
          <w:p w14:paraId="3B2A557B"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104 (4,1 %)</w:t>
            </w:r>
          </w:p>
        </w:tc>
      </w:tr>
      <w:tr w:rsidR="00CB542F" w14:paraId="02DA2A54" w14:textId="77777777">
        <w:trPr>
          <w:trHeight w:val="505"/>
        </w:trPr>
        <w:tc>
          <w:tcPr>
            <w:tcW w:w="2304" w:type="dxa"/>
            <w:shd w:val="clear" w:color="auto" w:fill="auto"/>
          </w:tcPr>
          <w:p w14:paraId="3768AB2B"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457B53FB" w14:textId="77777777" w:rsidR="00CB542F" w:rsidRDefault="00573A58">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3,52, 5,13</w:t>
            </w:r>
          </w:p>
        </w:tc>
        <w:tc>
          <w:tcPr>
            <w:tcW w:w="2695" w:type="dxa"/>
            <w:shd w:val="clear" w:color="auto" w:fill="auto"/>
          </w:tcPr>
          <w:p w14:paraId="2751A957" w14:textId="77777777" w:rsidR="00CB542F" w:rsidRDefault="00573A58">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3,34, 4,91</w:t>
            </w:r>
          </w:p>
        </w:tc>
      </w:tr>
      <w:tr w:rsidR="00CB542F" w14:paraId="59CF3BB7" w14:textId="77777777">
        <w:trPr>
          <w:trHeight w:val="254"/>
        </w:trPr>
        <w:tc>
          <w:tcPr>
            <w:tcW w:w="2304" w:type="dxa"/>
            <w:shd w:val="clear" w:color="auto" w:fill="auto"/>
          </w:tcPr>
          <w:p w14:paraId="06968314"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2906" w:type="dxa"/>
            <w:shd w:val="clear" w:color="auto" w:fill="auto"/>
          </w:tcPr>
          <w:p w14:paraId="572F505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45 (1,8 %)</w:t>
            </w:r>
          </w:p>
        </w:tc>
        <w:tc>
          <w:tcPr>
            <w:tcW w:w="2695" w:type="dxa"/>
            <w:shd w:val="clear" w:color="auto" w:fill="auto"/>
          </w:tcPr>
          <w:p w14:paraId="4D29DB4F"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(1,5 %)</w:t>
            </w:r>
          </w:p>
        </w:tc>
      </w:tr>
      <w:tr w:rsidR="00CB542F" w14:paraId="29528C5C" w14:textId="77777777">
        <w:trPr>
          <w:trHeight w:val="505"/>
        </w:trPr>
        <w:tc>
          <w:tcPr>
            <w:tcW w:w="2304" w:type="dxa"/>
            <w:shd w:val="clear" w:color="auto" w:fill="auto"/>
          </w:tcPr>
          <w:p w14:paraId="7E32C966"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7D6539CC"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1,29, 2,35</w:t>
            </w:r>
          </w:p>
        </w:tc>
        <w:tc>
          <w:tcPr>
            <w:tcW w:w="2695" w:type="dxa"/>
            <w:shd w:val="clear" w:color="auto" w:fill="auto"/>
          </w:tcPr>
          <w:p w14:paraId="2F674F1B"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1,09, 2,08</w:t>
            </w:r>
          </w:p>
        </w:tc>
      </w:tr>
      <w:tr w:rsidR="00CB542F" w14:paraId="50E3BFB5" w14:textId="77777777">
        <w:trPr>
          <w:trHeight w:val="275"/>
        </w:trPr>
        <w:tc>
          <w:tcPr>
            <w:tcW w:w="2304" w:type="dxa"/>
            <w:shd w:val="clear" w:color="auto" w:fill="auto"/>
          </w:tcPr>
          <w:p w14:paraId="5EDF7F2F"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Simptominė PE</w:t>
            </w:r>
          </w:p>
        </w:tc>
        <w:tc>
          <w:tcPr>
            <w:tcW w:w="2906" w:type="dxa"/>
            <w:shd w:val="clear" w:color="auto" w:fill="auto"/>
          </w:tcPr>
          <w:p w14:paraId="3F1F1F24" w14:textId="77777777" w:rsidR="00CB542F" w:rsidRDefault="00573A58">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27 (1,1 %)</w:t>
            </w:r>
          </w:p>
        </w:tc>
        <w:tc>
          <w:tcPr>
            <w:tcW w:w="2695" w:type="dxa"/>
            <w:shd w:val="clear" w:color="auto" w:fill="auto"/>
          </w:tcPr>
          <w:p w14:paraId="27FA8597" w14:textId="77777777" w:rsidR="00CB542F" w:rsidRDefault="00573A58">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26 (1,0 %)</w:t>
            </w:r>
          </w:p>
        </w:tc>
      </w:tr>
      <w:tr w:rsidR="00CB542F" w14:paraId="2BFB9DFB" w14:textId="77777777">
        <w:trPr>
          <w:trHeight w:val="506"/>
        </w:trPr>
        <w:tc>
          <w:tcPr>
            <w:tcW w:w="2304" w:type="dxa"/>
            <w:shd w:val="clear" w:color="auto" w:fill="auto"/>
          </w:tcPr>
          <w:p w14:paraId="4C3E5207" w14:textId="77777777" w:rsidR="00CB542F" w:rsidRDefault="00573A58">
            <w:pPr>
              <w:widowControl w:val="0"/>
              <w:kinsoku w:val="0"/>
              <w:overflowPunct w:val="0"/>
              <w:autoSpaceDE w:val="0"/>
              <w:autoSpaceDN w:val="0"/>
              <w:adjustRightInd w:val="0"/>
              <w:spacing w:line="248" w:lineRule="exact"/>
              <w:ind w:left="69"/>
              <w:rPr>
                <w:color w:val="000000"/>
                <w:szCs w:val="22"/>
                <w:lang w:val="sl-SI" w:eastAsia="sl-SI"/>
              </w:rPr>
            </w:pPr>
            <w:r>
              <w:t>95 % pasikliautinasis intervalas</w:t>
            </w:r>
          </w:p>
        </w:tc>
        <w:tc>
          <w:tcPr>
            <w:tcW w:w="2906" w:type="dxa"/>
            <w:shd w:val="clear" w:color="auto" w:fill="auto"/>
          </w:tcPr>
          <w:p w14:paraId="0DDDB721"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0,70, 1,54</w:t>
            </w:r>
          </w:p>
        </w:tc>
        <w:tc>
          <w:tcPr>
            <w:tcW w:w="2695" w:type="dxa"/>
            <w:shd w:val="clear" w:color="auto" w:fill="auto"/>
          </w:tcPr>
          <w:p w14:paraId="0DC725A3"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0,67, 1,49</w:t>
            </w:r>
          </w:p>
        </w:tc>
      </w:tr>
      <w:tr w:rsidR="00CB542F" w14:paraId="26014F97" w14:textId="77777777">
        <w:trPr>
          <w:trHeight w:val="258"/>
        </w:trPr>
        <w:tc>
          <w:tcPr>
            <w:tcW w:w="2304" w:type="dxa"/>
            <w:shd w:val="clear" w:color="auto" w:fill="auto"/>
          </w:tcPr>
          <w:p w14:paraId="6EE86FC3" w14:textId="77777777" w:rsidR="00CB542F" w:rsidRDefault="00573A58">
            <w:pPr>
              <w:widowControl w:val="0"/>
              <w:kinsoku w:val="0"/>
              <w:overflowPunct w:val="0"/>
              <w:autoSpaceDE w:val="0"/>
              <w:autoSpaceDN w:val="0"/>
              <w:adjustRightInd w:val="0"/>
              <w:spacing w:line="239" w:lineRule="exact"/>
              <w:ind w:left="69"/>
              <w:rPr>
                <w:color w:val="000000"/>
                <w:szCs w:val="22"/>
                <w:lang w:val="sl-SI" w:eastAsia="sl-SI"/>
              </w:rPr>
            </w:pPr>
            <w:r>
              <w:t>Su VTE susijusios mirtys</w:t>
            </w:r>
          </w:p>
        </w:tc>
        <w:tc>
          <w:tcPr>
            <w:tcW w:w="2906" w:type="dxa"/>
            <w:shd w:val="clear" w:color="auto" w:fill="auto"/>
          </w:tcPr>
          <w:p w14:paraId="661473EA" w14:textId="77777777" w:rsidR="00CB542F" w:rsidRDefault="00573A58">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 (0,2 %)</w:t>
            </w:r>
          </w:p>
        </w:tc>
        <w:tc>
          <w:tcPr>
            <w:tcW w:w="2695" w:type="dxa"/>
            <w:shd w:val="clear" w:color="auto" w:fill="auto"/>
          </w:tcPr>
          <w:p w14:paraId="39AFBD63" w14:textId="77777777" w:rsidR="00CB542F" w:rsidRDefault="00573A58">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 (0,1 %)</w:t>
            </w:r>
          </w:p>
        </w:tc>
      </w:tr>
      <w:tr w:rsidR="00CB542F" w14:paraId="53A13691" w14:textId="77777777">
        <w:trPr>
          <w:trHeight w:val="506"/>
        </w:trPr>
        <w:tc>
          <w:tcPr>
            <w:tcW w:w="2304" w:type="dxa"/>
            <w:shd w:val="clear" w:color="auto" w:fill="auto"/>
          </w:tcPr>
          <w:p w14:paraId="1B57186B"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77507C10"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0,04, 0,40</w:t>
            </w:r>
          </w:p>
        </w:tc>
        <w:tc>
          <w:tcPr>
            <w:tcW w:w="2695" w:type="dxa"/>
            <w:shd w:val="clear" w:color="auto" w:fill="auto"/>
          </w:tcPr>
          <w:p w14:paraId="65B45EAE"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0,02, 0,34</w:t>
            </w:r>
          </w:p>
        </w:tc>
      </w:tr>
      <w:tr w:rsidR="00CB542F" w14:paraId="1B6DDC38" w14:textId="77777777">
        <w:trPr>
          <w:trHeight w:val="277"/>
        </w:trPr>
        <w:tc>
          <w:tcPr>
            <w:tcW w:w="2304" w:type="dxa"/>
            <w:shd w:val="clear" w:color="auto" w:fill="auto"/>
          </w:tcPr>
          <w:p w14:paraId="6AB72E17"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Mirtys dėl visų priežasčių</w:t>
            </w:r>
          </w:p>
        </w:tc>
        <w:tc>
          <w:tcPr>
            <w:tcW w:w="2906" w:type="dxa"/>
            <w:shd w:val="clear" w:color="auto" w:fill="auto"/>
          </w:tcPr>
          <w:p w14:paraId="10702B42" w14:textId="77777777" w:rsidR="00CB542F" w:rsidRDefault="00573A58">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51 (2,0 %)</w:t>
            </w:r>
          </w:p>
        </w:tc>
        <w:tc>
          <w:tcPr>
            <w:tcW w:w="2695" w:type="dxa"/>
            <w:shd w:val="clear" w:color="auto" w:fill="auto"/>
          </w:tcPr>
          <w:p w14:paraId="3A3842F7" w14:textId="77777777" w:rsidR="00CB542F" w:rsidRDefault="00573A58">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52 (2,0 %)</w:t>
            </w:r>
          </w:p>
        </w:tc>
      </w:tr>
      <w:tr w:rsidR="00CB542F" w14:paraId="3CF133C5" w14:textId="77777777">
        <w:trPr>
          <w:trHeight w:val="506"/>
        </w:trPr>
        <w:tc>
          <w:tcPr>
            <w:tcW w:w="2304" w:type="dxa"/>
            <w:shd w:val="clear" w:color="auto" w:fill="auto"/>
          </w:tcPr>
          <w:p w14:paraId="60A605B1"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95 % pasikliautinasis intervalas</w:t>
            </w:r>
          </w:p>
        </w:tc>
        <w:tc>
          <w:tcPr>
            <w:tcW w:w="2906" w:type="dxa"/>
            <w:shd w:val="clear" w:color="auto" w:fill="auto"/>
          </w:tcPr>
          <w:p w14:paraId="5C353DBA"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1,49, 2,62</w:t>
            </w:r>
          </w:p>
        </w:tc>
        <w:tc>
          <w:tcPr>
            <w:tcW w:w="2695" w:type="dxa"/>
            <w:shd w:val="clear" w:color="auto" w:fill="auto"/>
          </w:tcPr>
          <w:p w14:paraId="018DEE07"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1,52, 2,66</w:t>
            </w:r>
          </w:p>
        </w:tc>
      </w:tr>
    </w:tbl>
    <w:p w14:paraId="0C5BF35F" w14:textId="77777777" w:rsidR="00CB542F" w:rsidRDefault="00CB542F">
      <w:pPr>
        <w:widowControl w:val="0"/>
        <w:autoSpaceDE w:val="0"/>
        <w:autoSpaceDN w:val="0"/>
      </w:pPr>
    </w:p>
    <w:p w14:paraId="3E944A8B" w14:textId="77777777" w:rsidR="00CB542F" w:rsidRDefault="00573A58">
      <w:pPr>
        <w:widowControl w:val="0"/>
        <w:autoSpaceDE w:val="0"/>
        <w:autoSpaceDN w:val="0"/>
        <w:rPr>
          <w:u w:val="single"/>
        </w:rPr>
      </w:pPr>
      <w:r>
        <w:rPr>
          <w:u w:val="single"/>
        </w:rPr>
        <w:t>Recidyvinių GVT ir PE profilaktika suaugusiesiems (GVT/PE profilaktika)</w:t>
      </w:r>
    </w:p>
    <w:p w14:paraId="59FC97D4" w14:textId="77777777" w:rsidR="00CB542F" w:rsidRDefault="00CB542F">
      <w:pPr>
        <w:widowControl w:val="0"/>
        <w:autoSpaceDE w:val="0"/>
        <w:autoSpaceDN w:val="0"/>
      </w:pPr>
    </w:p>
    <w:p w14:paraId="4A5977FB" w14:textId="77777777" w:rsidR="00CB542F" w:rsidRDefault="00573A58">
      <w:pPr>
        <w:widowControl w:val="0"/>
        <w:autoSpaceDE w:val="0"/>
        <w:autoSpaceDN w:val="0"/>
      </w:pPr>
      <w:r>
        <w:t>Buvo atlikti du atsitiktinių imčių, paralelinių grupių, dvigubai koduoti tyrimai su pacientais, kurie anksčiau buvo gydyti antikoaguliantais. RE-MEDY tyrimas buvo kontroliuojamas varfarinu, į jį buvo įtraukti jau 3-12 mėnesių gydyti pacientai, kuriems reikėjo tolesnio gydymo antikoaguliantais, RE-SONATE tyrimas buvo kontroliuojamas placebu, į jį buvo įtraukti pacientai, kurie jau 6-18 mėnesių buvo gydyti vitamino K inhibitoriais.</w:t>
      </w:r>
    </w:p>
    <w:p w14:paraId="655CBB76" w14:textId="77777777" w:rsidR="00CB542F" w:rsidRDefault="00CB542F">
      <w:pPr>
        <w:widowControl w:val="0"/>
        <w:autoSpaceDE w:val="0"/>
        <w:autoSpaceDN w:val="0"/>
      </w:pPr>
    </w:p>
    <w:p w14:paraId="3190918F" w14:textId="77777777" w:rsidR="00CB542F" w:rsidRDefault="00573A58">
      <w:pPr>
        <w:widowControl w:val="0"/>
        <w:autoSpaceDE w:val="0"/>
        <w:autoSpaceDN w:val="0"/>
      </w:pPr>
      <w:r>
        <w:t>Tyrimo RE-MEDY tikslas buvo palyginti geriamojo dabigatrano eteksilato (150 mg du kartus per parą) ir varfarino (siektinas TNS 2-3) saugumą ir veiksmingumą ilgalaikio GVT ir (arba) PE gydymo metu ir ilgalaikės recidyvinių simptominių GVT ir (arba) PE profilaktikos metu. Tyrimui atsitiktinių imčių būdu buvo atrinkti iš viso 2 866 pacientai, 2 856 jų buvo gydomi. Gydymo dabigatrano eteksilatu trukmė buvo 6-36 mėn. (mediana ‒ 534 paros). Pacientų, kurie atsitiktinių imčių būdu buvo atrinkti gydyti varfarinu, laiko terapinėse ribose (TNS 2-3) mediana buvo 64,9 %.</w:t>
      </w:r>
    </w:p>
    <w:p w14:paraId="122CDFD0" w14:textId="77777777" w:rsidR="00CB542F" w:rsidRDefault="00CB542F">
      <w:pPr>
        <w:widowControl w:val="0"/>
        <w:autoSpaceDE w:val="0"/>
        <w:autoSpaceDN w:val="0"/>
      </w:pPr>
    </w:p>
    <w:p w14:paraId="5E92DF44" w14:textId="77777777" w:rsidR="00CB542F" w:rsidRDefault="00573A58">
      <w:pPr>
        <w:widowControl w:val="0"/>
        <w:autoSpaceDE w:val="0"/>
        <w:autoSpaceDN w:val="0"/>
      </w:pPr>
      <w:r>
        <w:t>Tyrimas RE-MEDY parodė, kad gydymas du kartus per parą vartojama 150 mg dabigatrano eteksilato doze nenusileido gydymui varfarinu (esant ne prastesnio poveikio riboms: rizikos santykiui ‒ 2,85, rizikos skirtumui ‒ 2,8).</w:t>
      </w:r>
    </w:p>
    <w:p w14:paraId="438C1017" w14:textId="77777777" w:rsidR="00CB542F" w:rsidRDefault="00CB542F">
      <w:pPr>
        <w:widowControl w:val="0"/>
        <w:autoSpaceDE w:val="0"/>
        <w:autoSpaceDN w:val="0"/>
      </w:pPr>
    </w:p>
    <w:p w14:paraId="6F521AC5" w14:textId="77777777" w:rsidR="00CB542F" w:rsidRDefault="00573A58">
      <w:pPr>
        <w:widowControl w:val="0"/>
        <w:autoSpaceDE w:val="0"/>
        <w:autoSpaceDN w:val="0"/>
        <w:rPr>
          <w:b/>
          <w:bCs/>
        </w:rPr>
      </w:pPr>
      <w:r>
        <w:rPr>
          <w:b/>
          <w:bCs/>
        </w:rPr>
        <w:t>23 lentelė. Pirminės ir antrinės veiksmingumo vertinamųjų baigčių (VTE yra sudėtinė: GVT ir (arba) PE), vertintų tyrimo RE-MEDY metu iki pogydyminio laikotarpio pabaigos, analizė</w:t>
      </w:r>
    </w:p>
    <w:p w14:paraId="3BD9DE4B"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53"/>
        <w:gridCol w:w="1985"/>
        <w:gridCol w:w="2410"/>
      </w:tblGrid>
      <w:tr w:rsidR="00CB542F" w14:paraId="38C6205A" w14:textId="77777777">
        <w:trPr>
          <w:trHeight w:val="757"/>
        </w:trPr>
        <w:tc>
          <w:tcPr>
            <w:tcW w:w="3653" w:type="dxa"/>
            <w:shd w:val="clear" w:color="auto" w:fill="auto"/>
          </w:tcPr>
          <w:p w14:paraId="3031BE49" w14:textId="77777777" w:rsidR="00CB542F" w:rsidRDefault="00CB542F">
            <w:pPr>
              <w:widowControl w:val="0"/>
              <w:kinsoku w:val="0"/>
              <w:overflowPunct w:val="0"/>
              <w:autoSpaceDE w:val="0"/>
              <w:autoSpaceDN w:val="0"/>
              <w:adjustRightInd w:val="0"/>
              <w:rPr>
                <w:color w:val="000000"/>
                <w:szCs w:val="22"/>
                <w:lang w:val="sl-SI" w:eastAsia="sl-SI"/>
              </w:rPr>
            </w:pPr>
          </w:p>
        </w:tc>
        <w:tc>
          <w:tcPr>
            <w:tcW w:w="1985" w:type="dxa"/>
            <w:shd w:val="clear" w:color="auto" w:fill="auto"/>
          </w:tcPr>
          <w:p w14:paraId="7F5DC497" w14:textId="77777777" w:rsidR="00CB542F" w:rsidRDefault="00573A58">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10" w:type="dxa"/>
            <w:shd w:val="clear" w:color="auto" w:fill="auto"/>
          </w:tcPr>
          <w:p w14:paraId="4B4BDF66" w14:textId="77777777" w:rsidR="00CB542F" w:rsidRDefault="00573A58">
            <w:pPr>
              <w:widowControl w:val="0"/>
              <w:kinsoku w:val="0"/>
              <w:overflowPunct w:val="0"/>
              <w:autoSpaceDE w:val="0"/>
              <w:autoSpaceDN w:val="0"/>
              <w:adjustRightInd w:val="0"/>
              <w:spacing w:line="247" w:lineRule="exact"/>
              <w:ind w:right="-107"/>
              <w:jc w:val="center"/>
              <w:rPr>
                <w:color w:val="000000"/>
                <w:szCs w:val="22"/>
                <w:lang w:val="sl-SI" w:eastAsia="sl-SI"/>
              </w:rPr>
            </w:pPr>
            <w:r>
              <w:t>Varfarinas</w:t>
            </w:r>
          </w:p>
        </w:tc>
      </w:tr>
      <w:tr w:rsidR="00CB542F" w14:paraId="6FFA2059" w14:textId="77777777">
        <w:trPr>
          <w:trHeight w:val="254"/>
        </w:trPr>
        <w:tc>
          <w:tcPr>
            <w:tcW w:w="3653" w:type="dxa"/>
            <w:shd w:val="clear" w:color="auto" w:fill="auto"/>
          </w:tcPr>
          <w:p w14:paraId="23D3DD6F"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p>
        </w:tc>
        <w:tc>
          <w:tcPr>
            <w:tcW w:w="1985" w:type="dxa"/>
            <w:shd w:val="clear" w:color="auto" w:fill="auto"/>
          </w:tcPr>
          <w:p w14:paraId="11E2C2C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410" w:type="dxa"/>
            <w:shd w:val="clear" w:color="auto" w:fill="auto"/>
          </w:tcPr>
          <w:p w14:paraId="4356B21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r>
      <w:tr w:rsidR="00CB542F" w14:paraId="2F646468" w14:textId="77777777">
        <w:trPr>
          <w:trHeight w:val="505"/>
        </w:trPr>
        <w:tc>
          <w:tcPr>
            <w:tcW w:w="3653" w:type="dxa"/>
            <w:shd w:val="clear" w:color="auto" w:fill="auto"/>
          </w:tcPr>
          <w:p w14:paraId="69B7DEEE"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Recidyvinė simptominė VTE ir su VTE susijusi mirtis</w:t>
            </w:r>
          </w:p>
        </w:tc>
        <w:tc>
          <w:tcPr>
            <w:tcW w:w="1985" w:type="dxa"/>
            <w:shd w:val="clear" w:color="auto" w:fill="auto"/>
          </w:tcPr>
          <w:p w14:paraId="4DF0402E"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26 (1,8 %)</w:t>
            </w:r>
          </w:p>
        </w:tc>
        <w:tc>
          <w:tcPr>
            <w:tcW w:w="2410" w:type="dxa"/>
            <w:shd w:val="clear" w:color="auto" w:fill="auto"/>
          </w:tcPr>
          <w:p w14:paraId="14DAF7E2"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18 (1,3 %)</w:t>
            </w:r>
          </w:p>
        </w:tc>
      </w:tr>
      <w:tr w:rsidR="00CB542F" w14:paraId="7512A644" w14:textId="77777777">
        <w:trPr>
          <w:trHeight w:val="506"/>
        </w:trPr>
        <w:tc>
          <w:tcPr>
            <w:tcW w:w="3653" w:type="dxa"/>
            <w:shd w:val="clear" w:color="auto" w:fill="auto"/>
          </w:tcPr>
          <w:p w14:paraId="396CB250"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 xml:space="preserve">Rizikos, palyginti su varfarinu, santykis (95 % pasikliautinasis </w:t>
            </w:r>
            <w:r>
              <w:lastRenderedPageBreak/>
              <w:t>intervalas)</w:t>
            </w:r>
          </w:p>
        </w:tc>
        <w:tc>
          <w:tcPr>
            <w:tcW w:w="1985" w:type="dxa"/>
            <w:shd w:val="clear" w:color="auto" w:fill="auto"/>
          </w:tcPr>
          <w:p w14:paraId="1A017A4F"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lastRenderedPageBreak/>
              <w:t>1,44</w:t>
            </w:r>
          </w:p>
          <w:p w14:paraId="45BDFAF8" w14:textId="77777777" w:rsidR="00CB542F" w:rsidRDefault="00573A58">
            <w:pPr>
              <w:widowControl w:val="0"/>
              <w:kinsoku w:val="0"/>
              <w:overflowPunct w:val="0"/>
              <w:autoSpaceDE w:val="0"/>
              <w:autoSpaceDN w:val="0"/>
              <w:adjustRightInd w:val="0"/>
              <w:spacing w:line="240" w:lineRule="exact"/>
              <w:jc w:val="center"/>
              <w:rPr>
                <w:color w:val="000000"/>
                <w:szCs w:val="22"/>
                <w:lang w:val="sl-SI" w:eastAsia="sl-SI"/>
              </w:rPr>
            </w:pPr>
            <w:r>
              <w:rPr>
                <w:color w:val="000000"/>
                <w:szCs w:val="22"/>
                <w:lang w:val="sl-SI" w:eastAsia="sl-SI"/>
              </w:rPr>
              <w:t>(0,78, 2,64)</w:t>
            </w:r>
          </w:p>
        </w:tc>
        <w:tc>
          <w:tcPr>
            <w:tcW w:w="2410" w:type="dxa"/>
            <w:shd w:val="clear" w:color="auto" w:fill="auto"/>
          </w:tcPr>
          <w:p w14:paraId="2451E6DE"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063A022B" w14:textId="77777777">
        <w:trPr>
          <w:trHeight w:val="251"/>
        </w:trPr>
        <w:tc>
          <w:tcPr>
            <w:tcW w:w="3653" w:type="dxa"/>
            <w:shd w:val="clear" w:color="auto" w:fill="auto"/>
          </w:tcPr>
          <w:p w14:paraId="678173D0"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Ne prastesnio poveikio riba</w:t>
            </w:r>
          </w:p>
        </w:tc>
        <w:tc>
          <w:tcPr>
            <w:tcW w:w="1985" w:type="dxa"/>
            <w:shd w:val="clear" w:color="auto" w:fill="auto"/>
          </w:tcPr>
          <w:p w14:paraId="6C44EF2A"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2,85</w:t>
            </w:r>
          </w:p>
        </w:tc>
        <w:tc>
          <w:tcPr>
            <w:tcW w:w="2410" w:type="dxa"/>
            <w:shd w:val="clear" w:color="auto" w:fill="auto"/>
          </w:tcPr>
          <w:p w14:paraId="2B982116"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0D0284A9" w14:textId="77777777">
        <w:trPr>
          <w:trHeight w:val="254"/>
        </w:trPr>
        <w:tc>
          <w:tcPr>
            <w:tcW w:w="3653" w:type="dxa"/>
            <w:shd w:val="clear" w:color="auto" w:fill="auto"/>
          </w:tcPr>
          <w:p w14:paraId="7A71CF6F"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Reiškinį patyrusių pacientų skaičius 18-ąjį mėnesį</w:t>
            </w:r>
          </w:p>
        </w:tc>
        <w:tc>
          <w:tcPr>
            <w:tcW w:w="1985" w:type="dxa"/>
            <w:shd w:val="clear" w:color="auto" w:fill="auto"/>
          </w:tcPr>
          <w:p w14:paraId="7B2FCEC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22</w:t>
            </w:r>
          </w:p>
        </w:tc>
        <w:tc>
          <w:tcPr>
            <w:tcW w:w="2410" w:type="dxa"/>
            <w:shd w:val="clear" w:color="auto" w:fill="auto"/>
          </w:tcPr>
          <w:p w14:paraId="741CB96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w:t>
            </w:r>
          </w:p>
        </w:tc>
      </w:tr>
      <w:tr w:rsidR="00CB542F" w14:paraId="21276F02" w14:textId="77777777">
        <w:trPr>
          <w:trHeight w:val="505"/>
        </w:trPr>
        <w:tc>
          <w:tcPr>
            <w:tcW w:w="3653" w:type="dxa"/>
            <w:shd w:val="clear" w:color="auto" w:fill="auto"/>
          </w:tcPr>
          <w:p w14:paraId="34A7F6D3"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Bendra rizika 18-ąjį mėnesį (%)</w:t>
            </w:r>
          </w:p>
        </w:tc>
        <w:tc>
          <w:tcPr>
            <w:tcW w:w="1985" w:type="dxa"/>
            <w:shd w:val="clear" w:color="auto" w:fill="auto"/>
          </w:tcPr>
          <w:p w14:paraId="2AB4D5AB"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1,7</w:t>
            </w:r>
          </w:p>
        </w:tc>
        <w:tc>
          <w:tcPr>
            <w:tcW w:w="2410" w:type="dxa"/>
            <w:shd w:val="clear" w:color="auto" w:fill="auto"/>
          </w:tcPr>
          <w:p w14:paraId="7675D2DD"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w:t>
            </w:r>
          </w:p>
        </w:tc>
      </w:tr>
      <w:tr w:rsidR="00CB542F" w14:paraId="59ECC4B8" w14:textId="77777777">
        <w:trPr>
          <w:trHeight w:val="378"/>
        </w:trPr>
        <w:tc>
          <w:tcPr>
            <w:tcW w:w="3653" w:type="dxa"/>
            <w:shd w:val="clear" w:color="auto" w:fill="auto"/>
          </w:tcPr>
          <w:p w14:paraId="00DA69FC"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t>Rizikos, palyginti su varfarinu, skirtumas (%)</w:t>
            </w:r>
          </w:p>
        </w:tc>
        <w:tc>
          <w:tcPr>
            <w:tcW w:w="1985" w:type="dxa"/>
            <w:shd w:val="clear" w:color="auto" w:fill="auto"/>
          </w:tcPr>
          <w:p w14:paraId="56209C3F" w14:textId="77777777" w:rsidR="00CB542F" w:rsidRDefault="00573A58">
            <w:pPr>
              <w:widowControl w:val="0"/>
              <w:kinsoku w:val="0"/>
              <w:overflowPunct w:val="0"/>
              <w:autoSpaceDE w:val="0"/>
              <w:autoSpaceDN w:val="0"/>
              <w:adjustRightInd w:val="0"/>
              <w:spacing w:before="56"/>
              <w:jc w:val="center"/>
              <w:rPr>
                <w:color w:val="000000"/>
                <w:szCs w:val="22"/>
                <w:lang w:val="sl-SI" w:eastAsia="sl-SI"/>
              </w:rPr>
            </w:pPr>
            <w:r>
              <w:rPr>
                <w:color w:val="000000"/>
                <w:szCs w:val="22"/>
                <w:lang w:val="sl-SI" w:eastAsia="sl-SI"/>
              </w:rPr>
              <w:t>0,4</w:t>
            </w:r>
          </w:p>
        </w:tc>
        <w:tc>
          <w:tcPr>
            <w:tcW w:w="2410" w:type="dxa"/>
            <w:shd w:val="clear" w:color="auto" w:fill="auto"/>
          </w:tcPr>
          <w:p w14:paraId="3C170377"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5246FC9F" w14:textId="77777777">
        <w:trPr>
          <w:trHeight w:val="251"/>
        </w:trPr>
        <w:tc>
          <w:tcPr>
            <w:tcW w:w="3653" w:type="dxa"/>
            <w:shd w:val="clear" w:color="auto" w:fill="auto"/>
          </w:tcPr>
          <w:p w14:paraId="6B43B489"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1F71E8FA"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70038660"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65CB40C5" w14:textId="77777777">
        <w:trPr>
          <w:trHeight w:val="254"/>
        </w:trPr>
        <w:tc>
          <w:tcPr>
            <w:tcW w:w="3653" w:type="dxa"/>
            <w:shd w:val="clear" w:color="auto" w:fill="auto"/>
          </w:tcPr>
          <w:p w14:paraId="08564166"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Ne prastesnio poveikio riba</w:t>
            </w:r>
          </w:p>
        </w:tc>
        <w:tc>
          <w:tcPr>
            <w:tcW w:w="1985" w:type="dxa"/>
            <w:shd w:val="clear" w:color="auto" w:fill="auto"/>
          </w:tcPr>
          <w:p w14:paraId="70178D2A"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2,8</w:t>
            </w:r>
          </w:p>
        </w:tc>
        <w:tc>
          <w:tcPr>
            <w:tcW w:w="2410" w:type="dxa"/>
            <w:shd w:val="clear" w:color="auto" w:fill="auto"/>
          </w:tcPr>
          <w:p w14:paraId="528F7D6B"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20C88490" w14:textId="77777777">
        <w:trPr>
          <w:trHeight w:val="254"/>
        </w:trPr>
        <w:tc>
          <w:tcPr>
            <w:tcW w:w="3653" w:type="dxa"/>
            <w:shd w:val="clear" w:color="auto" w:fill="auto"/>
          </w:tcPr>
          <w:p w14:paraId="4180A9AC"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Antrinės vertinamosios baigtys</w:t>
            </w:r>
          </w:p>
        </w:tc>
        <w:tc>
          <w:tcPr>
            <w:tcW w:w="1985" w:type="dxa"/>
            <w:shd w:val="clear" w:color="auto" w:fill="auto"/>
          </w:tcPr>
          <w:p w14:paraId="7FF9F8BB"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33C8288D"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7F539223" w14:textId="77777777">
        <w:trPr>
          <w:trHeight w:val="505"/>
        </w:trPr>
        <w:tc>
          <w:tcPr>
            <w:tcW w:w="3653" w:type="dxa"/>
            <w:shd w:val="clear" w:color="auto" w:fill="auto"/>
          </w:tcPr>
          <w:p w14:paraId="47924BE6" w14:textId="77777777" w:rsidR="00CB542F" w:rsidRDefault="00573A58">
            <w:pPr>
              <w:widowControl w:val="0"/>
              <w:kinsoku w:val="0"/>
              <w:overflowPunct w:val="0"/>
              <w:autoSpaceDE w:val="0"/>
              <w:autoSpaceDN w:val="0"/>
              <w:adjustRightInd w:val="0"/>
              <w:spacing w:line="246" w:lineRule="exact"/>
              <w:ind w:left="69"/>
              <w:rPr>
                <w:color w:val="000000"/>
                <w:szCs w:val="22"/>
                <w:lang w:val="sl-SI" w:eastAsia="sl-SI"/>
              </w:rPr>
            </w:pPr>
            <w:r>
              <w:t>Recidyvinė simptominė VTE ir mirtys dėl visų priežasčių</w:t>
            </w:r>
          </w:p>
        </w:tc>
        <w:tc>
          <w:tcPr>
            <w:tcW w:w="1985" w:type="dxa"/>
            <w:shd w:val="clear" w:color="auto" w:fill="auto"/>
          </w:tcPr>
          <w:p w14:paraId="52768A40" w14:textId="77777777" w:rsidR="00CB542F" w:rsidRDefault="00573A58">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42 (2,9 %)</w:t>
            </w:r>
          </w:p>
        </w:tc>
        <w:tc>
          <w:tcPr>
            <w:tcW w:w="2410" w:type="dxa"/>
            <w:shd w:val="clear" w:color="auto" w:fill="auto"/>
          </w:tcPr>
          <w:p w14:paraId="28A28EF8" w14:textId="77777777" w:rsidR="00CB542F" w:rsidRDefault="00573A58">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36 (2,5 %)</w:t>
            </w:r>
          </w:p>
        </w:tc>
      </w:tr>
      <w:tr w:rsidR="00CB542F" w14:paraId="7F197939" w14:textId="77777777">
        <w:trPr>
          <w:trHeight w:val="251"/>
        </w:trPr>
        <w:tc>
          <w:tcPr>
            <w:tcW w:w="3653" w:type="dxa"/>
            <w:shd w:val="clear" w:color="auto" w:fill="auto"/>
          </w:tcPr>
          <w:p w14:paraId="441A44F2"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3ED3D80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2,12, 3,95</w:t>
            </w:r>
          </w:p>
        </w:tc>
        <w:tc>
          <w:tcPr>
            <w:tcW w:w="2410" w:type="dxa"/>
            <w:shd w:val="clear" w:color="auto" w:fill="auto"/>
          </w:tcPr>
          <w:p w14:paraId="60141FEC"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1,77, 3,48</w:t>
            </w:r>
          </w:p>
        </w:tc>
      </w:tr>
      <w:tr w:rsidR="00CB542F" w14:paraId="11036113" w14:textId="77777777">
        <w:trPr>
          <w:trHeight w:val="254"/>
        </w:trPr>
        <w:tc>
          <w:tcPr>
            <w:tcW w:w="3653" w:type="dxa"/>
            <w:shd w:val="clear" w:color="auto" w:fill="auto"/>
          </w:tcPr>
          <w:p w14:paraId="0F4C6D68"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1985" w:type="dxa"/>
            <w:shd w:val="clear" w:color="auto" w:fill="auto"/>
          </w:tcPr>
          <w:p w14:paraId="020DDF44"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693AD4D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(0,9 %)</w:t>
            </w:r>
          </w:p>
        </w:tc>
      </w:tr>
      <w:tr w:rsidR="00CB542F" w14:paraId="0493E8D7" w14:textId="77777777">
        <w:trPr>
          <w:trHeight w:val="251"/>
        </w:trPr>
        <w:tc>
          <w:tcPr>
            <w:tcW w:w="3653" w:type="dxa"/>
            <w:shd w:val="clear" w:color="auto" w:fill="auto"/>
          </w:tcPr>
          <w:p w14:paraId="49AFC5C8"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7743661D"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6FB16C48"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0,49, 1,55</w:t>
            </w:r>
          </w:p>
        </w:tc>
      </w:tr>
      <w:tr w:rsidR="00CB542F" w14:paraId="54FD5CA0" w14:textId="77777777">
        <w:trPr>
          <w:trHeight w:val="253"/>
        </w:trPr>
        <w:tc>
          <w:tcPr>
            <w:tcW w:w="3653" w:type="dxa"/>
            <w:shd w:val="clear" w:color="auto" w:fill="auto"/>
          </w:tcPr>
          <w:p w14:paraId="39583C20"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Simptominė PE</w:t>
            </w:r>
          </w:p>
        </w:tc>
        <w:tc>
          <w:tcPr>
            <w:tcW w:w="1985" w:type="dxa"/>
            <w:shd w:val="clear" w:color="auto" w:fill="auto"/>
          </w:tcPr>
          <w:p w14:paraId="09075E1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 (0,7 %)</w:t>
            </w:r>
          </w:p>
        </w:tc>
        <w:tc>
          <w:tcPr>
            <w:tcW w:w="2410" w:type="dxa"/>
            <w:shd w:val="clear" w:color="auto" w:fill="auto"/>
          </w:tcPr>
          <w:p w14:paraId="7AB0356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(0,4 %)</w:t>
            </w:r>
          </w:p>
        </w:tc>
      </w:tr>
      <w:tr w:rsidR="00CB542F" w14:paraId="612B0544" w14:textId="77777777">
        <w:trPr>
          <w:trHeight w:val="251"/>
        </w:trPr>
        <w:tc>
          <w:tcPr>
            <w:tcW w:w="3653" w:type="dxa"/>
            <w:shd w:val="clear" w:color="auto" w:fill="auto"/>
          </w:tcPr>
          <w:p w14:paraId="16D74690"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5BBAAD05"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0,34, 1,28</w:t>
            </w:r>
          </w:p>
        </w:tc>
        <w:tc>
          <w:tcPr>
            <w:tcW w:w="2410" w:type="dxa"/>
            <w:shd w:val="clear" w:color="auto" w:fill="auto"/>
          </w:tcPr>
          <w:p w14:paraId="238C873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0,11, 0,82</w:t>
            </w:r>
          </w:p>
        </w:tc>
      </w:tr>
      <w:tr w:rsidR="00CB542F" w14:paraId="7E3916E6" w14:textId="77777777">
        <w:trPr>
          <w:trHeight w:val="254"/>
        </w:trPr>
        <w:tc>
          <w:tcPr>
            <w:tcW w:w="3653" w:type="dxa"/>
            <w:shd w:val="clear" w:color="auto" w:fill="auto"/>
          </w:tcPr>
          <w:p w14:paraId="4A75F0D2"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Su VTE susijusios mirtys</w:t>
            </w:r>
          </w:p>
        </w:tc>
        <w:tc>
          <w:tcPr>
            <w:tcW w:w="1985" w:type="dxa"/>
            <w:shd w:val="clear" w:color="auto" w:fill="auto"/>
          </w:tcPr>
          <w:p w14:paraId="29A4907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10" w:type="dxa"/>
            <w:shd w:val="clear" w:color="auto" w:fill="auto"/>
          </w:tcPr>
          <w:p w14:paraId="294604F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r>
      <w:tr w:rsidR="00CB542F" w14:paraId="108834BC" w14:textId="77777777">
        <w:trPr>
          <w:trHeight w:val="253"/>
        </w:trPr>
        <w:tc>
          <w:tcPr>
            <w:tcW w:w="3653" w:type="dxa"/>
            <w:shd w:val="clear" w:color="auto" w:fill="auto"/>
          </w:tcPr>
          <w:p w14:paraId="6F3064F8"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2E9E823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c>
          <w:tcPr>
            <w:tcW w:w="2410" w:type="dxa"/>
            <w:shd w:val="clear" w:color="auto" w:fill="auto"/>
          </w:tcPr>
          <w:p w14:paraId="11F574A2"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r>
      <w:tr w:rsidR="00CB542F" w14:paraId="7604689A" w14:textId="77777777">
        <w:trPr>
          <w:trHeight w:val="251"/>
        </w:trPr>
        <w:tc>
          <w:tcPr>
            <w:tcW w:w="3653" w:type="dxa"/>
            <w:shd w:val="clear" w:color="auto" w:fill="auto"/>
          </w:tcPr>
          <w:p w14:paraId="545BC785"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t>Mirtys dėl visų priežasčių</w:t>
            </w:r>
          </w:p>
        </w:tc>
        <w:tc>
          <w:tcPr>
            <w:tcW w:w="1985" w:type="dxa"/>
            <w:shd w:val="clear" w:color="auto" w:fill="auto"/>
          </w:tcPr>
          <w:p w14:paraId="60020E22"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49E51FDE"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 (1,3 %)</w:t>
            </w:r>
          </w:p>
        </w:tc>
      </w:tr>
      <w:tr w:rsidR="00CB542F" w14:paraId="473786B2" w14:textId="77777777">
        <w:trPr>
          <w:trHeight w:val="253"/>
        </w:trPr>
        <w:tc>
          <w:tcPr>
            <w:tcW w:w="3653" w:type="dxa"/>
            <w:shd w:val="clear" w:color="auto" w:fill="auto"/>
          </w:tcPr>
          <w:p w14:paraId="222DDDCC"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54A2ACB5"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7FC86E2C"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0,80, 2,07</w:t>
            </w:r>
          </w:p>
        </w:tc>
      </w:tr>
    </w:tbl>
    <w:p w14:paraId="3837261E" w14:textId="77777777" w:rsidR="00CB542F" w:rsidRDefault="00CB542F">
      <w:pPr>
        <w:widowControl w:val="0"/>
        <w:autoSpaceDE w:val="0"/>
        <w:autoSpaceDN w:val="0"/>
      </w:pPr>
    </w:p>
    <w:p w14:paraId="36BE235E" w14:textId="77777777" w:rsidR="00CB542F" w:rsidRDefault="00573A58">
      <w:pPr>
        <w:widowControl w:val="0"/>
        <w:autoSpaceDE w:val="0"/>
        <w:autoSpaceDN w:val="0"/>
      </w:pPr>
      <w:r>
        <w:t>Tyrimo RE-SONATE tikslas buvo nustatyti dabigatrano eteksilato, palyginti su placebu, pranašumą recidyvinių simptominių GVT ir (arba) PE profilaktikai pacientams, kurie jau baigė 6-18 mėnesių gydymą vitamino K antagonistais. Gydyti buvo numatyta 6 mėnesius 2 kartus per parą vartojama 150 mg dabigatrano eteksilato doze, nereikalaujant stebėjimo.</w:t>
      </w:r>
    </w:p>
    <w:p w14:paraId="375F9827" w14:textId="77777777" w:rsidR="00CB542F" w:rsidRDefault="00CB542F">
      <w:pPr>
        <w:widowControl w:val="0"/>
        <w:autoSpaceDE w:val="0"/>
        <w:autoSpaceDN w:val="0"/>
      </w:pPr>
    </w:p>
    <w:p w14:paraId="695CE330" w14:textId="77777777" w:rsidR="00CB542F" w:rsidRDefault="00573A58">
      <w:pPr>
        <w:widowControl w:val="0"/>
        <w:autoSpaceDE w:val="0"/>
        <w:autoSpaceDN w:val="0"/>
      </w:pPr>
      <w:r>
        <w:t>Tyrimas RE-SONATE parodė, kad recidyvinių simptominių GVT/PE reiškinių, įskaitant neišaiškintas mirtis, profilaktikai dabigatrano eteksilatas buvo pranašesnis už placebą ir kad gydymo laikotarpiu riziką sumažino nuo 5,6 % iki 0,4 % (remiantis rizikos santykiu, santykinę riziką sumažino 92 %) (p &lt; 0,0001). Pirminės vertinamosios baigties bei visų antrinių vertinamųjų baigčių visos antrinės ir jautrios analizės parodė, kad dabigatrano eteksilatas yra pranašesnis už placebą.</w:t>
      </w:r>
    </w:p>
    <w:p w14:paraId="2B848C2B" w14:textId="77777777" w:rsidR="00CB542F" w:rsidRDefault="00CB542F">
      <w:pPr>
        <w:widowControl w:val="0"/>
        <w:autoSpaceDE w:val="0"/>
        <w:autoSpaceDN w:val="0"/>
      </w:pPr>
    </w:p>
    <w:p w14:paraId="17021E66" w14:textId="77777777" w:rsidR="00CB542F" w:rsidRDefault="00573A58">
      <w:pPr>
        <w:widowControl w:val="0"/>
        <w:autoSpaceDE w:val="0"/>
        <w:autoSpaceDN w:val="0"/>
      </w:pPr>
      <w:r>
        <w:t>Tyrimas apėmė 12 mėnesių stebimąjį sekimą gydymą baigus. Tiriamųjų vaistinių preparatų vartojimą nutraukus, poveikis išsilaikė iki stebimojo sekimo laikotarpio pabaigos. Tai rodo, kad pradinis gydymo dabigatrano eteksilatu poveikis buvo pastovus. Atoveiksmio efekto nebuvo. Stebimojo sekimo laikotarpio pabaigoje dabigatrano eteksilatu gydytiems pacientams VTE reiškinių dažnis buvo 6,9 %, placebo vartojusiai grupei ‒ 10,7 % (rizikos santykis 0,61, 95 % PI 0,42, 0,88, p = 0,0082).</w:t>
      </w:r>
    </w:p>
    <w:p w14:paraId="4754DB30" w14:textId="77777777" w:rsidR="00CB542F" w:rsidRDefault="00CB542F">
      <w:pPr>
        <w:widowControl w:val="0"/>
        <w:autoSpaceDE w:val="0"/>
        <w:autoSpaceDN w:val="0"/>
      </w:pPr>
    </w:p>
    <w:p w14:paraId="1D6999C1" w14:textId="77777777" w:rsidR="00CB542F" w:rsidRDefault="00573A58">
      <w:pPr>
        <w:widowControl w:val="0"/>
        <w:autoSpaceDE w:val="0"/>
        <w:autoSpaceDN w:val="0"/>
        <w:rPr>
          <w:b/>
          <w:bCs/>
        </w:rPr>
      </w:pPr>
      <w:r>
        <w:rPr>
          <w:b/>
          <w:bCs/>
        </w:rPr>
        <w:t>24 lentelė. Pirminės ir antrinės veiksmingumo vertinamųjų baigčių (VTE yra sudėtinė: GVT ir (arba) PE), vertintų tyrimo RE-SONATE metu iki pogydyminio laikotarpio pabaigos, analizė</w:t>
      </w:r>
    </w:p>
    <w:p w14:paraId="773C485E" w14:textId="77777777" w:rsidR="00CB542F" w:rsidRDefault="00CB542F">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676"/>
        <w:gridCol w:w="2477"/>
      </w:tblGrid>
      <w:tr w:rsidR="00CB542F" w14:paraId="6A6EEC2B" w14:textId="77777777">
        <w:trPr>
          <w:trHeight w:val="757"/>
        </w:trPr>
        <w:tc>
          <w:tcPr>
            <w:tcW w:w="2304" w:type="dxa"/>
            <w:shd w:val="clear" w:color="auto" w:fill="auto"/>
          </w:tcPr>
          <w:p w14:paraId="5EB13462" w14:textId="77777777" w:rsidR="00CB542F" w:rsidRDefault="00CB542F">
            <w:pPr>
              <w:widowControl w:val="0"/>
              <w:kinsoku w:val="0"/>
              <w:overflowPunct w:val="0"/>
              <w:autoSpaceDE w:val="0"/>
              <w:autoSpaceDN w:val="0"/>
              <w:adjustRightInd w:val="0"/>
              <w:rPr>
                <w:color w:val="000000"/>
                <w:szCs w:val="22"/>
                <w:lang w:val="sl-SI" w:eastAsia="sl-SI"/>
              </w:rPr>
            </w:pPr>
          </w:p>
        </w:tc>
        <w:tc>
          <w:tcPr>
            <w:tcW w:w="2676" w:type="dxa"/>
            <w:shd w:val="clear" w:color="auto" w:fill="auto"/>
          </w:tcPr>
          <w:p w14:paraId="4F3385B7" w14:textId="77777777" w:rsidR="00CB542F" w:rsidRDefault="00573A58">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77" w:type="dxa"/>
            <w:shd w:val="clear" w:color="auto" w:fill="auto"/>
          </w:tcPr>
          <w:p w14:paraId="069DAFD3" w14:textId="77777777" w:rsidR="00CB542F" w:rsidRDefault="00573A58">
            <w:pPr>
              <w:widowControl w:val="0"/>
              <w:kinsoku w:val="0"/>
              <w:overflowPunct w:val="0"/>
              <w:autoSpaceDE w:val="0"/>
              <w:autoSpaceDN w:val="0"/>
              <w:adjustRightInd w:val="0"/>
              <w:spacing w:line="247" w:lineRule="exact"/>
              <w:jc w:val="center"/>
              <w:rPr>
                <w:color w:val="000000"/>
                <w:szCs w:val="22"/>
                <w:lang w:val="sl-SI" w:eastAsia="sl-SI"/>
              </w:rPr>
            </w:pPr>
            <w:r>
              <w:t>Placebas</w:t>
            </w:r>
          </w:p>
        </w:tc>
      </w:tr>
      <w:tr w:rsidR="00CB542F" w14:paraId="0944E1C4" w14:textId="77777777">
        <w:trPr>
          <w:trHeight w:val="254"/>
        </w:trPr>
        <w:tc>
          <w:tcPr>
            <w:tcW w:w="2304" w:type="dxa"/>
            <w:shd w:val="clear" w:color="auto" w:fill="auto"/>
          </w:tcPr>
          <w:p w14:paraId="3C672881"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Gydytų pacientų</w:t>
            </w:r>
          </w:p>
          <w:p w14:paraId="5C89B281"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skaičius</w:t>
            </w:r>
          </w:p>
        </w:tc>
        <w:tc>
          <w:tcPr>
            <w:tcW w:w="2676" w:type="dxa"/>
            <w:shd w:val="clear" w:color="auto" w:fill="auto"/>
          </w:tcPr>
          <w:p w14:paraId="2991F04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681</w:t>
            </w:r>
          </w:p>
        </w:tc>
        <w:tc>
          <w:tcPr>
            <w:tcW w:w="2477" w:type="dxa"/>
            <w:shd w:val="clear" w:color="auto" w:fill="auto"/>
          </w:tcPr>
          <w:p w14:paraId="5EBCBA53"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662</w:t>
            </w:r>
          </w:p>
        </w:tc>
      </w:tr>
      <w:tr w:rsidR="00CB542F" w14:paraId="4F1046F3" w14:textId="77777777">
        <w:trPr>
          <w:trHeight w:val="505"/>
        </w:trPr>
        <w:tc>
          <w:tcPr>
            <w:tcW w:w="2304" w:type="dxa"/>
            <w:shd w:val="clear" w:color="auto" w:fill="auto"/>
          </w:tcPr>
          <w:p w14:paraId="3295C6FD" w14:textId="77777777" w:rsidR="00CB542F" w:rsidRDefault="00573A58">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Recidyvinė simptominė</w:t>
            </w:r>
          </w:p>
          <w:p w14:paraId="36FFA6E3" w14:textId="77777777" w:rsidR="00CB542F" w:rsidRDefault="00573A58">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VTE ir susijusios mirtys</w:t>
            </w:r>
          </w:p>
        </w:tc>
        <w:tc>
          <w:tcPr>
            <w:tcW w:w="2676" w:type="dxa"/>
            <w:shd w:val="clear" w:color="auto" w:fill="auto"/>
          </w:tcPr>
          <w:p w14:paraId="08B2172E"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 (0,4%)</w:t>
            </w:r>
          </w:p>
        </w:tc>
        <w:tc>
          <w:tcPr>
            <w:tcW w:w="2477" w:type="dxa"/>
            <w:shd w:val="clear" w:color="auto" w:fill="auto"/>
          </w:tcPr>
          <w:p w14:paraId="332FE27B" w14:textId="77777777" w:rsidR="00CB542F" w:rsidRDefault="00573A58">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37 (5,6 %)</w:t>
            </w:r>
          </w:p>
        </w:tc>
      </w:tr>
      <w:tr w:rsidR="00CB542F" w14:paraId="77FD60D1" w14:textId="77777777">
        <w:trPr>
          <w:trHeight w:val="1010"/>
        </w:trPr>
        <w:tc>
          <w:tcPr>
            <w:tcW w:w="2304" w:type="dxa"/>
            <w:shd w:val="clear" w:color="auto" w:fill="auto"/>
          </w:tcPr>
          <w:p w14:paraId="3E7EAFF2" w14:textId="77777777" w:rsidR="00CB542F" w:rsidRDefault="00573A58">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lastRenderedPageBreak/>
              <w:t>Rizikos, palyginti su</w:t>
            </w:r>
          </w:p>
          <w:p w14:paraId="1D309E53" w14:textId="77777777" w:rsidR="00CB542F" w:rsidRDefault="00573A58">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placebu, santykis</w:t>
            </w:r>
          </w:p>
          <w:p w14:paraId="6D368D99" w14:textId="77777777" w:rsidR="00CB542F" w:rsidRDefault="00573A58">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(95 % pasikliautinasis</w:t>
            </w:r>
          </w:p>
          <w:p w14:paraId="60E3104E" w14:textId="77777777" w:rsidR="00CB542F" w:rsidRDefault="00573A58">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intervalas)</w:t>
            </w:r>
          </w:p>
        </w:tc>
        <w:tc>
          <w:tcPr>
            <w:tcW w:w="2676" w:type="dxa"/>
            <w:shd w:val="clear" w:color="auto" w:fill="auto"/>
          </w:tcPr>
          <w:p w14:paraId="01F56591" w14:textId="77777777" w:rsidR="00CB542F" w:rsidRDefault="00CB542F">
            <w:pPr>
              <w:widowControl w:val="0"/>
              <w:kinsoku w:val="0"/>
              <w:overflowPunct w:val="0"/>
              <w:autoSpaceDE w:val="0"/>
              <w:autoSpaceDN w:val="0"/>
              <w:adjustRightInd w:val="0"/>
              <w:spacing w:before="4"/>
              <w:jc w:val="center"/>
              <w:rPr>
                <w:b/>
                <w:bCs/>
                <w:color w:val="000000"/>
                <w:szCs w:val="22"/>
                <w:lang w:val="sl-SI" w:eastAsia="sl-SI"/>
              </w:rPr>
            </w:pPr>
          </w:p>
          <w:p w14:paraId="3E462E5D"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0,08</w:t>
            </w:r>
          </w:p>
          <w:p w14:paraId="256D7297"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(0,02, 0,25)</w:t>
            </w:r>
          </w:p>
        </w:tc>
        <w:tc>
          <w:tcPr>
            <w:tcW w:w="2477" w:type="dxa"/>
            <w:shd w:val="clear" w:color="auto" w:fill="auto"/>
          </w:tcPr>
          <w:p w14:paraId="72D1DC4D"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38BD2AB8" w14:textId="77777777">
        <w:trPr>
          <w:trHeight w:val="254"/>
        </w:trPr>
        <w:tc>
          <w:tcPr>
            <w:tcW w:w="2304" w:type="dxa"/>
            <w:shd w:val="clear" w:color="auto" w:fill="auto"/>
          </w:tcPr>
          <w:p w14:paraId="4E783307"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p reikšmė pranašumui</w:t>
            </w:r>
          </w:p>
        </w:tc>
        <w:tc>
          <w:tcPr>
            <w:tcW w:w="2676" w:type="dxa"/>
            <w:shd w:val="clear" w:color="auto" w:fill="auto"/>
          </w:tcPr>
          <w:p w14:paraId="744A6C2E"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2477" w:type="dxa"/>
            <w:shd w:val="clear" w:color="auto" w:fill="auto"/>
          </w:tcPr>
          <w:p w14:paraId="66251C57"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1E9E327E" w14:textId="77777777">
        <w:trPr>
          <w:trHeight w:val="505"/>
        </w:trPr>
        <w:tc>
          <w:tcPr>
            <w:tcW w:w="2304" w:type="dxa"/>
            <w:shd w:val="clear" w:color="auto" w:fill="auto"/>
          </w:tcPr>
          <w:p w14:paraId="4C1CAB03"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Antrinės veiksmingumo</w:t>
            </w:r>
          </w:p>
          <w:p w14:paraId="02D96796"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vertinamosios baigtys</w:t>
            </w:r>
          </w:p>
        </w:tc>
        <w:tc>
          <w:tcPr>
            <w:tcW w:w="2676" w:type="dxa"/>
            <w:shd w:val="clear" w:color="auto" w:fill="auto"/>
          </w:tcPr>
          <w:p w14:paraId="6967A2A2" w14:textId="77777777" w:rsidR="00CB542F" w:rsidRDefault="00CB542F">
            <w:pPr>
              <w:widowControl w:val="0"/>
              <w:kinsoku w:val="0"/>
              <w:overflowPunct w:val="0"/>
              <w:autoSpaceDE w:val="0"/>
              <w:autoSpaceDN w:val="0"/>
              <w:adjustRightInd w:val="0"/>
              <w:jc w:val="center"/>
              <w:rPr>
                <w:color w:val="000000"/>
                <w:szCs w:val="22"/>
                <w:lang w:val="sl-SI" w:eastAsia="sl-SI"/>
              </w:rPr>
            </w:pPr>
          </w:p>
        </w:tc>
        <w:tc>
          <w:tcPr>
            <w:tcW w:w="2477" w:type="dxa"/>
            <w:shd w:val="clear" w:color="auto" w:fill="auto"/>
          </w:tcPr>
          <w:p w14:paraId="47D70316" w14:textId="77777777" w:rsidR="00CB542F" w:rsidRDefault="00CB542F">
            <w:pPr>
              <w:widowControl w:val="0"/>
              <w:kinsoku w:val="0"/>
              <w:overflowPunct w:val="0"/>
              <w:autoSpaceDE w:val="0"/>
              <w:autoSpaceDN w:val="0"/>
              <w:adjustRightInd w:val="0"/>
              <w:jc w:val="center"/>
              <w:rPr>
                <w:color w:val="000000"/>
                <w:szCs w:val="22"/>
                <w:lang w:val="sl-SI" w:eastAsia="sl-SI"/>
              </w:rPr>
            </w:pPr>
          </w:p>
        </w:tc>
      </w:tr>
      <w:tr w:rsidR="00CB542F" w14:paraId="01DBDE49" w14:textId="77777777">
        <w:trPr>
          <w:trHeight w:val="757"/>
        </w:trPr>
        <w:tc>
          <w:tcPr>
            <w:tcW w:w="2304" w:type="dxa"/>
            <w:shd w:val="clear" w:color="auto" w:fill="auto"/>
          </w:tcPr>
          <w:p w14:paraId="3603DAE6"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Recidyvinė simptominė</w:t>
            </w:r>
          </w:p>
          <w:p w14:paraId="4CF17C33"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VTE ir mirtys dėl visų</w:t>
            </w:r>
          </w:p>
          <w:p w14:paraId="673697C7" w14:textId="77777777" w:rsidR="00CB542F" w:rsidRDefault="00573A58">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346992AC" w14:textId="77777777" w:rsidR="00CB542F" w:rsidRDefault="00CB542F">
            <w:pPr>
              <w:widowControl w:val="0"/>
              <w:kinsoku w:val="0"/>
              <w:overflowPunct w:val="0"/>
              <w:autoSpaceDE w:val="0"/>
              <w:autoSpaceDN w:val="0"/>
              <w:adjustRightInd w:val="0"/>
              <w:spacing w:before="6"/>
              <w:jc w:val="center"/>
              <w:rPr>
                <w:b/>
                <w:bCs/>
                <w:color w:val="000000"/>
                <w:szCs w:val="22"/>
                <w:lang w:val="sl-SI" w:eastAsia="sl-SI"/>
              </w:rPr>
            </w:pPr>
          </w:p>
          <w:p w14:paraId="512CA11B"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 (0,4 %)</w:t>
            </w:r>
          </w:p>
        </w:tc>
        <w:tc>
          <w:tcPr>
            <w:tcW w:w="2477" w:type="dxa"/>
            <w:shd w:val="clear" w:color="auto" w:fill="auto"/>
          </w:tcPr>
          <w:p w14:paraId="382D73BB" w14:textId="77777777" w:rsidR="00CB542F" w:rsidRDefault="00CB542F">
            <w:pPr>
              <w:widowControl w:val="0"/>
              <w:kinsoku w:val="0"/>
              <w:overflowPunct w:val="0"/>
              <w:autoSpaceDE w:val="0"/>
              <w:autoSpaceDN w:val="0"/>
              <w:adjustRightInd w:val="0"/>
              <w:spacing w:before="6"/>
              <w:jc w:val="center"/>
              <w:rPr>
                <w:b/>
                <w:bCs/>
                <w:color w:val="000000"/>
                <w:szCs w:val="22"/>
                <w:lang w:val="sl-SI" w:eastAsia="sl-SI"/>
              </w:rPr>
            </w:pPr>
          </w:p>
          <w:p w14:paraId="42BDAE7E" w14:textId="77777777" w:rsidR="00CB542F" w:rsidRDefault="00573A58">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37 (5,6 %)</w:t>
            </w:r>
          </w:p>
        </w:tc>
      </w:tr>
      <w:tr w:rsidR="00CB542F" w14:paraId="78817DEC" w14:textId="77777777">
        <w:trPr>
          <w:trHeight w:val="254"/>
        </w:trPr>
        <w:tc>
          <w:tcPr>
            <w:tcW w:w="2304" w:type="dxa"/>
            <w:shd w:val="clear" w:color="auto" w:fill="auto"/>
          </w:tcPr>
          <w:p w14:paraId="6AEB4712"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5F12725A"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61B9DE5B"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0,09, 1,28</w:t>
            </w:r>
          </w:p>
        </w:tc>
        <w:tc>
          <w:tcPr>
            <w:tcW w:w="2477" w:type="dxa"/>
            <w:shd w:val="clear" w:color="auto" w:fill="auto"/>
          </w:tcPr>
          <w:p w14:paraId="329425F9"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3,97, 7,62</w:t>
            </w:r>
          </w:p>
        </w:tc>
      </w:tr>
      <w:tr w:rsidR="00CB542F" w14:paraId="0D62B6E2" w14:textId="77777777">
        <w:trPr>
          <w:trHeight w:val="254"/>
        </w:trPr>
        <w:tc>
          <w:tcPr>
            <w:tcW w:w="2304" w:type="dxa"/>
            <w:shd w:val="clear" w:color="auto" w:fill="auto"/>
          </w:tcPr>
          <w:p w14:paraId="1AC8B6FB"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GVT</w:t>
            </w:r>
          </w:p>
        </w:tc>
        <w:tc>
          <w:tcPr>
            <w:tcW w:w="2676" w:type="dxa"/>
            <w:shd w:val="clear" w:color="auto" w:fill="auto"/>
          </w:tcPr>
          <w:p w14:paraId="2120728F"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2477" w:type="dxa"/>
            <w:shd w:val="clear" w:color="auto" w:fill="auto"/>
          </w:tcPr>
          <w:p w14:paraId="74D79457"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 (3,5 %)</w:t>
            </w:r>
          </w:p>
        </w:tc>
      </w:tr>
      <w:tr w:rsidR="00CB542F" w14:paraId="3F0F5FA4" w14:textId="77777777">
        <w:trPr>
          <w:trHeight w:val="251"/>
        </w:trPr>
        <w:tc>
          <w:tcPr>
            <w:tcW w:w="2304" w:type="dxa"/>
            <w:shd w:val="clear" w:color="auto" w:fill="auto"/>
          </w:tcPr>
          <w:p w14:paraId="1F0EB786"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12A344BB"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1C90847D"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0,04, 1,06</w:t>
            </w:r>
          </w:p>
        </w:tc>
        <w:tc>
          <w:tcPr>
            <w:tcW w:w="2477" w:type="dxa"/>
            <w:shd w:val="clear" w:color="auto" w:fill="auto"/>
          </w:tcPr>
          <w:p w14:paraId="6F377EFB"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2,21, 5,17</w:t>
            </w:r>
          </w:p>
        </w:tc>
      </w:tr>
      <w:tr w:rsidR="00CB542F" w14:paraId="6AA38746" w14:textId="77777777">
        <w:trPr>
          <w:trHeight w:val="253"/>
        </w:trPr>
        <w:tc>
          <w:tcPr>
            <w:tcW w:w="2304" w:type="dxa"/>
            <w:shd w:val="clear" w:color="auto" w:fill="auto"/>
          </w:tcPr>
          <w:p w14:paraId="4BD4E52D"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PE</w:t>
            </w:r>
          </w:p>
        </w:tc>
        <w:tc>
          <w:tcPr>
            <w:tcW w:w="2676" w:type="dxa"/>
            <w:shd w:val="clear" w:color="auto" w:fill="auto"/>
          </w:tcPr>
          <w:p w14:paraId="4168DDF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77" w:type="dxa"/>
            <w:shd w:val="clear" w:color="auto" w:fill="auto"/>
          </w:tcPr>
          <w:p w14:paraId="6F174449"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 (2,1 %)</w:t>
            </w:r>
          </w:p>
        </w:tc>
      </w:tr>
      <w:tr w:rsidR="00CB542F" w14:paraId="1AD648C9" w14:textId="77777777">
        <w:trPr>
          <w:trHeight w:val="251"/>
        </w:trPr>
        <w:tc>
          <w:tcPr>
            <w:tcW w:w="2304" w:type="dxa"/>
            <w:shd w:val="clear" w:color="auto" w:fill="auto"/>
          </w:tcPr>
          <w:p w14:paraId="1E8971DB"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19E1A7D7"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00F0AF5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0,00, 0,82</w:t>
            </w:r>
          </w:p>
        </w:tc>
        <w:tc>
          <w:tcPr>
            <w:tcW w:w="2477" w:type="dxa"/>
            <w:shd w:val="clear" w:color="auto" w:fill="auto"/>
          </w:tcPr>
          <w:p w14:paraId="2C823920"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1,16, 3,52</w:t>
            </w:r>
          </w:p>
        </w:tc>
      </w:tr>
      <w:tr w:rsidR="00CB542F" w14:paraId="0F491E76" w14:textId="77777777">
        <w:trPr>
          <w:trHeight w:val="253"/>
        </w:trPr>
        <w:tc>
          <w:tcPr>
            <w:tcW w:w="2304" w:type="dxa"/>
            <w:shd w:val="clear" w:color="auto" w:fill="auto"/>
          </w:tcPr>
          <w:p w14:paraId="29B302ED"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Su VTE susijusios</w:t>
            </w:r>
          </w:p>
          <w:p w14:paraId="53840D42"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mirtys</w:t>
            </w:r>
          </w:p>
        </w:tc>
        <w:tc>
          <w:tcPr>
            <w:tcW w:w="2676" w:type="dxa"/>
            <w:shd w:val="clear" w:color="auto" w:fill="auto"/>
          </w:tcPr>
          <w:p w14:paraId="0BFD864B"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181596DB" w14:textId="77777777" w:rsidR="00CB542F" w:rsidRDefault="00573A58">
            <w:pPr>
              <w:widowControl w:val="0"/>
              <w:kinsoku w:val="0"/>
              <w:overflowPunct w:val="0"/>
              <w:autoSpaceDE w:val="0"/>
              <w:autoSpaceDN w:val="0"/>
              <w:adjustRightInd w:val="0"/>
              <w:spacing w:line="234" w:lineRule="exact"/>
              <w:ind w:left="751"/>
              <w:jc w:val="center"/>
              <w:rPr>
                <w:color w:val="000000"/>
                <w:szCs w:val="22"/>
                <w:lang w:val="sl-SI" w:eastAsia="sl-SI"/>
              </w:rPr>
            </w:pPr>
            <w:r>
              <w:rPr>
                <w:color w:val="000000"/>
                <w:szCs w:val="22"/>
                <w:lang w:val="sl-SI" w:eastAsia="sl-SI"/>
              </w:rPr>
              <w:t>0 (0)</w:t>
            </w:r>
          </w:p>
        </w:tc>
      </w:tr>
      <w:tr w:rsidR="00CB542F" w14:paraId="00F28065" w14:textId="77777777">
        <w:trPr>
          <w:trHeight w:val="251"/>
        </w:trPr>
        <w:tc>
          <w:tcPr>
            <w:tcW w:w="2304" w:type="dxa"/>
            <w:shd w:val="clear" w:color="auto" w:fill="auto"/>
          </w:tcPr>
          <w:p w14:paraId="0322529D"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56C7F7EC"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507EFCFD"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32BC681A"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0.00, 0.56</w:t>
            </w:r>
          </w:p>
        </w:tc>
      </w:tr>
      <w:tr w:rsidR="00CB542F" w14:paraId="0053464E" w14:textId="77777777">
        <w:trPr>
          <w:trHeight w:val="253"/>
        </w:trPr>
        <w:tc>
          <w:tcPr>
            <w:tcW w:w="2304" w:type="dxa"/>
            <w:shd w:val="clear" w:color="auto" w:fill="auto"/>
          </w:tcPr>
          <w:p w14:paraId="72345916"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Neišaiškintos mirtys</w:t>
            </w:r>
          </w:p>
        </w:tc>
        <w:tc>
          <w:tcPr>
            <w:tcW w:w="2676" w:type="dxa"/>
            <w:shd w:val="clear" w:color="auto" w:fill="auto"/>
          </w:tcPr>
          <w:p w14:paraId="5D4A9C4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125920F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w:t>
            </w:r>
          </w:p>
        </w:tc>
      </w:tr>
      <w:tr w:rsidR="00CB542F" w14:paraId="68916813" w14:textId="77777777">
        <w:trPr>
          <w:trHeight w:val="253"/>
        </w:trPr>
        <w:tc>
          <w:tcPr>
            <w:tcW w:w="2304" w:type="dxa"/>
            <w:shd w:val="clear" w:color="auto" w:fill="auto"/>
          </w:tcPr>
          <w:p w14:paraId="15BCE140"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0A1A0F99"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24D51D0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1EC78DA3"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r w:rsidR="00CB542F" w14:paraId="1DCA27E8" w14:textId="77777777">
        <w:trPr>
          <w:trHeight w:val="251"/>
        </w:trPr>
        <w:tc>
          <w:tcPr>
            <w:tcW w:w="2304" w:type="dxa"/>
            <w:shd w:val="clear" w:color="auto" w:fill="auto"/>
          </w:tcPr>
          <w:p w14:paraId="2D529425"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Mirtys dėl visų</w:t>
            </w:r>
          </w:p>
          <w:p w14:paraId="540A10DA" w14:textId="77777777" w:rsidR="00CB542F" w:rsidRDefault="00573A58">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21356AFE"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1956460D" w14:textId="77777777" w:rsidR="00CB542F" w:rsidRDefault="00573A58">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 (0,3 %)</w:t>
            </w:r>
          </w:p>
        </w:tc>
      </w:tr>
      <w:tr w:rsidR="00CB542F" w14:paraId="66FED89D" w14:textId="77777777">
        <w:trPr>
          <w:trHeight w:val="253"/>
        </w:trPr>
        <w:tc>
          <w:tcPr>
            <w:tcW w:w="2304" w:type="dxa"/>
            <w:shd w:val="clear" w:color="auto" w:fill="auto"/>
          </w:tcPr>
          <w:p w14:paraId="6F69B82F"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45CBD929" w14:textId="77777777" w:rsidR="00CB542F" w:rsidRDefault="00573A58">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3856DDE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778C9361"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bl>
    <w:p w14:paraId="59C8D9EC" w14:textId="77777777" w:rsidR="00CB542F" w:rsidRDefault="00CB542F">
      <w:pPr>
        <w:widowControl w:val="0"/>
        <w:autoSpaceDE w:val="0"/>
        <w:autoSpaceDN w:val="0"/>
        <w:rPr>
          <w:b/>
          <w:bCs/>
        </w:rPr>
      </w:pPr>
    </w:p>
    <w:p w14:paraId="095D193D" w14:textId="77777777" w:rsidR="00CB542F" w:rsidRDefault="00573A58">
      <w:pPr>
        <w:widowControl w:val="0"/>
        <w:autoSpaceDE w:val="0"/>
        <w:autoSpaceDN w:val="0"/>
        <w:rPr>
          <w:i/>
          <w:u w:val="single"/>
        </w:rPr>
      </w:pPr>
      <w:r>
        <w:rPr>
          <w:i/>
          <w:u w:val="single"/>
        </w:rPr>
        <w:t>Tromboembolijos profilaktikos pacientams, kuriems implantuoti širdies vožtuvų protezai, klinikiniai tyrimai</w:t>
      </w:r>
    </w:p>
    <w:p w14:paraId="539DFF38" w14:textId="77777777" w:rsidR="00CB542F" w:rsidRDefault="00CB542F">
      <w:pPr>
        <w:widowControl w:val="0"/>
        <w:autoSpaceDE w:val="0"/>
        <w:autoSpaceDN w:val="0"/>
      </w:pPr>
    </w:p>
    <w:p w14:paraId="6F54DAD0" w14:textId="77777777" w:rsidR="00CB542F" w:rsidRDefault="00573A58">
      <w:pPr>
        <w:widowControl w:val="0"/>
        <w:autoSpaceDE w:val="0"/>
        <w:autoSpaceDN w:val="0"/>
      </w:pPr>
      <w:r>
        <w:t>II fazės tyrimu buvo tirtas dabigatrano eteksilato ir varfarino poveikis iš viso 252 pacientams, kuriems neseniai (t. y. šio buvimo ligoninėje laikotarpiu) buvo atlikta mechaninio širdies vožtuvo implantavimo operacija arba kuriems mechaninio širdies vožtuvo operacija buvo atlikta daugiau negu prieš 3 mėnesius. Gydant dabigatrano eteksilatu, tromboembolijos reiškinių (daugiausia insulto ir simptominės ar besimptomės vožtuvo protezo trombozės) bei kraujavimo reiškinių buvo daugiau, negu gydant varfarinu. Ankstyvuoju pooperaciniu laikotarpiu didysis kraujavimas, daugiausia hemoraginė perikardo eksudacija, pasireiškė ypač pacientams, kurie po širdies vožtuvo implantavimo operacijos dabigatrano eteksilato pradėjo vartoti anksti (t. y. trečią parą) (žr. 4.3 skyrių).</w:t>
      </w:r>
    </w:p>
    <w:p w14:paraId="255B44BE" w14:textId="77777777" w:rsidR="00CB542F" w:rsidRDefault="00CB542F">
      <w:pPr>
        <w:widowControl w:val="0"/>
        <w:autoSpaceDE w:val="0"/>
        <w:autoSpaceDN w:val="0"/>
      </w:pPr>
    </w:p>
    <w:p w14:paraId="3968E525" w14:textId="77777777" w:rsidR="00CB542F" w:rsidRDefault="00573A58">
      <w:pPr>
        <w:widowControl w:val="0"/>
        <w:autoSpaceDE w:val="0"/>
        <w:autoSpaceDN w:val="0"/>
        <w:rPr>
          <w:iCs/>
          <w:u w:val="single"/>
        </w:rPr>
      </w:pPr>
      <w:r>
        <w:rPr>
          <w:iCs/>
          <w:u w:val="single"/>
        </w:rPr>
        <w:t>Vaikų populiacija</w:t>
      </w:r>
    </w:p>
    <w:p w14:paraId="082B9828" w14:textId="77777777" w:rsidR="00CB542F" w:rsidRDefault="00CB542F">
      <w:pPr>
        <w:widowControl w:val="0"/>
        <w:autoSpaceDE w:val="0"/>
        <w:autoSpaceDN w:val="0"/>
        <w:rPr>
          <w:u w:val="single"/>
        </w:rPr>
      </w:pPr>
    </w:p>
    <w:p w14:paraId="0B78F699" w14:textId="77777777" w:rsidR="00CB542F" w:rsidRDefault="00573A58">
      <w:pPr>
        <w:widowControl w:val="0"/>
        <w:autoSpaceDE w:val="0"/>
        <w:autoSpaceDN w:val="0"/>
        <w:rPr>
          <w:i/>
          <w:iCs/>
          <w:u w:val="single"/>
        </w:rPr>
      </w:pPr>
      <w:r>
        <w:rPr>
          <w:i/>
          <w:iCs/>
          <w:u w:val="single"/>
        </w:rPr>
        <w:t>Insulto ir sisteminės embolijos profilaktika suaugusiems pacientams, kuriems pasireiškia NVPV ir yra vienas ar daugiau rizikos veiksnių</w:t>
      </w:r>
    </w:p>
    <w:p w14:paraId="3A990AAC" w14:textId="77777777" w:rsidR="00CB542F" w:rsidRDefault="00CB542F">
      <w:pPr>
        <w:widowControl w:val="0"/>
        <w:autoSpaceDE w:val="0"/>
        <w:autoSpaceDN w:val="0"/>
      </w:pPr>
    </w:p>
    <w:p w14:paraId="1C3B4014" w14:textId="77777777" w:rsidR="00CB542F" w:rsidRDefault="00573A58">
      <w:pPr>
        <w:widowControl w:val="0"/>
        <w:autoSpaceDE w:val="0"/>
        <w:autoSpaceDN w:val="0"/>
      </w:pPr>
      <w:r>
        <w:t>Europos vaistų agentūra atleido nuo įpareigojimo pateikti dabigatrano eteksilato tyrimų su visais vaikų populiacijos pogrupiais duomenis insulto bei sisteminės embolijos profilaktikos indikacijai pacientams, sergantiems NVPV (vartojimo vaikams informacija pateikiama 4.2 skyriuje).</w:t>
      </w:r>
    </w:p>
    <w:p w14:paraId="2815FFB5" w14:textId="77777777" w:rsidR="00CB542F" w:rsidRDefault="00CB542F">
      <w:pPr>
        <w:widowControl w:val="0"/>
        <w:autoSpaceDE w:val="0"/>
        <w:autoSpaceDN w:val="0"/>
      </w:pPr>
    </w:p>
    <w:p w14:paraId="6EFF7E52" w14:textId="77777777" w:rsidR="00CB542F" w:rsidRDefault="00573A58">
      <w:pPr>
        <w:widowControl w:val="0"/>
        <w:autoSpaceDE w:val="0"/>
        <w:autoSpaceDN w:val="0"/>
        <w:rPr>
          <w:i/>
          <w:iCs/>
          <w:u w:val="single"/>
        </w:rPr>
      </w:pPr>
      <w:r>
        <w:rPr>
          <w:i/>
          <w:iCs/>
          <w:u w:val="single"/>
        </w:rPr>
        <w:t>VTE gydymas ir VTE pasikartojimo profilaktika pacientams vaikams</w:t>
      </w:r>
    </w:p>
    <w:p w14:paraId="5A9DF923" w14:textId="77777777" w:rsidR="00CB542F" w:rsidRDefault="00CB542F">
      <w:pPr>
        <w:widowControl w:val="0"/>
        <w:autoSpaceDE w:val="0"/>
        <w:autoSpaceDN w:val="0"/>
      </w:pPr>
    </w:p>
    <w:p w14:paraId="796B9C89" w14:textId="77777777" w:rsidR="00CB542F" w:rsidRDefault="00573A58">
      <w:pPr>
        <w:widowControl w:val="0"/>
        <w:autoSpaceDE w:val="0"/>
        <w:autoSpaceDN w:val="0"/>
      </w:pPr>
      <w:r>
        <w:t xml:space="preserve">Tyrimas DIVERSITY atliktas, siekiant parodyti dabigatrano eteksilato veiksmingumą ir saugumą, palyginti su standartiniu gydymu (SG), taikomu gydant VTE pacientams vaikams nuo gimimo iki jaunesni kaip 18 metų. Tyrimo dizainas - atvirasis, atsitiktinių imčių, paralelinių grupių tyrimas, </w:t>
      </w:r>
      <w:r>
        <w:lastRenderedPageBreak/>
        <w:t>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heparinus (MMMH) arba vitamino K antagonistus (VKA), arba fondaparinuksą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30613865" w14:textId="77777777" w:rsidR="00CB542F" w:rsidRDefault="00573A58">
      <w:pPr>
        <w:widowControl w:val="0"/>
        <w:autoSpaceDE w:val="0"/>
        <w:autoSpaceDN w:val="0"/>
      </w:pPr>
      <w:r>
        <w:t>Atsitiktinių imčių būdu atrinkti iš viso 267 pacientai. 176 pacientai iš jų gydyti dabigatrano eteksilatu, o 90 pacientų taikytas SG (1 atsitiktinių imčių būdu atrinktas pacientas nebuvo gydomas). 168 pacientai buvo nuo 12 iki jaunesni kaip 18 metų amžiaus, 64 pacientai – nuo 2 iki jaunesni kaip 12 metų amžiaus, o 35 pacientai – jaunesni kaip 2 metų amžiaus.</w:t>
      </w:r>
    </w:p>
    <w:p w14:paraId="1CBD41A7" w14:textId="77777777" w:rsidR="00CB542F" w:rsidRDefault="00573A58">
      <w:pPr>
        <w:widowControl w:val="0"/>
        <w:autoSpaceDE w:val="0"/>
        <w:autoSpaceDN w:val="0"/>
      </w:pPr>
      <w:r>
        <w:t>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w:t>
      </w:r>
    </w:p>
    <w:p w14:paraId="238C57AC" w14:textId="77777777" w:rsidR="00CB542F" w:rsidRDefault="00573A58">
      <w:pPr>
        <w:widowControl w:val="0"/>
        <w:autoSpaceDE w:val="0"/>
        <w:autoSpaceDN w:val="0"/>
      </w:pPr>
      <w:r>
        <w:t>Atitinkamas dažnio skirtumas parodė, kad gydymo dabigatrano eteksilatu poveikis ne prastesnis nei SG. Apskritai, nuoseklūs rezultatai stebėti ir visuose pogrupiuose: pogrupiuose pagal amžių, lytį, regioną ir tam tikrų rizikos faktorių buvimą reikšmingų gydymo poveikio skirtumų nenustatyta. Tiriant 3 skirtingo amžiaus sluoksnius,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5A0C1735" w14:textId="77777777" w:rsidR="00CB542F" w:rsidRDefault="00573A58">
      <w:pPr>
        <w:widowControl w:val="0"/>
        <w:autoSpaceDE w:val="0"/>
        <w:autoSpaceDN w:val="0"/>
      </w:pPr>
      <w:r>
        <w:t>Pagal pranešimus, nepriklausomo vertinimo komiteto išnagrinėti ir įvertinti didžiojo kraujavimo atvejai nustatyti 4 pacientams (2,3 %) dabigatrano eteksilato grupėje ir 2 pacientams (2,2 %) SG grupėje. Statistiškai reikšmingo laiko iki pirmojo didžiojo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 (taikant gydymą) nustatyta 6 (3,4 %) dabigatrano eteksilato grupės pacientams ir 3 (3,3 %) SG grupės pacientams.</w:t>
      </w:r>
    </w:p>
    <w:p w14:paraId="1CE32F29" w14:textId="77777777" w:rsidR="00CB542F" w:rsidRDefault="00CB542F">
      <w:pPr>
        <w:widowControl w:val="0"/>
        <w:autoSpaceDE w:val="0"/>
        <w:autoSpaceDN w:val="0"/>
      </w:pPr>
    </w:p>
    <w:p w14:paraId="529508BE" w14:textId="77777777" w:rsidR="00CB542F" w:rsidRDefault="00573A58">
      <w:pPr>
        <w:widowControl w:val="0"/>
        <w:autoSpaceDE w:val="0"/>
        <w:autoSpaceDN w:val="0"/>
      </w:pPr>
      <w:r>
        <w:t>Atvirasis, vienos grupės perspektyvinis saugumo kohortos, daugiacentris III fazės tyrimas (1160.108) atliktas siekiant įvertinti dabigatrano eteksilato, skiriamo VTE pasikartojimo profilaktikai pacientams vaikams nuo gimimo iki jaunesniems kaip 18 metų.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(kapsules, dengtas granules arba geriamąjį tirpalą) dabigatrano eteksilato dozes, kurias vartojo iki išnyks klinikinės rizikos veiksniai arba ne ilgiau kaip 12 mėnesių. Pirminės tyrimo vertinamosios baigtys apėmė VTE pasikartojimą, didžiojo ir lengvo kraujavimo reiškinius ir mirštamumą (bendrąjį ir susijusį su trombozės arba tromboembolijos reiškiniais) 6-ąjį ir 12-ąjį mėnesiais. Su reiškiniais susijusius padarinius koduotu būdu nagrinėjo nepriklausomas vertinimo komitetas.</w:t>
      </w:r>
    </w:p>
    <w:p w14:paraId="3A7D3A7D" w14:textId="77777777" w:rsidR="00CB542F" w:rsidRDefault="00573A58">
      <w:pPr>
        <w:widowControl w:val="0"/>
        <w:autoSpaceDE w:val="0"/>
        <w:autoSpaceDN w:val="0"/>
      </w:pPr>
      <w:r>
        <w:t>Tyrimą pradėjo iš viso 214 pacientų; iš jų 162 pacientai buvo 1-ajame amžiaus sluoksnyje (nuo 12 iki jaunesni kaip 18 metų), 43 pacientai – 2-ajame amžiaus sluoksnyje (nuo 2 iki jaunesni kaip 12 metų) ir 9 pacientai – 3-iajame amžiaus sluoksnyje (nuo gimimo iki jaunesni kaip 2 metų). Gydymo laikotarpiu 3 pacientai (1,4 %) patyrė nepriklausomo komiteto išnagrinėtą ir patvirtintą VTE pasikartojimą per pirmuosius 12 mėnesių po gydymo pradžios. Per pirmuosius 12 gydymo mėnesių apie kraujavimo reiškinius, kuriuos išnagrinėjo ir patvirtino nepriklausomas komitetas, pranešė 48 pacientai (22,5 %). Didžioji dalis kraujavimo reiškinių buvo lengvi. 3 pacientams (1,4 %) nepriklausomai išnagrinėtas ir patvirtintas didžiojo kraujavimo reiškinys pasireiškė per pirmuosius 12 mėnesių. Pagal pranešimus, 3 pacientams (1,4 %) nepriklausomo komiteto išnagrinėtas ir patvirtintas KRND kraujavimas pasireiškė per pirmuosius 12 mėnesių. Su gydymu susijusių mirčių nenustatyta. Gydymo laikotarpiu 3 pacientams (1,4 %) pasireiškė potrombozinis sindromas (PTS) arba PTS pasunkėjo per pirmuosius 12 mėnesių.</w:t>
      </w:r>
    </w:p>
    <w:p w14:paraId="7139A29A" w14:textId="77777777" w:rsidR="00CB542F" w:rsidRDefault="00CB542F">
      <w:pPr>
        <w:widowControl w:val="0"/>
        <w:autoSpaceDE w:val="0"/>
        <w:autoSpaceDN w:val="0"/>
      </w:pPr>
    </w:p>
    <w:p w14:paraId="4B1FDBF1" w14:textId="77777777" w:rsidR="00CB542F" w:rsidRDefault="00573A58">
      <w:pPr>
        <w:ind w:left="567" w:hanging="567"/>
        <w:rPr>
          <w:b/>
        </w:rPr>
      </w:pPr>
      <w:r>
        <w:rPr>
          <w:b/>
        </w:rPr>
        <w:t>5.2</w:t>
      </w:r>
      <w:r>
        <w:rPr>
          <w:b/>
        </w:rPr>
        <w:tab/>
        <w:t>Farmakokinetinės savybės</w:t>
      </w:r>
    </w:p>
    <w:p w14:paraId="204578E8" w14:textId="77777777" w:rsidR="00CB542F" w:rsidRDefault="00CB542F">
      <w:pPr>
        <w:rPr>
          <w:b/>
        </w:rPr>
      </w:pPr>
    </w:p>
    <w:p w14:paraId="243C1348" w14:textId="77777777" w:rsidR="00CB542F" w:rsidRDefault="00573A58">
      <w:r>
        <w:t>Išgertas dabigatrano eteksilatas greitai ir visas verčiamas dabigatranu, kuris yra aktyvi forma kraujo plazmoje. Provaisto dabigatrano eteksilato skaldymas esterazės katalizuojama hidrolize į aktyvią medžiagą dabigatraną yra vyraujanti metabolizmo reakcija. Dabigatrano išgėrus, absoliutus biologinis dabigatrano prieinamumas yra maždaug 6,5 %.</w:t>
      </w:r>
    </w:p>
    <w:p w14:paraId="2FBC7112" w14:textId="77777777" w:rsidR="00CB542F" w:rsidRDefault="00573A58">
      <w:r>
        <w:t>Dabigatrano išgėrusių sveikų savanorių kraujo plazmoje dabigatrano farmakokinetikai būdinga tai, kad jo koncentracija kraujo plazmoje didėja greitai ir didžiausia (C</w:t>
      </w:r>
      <w:r>
        <w:rPr>
          <w:szCs w:val="22"/>
          <w:vertAlign w:val="subscript"/>
        </w:rPr>
        <w:t>max</w:t>
      </w:r>
      <w:r>
        <w:t>) tampa per 0,5-2 val. po pavartojimo.</w:t>
      </w:r>
    </w:p>
    <w:p w14:paraId="6B4A970E" w14:textId="77777777" w:rsidR="00CB542F" w:rsidRDefault="00CB542F"/>
    <w:p w14:paraId="2791D3EC" w14:textId="77777777" w:rsidR="00CB542F" w:rsidRDefault="00573A58">
      <w:pPr>
        <w:rPr>
          <w:u w:val="single"/>
        </w:rPr>
      </w:pPr>
      <w:r>
        <w:rPr>
          <w:u w:val="single"/>
        </w:rPr>
        <w:t>Absorbcija</w:t>
      </w:r>
    </w:p>
    <w:p w14:paraId="207BC480" w14:textId="77777777" w:rsidR="00CB542F" w:rsidRDefault="00CB542F"/>
    <w:p w14:paraId="472E2C14" w14:textId="77777777" w:rsidR="00CB542F" w:rsidRDefault="00573A58">
      <w:r>
        <w:t>Tyrimo, kuriuo buvo nustatoma 1-3 val. laikotarpiu po operacijos pavartoto dabigatrano eteksilato absorbcija, rezultatai rodo, kad absorbcija, palyginti su vykstančia sveikų savanorių organizme, santykinai yra lėta, koncentracijos kitimas kraujo plazmoje priklausomai nuo laiko yra lygus, be didelio didžiausios koncentracijos padidėjimo. Preparato išgėrus pooperaciniu laikotarpiu, didžiausia koncentracija kraujo plazmoje atsiranda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atsiranda po 2 val.</w:t>
      </w:r>
    </w:p>
    <w:p w14:paraId="515DE357" w14:textId="77777777" w:rsidR="00CB542F" w:rsidRDefault="00CB542F"/>
    <w:p w14:paraId="19E765E9" w14:textId="77777777" w:rsidR="00CB542F" w:rsidRDefault="00573A58">
      <w:r>
        <w:t>Maistas biologiniam dabigatrano eteksilato prieinamumui įtakos nedaro, tačiau laiką, per kurį koncentracija kraujo plazmoje tampa didžiausia, pailgina 2 val.</w:t>
      </w:r>
    </w:p>
    <w:p w14:paraId="5D3D654C" w14:textId="77777777" w:rsidR="00CB542F" w:rsidRDefault="00CB542F"/>
    <w:p w14:paraId="176403A8" w14:textId="77777777" w:rsidR="00CB542F" w:rsidRDefault="00573A58">
      <w:r>
        <w:t>C</w:t>
      </w:r>
      <w:r>
        <w:rPr>
          <w:vertAlign w:val="subscript"/>
        </w:rPr>
        <w:t>max</w:t>
      </w:r>
      <w:r>
        <w:t xml:space="preserve"> ir AUC buvo proporcingi dozei.</w:t>
      </w:r>
    </w:p>
    <w:p w14:paraId="72ECFED9" w14:textId="77777777" w:rsidR="00CB542F" w:rsidRDefault="00CB542F"/>
    <w:p w14:paraId="08F9BB3A" w14:textId="77777777" w:rsidR="00CB542F" w:rsidRDefault="00573A58">
      <w:r>
        <w:t>Per burną pavartoto vaistinio preparato biologinis prieinamumas po vienkartinės dozės pavartojimo gali padidėti 75 %, nusistovėjus pusiausvyrinei koncentracijai – 37 %, palyginti su referencinės kapsulės, kai granulės geriamos nesupiltos į kapsulės apvalkalą, kuriame yra hidroksipropilmetilceliuliozės (HPMC). Taigi klinikinio vartojimo metu visada būtina išsaugoti kapsulių, kuriose yra HPMC, vientisumą, kad netyčia nepadidėtų biologinis dabigatrano eteksilato prieinamumas (žr. 4.2 skyrių).</w:t>
      </w:r>
    </w:p>
    <w:p w14:paraId="6F90653A" w14:textId="77777777" w:rsidR="00CB542F" w:rsidRDefault="00CB542F"/>
    <w:p w14:paraId="11885503" w14:textId="77777777" w:rsidR="00CB542F" w:rsidRDefault="00573A58">
      <w:pPr>
        <w:rPr>
          <w:u w:val="single"/>
        </w:rPr>
      </w:pPr>
      <w:r>
        <w:rPr>
          <w:u w:val="single"/>
        </w:rPr>
        <w:t>Pasiskirstymas</w:t>
      </w:r>
    </w:p>
    <w:p w14:paraId="36322025" w14:textId="77777777" w:rsidR="00CB542F" w:rsidRDefault="00CB542F"/>
    <w:p w14:paraId="3C07ECEE" w14:textId="77777777" w:rsidR="00CB542F" w:rsidRDefault="00573A58">
      <w:r>
        <w:t>Nustatyta, kad nepriklausomai nuo koncentracijos dydžio prie žmogaus kraujo plazmos baltymų dabigatrano prisijungia mažai (34-35 %). Dabigatrano pasiskirstymo tūris, t. y. 60-70 l, viršija bendrą organizmo vandens tūrį, vadinasi, audiniuose medikamento pasiskirstymas yra saikingas.</w:t>
      </w:r>
    </w:p>
    <w:p w14:paraId="171936DD" w14:textId="77777777" w:rsidR="00CB542F" w:rsidRDefault="00CB542F"/>
    <w:p w14:paraId="3D5A6BF1" w14:textId="77777777" w:rsidR="00CB542F" w:rsidRDefault="00573A58">
      <w:pPr>
        <w:rPr>
          <w:u w:val="single"/>
        </w:rPr>
      </w:pPr>
      <w:r>
        <w:rPr>
          <w:u w:val="single"/>
        </w:rPr>
        <w:t>Biotransformacija</w:t>
      </w:r>
    </w:p>
    <w:p w14:paraId="50EBC41B" w14:textId="77777777" w:rsidR="00CB542F" w:rsidRDefault="00CB542F"/>
    <w:p w14:paraId="7FCF2B8D" w14:textId="77777777" w:rsidR="00CB542F" w:rsidRDefault="00573A58">
      <w:r>
        <w:t>Dabigatrano metabolizmas ir išsiskyrimas buvo tirti sveikų vyrų, kuriems viena radioaktyviaisiais izotopais žymėto preparato dozė buvo suleista į veną, organizme. Dozę suleidus į veną, daugiausiai (85 %) su dabigatranu susijusio radioaktyvumo buvo pašalinta su šlapimu. Su išmatomis išsiskyrė 6 % dozės. Per pirmas 168 val. po dozės suleidimo išsiskyrė 88-94 % bendro radioaktyvumo.</w:t>
      </w:r>
    </w:p>
    <w:p w14:paraId="49C6C811" w14:textId="77777777" w:rsidR="00CB542F" w:rsidRDefault="00CB542F"/>
    <w:p w14:paraId="69F61A27" w14:textId="77777777" w:rsidR="00CB542F" w:rsidRDefault="00573A58">
      <w:r>
        <w:t>Dabigatranas yra konjugacijos, kurios metu susidaro farmakologiškai aktyvūs acilgliukuronidai, substratas. Yra 4 padėčių izomerai: 1-O, 2-O, 3-O, 4-O, kurių kiekvienas sudaro mažiau kaip 10 % bendro dabigatrano kiekio kraujo plazmoje. Labai mažas kitokių metabolitų kiekis buvo nustatytas tik labai jautriu analizės metodu. Daugiausiai dabigatrano išsiskiria nepakitusio su šlapimu, išsiskyrimo greitis – maždaug 100 ml/min. (atitinka glomerulų filtracijos greitį).</w:t>
      </w:r>
    </w:p>
    <w:p w14:paraId="21562C2D" w14:textId="77777777" w:rsidR="00CB542F" w:rsidRDefault="00CB542F"/>
    <w:p w14:paraId="01E9844E" w14:textId="77777777" w:rsidR="00CB542F" w:rsidRDefault="00573A58">
      <w:pPr>
        <w:rPr>
          <w:u w:val="single"/>
        </w:rPr>
      </w:pPr>
      <w:r>
        <w:rPr>
          <w:u w:val="single"/>
        </w:rPr>
        <w:t>Eliminacija</w:t>
      </w:r>
    </w:p>
    <w:p w14:paraId="76856286" w14:textId="77777777" w:rsidR="00CB542F" w:rsidRDefault="00CB542F"/>
    <w:p w14:paraId="7621A5BD" w14:textId="77777777" w:rsidR="00CB542F" w:rsidRDefault="00573A58">
      <w:r>
        <w:t xml:space="preserve">Dabigatrano koncentracijos mažėjimas kraujo plazmoje yra bieksponentinis, o vidutinis galutinės pusinės eliminacijos laikas yra 11 val. Po daugkartinių dozių vartojimo galutinės pusinės eliminacijos </w:t>
      </w:r>
      <w:r>
        <w:lastRenderedPageBreak/>
        <w:t>laikas buvo 12–14 val. Pusinės eliminacijos iš kraujo plazmos laikas nuo dozės dydžio nepriklauso. Jeigu inkstų funkcija sutrikusi, pusinės eliminacijos iš kraujo plazmos laikas pailgėja (žr. 25 lentelę).</w:t>
      </w:r>
    </w:p>
    <w:p w14:paraId="03E04C8F" w14:textId="77777777" w:rsidR="00CB542F" w:rsidRDefault="00CB542F"/>
    <w:p w14:paraId="4EE5B808" w14:textId="77777777" w:rsidR="00CB542F" w:rsidRDefault="00573A58">
      <w:pPr>
        <w:rPr>
          <w:u w:val="single"/>
        </w:rPr>
      </w:pPr>
      <w:r>
        <w:rPr>
          <w:u w:val="single"/>
        </w:rPr>
        <w:t>Ypatingos populiacijos</w:t>
      </w:r>
    </w:p>
    <w:p w14:paraId="5DD1D994" w14:textId="77777777" w:rsidR="00CB542F" w:rsidRDefault="00CB542F"/>
    <w:p w14:paraId="5694F854" w14:textId="77777777" w:rsidR="00CB542F" w:rsidRDefault="00573A58">
      <w:pPr>
        <w:rPr>
          <w:i/>
          <w:iCs/>
          <w:u w:val="single"/>
        </w:rPr>
      </w:pPr>
      <w:r>
        <w:rPr>
          <w:i/>
          <w:iCs/>
          <w:u w:val="single"/>
        </w:rPr>
        <w:t>Inkstų funkcijos sutrikimas</w:t>
      </w:r>
    </w:p>
    <w:p w14:paraId="2C078822" w14:textId="77777777" w:rsidR="00CB542F" w:rsidRDefault="00573A58">
      <w:r>
        <w:t>I fazės tyrimų metu dabigatrano eteksilato išgėrusių suaugusių savanorių, sergančių vidutinio sunkumo inkstų nepakankamumu (KrKl 30-50 ml/min.), organizme dabigatrano ekspozicija (AUC) buvo maždaug 2,7 karto didesnė negu inkstų nepakankamumu nesergančių tiriamųjų.</w:t>
      </w:r>
    </w:p>
    <w:p w14:paraId="37FE3D1F" w14:textId="77777777" w:rsidR="00CB542F" w:rsidRDefault="00CB542F"/>
    <w:p w14:paraId="2F7B8DA7" w14:textId="77777777" w:rsidR="00CB542F" w:rsidRDefault="00573A58">
      <w:r>
        <w:t>Mažo skaičiaus suaugusių savanorių, sergančių sunkiu inkstų nepakankamumu (KrKl 10 – 30 ml/min.), organizme dabigatrano ekspozicija (AUC) buvo apie 6 kartus didesnė, o pusinė eliminacija maždaug 2 kartus ilgesnė, negu inkstų nepakankamumu nesergančios populiacijos pacientų (žr. 4.2, 4.3 ir 4.4 skyrius).</w:t>
      </w:r>
    </w:p>
    <w:p w14:paraId="31F60CC5" w14:textId="77777777" w:rsidR="00CB542F" w:rsidRDefault="00CB542F">
      <w:pPr>
        <w:widowControl w:val="0"/>
        <w:kinsoku w:val="0"/>
        <w:overflowPunct w:val="0"/>
        <w:autoSpaceDE w:val="0"/>
        <w:autoSpaceDN w:val="0"/>
        <w:adjustRightInd w:val="0"/>
        <w:ind w:left="993" w:hanging="993"/>
        <w:rPr>
          <w:b/>
          <w:bCs/>
          <w:color w:val="000000"/>
          <w:szCs w:val="22"/>
          <w:lang w:val="sl-SI" w:eastAsia="sl-SI"/>
        </w:rPr>
      </w:pPr>
    </w:p>
    <w:p w14:paraId="4754B7E2" w14:textId="77777777" w:rsidR="00CB542F" w:rsidRDefault="00573A58">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 xml:space="preserve">25 lentelė: </w:t>
      </w:r>
      <w:r>
        <w:rPr>
          <w:b/>
          <w:bCs/>
          <w:color w:val="000000"/>
          <w:szCs w:val="22"/>
          <w:lang w:val="sl-SI" w:eastAsia="sl-SI"/>
        </w:rPr>
        <w:tab/>
      </w:r>
      <w:r>
        <w:rPr>
          <w:b/>
          <w:bCs/>
        </w:rPr>
        <w:t>Bendro dabigatrano pusinė eliminacija sveikų tiriamųjų ir tiriamųjų, kurių inkstų funkcija sutrikusi, organizme</w:t>
      </w:r>
    </w:p>
    <w:tbl>
      <w:tblPr>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6339"/>
      </w:tblGrid>
      <w:tr w:rsidR="00CB542F" w14:paraId="1E579730" w14:textId="77777777">
        <w:trPr>
          <w:trHeight w:val="760"/>
        </w:trPr>
        <w:tc>
          <w:tcPr>
            <w:tcW w:w="2734" w:type="dxa"/>
            <w:shd w:val="clear" w:color="auto" w:fill="auto"/>
          </w:tcPr>
          <w:p w14:paraId="181F3C89" w14:textId="77777777" w:rsidR="00CB542F" w:rsidRDefault="00573A58">
            <w:pPr>
              <w:widowControl w:val="0"/>
              <w:kinsoku w:val="0"/>
              <w:overflowPunct w:val="0"/>
              <w:autoSpaceDE w:val="0"/>
              <w:autoSpaceDN w:val="0"/>
              <w:adjustRightInd w:val="0"/>
              <w:spacing w:line="236" w:lineRule="exact"/>
              <w:jc w:val="center"/>
            </w:pPr>
            <w:r>
              <w:t>Glomerulų filtracijos greitis (KrKl)</w:t>
            </w:r>
          </w:p>
          <w:p w14:paraId="016208AC" w14:textId="77777777" w:rsidR="00CB542F" w:rsidRDefault="00573A58">
            <w:pPr>
              <w:widowControl w:val="0"/>
              <w:kinsoku w:val="0"/>
              <w:overflowPunct w:val="0"/>
              <w:autoSpaceDE w:val="0"/>
              <w:autoSpaceDN w:val="0"/>
              <w:adjustRightInd w:val="0"/>
              <w:spacing w:line="236" w:lineRule="exact"/>
              <w:jc w:val="center"/>
              <w:rPr>
                <w:color w:val="000000"/>
                <w:szCs w:val="22"/>
                <w:lang w:val="sl-SI" w:eastAsia="sl-SI"/>
              </w:rPr>
            </w:pPr>
            <w:r>
              <w:t>[ml/min.]</w:t>
            </w:r>
          </w:p>
        </w:tc>
        <w:tc>
          <w:tcPr>
            <w:tcW w:w="6339" w:type="dxa"/>
            <w:shd w:val="clear" w:color="auto" w:fill="auto"/>
          </w:tcPr>
          <w:p w14:paraId="28F36B1A" w14:textId="77777777" w:rsidR="00CB542F" w:rsidRDefault="00573A58">
            <w:pPr>
              <w:widowControl w:val="0"/>
              <w:kinsoku w:val="0"/>
              <w:overflowPunct w:val="0"/>
              <w:autoSpaceDE w:val="0"/>
              <w:autoSpaceDN w:val="0"/>
              <w:adjustRightInd w:val="0"/>
              <w:spacing w:line="236" w:lineRule="exact"/>
              <w:jc w:val="center"/>
            </w:pPr>
            <w:r>
              <w:t>Geometrinis pusinės eliminacijos laiko vidurkis (geometrinis variacijos koeficientas (gVK) %;svyravimo ribos)</w:t>
            </w:r>
          </w:p>
          <w:p w14:paraId="1D609C44" w14:textId="77777777" w:rsidR="00CB542F" w:rsidRDefault="00573A58">
            <w:pPr>
              <w:widowControl w:val="0"/>
              <w:kinsoku w:val="0"/>
              <w:overflowPunct w:val="0"/>
              <w:autoSpaceDE w:val="0"/>
              <w:autoSpaceDN w:val="0"/>
              <w:adjustRightInd w:val="0"/>
              <w:spacing w:line="236" w:lineRule="exact"/>
              <w:jc w:val="center"/>
              <w:rPr>
                <w:color w:val="000000"/>
                <w:szCs w:val="22"/>
                <w:lang w:val="sl-SI" w:eastAsia="sl-SI"/>
              </w:rPr>
            </w:pPr>
            <w:r>
              <w:t>[val.]</w:t>
            </w:r>
          </w:p>
        </w:tc>
      </w:tr>
      <w:tr w:rsidR="00CB542F" w14:paraId="48D04775" w14:textId="77777777">
        <w:trPr>
          <w:trHeight w:val="251"/>
        </w:trPr>
        <w:tc>
          <w:tcPr>
            <w:tcW w:w="2734" w:type="dxa"/>
            <w:shd w:val="clear" w:color="auto" w:fill="auto"/>
          </w:tcPr>
          <w:p w14:paraId="214FCA4B" w14:textId="77777777" w:rsidR="00CB542F" w:rsidRDefault="00573A58">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 80</w:t>
            </w:r>
          </w:p>
        </w:tc>
        <w:tc>
          <w:tcPr>
            <w:tcW w:w="6339" w:type="dxa"/>
            <w:shd w:val="clear" w:color="auto" w:fill="auto"/>
          </w:tcPr>
          <w:p w14:paraId="0D1063C5" w14:textId="77777777" w:rsidR="00CB542F" w:rsidRDefault="00573A58">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13,4 (25,7 %; 11,0-21,6)</w:t>
            </w:r>
          </w:p>
        </w:tc>
      </w:tr>
      <w:tr w:rsidR="00CB542F" w14:paraId="4B811B44" w14:textId="77777777">
        <w:trPr>
          <w:trHeight w:val="292"/>
        </w:trPr>
        <w:tc>
          <w:tcPr>
            <w:tcW w:w="2734" w:type="dxa"/>
            <w:shd w:val="clear" w:color="auto" w:fill="auto"/>
          </w:tcPr>
          <w:p w14:paraId="79522F40" w14:textId="77777777" w:rsidR="00CB542F" w:rsidRDefault="00573A58">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 50-&lt; 80</w:t>
            </w:r>
          </w:p>
        </w:tc>
        <w:tc>
          <w:tcPr>
            <w:tcW w:w="6339" w:type="dxa"/>
            <w:shd w:val="clear" w:color="auto" w:fill="auto"/>
          </w:tcPr>
          <w:p w14:paraId="60EBA761" w14:textId="77777777" w:rsidR="00CB542F" w:rsidRDefault="00573A58">
            <w:pPr>
              <w:widowControl w:val="0"/>
              <w:kinsoku w:val="0"/>
              <w:overflowPunct w:val="0"/>
              <w:autoSpaceDE w:val="0"/>
              <w:autoSpaceDN w:val="0"/>
              <w:adjustRightInd w:val="0"/>
              <w:spacing w:before="15"/>
              <w:jc w:val="center"/>
              <w:rPr>
                <w:color w:val="000000"/>
                <w:szCs w:val="22"/>
                <w:lang w:val="sl-SI" w:eastAsia="sl-SI"/>
              </w:rPr>
            </w:pPr>
            <w:r>
              <w:rPr>
                <w:color w:val="000000"/>
                <w:szCs w:val="22"/>
                <w:lang w:val="sl-SI" w:eastAsia="sl-SI"/>
              </w:rPr>
              <w:t>15,3 (42,7 %;11,7-34,1)</w:t>
            </w:r>
          </w:p>
        </w:tc>
      </w:tr>
      <w:tr w:rsidR="00CB542F" w14:paraId="71A545AD" w14:textId="77777777">
        <w:trPr>
          <w:trHeight w:val="253"/>
        </w:trPr>
        <w:tc>
          <w:tcPr>
            <w:tcW w:w="2734" w:type="dxa"/>
            <w:shd w:val="clear" w:color="auto" w:fill="auto"/>
          </w:tcPr>
          <w:p w14:paraId="32FFD02D"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30-&lt; 50</w:t>
            </w:r>
          </w:p>
        </w:tc>
        <w:tc>
          <w:tcPr>
            <w:tcW w:w="6339" w:type="dxa"/>
            <w:shd w:val="clear" w:color="auto" w:fill="auto"/>
          </w:tcPr>
          <w:p w14:paraId="1AE22B56"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 (18,5 %;13,3-23,0)</w:t>
            </w:r>
          </w:p>
        </w:tc>
      </w:tr>
      <w:tr w:rsidR="00CB542F" w14:paraId="4588A354" w14:textId="77777777">
        <w:trPr>
          <w:trHeight w:val="253"/>
        </w:trPr>
        <w:tc>
          <w:tcPr>
            <w:tcW w:w="2734" w:type="dxa"/>
            <w:shd w:val="clear" w:color="auto" w:fill="auto"/>
          </w:tcPr>
          <w:p w14:paraId="6C6EE9F8"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30</w:t>
            </w:r>
          </w:p>
        </w:tc>
        <w:tc>
          <w:tcPr>
            <w:tcW w:w="6339" w:type="dxa"/>
            <w:shd w:val="clear" w:color="auto" w:fill="auto"/>
          </w:tcPr>
          <w:p w14:paraId="7612AD20" w14:textId="77777777" w:rsidR="00CB542F" w:rsidRDefault="00573A58">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27,2 (15,3 %; 21,6-35,0)</w:t>
            </w:r>
          </w:p>
        </w:tc>
      </w:tr>
    </w:tbl>
    <w:p w14:paraId="25EEAD5A" w14:textId="77777777" w:rsidR="00CB542F" w:rsidRDefault="00CB542F"/>
    <w:p w14:paraId="507D1562" w14:textId="77777777" w:rsidR="00CB542F" w:rsidRDefault="00573A58">
      <w: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15-30 ml/min. kreatinino klirensas [KrKl]) ir buvo skiriama po 75 mg dabigatrano eteksilato du kartus per parą. Taikant šį dozavimo režimą, geometrinis mažiausios koncentracijos vidurkis, išmatuotas prieš pat vartojant kitą dozę, buvo 155 ng/ml (geometrinis variacijos koeficientas (gVK) – 76,9 %), o geometrinis didžiausios koncentracijos vidurkis, išmatuotas praėjus dviem valandoms po paskutinės dozės pavartojimo, buvo 202 ng/ml (gVK – 70,6 %).</w:t>
      </w:r>
    </w:p>
    <w:p w14:paraId="69AA3993" w14:textId="77777777" w:rsidR="00CB542F" w:rsidRDefault="00CB542F"/>
    <w:p w14:paraId="426FA899" w14:textId="77777777" w:rsidR="00CB542F" w:rsidRDefault="00573A58">
      <w:r>
        <w:t>Dabigatrano klirensas hemodializės metu buvo tirtas galutinės stadijos inkstų liga (GSIL) sergančių 7 suaugusių pacientų, nepatiriančių prieširdžių virpėjimo, organizme. Dializė buvo daroma 700 ml/min. dializato srovės greičiu 4 valandas ir kraujo srovės greitis buvo 200 ml/min. arba 350-390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50A3DA82" w14:textId="77777777" w:rsidR="00CB542F" w:rsidRDefault="00CB542F"/>
    <w:p w14:paraId="3902A0C4" w14:textId="77777777" w:rsidR="00CB542F" w:rsidRDefault="00573A58">
      <w:r>
        <w:t>Tyrimo RE-LY metu KrKl mediana buvo 68,4 ml/min. Maždaug pusės tyrime RE-LY dalyvavusių pacientų KrKl buvo &gt; 50 bet &lt; 80 ml/min. Pacientų, kuriems buvo vidutinio sunkumo inkstų sutrikimas (KrKl nuo 30 iki 50 ml/min.), kraujo plazmoje dabigatrano koncentracija prieš dozės vartojimą ir po jo buvo atitinkamai vidutiniškai 2,29 karto ir 1,81 karto didesnė negu pacientų, kurių inkstų funkcija nesutrikusi (KrKl ≥ 80 ml/min.).</w:t>
      </w:r>
    </w:p>
    <w:p w14:paraId="34DE5C7D" w14:textId="77777777" w:rsidR="00CB542F" w:rsidRDefault="00CB542F"/>
    <w:p w14:paraId="518F06B8" w14:textId="77777777" w:rsidR="00CB542F" w:rsidRDefault="00573A58">
      <w:r>
        <w:t>Tyrimo RE-COVER metu tiriamųjų KrKl mediana buvo 100,4 ml/min. 21,7 % pacientų buvo lengvas inkstų funkcijos sutrikimas (KrKl &gt; 50 – &lt; 80 ml/min.), 4,5 % ‒ vidutinio sunkumo inkstų funkcijos sutrikimas (KrKl 30-50 ml/min.). Pacientų, kuriems buvo lengvas arba vidutinio sunkumo inkstų funkcijos sutrikimas, kraujo plazmoje pusiausvyrinė dabigatrano koncentracija prieš kitos dozės vartojimą buvo atitinkamai 1,8 karto ir 3,6 karto didesnė negu pacientų, kurių KrKl &gt; 80 ml/min. Panašios KrKl reikšmės buvo nustatytos ir tyrimo RE-COVER II metu.</w:t>
      </w:r>
    </w:p>
    <w:p w14:paraId="77019C7A" w14:textId="77777777" w:rsidR="00CB542F" w:rsidRDefault="00CB542F"/>
    <w:p w14:paraId="13DCFA25" w14:textId="77777777" w:rsidR="00CB542F" w:rsidRDefault="00573A58">
      <w:r>
        <w:lastRenderedPageBreak/>
        <w:t>Tyrimų RE-MEDY ir RE-SONATE metu tiriamųjų KrKl mediana buvo atitinkamai 99 ml/min. ir 99,7 ml/min. Iš tyrimuose RE-MEDY ir RE-SONATE dalyvavusių pacientų atitinkamai 22,9 % ir 22,5 % KrKl buvo &gt; 50 – &lt; 80 ml/min., 4,1 % ir 4,8 % ‒ 30-50 ml/min.</w:t>
      </w:r>
    </w:p>
    <w:p w14:paraId="1F7520CE" w14:textId="77777777" w:rsidR="00CB542F" w:rsidRDefault="00CB542F"/>
    <w:p w14:paraId="6B783DA0" w14:textId="77777777" w:rsidR="00CB542F" w:rsidRDefault="00573A58">
      <w:pPr>
        <w:rPr>
          <w:i/>
          <w:iCs/>
          <w:u w:val="single"/>
        </w:rPr>
      </w:pPr>
      <w:r>
        <w:rPr>
          <w:i/>
          <w:iCs/>
          <w:u w:val="single"/>
        </w:rPr>
        <w:t>Senyvi pacientai</w:t>
      </w:r>
    </w:p>
    <w:p w14:paraId="7EE10534" w14:textId="77777777" w:rsidR="00CB542F" w:rsidRDefault="00573A58">
      <w:r>
        <w:t>I fazės specifiniais farmakokinetikos tyrimais nustatyta, kad senyvų žmonių organizme AUC yra 40-60 % didesnis, o C</w:t>
      </w:r>
      <w:r>
        <w:rPr>
          <w:vertAlign w:val="subscript"/>
        </w:rPr>
        <w:t>max</w:t>
      </w:r>
      <w:r>
        <w:t xml:space="preserve"> daugiau negu 25 % didesnė negu jaunų žmonių.</w:t>
      </w:r>
    </w:p>
    <w:p w14:paraId="19919341" w14:textId="77777777" w:rsidR="00CB542F" w:rsidRDefault="00573A58">
      <w:r>
        <w:t>Amžiaus įtaka dabigatrano ekspozicijai buvo patvirtinta tyrimu RE-LY, kurio metu mažiausia dabigatrano koncentracija ≥ 75 metų žmonių organizme buvo maždaug 31 %, &lt; 65 metų žmonių organizme – maždaug 22 % mažesnė, negu žmonių, kurių amžius nuo 65 iki 75 metų (žr. 4.2 ir 4.4 skyrius).</w:t>
      </w:r>
    </w:p>
    <w:p w14:paraId="00CAE5BB" w14:textId="77777777" w:rsidR="00CB542F" w:rsidRDefault="00CB542F"/>
    <w:p w14:paraId="02DBE47E" w14:textId="77777777" w:rsidR="00CB542F" w:rsidRDefault="00573A58">
      <w:pPr>
        <w:rPr>
          <w:i/>
          <w:iCs/>
          <w:u w:val="single"/>
        </w:rPr>
      </w:pPr>
      <w:r>
        <w:rPr>
          <w:i/>
          <w:iCs/>
          <w:u w:val="single"/>
        </w:rPr>
        <w:t>Kepenų funkcijos sutrikimas</w:t>
      </w:r>
    </w:p>
    <w:p w14:paraId="48D97A09" w14:textId="77777777" w:rsidR="00CB542F" w:rsidRDefault="00573A58">
      <w:r>
        <w:t>12 suaugusių tiriamųjų, sergančių vidutinio sunkumo kepenų funkcijos nepakankamumu (</w:t>
      </w:r>
      <w:r>
        <w:rPr>
          <w:i/>
        </w:rPr>
        <w:t xml:space="preserve">Child Pugh </w:t>
      </w:r>
      <w:r>
        <w:t>klasė B), organizme dabigatrano farmakokinetika buvo panaši į farmakokinetiką 12 kontrolinės grupės pacientų organizme (žr. 4.2 ir 4.4 skyrius).</w:t>
      </w:r>
    </w:p>
    <w:p w14:paraId="5A2B7C73" w14:textId="77777777" w:rsidR="00CB542F" w:rsidRDefault="00CB542F"/>
    <w:p w14:paraId="51523CD1" w14:textId="77777777" w:rsidR="00CB542F" w:rsidRDefault="00573A58">
      <w:pPr>
        <w:rPr>
          <w:i/>
          <w:iCs/>
          <w:u w:val="single"/>
        </w:rPr>
      </w:pPr>
      <w:r>
        <w:rPr>
          <w:i/>
          <w:iCs/>
          <w:u w:val="single"/>
        </w:rPr>
        <w:t>Kūno svoris</w:t>
      </w:r>
    </w:p>
    <w:p w14:paraId="5AF3ED20" w14:textId="77777777" w:rsidR="00CB542F" w:rsidRDefault="00573A58">
      <w:r>
        <w:t>Suaugusių pacientų, sveriančių &gt; 100 kg, organizme mažiausia dabigatrano koncentracija buvo maždaug 20 % mažesnė negu pacientų, sveriančių 50-100 kg. Dauguma (80,8 %) pacientų priklausė svorio nuo ≥ 50 iki &lt; 100 kg kategorijai, jų organizme aiškių skirtumų nenustatyta (žr. 4.2 ir 4.4 skyrius). Klinikinių duomenų apie farmakokinetiką suaugusių pacientų, sveriančių &lt; 50 kg, organizme, yra mažai.</w:t>
      </w:r>
    </w:p>
    <w:p w14:paraId="5ADCBE3D" w14:textId="77777777" w:rsidR="00CB542F" w:rsidRDefault="00CB542F"/>
    <w:p w14:paraId="617B0D4A" w14:textId="77777777" w:rsidR="00CB542F" w:rsidRDefault="00573A58">
      <w:pPr>
        <w:rPr>
          <w:i/>
          <w:iCs/>
          <w:u w:val="single"/>
        </w:rPr>
      </w:pPr>
      <w:r>
        <w:rPr>
          <w:i/>
          <w:iCs/>
          <w:u w:val="single"/>
        </w:rPr>
        <w:t>Lytis</w:t>
      </w:r>
    </w:p>
    <w:p w14:paraId="48B9B5A3" w14:textId="77777777" w:rsidR="00CB542F" w:rsidRDefault="00573A58">
      <w:r>
        <w:t>Prieširdžių virpėjimu sergančių moterų organizme tiek mažiausia koncentracija, tiek koncentracija po dozės pavartojimo buvo 30 % mažesnė. Dozės keisti nėra būtina (žr 4.2 skyrių).</w:t>
      </w:r>
    </w:p>
    <w:p w14:paraId="1779FB52" w14:textId="77777777" w:rsidR="00CB542F" w:rsidRDefault="00CB542F"/>
    <w:p w14:paraId="3DAB28BE" w14:textId="77777777" w:rsidR="00CB542F" w:rsidRDefault="00573A58">
      <w:pPr>
        <w:rPr>
          <w:i/>
          <w:iCs/>
          <w:u w:val="single"/>
        </w:rPr>
      </w:pPr>
      <w:r>
        <w:rPr>
          <w:i/>
          <w:iCs/>
          <w:u w:val="single"/>
        </w:rPr>
        <w:t>Etninė grupė</w:t>
      </w:r>
    </w:p>
    <w:p w14:paraId="6A46E473" w14:textId="77777777" w:rsidR="00CB542F" w:rsidRDefault="00573A58">
      <w:r>
        <w:t>Priklausomai nuo etninės grupės kliniškai reikšmingų dabigatrano farmakokinetikos ir farmakodinamikos skirtumų europidų, afroamerikiečių, ispanų, japonų ar kinų organizme nepastebėta.</w:t>
      </w:r>
    </w:p>
    <w:p w14:paraId="3CB71167" w14:textId="77777777" w:rsidR="00CB542F" w:rsidRDefault="00CB542F"/>
    <w:p w14:paraId="56237F66" w14:textId="77777777" w:rsidR="00CB542F" w:rsidRDefault="00573A58">
      <w:pPr>
        <w:rPr>
          <w:i/>
          <w:iCs/>
          <w:u w:val="single"/>
        </w:rPr>
      </w:pPr>
      <w:r>
        <w:rPr>
          <w:i/>
          <w:iCs/>
          <w:u w:val="single"/>
        </w:rPr>
        <w:t>Vaikų populiacija</w:t>
      </w:r>
    </w:p>
    <w:p w14:paraId="2ADB43DF" w14:textId="77777777" w:rsidR="00CB542F" w:rsidRDefault="00573A58">
      <w:r>
        <w:t>Dabigatrano eteksilato vartojant per burną pagal protokole nurodytą dozavimo algoritmą, ekspozicija buvo tarp ribų, stebėtų suaugusiesiems, sergantiems GVT / PE. Remiantis jungtine tyrimų DIVERSITY ir 1160.108 farmakokinetikos duomenų analize, stebėtasis geometrinis mažiausios ekspozicijos verčių vidurkis VTE sergantiems pacientams vaikams nuo 0 iki &lt; 2 metų siekė 53,9 ng/ml, nuo 2 iki &lt; 12 metų – 63,0 ng/ml, o nuo 12 iki &lt; 18 metų – 99,1 ng/ml.</w:t>
      </w:r>
    </w:p>
    <w:p w14:paraId="38C7975B" w14:textId="77777777" w:rsidR="00CB542F" w:rsidRDefault="00CB542F"/>
    <w:p w14:paraId="5C0653A0" w14:textId="77777777" w:rsidR="00CB542F" w:rsidRDefault="00573A58">
      <w:pPr>
        <w:rPr>
          <w:u w:val="single"/>
        </w:rPr>
      </w:pPr>
      <w:r>
        <w:rPr>
          <w:u w:val="single"/>
        </w:rPr>
        <w:t>Farmakokinetinė sąveika</w:t>
      </w:r>
    </w:p>
    <w:p w14:paraId="79C30B98" w14:textId="77777777" w:rsidR="00CB542F" w:rsidRDefault="00CB542F"/>
    <w:p w14:paraId="4AA0CAB1" w14:textId="77777777" w:rsidR="00CB542F" w:rsidRDefault="00573A58">
      <w:r>
        <w:t>Kad dabigatrano eteksilatas slopintų ar indukuotų svarbiausius citochromo P 450 izofermentus, sąveikos tyrimų in vitro duomenys nerodo. Tai patvirtina ir tyrimai in vivo su sveikais savanoriais, kurių organizme sąveikos su šiomis aktyviomis medžiagomis: atorvastatinu (sąveika per CYP 3A4), digoksinu (sąveika per nešiklį P-glikoproteiną) ar diklofenaku (sąveika per CYP 2C9), nepastebėta.</w:t>
      </w:r>
    </w:p>
    <w:p w14:paraId="158CC78A" w14:textId="77777777" w:rsidR="00CB542F" w:rsidRDefault="00CB542F"/>
    <w:p w14:paraId="54CFA770" w14:textId="77777777" w:rsidR="00CB542F" w:rsidRDefault="00573A58">
      <w:pPr>
        <w:ind w:left="567" w:hanging="567"/>
        <w:rPr>
          <w:b/>
        </w:rPr>
      </w:pPr>
      <w:r>
        <w:rPr>
          <w:b/>
        </w:rPr>
        <w:t>5.3</w:t>
      </w:r>
      <w:r>
        <w:rPr>
          <w:b/>
        </w:rPr>
        <w:tab/>
        <w:t>Ikiklinikinių saugumo tyrimų duomenys</w:t>
      </w:r>
    </w:p>
    <w:p w14:paraId="3D575745" w14:textId="77777777" w:rsidR="00CB542F" w:rsidRDefault="00CB542F">
      <w:pPr>
        <w:ind w:left="567" w:hanging="567"/>
      </w:pPr>
    </w:p>
    <w:p w14:paraId="5ABBB4E7" w14:textId="77777777" w:rsidR="00CB542F" w:rsidRDefault="00573A58">
      <w:r>
        <w:t>Įprastų farmakologinio saugumo, kartotinių dozių toksiškumo ir genotoksiškumo ikiklinikinių tyrimų duomenys specifinio pavojaus žmogui nerodo.</w:t>
      </w:r>
    </w:p>
    <w:p w14:paraId="6E17DCA7" w14:textId="77777777" w:rsidR="00CB542F" w:rsidRDefault="00CB542F"/>
    <w:p w14:paraId="2478F199" w14:textId="77777777" w:rsidR="00CB542F" w:rsidRDefault="00573A58">
      <w:r>
        <w:t>Kartotinių dozių toksiškumo tyrimų metu pastebėtas poveikis priklausė nuo perdėto farmakodinaminio dabigatrano poveikio.</w:t>
      </w:r>
    </w:p>
    <w:p w14:paraId="4ED94908" w14:textId="77777777" w:rsidR="00CB542F" w:rsidRDefault="00CB542F"/>
    <w:p w14:paraId="00D39891" w14:textId="77777777" w:rsidR="00CB542F" w:rsidRDefault="00573A58">
      <w:r>
        <w:t xml:space="preserve">Tiriant poveikį patelių vaisingumui nustatyta, kad nuo 70 mg/kg kūno svorio dozės (ekspozicija 5 kartus didesnė už ekspoziciją žmogaus kraujo plazmoje) sumažėjo implantacijos dažnis, padažnėjo embriono gaišimas prieš implantaciją. Tokios dozės, kokios sukėlė toksinį poveikį žiurkių ir triušių </w:t>
      </w:r>
      <w:r>
        <w:lastRenderedPageBreak/>
        <w:t>vaikingai patelei (ekspozicija 5-10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gaišimą.</w:t>
      </w:r>
    </w:p>
    <w:p w14:paraId="5090B24A" w14:textId="77777777" w:rsidR="00CB542F" w:rsidRDefault="00CB542F"/>
    <w:p w14:paraId="5A14A2E4" w14:textId="77777777" w:rsidR="00CB542F" w:rsidRDefault="00573A58">
      <w:r>
        <w:t>Toksinio poveikio jaunikliams tyrime, atliktame su Han Wistar žiurkėmis, gaišimas buvo susijęs su kraujavimo reiškiniais esant panašioms ekspozicijos vertėms, kaip stebėtos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 jautrumo toksiniam poveikiui, nei bet kokio toksinio poveikio, būdingo tik jauniems gyvūnams.</w:t>
      </w:r>
    </w:p>
    <w:p w14:paraId="64B9DA3F" w14:textId="77777777" w:rsidR="00CB542F" w:rsidRDefault="00CB542F"/>
    <w:p w14:paraId="48F67F6C" w14:textId="77777777" w:rsidR="00CB542F" w:rsidRDefault="00573A58">
      <w:r>
        <w:t>Toksinio poveikio žiurkėms ir pelėms visu jų gyvavimo laikotarpiu tyrimų metu ne didesnės kaip 200 mg/kg dabigatrano dozės tumorigeninio poveikio nedarė.</w:t>
      </w:r>
    </w:p>
    <w:p w14:paraId="33833896" w14:textId="77777777" w:rsidR="00CB542F" w:rsidRDefault="00CB542F"/>
    <w:p w14:paraId="4C1EB0FA" w14:textId="77777777" w:rsidR="00CB542F" w:rsidRDefault="00573A58">
      <w:pPr>
        <w:rPr>
          <w:noProof/>
          <w:szCs w:val="22"/>
          <w:u w:val="single"/>
        </w:rPr>
      </w:pPr>
      <w:r>
        <w:t>Aktyvioji dabigatrano eteksilato mesilato dalis dabigatranas yra išliekantis aplinkoje.</w:t>
      </w:r>
    </w:p>
    <w:p w14:paraId="50784288" w14:textId="77777777" w:rsidR="00CB542F" w:rsidRDefault="00CB542F">
      <w:pPr>
        <w:ind w:left="567" w:hanging="567"/>
      </w:pPr>
    </w:p>
    <w:p w14:paraId="309D41D6" w14:textId="77777777" w:rsidR="00CB542F" w:rsidRDefault="00CB542F">
      <w:pPr>
        <w:ind w:left="567" w:hanging="567"/>
      </w:pPr>
    </w:p>
    <w:p w14:paraId="1BF36DD6" w14:textId="77777777" w:rsidR="00CB542F" w:rsidRDefault="00573A58">
      <w:pPr>
        <w:ind w:left="567" w:hanging="567"/>
        <w:rPr>
          <w:b/>
          <w:caps/>
        </w:rPr>
      </w:pPr>
      <w:r>
        <w:rPr>
          <w:b/>
          <w:caps/>
        </w:rPr>
        <w:t>6.</w:t>
      </w:r>
      <w:r>
        <w:rPr>
          <w:b/>
          <w:caps/>
        </w:rPr>
        <w:tab/>
        <w:t>farmacinė informacija</w:t>
      </w:r>
    </w:p>
    <w:p w14:paraId="64C95BF8" w14:textId="77777777" w:rsidR="00CB542F" w:rsidRDefault="00CB542F">
      <w:pPr>
        <w:ind w:left="567" w:hanging="567"/>
      </w:pPr>
    </w:p>
    <w:p w14:paraId="1BDA1FE6" w14:textId="77777777" w:rsidR="00CB542F" w:rsidRDefault="00573A58">
      <w:pPr>
        <w:ind w:left="567" w:hanging="567"/>
        <w:rPr>
          <w:b/>
        </w:rPr>
      </w:pPr>
      <w:r>
        <w:rPr>
          <w:b/>
        </w:rPr>
        <w:t>6.1</w:t>
      </w:r>
      <w:r>
        <w:rPr>
          <w:b/>
        </w:rPr>
        <w:tab/>
        <w:t>Pagalbinių medžiagų sąrašas</w:t>
      </w:r>
    </w:p>
    <w:p w14:paraId="1A067620" w14:textId="77777777" w:rsidR="00CB542F" w:rsidRDefault="00CB542F"/>
    <w:p w14:paraId="04EE6C9D" w14:textId="77777777" w:rsidR="00CB542F" w:rsidRDefault="00573A58">
      <w:pPr>
        <w:rPr>
          <w:u w:val="single"/>
        </w:rPr>
      </w:pPr>
      <w:r>
        <w:rPr>
          <w:u w:val="single"/>
        </w:rPr>
        <w:t>Kapsulės turinys</w:t>
      </w:r>
    </w:p>
    <w:p w14:paraId="49C98559" w14:textId="77777777" w:rsidR="00CB542F" w:rsidRDefault="00573A58">
      <w:r>
        <w:t>Vyno rūgštis</w:t>
      </w:r>
    </w:p>
    <w:p w14:paraId="530D77A8" w14:textId="77777777" w:rsidR="00CB542F" w:rsidRDefault="00573A58">
      <w:r>
        <w:t>Hipromeliozė</w:t>
      </w:r>
    </w:p>
    <w:p w14:paraId="46B43715" w14:textId="77777777" w:rsidR="00CB542F" w:rsidRDefault="00573A58">
      <w:r>
        <w:t>Hidroksipropilceliuliozė</w:t>
      </w:r>
    </w:p>
    <w:p w14:paraId="0AB1EC4F" w14:textId="77777777" w:rsidR="00CB542F" w:rsidRDefault="00573A58">
      <w:r>
        <w:t>Talkas</w:t>
      </w:r>
    </w:p>
    <w:p w14:paraId="66C357B5" w14:textId="77777777" w:rsidR="00CB542F" w:rsidRDefault="00CB542F">
      <w:pPr>
        <w:ind w:left="567" w:hanging="567"/>
      </w:pPr>
    </w:p>
    <w:p w14:paraId="6F089FC1" w14:textId="77777777" w:rsidR="00CB542F" w:rsidRDefault="00573A58">
      <w:pPr>
        <w:ind w:left="567" w:hanging="567"/>
        <w:rPr>
          <w:u w:val="single"/>
        </w:rPr>
      </w:pPr>
      <w:r>
        <w:rPr>
          <w:u w:val="single"/>
        </w:rPr>
        <w:t>Kapsulės apvalkalas</w:t>
      </w:r>
    </w:p>
    <w:p w14:paraId="38E5A99F" w14:textId="77777777" w:rsidR="00CB542F" w:rsidRDefault="00573A58">
      <w:pPr>
        <w:widowControl w:val="0"/>
        <w:tabs>
          <w:tab w:val="left" w:pos="567"/>
        </w:tabs>
        <w:rPr>
          <w:color w:val="000000"/>
          <w:szCs w:val="22"/>
          <w:lang w:val="it-IT"/>
        </w:rPr>
      </w:pPr>
      <w:r>
        <w:rPr>
          <w:color w:val="000000"/>
          <w:szCs w:val="22"/>
          <w:lang w:val="it-IT"/>
        </w:rPr>
        <w:t>Titano dioksidas (E 171)</w:t>
      </w:r>
    </w:p>
    <w:p w14:paraId="5DA91200" w14:textId="77777777" w:rsidR="00CB542F" w:rsidRDefault="00573A58">
      <w:pPr>
        <w:ind w:left="567" w:hanging="567"/>
      </w:pPr>
      <w:r>
        <w:t xml:space="preserve">Indigokarminas </w:t>
      </w:r>
      <w:r>
        <w:rPr>
          <w:color w:val="000000"/>
          <w:szCs w:val="22"/>
          <w:lang w:val="it-IT"/>
        </w:rPr>
        <w:t>(E 132)</w:t>
      </w:r>
    </w:p>
    <w:p w14:paraId="3A2470A7" w14:textId="77777777" w:rsidR="00CB542F" w:rsidRDefault="00573A58">
      <w:pPr>
        <w:ind w:left="567" w:hanging="567"/>
      </w:pPr>
      <w:r>
        <w:t>Karagenanas</w:t>
      </w:r>
    </w:p>
    <w:p w14:paraId="23028AAA" w14:textId="77777777" w:rsidR="00CB542F" w:rsidRDefault="00573A58">
      <w:pPr>
        <w:ind w:left="567" w:hanging="567"/>
      </w:pPr>
      <w:r>
        <w:t>Kalio chloridas</w:t>
      </w:r>
    </w:p>
    <w:p w14:paraId="338E66FD" w14:textId="77777777" w:rsidR="00CB542F" w:rsidRDefault="00573A58">
      <w:pPr>
        <w:ind w:left="567" w:hanging="567"/>
      </w:pPr>
      <w:r>
        <w:t>Hipromeliozė</w:t>
      </w:r>
    </w:p>
    <w:p w14:paraId="7911B978" w14:textId="77777777" w:rsidR="00CB542F" w:rsidRDefault="00CB542F">
      <w:pPr>
        <w:ind w:left="567" w:hanging="567"/>
      </w:pPr>
    </w:p>
    <w:p w14:paraId="38052E53" w14:textId="77777777" w:rsidR="00CB542F" w:rsidRDefault="00573A58">
      <w:pPr>
        <w:ind w:left="567" w:hanging="567"/>
        <w:rPr>
          <w:u w:val="single"/>
        </w:rPr>
      </w:pPr>
      <w:r>
        <w:rPr>
          <w:u w:val="single"/>
        </w:rPr>
        <w:t>Juodas rašalas</w:t>
      </w:r>
    </w:p>
    <w:p w14:paraId="39CEF833" w14:textId="77777777" w:rsidR="00CB542F" w:rsidRDefault="00573A58">
      <w:pPr>
        <w:ind w:left="567" w:hanging="567"/>
      </w:pPr>
      <w:r>
        <w:t>Šelakas</w:t>
      </w:r>
    </w:p>
    <w:p w14:paraId="54149265" w14:textId="77777777" w:rsidR="00CB542F" w:rsidRDefault="00573A58">
      <w:pPr>
        <w:ind w:left="567" w:hanging="567"/>
      </w:pPr>
      <w:r>
        <w:t>Juodasis geležies oksidas (E 172)</w:t>
      </w:r>
    </w:p>
    <w:p w14:paraId="34410CAD" w14:textId="77777777" w:rsidR="00CB542F" w:rsidRDefault="00573A58">
      <w:pPr>
        <w:ind w:left="567" w:hanging="567"/>
      </w:pPr>
      <w:r>
        <w:t>Kalio hidroksidas</w:t>
      </w:r>
    </w:p>
    <w:p w14:paraId="3E901679" w14:textId="77777777" w:rsidR="00CB542F" w:rsidRDefault="00CB542F">
      <w:pPr>
        <w:ind w:left="567" w:hanging="567"/>
      </w:pPr>
    </w:p>
    <w:p w14:paraId="38BB00B1" w14:textId="77777777" w:rsidR="00CB542F" w:rsidRDefault="00573A58">
      <w:pPr>
        <w:ind w:left="567" w:hanging="567"/>
        <w:rPr>
          <w:b/>
        </w:rPr>
      </w:pPr>
      <w:r>
        <w:rPr>
          <w:b/>
        </w:rPr>
        <w:t>6.2</w:t>
      </w:r>
      <w:r>
        <w:rPr>
          <w:b/>
        </w:rPr>
        <w:tab/>
        <w:t>Nesuderinamumas</w:t>
      </w:r>
    </w:p>
    <w:p w14:paraId="79164CE1" w14:textId="77777777" w:rsidR="00CB542F" w:rsidRDefault="00CB542F">
      <w:pPr>
        <w:ind w:left="567" w:hanging="567"/>
      </w:pPr>
    </w:p>
    <w:p w14:paraId="679057FC" w14:textId="77777777" w:rsidR="00CB542F" w:rsidRDefault="00573A58">
      <w:pPr>
        <w:ind w:left="567" w:hanging="567"/>
      </w:pPr>
      <w:r>
        <w:t>Duomenys nebūtini.</w:t>
      </w:r>
    </w:p>
    <w:p w14:paraId="278C4F51" w14:textId="77777777" w:rsidR="00CB542F" w:rsidRDefault="00CB542F">
      <w:pPr>
        <w:ind w:left="567" w:hanging="567"/>
      </w:pPr>
    </w:p>
    <w:p w14:paraId="4CCB9810" w14:textId="77777777" w:rsidR="00CB542F" w:rsidRDefault="00573A58">
      <w:pPr>
        <w:ind w:left="567" w:hanging="567"/>
        <w:rPr>
          <w:b/>
        </w:rPr>
      </w:pPr>
      <w:r>
        <w:rPr>
          <w:b/>
        </w:rPr>
        <w:t>6.3</w:t>
      </w:r>
      <w:r>
        <w:rPr>
          <w:b/>
        </w:rPr>
        <w:tab/>
        <w:t>Tinkamumo laikas</w:t>
      </w:r>
    </w:p>
    <w:p w14:paraId="39957C26" w14:textId="77777777" w:rsidR="00CB542F" w:rsidRDefault="00CB542F">
      <w:pPr>
        <w:ind w:left="567" w:hanging="567"/>
      </w:pPr>
    </w:p>
    <w:p w14:paraId="36C88B95" w14:textId="5CF26E61" w:rsidR="00CB542F" w:rsidRDefault="00573A58">
      <w:pPr>
        <w:ind w:left="567" w:hanging="567"/>
      </w:pPr>
      <w:r>
        <w:t>3 metai</w:t>
      </w:r>
    </w:p>
    <w:p w14:paraId="469F9B6F" w14:textId="77777777" w:rsidR="00CB542F" w:rsidRDefault="00CB542F">
      <w:pPr>
        <w:ind w:left="567" w:hanging="567"/>
      </w:pPr>
    </w:p>
    <w:p w14:paraId="741AD606" w14:textId="77777777" w:rsidR="00CB542F" w:rsidRDefault="00573A58">
      <w:pPr>
        <w:ind w:left="567" w:hanging="567"/>
        <w:rPr>
          <w:b/>
        </w:rPr>
      </w:pPr>
      <w:r>
        <w:rPr>
          <w:b/>
        </w:rPr>
        <w:t>6.4</w:t>
      </w:r>
      <w:r>
        <w:rPr>
          <w:b/>
        </w:rPr>
        <w:tab/>
        <w:t>Specialios laikymo sąlygos</w:t>
      </w:r>
    </w:p>
    <w:p w14:paraId="4491A92D" w14:textId="77777777" w:rsidR="00CB542F" w:rsidRDefault="00CB542F">
      <w:pPr>
        <w:rPr>
          <w:i/>
          <w:iCs/>
        </w:rPr>
      </w:pPr>
    </w:p>
    <w:p w14:paraId="23140D13" w14:textId="77777777" w:rsidR="00CB542F" w:rsidRDefault="00573A58">
      <w:pPr>
        <w:ind w:left="567" w:hanging="567"/>
        <w:rPr>
          <w:noProof/>
          <w:u w:val="single"/>
        </w:rPr>
      </w:pPr>
      <w:r>
        <w:rPr>
          <w:noProof/>
          <w:u w:val="single"/>
        </w:rPr>
        <w:t>Lizdinė plokštelė</w:t>
      </w:r>
    </w:p>
    <w:p w14:paraId="534650B1" w14:textId="77777777" w:rsidR="00CB542F" w:rsidRDefault="00573A58">
      <w:pPr>
        <w:ind w:left="567" w:hanging="567"/>
        <w:rPr>
          <w:noProof/>
        </w:rPr>
      </w:pPr>
      <w:r>
        <w:rPr>
          <w:noProof/>
        </w:rPr>
        <w:t>Šiam vaistiniam preparatui specialių temperatūros laikymo sąlygų nereikia.</w:t>
      </w:r>
    </w:p>
    <w:p w14:paraId="4B927862" w14:textId="77777777" w:rsidR="00CB542F" w:rsidRDefault="00573A58">
      <w:pPr>
        <w:ind w:left="567" w:hanging="567"/>
        <w:rPr>
          <w:noProof/>
        </w:rPr>
      </w:pPr>
      <w:r>
        <w:rPr>
          <w:noProof/>
        </w:rPr>
        <w:t xml:space="preserve">Laikyti gamintojo pakuotėje, kad </w:t>
      </w:r>
      <w:bookmarkStart w:id="1" w:name="_Hlk148525453"/>
      <w:r>
        <w:rPr>
          <w:szCs w:val="22"/>
        </w:rPr>
        <w:t>vaistinis preparatas</w:t>
      </w:r>
      <w:bookmarkEnd w:id="1"/>
      <w:r>
        <w:rPr>
          <w:sz w:val="24"/>
        </w:rPr>
        <w:t xml:space="preserve"> </w:t>
      </w:r>
      <w:r>
        <w:rPr>
          <w:noProof/>
        </w:rPr>
        <w:t>būtų apsaugotas nuo šviesos ir drėgmės.</w:t>
      </w:r>
    </w:p>
    <w:p w14:paraId="4D211886" w14:textId="77777777" w:rsidR="00CB542F" w:rsidRDefault="00CB542F">
      <w:pPr>
        <w:ind w:left="567" w:hanging="567"/>
        <w:rPr>
          <w:u w:val="single"/>
        </w:rPr>
      </w:pPr>
    </w:p>
    <w:p w14:paraId="09B6AD1E" w14:textId="77777777" w:rsidR="00CB542F" w:rsidRDefault="00573A58">
      <w:pPr>
        <w:ind w:left="567" w:hanging="567"/>
        <w:rPr>
          <w:u w:val="single"/>
        </w:rPr>
      </w:pPr>
      <w:r>
        <w:rPr>
          <w:u w:val="single"/>
        </w:rPr>
        <w:t>Talpyklė</w:t>
      </w:r>
    </w:p>
    <w:p w14:paraId="401C029C" w14:textId="77777777" w:rsidR="00CB542F" w:rsidRDefault="00573A58">
      <w:pPr>
        <w:ind w:left="567" w:hanging="567"/>
        <w:rPr>
          <w:noProof/>
        </w:rPr>
      </w:pPr>
      <w:r>
        <w:rPr>
          <w:noProof/>
        </w:rPr>
        <w:t>Šiam vaistiniam preparatui specialių temperatūros laikymo sąlygų nereikia.</w:t>
      </w:r>
    </w:p>
    <w:p w14:paraId="0D9CE2AE" w14:textId="77777777" w:rsidR="00CB542F" w:rsidRDefault="00573A58">
      <w:pPr>
        <w:ind w:left="567" w:hanging="567"/>
        <w:rPr>
          <w:noProof/>
        </w:rPr>
      </w:pPr>
      <w:r>
        <w:rPr>
          <w:noProof/>
        </w:rPr>
        <w:lastRenderedPageBreak/>
        <w:t xml:space="preserve">Laikyti gamintojo pakuotėje, kad </w:t>
      </w:r>
      <w:r>
        <w:rPr>
          <w:szCs w:val="22"/>
        </w:rPr>
        <w:t>vaistinis preparatas</w:t>
      </w:r>
      <w:r>
        <w:rPr>
          <w:sz w:val="24"/>
        </w:rPr>
        <w:t xml:space="preserve"> </w:t>
      </w:r>
      <w:r>
        <w:rPr>
          <w:noProof/>
        </w:rPr>
        <w:t>būtų apsaugotas nuo šviesos ir drėgmės.</w:t>
      </w:r>
    </w:p>
    <w:p w14:paraId="56B0F60A" w14:textId="77777777" w:rsidR="00CB542F" w:rsidRDefault="00573A58">
      <w:pPr>
        <w:ind w:left="567" w:hanging="567"/>
      </w:pPr>
      <w:r>
        <w:t>Talpyklę laikyti sandariai uždarytą.</w:t>
      </w:r>
    </w:p>
    <w:p w14:paraId="5DDBCCC0" w14:textId="77777777" w:rsidR="00CB542F" w:rsidRDefault="00CB542F">
      <w:pPr>
        <w:ind w:left="567" w:hanging="567"/>
        <w:rPr>
          <w:u w:val="single"/>
        </w:rPr>
      </w:pPr>
    </w:p>
    <w:p w14:paraId="544AC9E6" w14:textId="77777777" w:rsidR="00CB542F" w:rsidRDefault="00573A58">
      <w:pPr>
        <w:ind w:left="567" w:hanging="567"/>
        <w:rPr>
          <w:b/>
        </w:rPr>
      </w:pPr>
      <w:r>
        <w:rPr>
          <w:b/>
        </w:rPr>
        <w:t>6.5</w:t>
      </w:r>
      <w:r>
        <w:rPr>
          <w:b/>
        </w:rPr>
        <w:tab/>
        <w:t>Talpyklės pobūdis ir jos turinys</w:t>
      </w:r>
    </w:p>
    <w:p w14:paraId="543068D3" w14:textId="77777777" w:rsidR="00CB542F" w:rsidRDefault="00CB542F"/>
    <w:p w14:paraId="6032528C" w14:textId="77777777" w:rsidR="00CB542F" w:rsidRDefault="00573A58">
      <w:r>
        <w:t>Perforuota dalomoji OPA/Alu/PE+DES//Alu/PE nuplėšiama lizdinė plokštelė: 10 x 1, 30 x 1, 60 x 1, 100 x 1 kietoji kapsulė arba sudėtinės pakuotės, kuriose yra 100 (2 pakuotės po 50 x 1) arba 180 (3 pakuotės po 60 x 1) kietų</w:t>
      </w:r>
      <w:r>
        <w:rPr>
          <w:noProof/>
        </w:rPr>
        <w:t>jų</w:t>
      </w:r>
      <w:r>
        <w:t xml:space="preserve"> kapsulių, dėžutėje.</w:t>
      </w:r>
    </w:p>
    <w:p w14:paraId="0595B448" w14:textId="77777777" w:rsidR="00CB542F" w:rsidRDefault="00CB542F"/>
    <w:p w14:paraId="5B31E574" w14:textId="77777777" w:rsidR="00CB542F" w:rsidRDefault="00573A58">
      <w:r>
        <w:t xml:space="preserve">DTPE talpyklė, su vaikų sunkiai atidaromu , </w:t>
      </w:r>
      <w:r>
        <w:rPr>
          <w:rFonts w:asciiTheme="majorBidi" w:hAnsiTheme="majorBidi" w:cstheme="majorBidi"/>
          <w:snapToGrid w:val="0"/>
          <w:szCs w:val="22"/>
        </w:rPr>
        <w:t>pirmąjį atidarymą rodančiu</w:t>
      </w:r>
      <w:r>
        <w:t xml:space="preserve"> polipropileniniu dangteliu: 60 kietųjų kapsulių arba 3 talpyklės po 60 kietųjų kapsulių, dėžutėje.</w:t>
      </w:r>
    </w:p>
    <w:p w14:paraId="243C6EEE" w14:textId="77777777" w:rsidR="00CB542F" w:rsidRDefault="00CB542F">
      <w:pPr>
        <w:ind w:left="567" w:hanging="567"/>
      </w:pPr>
    </w:p>
    <w:p w14:paraId="3D78677E" w14:textId="77777777" w:rsidR="00CB542F" w:rsidRDefault="00573A58">
      <w:pPr>
        <w:ind w:left="567" w:hanging="567"/>
      </w:pPr>
      <w:r>
        <w:t>Gali būti tiekiamos ne visų dydžių pakuotės.</w:t>
      </w:r>
    </w:p>
    <w:p w14:paraId="4F272E1B" w14:textId="77777777" w:rsidR="00CB542F" w:rsidRDefault="00CB542F">
      <w:pPr>
        <w:ind w:left="567" w:hanging="567"/>
      </w:pPr>
    </w:p>
    <w:p w14:paraId="2D2099C7" w14:textId="77777777" w:rsidR="00CB542F" w:rsidRDefault="00573A58">
      <w:pPr>
        <w:ind w:left="567" w:hanging="567"/>
        <w:outlineLvl w:val="0"/>
        <w:rPr>
          <w:noProof/>
        </w:rPr>
      </w:pPr>
      <w:r>
        <w:rPr>
          <w:b/>
        </w:rPr>
        <w:t>6.6</w:t>
      </w:r>
      <w:r>
        <w:rPr>
          <w:b/>
        </w:rPr>
        <w:tab/>
      </w:r>
      <w:r>
        <w:rPr>
          <w:rStyle w:val="Grietas"/>
          <w:color w:val="000000"/>
        </w:rPr>
        <w:t>Specialūs reikalavimai atliekoms tvarkyti</w:t>
      </w:r>
    </w:p>
    <w:p w14:paraId="56B82435" w14:textId="77777777" w:rsidR="00CB542F" w:rsidRDefault="00CB542F">
      <w:pPr>
        <w:ind w:left="567" w:hanging="567"/>
        <w:rPr>
          <w:b/>
        </w:rPr>
      </w:pPr>
    </w:p>
    <w:p w14:paraId="7151F8F1" w14:textId="77777777" w:rsidR="00CB542F" w:rsidRDefault="00573A58">
      <w:pPr>
        <w:ind w:left="567" w:hanging="567"/>
      </w:pPr>
      <w:r>
        <w:t>Nesuvartotą vaistinį preparatą ar atliekas reikia tvarkyti laikantis vietinių reikalavimų.</w:t>
      </w:r>
    </w:p>
    <w:p w14:paraId="70C820C5" w14:textId="77777777" w:rsidR="00CB542F" w:rsidRDefault="00CB542F">
      <w:pPr>
        <w:ind w:left="567" w:hanging="567"/>
      </w:pPr>
    </w:p>
    <w:p w14:paraId="489E2312" w14:textId="77777777" w:rsidR="00CB542F" w:rsidRDefault="00CB542F">
      <w:pPr>
        <w:ind w:left="567" w:hanging="567"/>
      </w:pPr>
    </w:p>
    <w:p w14:paraId="75B44CF7" w14:textId="77777777" w:rsidR="00CB542F" w:rsidRDefault="00573A58">
      <w:pPr>
        <w:ind w:left="567" w:hanging="567"/>
        <w:rPr>
          <w:b/>
          <w:caps/>
        </w:rPr>
      </w:pPr>
      <w:r>
        <w:rPr>
          <w:b/>
          <w:caps/>
        </w:rPr>
        <w:t>7.</w:t>
      </w:r>
      <w:r>
        <w:rPr>
          <w:b/>
          <w:caps/>
        </w:rPr>
        <w:tab/>
      </w:r>
      <w:r>
        <w:rPr>
          <w:b/>
          <w:caps/>
          <w:noProof/>
        </w:rPr>
        <w:t>REGISTRUOTOJAS</w:t>
      </w:r>
    </w:p>
    <w:p w14:paraId="20F9A15C" w14:textId="77777777" w:rsidR="00CB542F" w:rsidRDefault="00CB542F"/>
    <w:p w14:paraId="23B00331"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32772E31" w14:textId="77777777" w:rsidR="00CB542F" w:rsidRDefault="00573A58">
      <w:pPr>
        <w:widowControl w:val="0"/>
        <w:rPr>
          <w:noProof/>
          <w:szCs w:val="22"/>
          <w:lang w:eastAsia="sl-SI"/>
        </w:rPr>
      </w:pPr>
      <w:r>
        <w:rPr>
          <w:noProof/>
          <w:szCs w:val="22"/>
          <w:lang w:eastAsia="sl-SI"/>
        </w:rPr>
        <w:t>Heinz-Lohmann-Straße 5</w:t>
      </w:r>
    </w:p>
    <w:p w14:paraId="2133DAE7" w14:textId="77777777" w:rsidR="00CB542F" w:rsidRDefault="00573A58">
      <w:pPr>
        <w:widowControl w:val="0"/>
        <w:rPr>
          <w:noProof/>
          <w:szCs w:val="22"/>
          <w:lang w:eastAsia="sl-SI"/>
        </w:rPr>
      </w:pPr>
      <w:r>
        <w:rPr>
          <w:noProof/>
          <w:szCs w:val="22"/>
          <w:lang w:eastAsia="sl-SI"/>
        </w:rPr>
        <w:t>27472 Cuxhaven</w:t>
      </w:r>
    </w:p>
    <w:p w14:paraId="5D61A63C" w14:textId="77777777" w:rsidR="00CB542F" w:rsidRDefault="00573A58">
      <w:pPr>
        <w:widowControl w:val="0"/>
        <w:rPr>
          <w:noProof/>
          <w:szCs w:val="22"/>
          <w:lang w:eastAsia="sl-SI"/>
        </w:rPr>
      </w:pPr>
      <w:r>
        <w:rPr>
          <w:noProof/>
          <w:szCs w:val="22"/>
          <w:lang w:eastAsia="sl-SI"/>
        </w:rPr>
        <w:t>Vokietija</w:t>
      </w:r>
    </w:p>
    <w:p w14:paraId="06332F3B" w14:textId="77777777" w:rsidR="00CB542F" w:rsidRDefault="00CB542F">
      <w:pPr>
        <w:ind w:left="567" w:hanging="567"/>
      </w:pPr>
    </w:p>
    <w:p w14:paraId="74A79F55" w14:textId="77777777" w:rsidR="00CB542F" w:rsidRDefault="00CB542F">
      <w:pPr>
        <w:ind w:left="567" w:hanging="567"/>
      </w:pPr>
    </w:p>
    <w:p w14:paraId="5D9862DC" w14:textId="77777777" w:rsidR="00CB542F" w:rsidRDefault="00573A58">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3A1569D0" w14:textId="77777777" w:rsidR="00CB542F" w:rsidRDefault="00CB542F">
      <w:pPr>
        <w:rPr>
          <w:i/>
        </w:rPr>
      </w:pPr>
    </w:p>
    <w:p w14:paraId="62892CDF" w14:textId="77777777" w:rsidR="00CB542F" w:rsidRDefault="00573A58">
      <w:r>
        <w:rPr>
          <w:u w:val="single"/>
        </w:rPr>
        <w:t>Dalomoji lizdinė plokštelė</w:t>
      </w:r>
      <w:r>
        <w:t>:</w:t>
      </w:r>
    </w:p>
    <w:p w14:paraId="438B5ED2" w14:textId="77777777" w:rsidR="00CB542F" w:rsidRDefault="00573A58">
      <w:r>
        <w:t>LT/1/23/5282/001 – N10x1</w:t>
      </w:r>
    </w:p>
    <w:p w14:paraId="54C18923" w14:textId="77777777" w:rsidR="00CB542F" w:rsidRDefault="00573A58">
      <w:r>
        <w:t>LT/1/23/5282/002 – N30x1</w:t>
      </w:r>
    </w:p>
    <w:p w14:paraId="1FB6DE4E" w14:textId="77777777" w:rsidR="00CB542F" w:rsidRDefault="00573A58">
      <w:r>
        <w:t>LT/1/23/5282/003 – N60x1</w:t>
      </w:r>
    </w:p>
    <w:p w14:paraId="457B20F7" w14:textId="77777777" w:rsidR="00CB542F" w:rsidRDefault="00573A58">
      <w:r>
        <w:t>LT/1/23/5282/004 – N100x1</w:t>
      </w:r>
    </w:p>
    <w:p w14:paraId="1FAC7A46" w14:textId="77777777" w:rsidR="00CB542F" w:rsidRDefault="00573A58">
      <w:r>
        <w:t>LT/1/23/5282/005 – N100 (2x (50x1))</w:t>
      </w:r>
    </w:p>
    <w:p w14:paraId="36DBA167" w14:textId="77777777" w:rsidR="00CB542F" w:rsidRDefault="00573A58">
      <w:r>
        <w:t>LT/1/23/5282/006 – N180 (3x (60x1))</w:t>
      </w:r>
    </w:p>
    <w:p w14:paraId="22CBBB52" w14:textId="77777777" w:rsidR="00CB542F" w:rsidRDefault="00573A58">
      <w:r>
        <w:rPr>
          <w:u w:val="single"/>
        </w:rPr>
        <w:t>Talpyklė</w:t>
      </w:r>
      <w:r>
        <w:t>:</w:t>
      </w:r>
    </w:p>
    <w:p w14:paraId="7CDDF687" w14:textId="77777777" w:rsidR="00CB542F" w:rsidRDefault="00573A58">
      <w:r>
        <w:t>LT/1/23/5282/007 – N60</w:t>
      </w:r>
    </w:p>
    <w:p w14:paraId="6A478CA8" w14:textId="77777777" w:rsidR="00CB542F" w:rsidRDefault="00573A58">
      <w:r>
        <w:t>LT/1/23/5282/008 – N3x60</w:t>
      </w:r>
    </w:p>
    <w:p w14:paraId="55EBED5C" w14:textId="77777777" w:rsidR="00CB542F" w:rsidRDefault="00CB542F"/>
    <w:p w14:paraId="56FDC494" w14:textId="77777777" w:rsidR="00CB542F" w:rsidRDefault="00CB542F">
      <w:pPr>
        <w:ind w:left="567" w:hanging="567"/>
      </w:pPr>
    </w:p>
    <w:p w14:paraId="606B39A8" w14:textId="77777777" w:rsidR="00CB542F" w:rsidRDefault="00573A58">
      <w:pPr>
        <w:ind w:left="567" w:hanging="567"/>
        <w:rPr>
          <w:b/>
          <w:caps/>
        </w:rPr>
      </w:pPr>
      <w:r>
        <w:rPr>
          <w:b/>
          <w:caps/>
        </w:rPr>
        <w:t>9.</w:t>
      </w:r>
      <w:r>
        <w:rPr>
          <w:b/>
          <w:caps/>
        </w:rPr>
        <w:tab/>
      </w:r>
      <w:r>
        <w:rPr>
          <w:b/>
          <w:caps/>
          <w:noProof/>
        </w:rPr>
        <w:t xml:space="preserve">REGISTRAVIMO / PERREGISTRAVIMO </w:t>
      </w:r>
      <w:r>
        <w:rPr>
          <w:b/>
          <w:caps/>
        </w:rPr>
        <w:t>data</w:t>
      </w:r>
    </w:p>
    <w:p w14:paraId="0C8FBE59" w14:textId="77777777" w:rsidR="00CB542F" w:rsidRDefault="00CB542F">
      <w:pPr>
        <w:ind w:left="567" w:hanging="567"/>
        <w:rPr>
          <w:b/>
          <w:caps/>
        </w:rPr>
      </w:pPr>
    </w:p>
    <w:p w14:paraId="0186076C" w14:textId="77777777" w:rsidR="00CB542F" w:rsidRDefault="00573A58">
      <w:pPr>
        <w:rPr>
          <w:szCs w:val="22"/>
        </w:rPr>
      </w:pPr>
      <w:r>
        <w:rPr>
          <w:noProof/>
          <w:snapToGrid w:val="0"/>
        </w:rPr>
        <w:t xml:space="preserve">Registravimo data </w:t>
      </w:r>
      <w:r>
        <w:rPr>
          <w:szCs w:val="22"/>
        </w:rPr>
        <w:t>2023 m. lapkričio 27 d.</w:t>
      </w:r>
    </w:p>
    <w:p w14:paraId="0DD7585C" w14:textId="77777777" w:rsidR="00CB542F" w:rsidRDefault="00CB542F">
      <w:pPr>
        <w:ind w:left="567" w:hanging="567"/>
      </w:pPr>
    </w:p>
    <w:p w14:paraId="196575A7" w14:textId="77777777" w:rsidR="00CB542F" w:rsidRDefault="00CB542F">
      <w:pPr>
        <w:ind w:left="567" w:hanging="567"/>
      </w:pPr>
    </w:p>
    <w:p w14:paraId="645F376F" w14:textId="77777777" w:rsidR="00CB542F" w:rsidRDefault="00573A58">
      <w:pPr>
        <w:ind w:left="567" w:hanging="567"/>
        <w:rPr>
          <w:b/>
          <w:caps/>
        </w:rPr>
      </w:pPr>
      <w:r>
        <w:rPr>
          <w:b/>
          <w:caps/>
        </w:rPr>
        <w:t>10.</w:t>
      </w:r>
      <w:r>
        <w:rPr>
          <w:b/>
          <w:caps/>
        </w:rPr>
        <w:tab/>
        <w:t>teksto peržiūros data</w:t>
      </w:r>
    </w:p>
    <w:p w14:paraId="33DE8284" w14:textId="77777777" w:rsidR="00CB542F" w:rsidRDefault="00CB542F">
      <w:pPr>
        <w:ind w:left="567" w:hanging="567"/>
        <w:rPr>
          <w:b/>
          <w:caps/>
        </w:rPr>
      </w:pPr>
    </w:p>
    <w:p w14:paraId="7A41D45F" w14:textId="0BEFC9B1" w:rsidR="00CB542F" w:rsidRDefault="00573A58">
      <w:pPr>
        <w:suppressLineNumbers/>
        <w:tabs>
          <w:tab w:val="left" w:pos="567"/>
        </w:tabs>
        <w:rPr>
          <w:szCs w:val="22"/>
        </w:rPr>
      </w:pPr>
      <w:r>
        <w:rPr>
          <w:szCs w:val="22"/>
        </w:rPr>
        <w:t>2025 m. balandžio 18 d.</w:t>
      </w:r>
    </w:p>
    <w:p w14:paraId="4A7D3939" w14:textId="77777777" w:rsidR="00CB542F" w:rsidRDefault="00CB542F">
      <w:pPr>
        <w:ind w:left="567" w:hanging="567"/>
      </w:pPr>
    </w:p>
    <w:p w14:paraId="41090B29" w14:textId="77777777" w:rsidR="00CB542F" w:rsidRDefault="00CB542F">
      <w:pPr>
        <w:ind w:left="567" w:hanging="567"/>
      </w:pPr>
    </w:p>
    <w:p w14:paraId="12FDFA5D" w14:textId="77777777" w:rsidR="00CB542F" w:rsidRDefault="00573A58">
      <w:pPr>
        <w:tabs>
          <w:tab w:val="left" w:pos="567"/>
        </w:tabs>
        <w:spacing w:line="260" w:lineRule="exact"/>
        <w:jc w:val="center"/>
      </w:pPr>
      <w:r>
        <w:br w:type="page"/>
      </w:r>
    </w:p>
    <w:p w14:paraId="347A8CCA" w14:textId="77777777" w:rsidR="00CB542F" w:rsidRDefault="00CB542F">
      <w:pPr>
        <w:widowControl w:val="0"/>
        <w:tabs>
          <w:tab w:val="left" w:pos="567"/>
        </w:tabs>
        <w:jc w:val="center"/>
        <w:rPr>
          <w:snapToGrid w:val="0"/>
          <w:szCs w:val="22"/>
        </w:rPr>
      </w:pPr>
    </w:p>
    <w:p w14:paraId="5C77F467" w14:textId="77777777" w:rsidR="00CB542F" w:rsidRDefault="00CB542F">
      <w:pPr>
        <w:widowControl w:val="0"/>
        <w:tabs>
          <w:tab w:val="left" w:pos="567"/>
        </w:tabs>
        <w:jc w:val="center"/>
        <w:rPr>
          <w:snapToGrid w:val="0"/>
          <w:szCs w:val="22"/>
        </w:rPr>
      </w:pPr>
    </w:p>
    <w:p w14:paraId="00E7F727" w14:textId="77777777" w:rsidR="00CB542F" w:rsidRDefault="00CB542F">
      <w:pPr>
        <w:widowControl w:val="0"/>
        <w:tabs>
          <w:tab w:val="left" w:pos="567"/>
        </w:tabs>
        <w:jc w:val="center"/>
        <w:rPr>
          <w:snapToGrid w:val="0"/>
          <w:szCs w:val="22"/>
        </w:rPr>
      </w:pPr>
    </w:p>
    <w:p w14:paraId="5E013D93" w14:textId="77777777" w:rsidR="00CB542F" w:rsidRDefault="00CB542F">
      <w:pPr>
        <w:widowControl w:val="0"/>
        <w:tabs>
          <w:tab w:val="left" w:pos="567"/>
        </w:tabs>
        <w:jc w:val="center"/>
        <w:rPr>
          <w:snapToGrid w:val="0"/>
          <w:szCs w:val="22"/>
        </w:rPr>
      </w:pPr>
    </w:p>
    <w:p w14:paraId="70A42943" w14:textId="77777777" w:rsidR="00CB542F" w:rsidRDefault="00CB542F">
      <w:pPr>
        <w:widowControl w:val="0"/>
        <w:tabs>
          <w:tab w:val="left" w:pos="567"/>
        </w:tabs>
        <w:jc w:val="center"/>
        <w:rPr>
          <w:snapToGrid w:val="0"/>
          <w:szCs w:val="22"/>
        </w:rPr>
      </w:pPr>
    </w:p>
    <w:p w14:paraId="64CFD41E" w14:textId="77777777" w:rsidR="00CB542F" w:rsidRDefault="00CB542F">
      <w:pPr>
        <w:widowControl w:val="0"/>
        <w:tabs>
          <w:tab w:val="left" w:pos="567"/>
        </w:tabs>
        <w:jc w:val="center"/>
        <w:rPr>
          <w:snapToGrid w:val="0"/>
          <w:szCs w:val="22"/>
        </w:rPr>
      </w:pPr>
    </w:p>
    <w:p w14:paraId="14096894" w14:textId="77777777" w:rsidR="00CB542F" w:rsidRDefault="00CB542F">
      <w:pPr>
        <w:widowControl w:val="0"/>
        <w:tabs>
          <w:tab w:val="left" w:pos="567"/>
        </w:tabs>
        <w:jc w:val="center"/>
        <w:rPr>
          <w:snapToGrid w:val="0"/>
          <w:szCs w:val="22"/>
        </w:rPr>
      </w:pPr>
    </w:p>
    <w:p w14:paraId="47FDBBE6" w14:textId="77777777" w:rsidR="00CB542F" w:rsidRDefault="00CB542F">
      <w:pPr>
        <w:widowControl w:val="0"/>
        <w:tabs>
          <w:tab w:val="left" w:pos="567"/>
        </w:tabs>
        <w:jc w:val="center"/>
        <w:rPr>
          <w:snapToGrid w:val="0"/>
          <w:szCs w:val="22"/>
        </w:rPr>
      </w:pPr>
    </w:p>
    <w:p w14:paraId="6C1E40FE" w14:textId="77777777" w:rsidR="00CB542F" w:rsidRDefault="00CB542F">
      <w:pPr>
        <w:widowControl w:val="0"/>
        <w:tabs>
          <w:tab w:val="left" w:pos="567"/>
        </w:tabs>
        <w:jc w:val="center"/>
        <w:rPr>
          <w:snapToGrid w:val="0"/>
          <w:szCs w:val="22"/>
        </w:rPr>
      </w:pPr>
    </w:p>
    <w:p w14:paraId="5FB03354" w14:textId="77777777" w:rsidR="00CB542F" w:rsidRDefault="00CB542F">
      <w:pPr>
        <w:widowControl w:val="0"/>
        <w:tabs>
          <w:tab w:val="left" w:pos="567"/>
        </w:tabs>
        <w:jc w:val="center"/>
        <w:rPr>
          <w:snapToGrid w:val="0"/>
          <w:szCs w:val="22"/>
        </w:rPr>
      </w:pPr>
    </w:p>
    <w:p w14:paraId="05ADFC74" w14:textId="77777777" w:rsidR="00CB542F" w:rsidRDefault="00CB542F">
      <w:pPr>
        <w:widowControl w:val="0"/>
        <w:tabs>
          <w:tab w:val="left" w:pos="567"/>
        </w:tabs>
        <w:jc w:val="center"/>
        <w:rPr>
          <w:snapToGrid w:val="0"/>
          <w:szCs w:val="22"/>
        </w:rPr>
      </w:pPr>
    </w:p>
    <w:p w14:paraId="7EBAA6EF" w14:textId="77777777" w:rsidR="00CB542F" w:rsidRDefault="00CB542F">
      <w:pPr>
        <w:widowControl w:val="0"/>
        <w:tabs>
          <w:tab w:val="left" w:pos="567"/>
        </w:tabs>
        <w:jc w:val="center"/>
        <w:rPr>
          <w:snapToGrid w:val="0"/>
          <w:szCs w:val="22"/>
        </w:rPr>
      </w:pPr>
    </w:p>
    <w:p w14:paraId="59A312E3" w14:textId="77777777" w:rsidR="00CB542F" w:rsidRDefault="00CB542F">
      <w:pPr>
        <w:widowControl w:val="0"/>
        <w:tabs>
          <w:tab w:val="left" w:pos="567"/>
        </w:tabs>
        <w:jc w:val="center"/>
        <w:rPr>
          <w:snapToGrid w:val="0"/>
          <w:szCs w:val="22"/>
        </w:rPr>
      </w:pPr>
    </w:p>
    <w:p w14:paraId="6018763D" w14:textId="77777777" w:rsidR="00CB542F" w:rsidRDefault="00CB542F">
      <w:pPr>
        <w:widowControl w:val="0"/>
        <w:tabs>
          <w:tab w:val="left" w:pos="567"/>
        </w:tabs>
        <w:jc w:val="center"/>
        <w:rPr>
          <w:snapToGrid w:val="0"/>
          <w:szCs w:val="22"/>
        </w:rPr>
      </w:pPr>
    </w:p>
    <w:p w14:paraId="257CF1F5" w14:textId="77777777" w:rsidR="00CB542F" w:rsidRDefault="00CB542F">
      <w:pPr>
        <w:widowControl w:val="0"/>
        <w:tabs>
          <w:tab w:val="left" w:pos="567"/>
        </w:tabs>
        <w:jc w:val="center"/>
        <w:rPr>
          <w:snapToGrid w:val="0"/>
          <w:szCs w:val="22"/>
        </w:rPr>
      </w:pPr>
    </w:p>
    <w:p w14:paraId="455AF7C8" w14:textId="77777777" w:rsidR="00CB542F" w:rsidRDefault="00CB542F">
      <w:pPr>
        <w:widowControl w:val="0"/>
        <w:tabs>
          <w:tab w:val="left" w:pos="567"/>
        </w:tabs>
        <w:jc w:val="center"/>
        <w:rPr>
          <w:snapToGrid w:val="0"/>
          <w:szCs w:val="22"/>
        </w:rPr>
      </w:pPr>
    </w:p>
    <w:p w14:paraId="4DE07AD6" w14:textId="77777777" w:rsidR="00CB542F" w:rsidRDefault="00CB542F">
      <w:pPr>
        <w:widowControl w:val="0"/>
        <w:tabs>
          <w:tab w:val="left" w:pos="567"/>
        </w:tabs>
        <w:jc w:val="center"/>
        <w:rPr>
          <w:snapToGrid w:val="0"/>
          <w:szCs w:val="22"/>
        </w:rPr>
      </w:pPr>
    </w:p>
    <w:p w14:paraId="37D55303" w14:textId="77777777" w:rsidR="00CB542F" w:rsidRDefault="00CB542F">
      <w:pPr>
        <w:widowControl w:val="0"/>
        <w:tabs>
          <w:tab w:val="left" w:pos="567"/>
        </w:tabs>
        <w:jc w:val="center"/>
        <w:rPr>
          <w:b/>
          <w:snapToGrid w:val="0"/>
          <w:szCs w:val="22"/>
        </w:rPr>
      </w:pPr>
    </w:p>
    <w:p w14:paraId="0DDE69D1" w14:textId="77777777" w:rsidR="00CB542F" w:rsidRDefault="00CB542F">
      <w:pPr>
        <w:widowControl w:val="0"/>
        <w:tabs>
          <w:tab w:val="left" w:pos="567"/>
        </w:tabs>
        <w:jc w:val="center"/>
        <w:rPr>
          <w:b/>
          <w:snapToGrid w:val="0"/>
          <w:szCs w:val="22"/>
        </w:rPr>
      </w:pPr>
    </w:p>
    <w:p w14:paraId="288E3498" w14:textId="77777777" w:rsidR="00CB542F" w:rsidRDefault="00CB542F">
      <w:pPr>
        <w:widowControl w:val="0"/>
        <w:tabs>
          <w:tab w:val="left" w:pos="567"/>
        </w:tabs>
        <w:jc w:val="center"/>
        <w:rPr>
          <w:b/>
          <w:snapToGrid w:val="0"/>
          <w:szCs w:val="22"/>
        </w:rPr>
      </w:pPr>
    </w:p>
    <w:p w14:paraId="72847180" w14:textId="77777777" w:rsidR="00CB542F" w:rsidRDefault="00CB542F">
      <w:pPr>
        <w:widowControl w:val="0"/>
        <w:tabs>
          <w:tab w:val="left" w:pos="567"/>
        </w:tabs>
        <w:jc w:val="center"/>
        <w:rPr>
          <w:b/>
          <w:snapToGrid w:val="0"/>
          <w:szCs w:val="22"/>
        </w:rPr>
      </w:pPr>
    </w:p>
    <w:p w14:paraId="5E0323E0" w14:textId="77777777" w:rsidR="00CB542F" w:rsidRDefault="00CB542F">
      <w:pPr>
        <w:widowControl w:val="0"/>
        <w:tabs>
          <w:tab w:val="left" w:pos="567"/>
        </w:tabs>
        <w:jc w:val="center"/>
        <w:rPr>
          <w:b/>
          <w:snapToGrid w:val="0"/>
          <w:szCs w:val="22"/>
        </w:rPr>
      </w:pPr>
    </w:p>
    <w:p w14:paraId="39842344" w14:textId="77777777" w:rsidR="00CB542F" w:rsidRDefault="00CB542F">
      <w:pPr>
        <w:widowControl w:val="0"/>
        <w:tabs>
          <w:tab w:val="left" w:pos="567"/>
        </w:tabs>
        <w:jc w:val="center"/>
        <w:rPr>
          <w:b/>
          <w:szCs w:val="20"/>
          <w:lang w:eastAsia="sl-SI"/>
        </w:rPr>
      </w:pPr>
    </w:p>
    <w:p w14:paraId="1D49A7D8" w14:textId="77777777" w:rsidR="00CB542F" w:rsidRDefault="00573A58">
      <w:pPr>
        <w:widowControl w:val="0"/>
        <w:tabs>
          <w:tab w:val="left" w:pos="567"/>
        </w:tabs>
        <w:jc w:val="center"/>
        <w:rPr>
          <w:b/>
          <w:snapToGrid w:val="0"/>
          <w:szCs w:val="22"/>
        </w:rPr>
      </w:pPr>
      <w:r>
        <w:rPr>
          <w:b/>
          <w:snapToGrid w:val="0"/>
          <w:szCs w:val="22"/>
        </w:rPr>
        <w:t>II PRIEDAS</w:t>
      </w:r>
    </w:p>
    <w:p w14:paraId="2DB8CF87" w14:textId="77777777" w:rsidR="00CB542F" w:rsidRDefault="00CB542F">
      <w:pPr>
        <w:widowControl w:val="0"/>
        <w:tabs>
          <w:tab w:val="left" w:pos="567"/>
        </w:tabs>
        <w:ind w:right="1416"/>
        <w:rPr>
          <w:snapToGrid w:val="0"/>
          <w:szCs w:val="22"/>
        </w:rPr>
      </w:pPr>
    </w:p>
    <w:p w14:paraId="25FE4184" w14:textId="77777777" w:rsidR="00CB542F" w:rsidRDefault="00573A58">
      <w:pPr>
        <w:widowControl w:val="0"/>
        <w:tabs>
          <w:tab w:val="left" w:pos="567"/>
        </w:tabs>
        <w:jc w:val="center"/>
        <w:rPr>
          <w:i/>
          <w:snapToGrid w:val="0"/>
          <w:szCs w:val="22"/>
        </w:rPr>
      </w:pPr>
      <w:r>
        <w:rPr>
          <w:b/>
          <w:snapToGrid w:val="0"/>
          <w:szCs w:val="22"/>
        </w:rPr>
        <w:t>REGISTRACIJOS SĄLYGOS</w:t>
      </w:r>
    </w:p>
    <w:p w14:paraId="262425C5" w14:textId="77777777" w:rsidR="00CB542F" w:rsidRDefault="00CB542F">
      <w:pPr>
        <w:widowControl w:val="0"/>
        <w:tabs>
          <w:tab w:val="left" w:pos="567"/>
        </w:tabs>
        <w:jc w:val="center"/>
        <w:rPr>
          <w:snapToGrid w:val="0"/>
          <w:szCs w:val="22"/>
        </w:rPr>
      </w:pPr>
    </w:p>
    <w:p w14:paraId="53C9AE9D" w14:textId="77777777" w:rsidR="00CB542F" w:rsidRDefault="00573A58">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7B3C91C7" w14:textId="77777777" w:rsidR="00CB542F" w:rsidRDefault="00CB542F">
      <w:pPr>
        <w:widowControl w:val="0"/>
        <w:ind w:left="567" w:right="567" w:hanging="567"/>
        <w:rPr>
          <w:snapToGrid w:val="0"/>
          <w:szCs w:val="22"/>
        </w:rPr>
      </w:pPr>
    </w:p>
    <w:p w14:paraId="5DB169D7" w14:textId="77777777" w:rsidR="00CB542F" w:rsidRDefault="00573A58">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7A364255" w14:textId="77777777" w:rsidR="00CB542F" w:rsidRDefault="00573A58">
      <w:pPr>
        <w:widowControl w:val="0"/>
        <w:tabs>
          <w:tab w:val="left" w:pos="1701"/>
        </w:tabs>
        <w:ind w:left="1701" w:right="567" w:hanging="567"/>
        <w:rPr>
          <w:b/>
          <w:snapToGrid w:val="0"/>
          <w:szCs w:val="22"/>
        </w:rPr>
      </w:pPr>
      <w:r>
        <w:rPr>
          <w:snapToGrid w:val="0"/>
        </w:rPr>
        <w:br w:type="page"/>
      </w:r>
    </w:p>
    <w:p w14:paraId="0E9B9FEF" w14:textId="77777777" w:rsidR="00CB542F" w:rsidRDefault="00573A58">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03533A6B" w14:textId="77777777" w:rsidR="00CB542F" w:rsidRDefault="00CB542F">
      <w:pPr>
        <w:widowControl w:val="0"/>
        <w:tabs>
          <w:tab w:val="left" w:pos="567"/>
        </w:tabs>
        <w:rPr>
          <w:snapToGrid w:val="0"/>
          <w:szCs w:val="22"/>
        </w:rPr>
      </w:pPr>
    </w:p>
    <w:p w14:paraId="2AF4BCE4" w14:textId="77777777" w:rsidR="00CB542F" w:rsidRDefault="00573A58">
      <w:pPr>
        <w:widowControl w:val="0"/>
        <w:tabs>
          <w:tab w:val="left" w:pos="567"/>
        </w:tabs>
        <w:jc w:val="both"/>
        <w:rPr>
          <w:snapToGrid w:val="0"/>
          <w:szCs w:val="22"/>
        </w:rPr>
      </w:pPr>
      <w:r>
        <w:rPr>
          <w:snapToGrid w:val="0"/>
          <w:szCs w:val="22"/>
          <w:u w:val="single"/>
        </w:rPr>
        <w:t>Gamintojo, atsakingo už serijų išleidimą, pavadinimas ir adresas</w:t>
      </w:r>
    </w:p>
    <w:p w14:paraId="09FF3C25" w14:textId="77777777" w:rsidR="00CB542F" w:rsidRDefault="00CB542F">
      <w:pPr>
        <w:widowControl w:val="0"/>
        <w:tabs>
          <w:tab w:val="left" w:pos="567"/>
        </w:tabs>
        <w:rPr>
          <w:snapToGrid w:val="0"/>
          <w:szCs w:val="22"/>
        </w:rPr>
      </w:pPr>
    </w:p>
    <w:p w14:paraId="1FB2FC3C" w14:textId="77777777" w:rsidR="00CB542F" w:rsidRDefault="00573A58">
      <w:pPr>
        <w:widowControl w:val="0"/>
        <w:tabs>
          <w:tab w:val="left" w:pos="567"/>
        </w:tabs>
        <w:rPr>
          <w:szCs w:val="20"/>
          <w:lang w:eastAsia="sl-SI"/>
        </w:rPr>
      </w:pPr>
      <w:r>
        <w:rPr>
          <w:szCs w:val="20"/>
          <w:lang w:eastAsia="sl-SI"/>
        </w:rPr>
        <w:t>KRKA</w:t>
      </w:r>
      <w:r>
        <w:rPr>
          <w:snapToGrid w:val="0"/>
          <w:szCs w:val="22"/>
        </w:rPr>
        <w:t>, d.d., Novo mesto</w:t>
      </w:r>
    </w:p>
    <w:p w14:paraId="30834464" w14:textId="77777777" w:rsidR="00CB542F" w:rsidRDefault="00573A58">
      <w:pPr>
        <w:widowControl w:val="0"/>
        <w:tabs>
          <w:tab w:val="left" w:pos="567"/>
        </w:tabs>
        <w:rPr>
          <w:szCs w:val="20"/>
          <w:lang w:eastAsia="sl-SI"/>
        </w:rPr>
      </w:pPr>
      <w:r>
        <w:rPr>
          <w:snapToGrid w:val="0"/>
          <w:szCs w:val="22"/>
        </w:rPr>
        <w:t>Šmarješka cesta 6</w:t>
      </w:r>
    </w:p>
    <w:p w14:paraId="36E38BD1" w14:textId="77777777" w:rsidR="00CB542F" w:rsidRDefault="00573A58">
      <w:pPr>
        <w:widowControl w:val="0"/>
        <w:tabs>
          <w:tab w:val="left" w:pos="567"/>
        </w:tabs>
        <w:rPr>
          <w:szCs w:val="20"/>
          <w:lang w:eastAsia="sl-SI"/>
        </w:rPr>
      </w:pPr>
      <w:r>
        <w:rPr>
          <w:snapToGrid w:val="0"/>
          <w:szCs w:val="22"/>
        </w:rPr>
        <w:t>8501 Novo mesto</w:t>
      </w:r>
    </w:p>
    <w:p w14:paraId="5277A272" w14:textId="77777777" w:rsidR="00CB542F" w:rsidRDefault="00573A58">
      <w:pPr>
        <w:widowControl w:val="0"/>
        <w:tabs>
          <w:tab w:val="left" w:pos="567"/>
        </w:tabs>
        <w:rPr>
          <w:snapToGrid w:val="0"/>
          <w:szCs w:val="22"/>
        </w:rPr>
      </w:pPr>
      <w:r>
        <w:rPr>
          <w:snapToGrid w:val="0"/>
          <w:szCs w:val="22"/>
        </w:rPr>
        <w:t>Slovėnija</w:t>
      </w:r>
    </w:p>
    <w:p w14:paraId="529FE13B" w14:textId="77777777" w:rsidR="00CB542F" w:rsidRDefault="00CB542F">
      <w:pPr>
        <w:widowControl w:val="0"/>
        <w:tabs>
          <w:tab w:val="left" w:pos="567"/>
        </w:tabs>
        <w:rPr>
          <w:snapToGrid w:val="0"/>
          <w:szCs w:val="22"/>
        </w:rPr>
      </w:pPr>
    </w:p>
    <w:p w14:paraId="5A906AE6" w14:textId="77777777" w:rsidR="00CB542F" w:rsidRDefault="00CB542F">
      <w:pPr>
        <w:widowControl w:val="0"/>
        <w:tabs>
          <w:tab w:val="left" w:pos="567"/>
        </w:tabs>
        <w:rPr>
          <w:snapToGrid w:val="0"/>
          <w:szCs w:val="22"/>
        </w:rPr>
      </w:pPr>
    </w:p>
    <w:p w14:paraId="7161EAEB" w14:textId="77777777" w:rsidR="00CB542F" w:rsidRDefault="00573A58">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547E32C1" w14:textId="77777777" w:rsidR="00CB542F" w:rsidRDefault="00CB542F">
      <w:pPr>
        <w:widowControl w:val="0"/>
        <w:tabs>
          <w:tab w:val="left" w:pos="567"/>
        </w:tabs>
        <w:rPr>
          <w:snapToGrid w:val="0"/>
          <w:szCs w:val="22"/>
        </w:rPr>
      </w:pPr>
    </w:p>
    <w:p w14:paraId="086DF9D9" w14:textId="77777777" w:rsidR="00CB542F" w:rsidRDefault="00573A58">
      <w:pPr>
        <w:widowControl w:val="0"/>
        <w:tabs>
          <w:tab w:val="left" w:pos="567"/>
        </w:tabs>
        <w:rPr>
          <w:snapToGrid w:val="0"/>
          <w:szCs w:val="22"/>
        </w:rPr>
      </w:pPr>
      <w:r>
        <w:rPr>
          <w:snapToGrid w:val="0"/>
          <w:szCs w:val="22"/>
        </w:rPr>
        <w:t>Receptinis vaistinis preparatas.</w:t>
      </w:r>
    </w:p>
    <w:p w14:paraId="7E16A43D" w14:textId="77777777" w:rsidR="00CB542F" w:rsidRDefault="00CB542F">
      <w:pPr>
        <w:widowControl w:val="0"/>
        <w:rPr>
          <w:snapToGrid w:val="0"/>
          <w:szCs w:val="22"/>
          <w:lang w:eastAsia="lt-LT"/>
        </w:rPr>
      </w:pPr>
    </w:p>
    <w:p w14:paraId="45A7B105" w14:textId="77777777" w:rsidR="00CB542F" w:rsidRDefault="00CB542F">
      <w:pPr>
        <w:widowControl w:val="0"/>
        <w:tabs>
          <w:tab w:val="left" w:pos="567"/>
        </w:tabs>
        <w:rPr>
          <w:snapToGrid w:val="0"/>
          <w:szCs w:val="22"/>
        </w:rPr>
      </w:pPr>
    </w:p>
    <w:p w14:paraId="4D3EE635" w14:textId="77777777" w:rsidR="00CB542F" w:rsidRDefault="00573A58">
      <w:pPr>
        <w:rPr>
          <w:rFonts w:eastAsia="SimSun"/>
          <w:b/>
          <w:szCs w:val="22"/>
        </w:rPr>
      </w:pPr>
      <w:r>
        <w:rPr>
          <w:rFonts w:eastAsia="SimSun"/>
          <w:b/>
          <w:szCs w:val="22"/>
        </w:rPr>
        <w:br w:type="page"/>
      </w:r>
    </w:p>
    <w:p w14:paraId="01124D7C" w14:textId="77777777" w:rsidR="00CB542F" w:rsidRDefault="00CB542F">
      <w:pPr>
        <w:pStyle w:val="Paprastasistekstas"/>
        <w:tabs>
          <w:tab w:val="left" w:pos="4962"/>
        </w:tabs>
        <w:rPr>
          <w:rFonts w:ascii="Times New Roman" w:hAnsi="Times New Roman"/>
          <w:b/>
          <w:lang w:val="lt-LT"/>
        </w:rPr>
      </w:pPr>
    </w:p>
    <w:p w14:paraId="36333370" w14:textId="77777777" w:rsidR="00CB542F" w:rsidRDefault="00CB542F">
      <w:pPr>
        <w:pStyle w:val="Paprastasistekstas"/>
        <w:tabs>
          <w:tab w:val="left" w:pos="4962"/>
        </w:tabs>
        <w:rPr>
          <w:rFonts w:ascii="Times New Roman" w:hAnsi="Times New Roman"/>
          <w:b/>
          <w:lang w:val="lt-LT"/>
        </w:rPr>
      </w:pPr>
    </w:p>
    <w:p w14:paraId="65491BAA" w14:textId="77777777" w:rsidR="00CB542F" w:rsidRDefault="00CB542F">
      <w:pPr>
        <w:pStyle w:val="Paprastasistekstas"/>
        <w:tabs>
          <w:tab w:val="left" w:pos="4962"/>
        </w:tabs>
        <w:rPr>
          <w:rFonts w:ascii="Times New Roman" w:hAnsi="Times New Roman"/>
          <w:b/>
          <w:lang w:val="lt-LT"/>
        </w:rPr>
      </w:pPr>
    </w:p>
    <w:p w14:paraId="40B7351B" w14:textId="77777777" w:rsidR="00CB542F" w:rsidRDefault="00CB542F">
      <w:pPr>
        <w:pStyle w:val="Paprastasistekstas"/>
        <w:tabs>
          <w:tab w:val="left" w:pos="4962"/>
        </w:tabs>
        <w:rPr>
          <w:rFonts w:ascii="Times New Roman" w:hAnsi="Times New Roman"/>
          <w:b/>
          <w:lang w:val="lt-LT"/>
        </w:rPr>
      </w:pPr>
    </w:p>
    <w:p w14:paraId="4F7D194F" w14:textId="77777777" w:rsidR="00CB542F" w:rsidRDefault="00CB542F">
      <w:pPr>
        <w:pStyle w:val="Paprastasistekstas"/>
        <w:tabs>
          <w:tab w:val="left" w:pos="4962"/>
        </w:tabs>
        <w:rPr>
          <w:rFonts w:ascii="Times New Roman" w:hAnsi="Times New Roman"/>
          <w:b/>
          <w:lang w:val="lt-LT"/>
        </w:rPr>
      </w:pPr>
    </w:p>
    <w:p w14:paraId="0D40D700" w14:textId="77777777" w:rsidR="00CB542F" w:rsidRDefault="00CB542F">
      <w:pPr>
        <w:pStyle w:val="Paprastasistekstas"/>
        <w:tabs>
          <w:tab w:val="left" w:pos="4962"/>
        </w:tabs>
        <w:rPr>
          <w:rFonts w:ascii="Times New Roman" w:hAnsi="Times New Roman"/>
          <w:b/>
          <w:lang w:val="lt-LT"/>
        </w:rPr>
      </w:pPr>
    </w:p>
    <w:p w14:paraId="0B84D2AD" w14:textId="77777777" w:rsidR="00CB542F" w:rsidRDefault="00CB542F">
      <w:pPr>
        <w:pStyle w:val="Paprastasistekstas"/>
        <w:tabs>
          <w:tab w:val="left" w:pos="4962"/>
        </w:tabs>
        <w:rPr>
          <w:rFonts w:ascii="Times New Roman" w:hAnsi="Times New Roman"/>
          <w:b/>
          <w:lang w:val="lt-LT"/>
        </w:rPr>
      </w:pPr>
    </w:p>
    <w:p w14:paraId="0192E8C1" w14:textId="77777777" w:rsidR="00CB542F" w:rsidRDefault="00CB542F">
      <w:pPr>
        <w:pStyle w:val="Paprastasistekstas"/>
        <w:tabs>
          <w:tab w:val="left" w:pos="4962"/>
        </w:tabs>
        <w:rPr>
          <w:rFonts w:ascii="Times New Roman" w:hAnsi="Times New Roman"/>
          <w:b/>
          <w:lang w:val="lt-LT"/>
        </w:rPr>
      </w:pPr>
    </w:p>
    <w:p w14:paraId="7BF7E689" w14:textId="77777777" w:rsidR="00CB542F" w:rsidRDefault="00CB542F">
      <w:pPr>
        <w:pStyle w:val="Paprastasistekstas"/>
        <w:tabs>
          <w:tab w:val="left" w:pos="4962"/>
        </w:tabs>
        <w:rPr>
          <w:rFonts w:ascii="Times New Roman" w:hAnsi="Times New Roman"/>
          <w:color w:val="000000"/>
          <w:sz w:val="24"/>
          <w:lang w:val="lt-LT"/>
        </w:rPr>
      </w:pPr>
    </w:p>
    <w:p w14:paraId="70541F56" w14:textId="77777777" w:rsidR="00CB542F" w:rsidRDefault="00CB542F">
      <w:pPr>
        <w:pStyle w:val="Paprastasistekstas"/>
        <w:tabs>
          <w:tab w:val="left" w:pos="4962"/>
        </w:tabs>
        <w:rPr>
          <w:rFonts w:ascii="Times New Roman" w:hAnsi="Times New Roman"/>
          <w:noProof/>
          <w:szCs w:val="24"/>
          <w:lang w:val="lt-LT"/>
        </w:rPr>
      </w:pPr>
    </w:p>
    <w:p w14:paraId="66431E80" w14:textId="77777777" w:rsidR="00CB542F" w:rsidRDefault="00CB542F"/>
    <w:p w14:paraId="37F602DF" w14:textId="77777777" w:rsidR="00CB542F" w:rsidRDefault="00CB542F"/>
    <w:p w14:paraId="73D8EDD7" w14:textId="77777777" w:rsidR="00CB542F" w:rsidRDefault="00CB542F"/>
    <w:p w14:paraId="64294039" w14:textId="77777777" w:rsidR="00CB542F" w:rsidRDefault="00CB542F"/>
    <w:p w14:paraId="1D91B2EF" w14:textId="77777777" w:rsidR="00CB542F" w:rsidRDefault="00CB542F"/>
    <w:p w14:paraId="798A47B3" w14:textId="77777777" w:rsidR="00CB542F" w:rsidRDefault="00CB542F"/>
    <w:p w14:paraId="48ED85CE" w14:textId="77777777" w:rsidR="00CB542F" w:rsidRDefault="00CB542F"/>
    <w:p w14:paraId="5B32F957" w14:textId="77777777" w:rsidR="00CB542F" w:rsidRDefault="00CB542F"/>
    <w:p w14:paraId="4D945FB6" w14:textId="77777777" w:rsidR="00CB542F" w:rsidRDefault="00CB542F"/>
    <w:p w14:paraId="5028B28A" w14:textId="77777777" w:rsidR="00CB542F" w:rsidRDefault="00CB542F"/>
    <w:p w14:paraId="445647C7" w14:textId="77777777" w:rsidR="00CB542F" w:rsidRDefault="00CB542F"/>
    <w:p w14:paraId="3D0C697F" w14:textId="77777777" w:rsidR="00CB542F" w:rsidRDefault="00CB542F"/>
    <w:p w14:paraId="2037FC90" w14:textId="77777777" w:rsidR="00CB542F" w:rsidRDefault="00CB542F"/>
    <w:p w14:paraId="1EE0E879" w14:textId="77777777" w:rsidR="00CB542F" w:rsidRDefault="00CB542F"/>
    <w:p w14:paraId="35431A5D" w14:textId="77777777" w:rsidR="00CB542F" w:rsidRDefault="00CB542F"/>
    <w:p w14:paraId="6A57224C" w14:textId="77777777" w:rsidR="00CB542F" w:rsidRDefault="00CB542F"/>
    <w:p w14:paraId="2BCBA683" w14:textId="77777777" w:rsidR="00CB542F" w:rsidRDefault="00CB542F">
      <w:pPr>
        <w:outlineLvl w:val="0"/>
        <w:rPr>
          <w:b/>
        </w:rPr>
      </w:pPr>
    </w:p>
    <w:p w14:paraId="3EBFAE75" w14:textId="77777777" w:rsidR="00CB542F" w:rsidRDefault="00CB542F">
      <w:pPr>
        <w:outlineLvl w:val="0"/>
        <w:rPr>
          <w:b/>
        </w:rPr>
      </w:pPr>
    </w:p>
    <w:p w14:paraId="5A948130" w14:textId="77777777" w:rsidR="00CB542F" w:rsidRDefault="00CB542F">
      <w:pPr>
        <w:outlineLvl w:val="0"/>
        <w:rPr>
          <w:b/>
        </w:rPr>
      </w:pPr>
    </w:p>
    <w:p w14:paraId="0E2D019B" w14:textId="77777777" w:rsidR="00CB542F" w:rsidRDefault="00CB542F">
      <w:pPr>
        <w:outlineLvl w:val="0"/>
        <w:rPr>
          <w:b/>
        </w:rPr>
      </w:pPr>
    </w:p>
    <w:p w14:paraId="6FA351C0" w14:textId="77777777" w:rsidR="00CB542F" w:rsidRDefault="00CB542F">
      <w:pPr>
        <w:outlineLvl w:val="0"/>
        <w:rPr>
          <w:b/>
        </w:rPr>
      </w:pPr>
    </w:p>
    <w:p w14:paraId="678426A9" w14:textId="77777777" w:rsidR="00CB542F" w:rsidRDefault="00CB542F">
      <w:pPr>
        <w:outlineLvl w:val="0"/>
        <w:rPr>
          <w:b/>
        </w:rPr>
      </w:pPr>
    </w:p>
    <w:p w14:paraId="53CC2199" w14:textId="77777777" w:rsidR="00CB542F" w:rsidRDefault="00573A58">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5931BC41" w14:textId="77777777" w:rsidR="00CB542F" w:rsidRDefault="00CB542F"/>
    <w:p w14:paraId="640FE300" w14:textId="77777777" w:rsidR="00CB542F" w:rsidRDefault="00573A58">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ŽENKLINIMAS IR PAKUOTĖS LAPELIS</w:t>
      </w:r>
    </w:p>
    <w:p w14:paraId="50846B96" w14:textId="77777777" w:rsidR="00CB542F" w:rsidRDefault="00573A58">
      <w:pPr>
        <w:widowControl w:val="0"/>
        <w:tabs>
          <w:tab w:val="left" w:pos="4962"/>
        </w:tabs>
        <w:rPr>
          <w:rFonts w:eastAsia="SimSun"/>
          <w:color w:val="000000"/>
          <w:szCs w:val="22"/>
        </w:rPr>
      </w:pPr>
      <w:r>
        <w:rPr>
          <w:rFonts w:eastAsia="SimSun"/>
          <w:b/>
          <w:szCs w:val="22"/>
        </w:rPr>
        <w:br w:type="page"/>
      </w:r>
    </w:p>
    <w:p w14:paraId="03204B9D" w14:textId="77777777" w:rsidR="00CB542F" w:rsidRDefault="00CB542F">
      <w:pPr>
        <w:rPr>
          <w:noProof/>
        </w:rPr>
      </w:pPr>
    </w:p>
    <w:p w14:paraId="09016BA7" w14:textId="77777777" w:rsidR="00CB542F" w:rsidRDefault="00CB542F">
      <w:pPr>
        <w:rPr>
          <w:noProof/>
        </w:rPr>
      </w:pPr>
    </w:p>
    <w:p w14:paraId="168BA031" w14:textId="77777777" w:rsidR="00CB542F" w:rsidRDefault="00CB542F">
      <w:pPr>
        <w:rPr>
          <w:noProof/>
        </w:rPr>
      </w:pPr>
    </w:p>
    <w:p w14:paraId="058D3CF4" w14:textId="77777777" w:rsidR="00CB542F" w:rsidRDefault="00CB542F">
      <w:pPr>
        <w:rPr>
          <w:noProof/>
        </w:rPr>
      </w:pPr>
    </w:p>
    <w:p w14:paraId="166819F9" w14:textId="77777777" w:rsidR="00CB542F" w:rsidRDefault="00CB542F">
      <w:pPr>
        <w:rPr>
          <w:noProof/>
        </w:rPr>
      </w:pPr>
    </w:p>
    <w:p w14:paraId="32B91F91" w14:textId="77777777" w:rsidR="00CB542F" w:rsidRDefault="00CB542F">
      <w:pPr>
        <w:rPr>
          <w:noProof/>
        </w:rPr>
      </w:pPr>
    </w:p>
    <w:p w14:paraId="02FCBF0E" w14:textId="77777777" w:rsidR="00CB542F" w:rsidRDefault="00CB542F">
      <w:pPr>
        <w:rPr>
          <w:noProof/>
        </w:rPr>
      </w:pPr>
    </w:p>
    <w:p w14:paraId="353A2EDA" w14:textId="77777777" w:rsidR="00CB542F" w:rsidRDefault="00CB542F">
      <w:pPr>
        <w:rPr>
          <w:noProof/>
        </w:rPr>
      </w:pPr>
    </w:p>
    <w:p w14:paraId="14242A38" w14:textId="77777777" w:rsidR="00CB542F" w:rsidRDefault="00CB542F">
      <w:pPr>
        <w:rPr>
          <w:noProof/>
        </w:rPr>
      </w:pPr>
    </w:p>
    <w:p w14:paraId="4A745DFA" w14:textId="77777777" w:rsidR="00CB542F" w:rsidRDefault="00CB542F">
      <w:pPr>
        <w:rPr>
          <w:noProof/>
        </w:rPr>
      </w:pPr>
    </w:p>
    <w:p w14:paraId="6D4627C8" w14:textId="77777777" w:rsidR="00CB542F" w:rsidRDefault="00CB542F">
      <w:pPr>
        <w:rPr>
          <w:noProof/>
        </w:rPr>
      </w:pPr>
    </w:p>
    <w:p w14:paraId="377111A7" w14:textId="77777777" w:rsidR="00CB542F" w:rsidRDefault="00CB542F">
      <w:pPr>
        <w:rPr>
          <w:noProof/>
        </w:rPr>
      </w:pPr>
    </w:p>
    <w:p w14:paraId="07BF0006" w14:textId="77777777" w:rsidR="00CB542F" w:rsidRDefault="00CB542F">
      <w:pPr>
        <w:rPr>
          <w:noProof/>
        </w:rPr>
      </w:pPr>
    </w:p>
    <w:p w14:paraId="45709D2D" w14:textId="77777777" w:rsidR="00CB542F" w:rsidRDefault="00CB542F">
      <w:pPr>
        <w:rPr>
          <w:noProof/>
        </w:rPr>
      </w:pPr>
    </w:p>
    <w:p w14:paraId="0C4AADA1" w14:textId="77777777" w:rsidR="00CB542F" w:rsidRDefault="00CB542F">
      <w:pPr>
        <w:rPr>
          <w:noProof/>
        </w:rPr>
      </w:pPr>
    </w:p>
    <w:p w14:paraId="27F3AAA5" w14:textId="77777777" w:rsidR="00CB542F" w:rsidRDefault="00CB542F">
      <w:pPr>
        <w:rPr>
          <w:noProof/>
        </w:rPr>
      </w:pPr>
    </w:p>
    <w:p w14:paraId="49E63569" w14:textId="77777777" w:rsidR="00CB542F" w:rsidRDefault="00CB542F">
      <w:pPr>
        <w:rPr>
          <w:noProof/>
        </w:rPr>
      </w:pPr>
    </w:p>
    <w:p w14:paraId="1F9BE333" w14:textId="77777777" w:rsidR="00CB542F" w:rsidRDefault="00CB542F">
      <w:pPr>
        <w:rPr>
          <w:noProof/>
        </w:rPr>
      </w:pPr>
    </w:p>
    <w:p w14:paraId="3A67DE24" w14:textId="77777777" w:rsidR="00CB542F" w:rsidRDefault="00CB542F">
      <w:pPr>
        <w:rPr>
          <w:noProof/>
        </w:rPr>
      </w:pPr>
    </w:p>
    <w:p w14:paraId="3DC1D0E9" w14:textId="77777777" w:rsidR="00CB542F" w:rsidRDefault="00CB542F">
      <w:pPr>
        <w:rPr>
          <w:noProof/>
        </w:rPr>
      </w:pPr>
    </w:p>
    <w:p w14:paraId="4F785F93" w14:textId="77777777" w:rsidR="00CB542F" w:rsidRDefault="00CB542F">
      <w:pPr>
        <w:rPr>
          <w:noProof/>
        </w:rPr>
      </w:pPr>
    </w:p>
    <w:p w14:paraId="57F75794" w14:textId="77777777" w:rsidR="00CB542F" w:rsidRDefault="00CB542F">
      <w:pPr>
        <w:rPr>
          <w:noProof/>
        </w:rPr>
      </w:pPr>
    </w:p>
    <w:p w14:paraId="46E7A60D" w14:textId="77777777" w:rsidR="00CB542F" w:rsidRDefault="00573A58">
      <w:pPr>
        <w:pStyle w:val="Sraopastraipa"/>
        <w:numPr>
          <w:ilvl w:val="0"/>
          <w:numId w:val="11"/>
        </w:numPr>
        <w:jc w:val="center"/>
        <w:outlineLvl w:val="0"/>
        <w:rPr>
          <w:noProof/>
        </w:rPr>
      </w:pPr>
      <w:r>
        <w:rPr>
          <w:b/>
          <w:noProof/>
        </w:rPr>
        <w:t>ŽENKLINIMAS</w:t>
      </w:r>
    </w:p>
    <w:p w14:paraId="3FDA2008" w14:textId="77777777" w:rsidR="00CB542F" w:rsidRDefault="00573A58">
      <w:pPr>
        <w:shd w:val="clear" w:color="auto" w:fill="FFFFFF"/>
        <w:rPr>
          <w:noProof/>
        </w:rPr>
      </w:pPr>
      <w:r>
        <w:rPr>
          <w:noProof/>
        </w:rPr>
        <w:br w:type="page"/>
      </w:r>
    </w:p>
    <w:p w14:paraId="2E0BAE8C" w14:textId="77777777" w:rsidR="00CB542F" w:rsidRDefault="00573A58">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1133E9F5" w14:textId="77777777" w:rsidR="00CB542F" w:rsidRDefault="00CB542F">
      <w:pPr>
        <w:pBdr>
          <w:top w:val="single" w:sz="4" w:space="1" w:color="auto"/>
          <w:left w:val="single" w:sz="4" w:space="4" w:color="auto"/>
          <w:bottom w:val="single" w:sz="4" w:space="1" w:color="auto"/>
          <w:right w:val="single" w:sz="4" w:space="4" w:color="auto"/>
        </w:pBdr>
        <w:ind w:left="567" w:hanging="567"/>
        <w:rPr>
          <w:bCs/>
          <w:noProof/>
        </w:rPr>
      </w:pPr>
    </w:p>
    <w:p w14:paraId="0FA31F38" w14:textId="77777777" w:rsidR="00CB542F" w:rsidRDefault="00573A58">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7FF15832" w14:textId="77777777" w:rsidR="00CB542F" w:rsidRDefault="00CB542F">
      <w:pPr>
        <w:rPr>
          <w:noProof/>
        </w:rPr>
      </w:pPr>
    </w:p>
    <w:p w14:paraId="68D1607C" w14:textId="77777777" w:rsidR="00CB542F" w:rsidRDefault="00CB542F">
      <w:pPr>
        <w:rPr>
          <w:noProof/>
        </w:rPr>
      </w:pPr>
    </w:p>
    <w:p w14:paraId="436F6BA9"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481FA7A" w14:textId="77777777" w:rsidR="00CB542F" w:rsidRDefault="00CB542F">
      <w:pPr>
        <w:rPr>
          <w:noProof/>
        </w:rPr>
      </w:pPr>
    </w:p>
    <w:p w14:paraId="2972EA1F" w14:textId="77777777" w:rsidR="00CB542F" w:rsidRDefault="00573A58">
      <w:pPr>
        <w:rPr>
          <w:color w:val="000000" w:themeColor="text1"/>
        </w:rPr>
      </w:pPr>
      <w:r>
        <w:rPr>
          <w:noProof/>
        </w:rPr>
        <w:t>Danengo 75 mg kietosios kapsulės</w:t>
      </w:r>
    </w:p>
    <w:p w14:paraId="388C6BE6" w14:textId="77777777" w:rsidR="00CB542F" w:rsidRDefault="00573A58">
      <w:pPr>
        <w:rPr>
          <w:color w:val="000000" w:themeColor="text1"/>
          <w:highlight w:val="lightGray"/>
        </w:rPr>
      </w:pPr>
      <w:r>
        <w:rPr>
          <w:noProof/>
          <w:highlight w:val="lightGray"/>
        </w:rPr>
        <w:t>Danengo 110 mg kietosios kapsulės</w:t>
      </w:r>
    </w:p>
    <w:p w14:paraId="7E1418B7" w14:textId="77777777" w:rsidR="00CB542F" w:rsidRDefault="00573A58">
      <w:pPr>
        <w:rPr>
          <w:color w:val="000000" w:themeColor="text1"/>
        </w:rPr>
      </w:pPr>
      <w:r>
        <w:rPr>
          <w:noProof/>
          <w:highlight w:val="lightGray"/>
        </w:rPr>
        <w:t>Danengo 150 mg kietosios kapsulės</w:t>
      </w:r>
    </w:p>
    <w:p w14:paraId="64050D3A" w14:textId="77777777" w:rsidR="00CB542F" w:rsidRDefault="00CB542F">
      <w:pPr>
        <w:rPr>
          <w:noProof/>
        </w:rPr>
      </w:pPr>
    </w:p>
    <w:p w14:paraId="30D967E0" w14:textId="77777777" w:rsidR="00CB542F" w:rsidRDefault="00573A58">
      <w:pPr>
        <w:rPr>
          <w:noProof/>
        </w:rPr>
      </w:pPr>
      <w:r>
        <w:rPr>
          <w:noProof/>
        </w:rPr>
        <w:t>dabigatranas eteksilatas</w:t>
      </w:r>
    </w:p>
    <w:p w14:paraId="1F72D53E" w14:textId="77777777" w:rsidR="00CB542F" w:rsidRDefault="00CB542F">
      <w:pPr>
        <w:rPr>
          <w:noProof/>
        </w:rPr>
      </w:pPr>
    </w:p>
    <w:p w14:paraId="136B6F56" w14:textId="77777777" w:rsidR="00CB542F" w:rsidRDefault="00CB542F">
      <w:pPr>
        <w:rPr>
          <w:noProof/>
        </w:rPr>
      </w:pPr>
    </w:p>
    <w:p w14:paraId="1B9AF87B"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233B500A" w14:textId="77777777" w:rsidR="00CB542F" w:rsidRDefault="00CB542F">
      <w:pPr>
        <w:rPr>
          <w:noProof/>
        </w:rPr>
      </w:pPr>
    </w:p>
    <w:p w14:paraId="357A62CE" w14:textId="77777777" w:rsidR="00CB542F" w:rsidRDefault="00573A58">
      <w:r>
        <w:t>Kiekvienoje kietojoje kapsulėje yra 75 mg dabigatrano eteksilato (dabigatrano eteksilato mesilato pavidalu).</w:t>
      </w:r>
    </w:p>
    <w:p w14:paraId="332D4424" w14:textId="77777777" w:rsidR="00CB542F" w:rsidRDefault="00573A58">
      <w:pPr>
        <w:rPr>
          <w:highlight w:val="lightGray"/>
        </w:rPr>
      </w:pPr>
      <w:r>
        <w:rPr>
          <w:highlight w:val="lightGray"/>
        </w:rPr>
        <w:t>Kiekvienoje kietojoje kapsulėje yra 110 mg dabigatrano eteksilato (dabigatrano eteksilato mesilato pavidalu).</w:t>
      </w:r>
    </w:p>
    <w:p w14:paraId="6A9BE19B" w14:textId="77777777" w:rsidR="00CB542F" w:rsidRDefault="00573A58">
      <w:r>
        <w:rPr>
          <w:highlight w:val="lightGray"/>
        </w:rPr>
        <w:t>Kiekvienoje kietojoje kapsulėje yra 150 mg dabigatrano eteksilato (dabigatrano eteksilato mesilato pavidalu).</w:t>
      </w:r>
    </w:p>
    <w:p w14:paraId="792AF0EA" w14:textId="77777777" w:rsidR="00CB542F" w:rsidRDefault="00CB542F"/>
    <w:p w14:paraId="7F6939A4" w14:textId="77777777" w:rsidR="00CB542F" w:rsidRDefault="00CB542F">
      <w:pPr>
        <w:rPr>
          <w:noProof/>
        </w:rPr>
      </w:pPr>
    </w:p>
    <w:p w14:paraId="02D53381"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8259722" w14:textId="77777777" w:rsidR="00CB542F" w:rsidRDefault="00CB542F">
      <w:pPr>
        <w:rPr>
          <w:noProof/>
        </w:rPr>
      </w:pPr>
    </w:p>
    <w:p w14:paraId="6523C0D4" w14:textId="77777777" w:rsidR="00CB542F" w:rsidRDefault="00CB542F">
      <w:pPr>
        <w:rPr>
          <w:noProof/>
        </w:rPr>
      </w:pPr>
    </w:p>
    <w:p w14:paraId="27A96ED1"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2A0D0DB0" w14:textId="77777777" w:rsidR="00CB542F" w:rsidRDefault="00CB542F">
      <w:pPr>
        <w:rPr>
          <w:noProof/>
        </w:rPr>
      </w:pPr>
    </w:p>
    <w:p w14:paraId="51D2D089" w14:textId="77777777" w:rsidR="00CB542F" w:rsidRDefault="00573A58">
      <w:r>
        <w:rPr>
          <w:highlight w:val="lightGray"/>
        </w:rPr>
        <w:t>kietoji kapsulė</w:t>
      </w:r>
    </w:p>
    <w:p w14:paraId="1F96E912" w14:textId="77777777" w:rsidR="00CB542F" w:rsidRDefault="00CB542F"/>
    <w:p w14:paraId="7B780E15" w14:textId="77777777" w:rsidR="00CB542F" w:rsidRDefault="00573A58">
      <w:r>
        <w:t>10 x 1 kietųjų kapsulių</w:t>
      </w:r>
    </w:p>
    <w:p w14:paraId="47C144D3" w14:textId="77777777" w:rsidR="00CB542F" w:rsidRDefault="00573A58">
      <w:pPr>
        <w:rPr>
          <w:highlight w:val="lightGray"/>
        </w:rPr>
      </w:pPr>
      <w:r>
        <w:rPr>
          <w:highlight w:val="lightGray"/>
        </w:rPr>
        <w:t>30 x 1 kietųjų kapsulių</w:t>
      </w:r>
    </w:p>
    <w:p w14:paraId="5C7A1C9B" w14:textId="77777777" w:rsidR="00CB542F" w:rsidRDefault="00573A58">
      <w:pPr>
        <w:rPr>
          <w:noProof/>
          <w:highlight w:val="lightGray"/>
        </w:rPr>
      </w:pPr>
      <w:r>
        <w:rPr>
          <w:highlight w:val="lightGray"/>
        </w:rPr>
        <w:t>60 x 1 kietųjų kapsulių</w:t>
      </w:r>
    </w:p>
    <w:p w14:paraId="53A84ADD" w14:textId="77777777" w:rsidR="00CB542F" w:rsidRDefault="00573A58">
      <w:r>
        <w:rPr>
          <w:highlight w:val="lightGray"/>
        </w:rPr>
        <w:t>100 x 1 kietųjų kapsulių</w:t>
      </w:r>
    </w:p>
    <w:p w14:paraId="7A4CD0FB" w14:textId="77777777" w:rsidR="00CB542F" w:rsidRDefault="00CB542F">
      <w:pPr>
        <w:rPr>
          <w:noProof/>
        </w:rPr>
      </w:pPr>
    </w:p>
    <w:p w14:paraId="6FFA1F12" w14:textId="77777777" w:rsidR="00CB542F" w:rsidRDefault="00CB542F">
      <w:pPr>
        <w:rPr>
          <w:noProof/>
        </w:rPr>
      </w:pPr>
    </w:p>
    <w:p w14:paraId="6986F956"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A18458F" w14:textId="77777777" w:rsidR="00CB542F" w:rsidRDefault="00CB542F">
      <w:pPr>
        <w:rPr>
          <w:i/>
          <w:noProof/>
        </w:rPr>
      </w:pPr>
    </w:p>
    <w:p w14:paraId="10317FAE" w14:textId="77777777" w:rsidR="00CB542F" w:rsidRDefault="00573A58">
      <w:pPr>
        <w:rPr>
          <w:noProof/>
        </w:rPr>
      </w:pPr>
      <w:r>
        <w:rPr>
          <w:noProof/>
        </w:rPr>
        <w:t>Nurykite visą kapsulę, kramtyti ar laužyti negalima.</w:t>
      </w:r>
    </w:p>
    <w:p w14:paraId="55FBEC15" w14:textId="77777777" w:rsidR="00CB542F" w:rsidRDefault="00573A58">
      <w:pPr>
        <w:rPr>
          <w:noProof/>
        </w:rPr>
      </w:pPr>
      <w:r>
        <w:rPr>
          <w:noProof/>
        </w:rPr>
        <w:t>Prieš vartojimą perskaitykite pakuotės lapelį.</w:t>
      </w:r>
    </w:p>
    <w:p w14:paraId="3C9CD279" w14:textId="77777777" w:rsidR="00CB542F" w:rsidRDefault="00573A58">
      <w:pPr>
        <w:rPr>
          <w:noProof/>
        </w:rPr>
      </w:pPr>
      <w:r>
        <w:rPr>
          <w:noProof/>
        </w:rPr>
        <w:t>Vartoti per burną</w:t>
      </w:r>
    </w:p>
    <w:p w14:paraId="6743348F" w14:textId="77777777" w:rsidR="00CB542F" w:rsidRDefault="00CB542F">
      <w:pPr>
        <w:rPr>
          <w:noProof/>
        </w:rPr>
      </w:pPr>
    </w:p>
    <w:p w14:paraId="18445287" w14:textId="77777777" w:rsidR="00CB542F" w:rsidRDefault="00573A58">
      <w:pPr>
        <w:rPr>
          <w:noProof/>
        </w:rPr>
      </w:pPr>
      <w:r>
        <w:rPr>
          <w:noProof/>
        </w:rPr>
        <w:t>Paciento budrumo kortelė yra viduje.</w:t>
      </w:r>
    </w:p>
    <w:p w14:paraId="101ED332" w14:textId="77777777" w:rsidR="00CB542F" w:rsidRDefault="00CB542F">
      <w:pPr>
        <w:rPr>
          <w:noProof/>
        </w:rPr>
      </w:pPr>
    </w:p>
    <w:p w14:paraId="0998E9F4" w14:textId="77777777" w:rsidR="00CB542F" w:rsidRDefault="00573A58">
      <w:pPr>
        <w:rPr>
          <w:noProof/>
        </w:rPr>
      </w:pPr>
      <w:r>
        <w:rPr>
          <w:noProof/>
        </w:rPr>
        <w:t>Norėdami išimti kapsulę iš lizdinės plokštelės:</w:t>
      </w:r>
    </w:p>
    <w:p w14:paraId="4A53DF60" w14:textId="77777777" w:rsidR="00CB542F" w:rsidRDefault="00573A58">
      <w:pPr>
        <w:pStyle w:val="Sraopastraipa"/>
        <w:widowControl w:val="0"/>
        <w:numPr>
          <w:ilvl w:val="0"/>
          <w:numId w:val="6"/>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0EAD4663" w14:textId="77777777" w:rsidR="00CB542F" w:rsidRDefault="00573A58">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Patraukite folijos kraštą ir visiškai nulupkite foliją.</w:t>
      </w:r>
    </w:p>
    <w:p w14:paraId="2871F5A5" w14:textId="77777777" w:rsidR="00CB542F" w:rsidRDefault="00573A58">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Išmeskite kapsulę ant rankos.</w:t>
      </w:r>
    </w:p>
    <w:p w14:paraId="36E97ED4" w14:textId="77777777" w:rsidR="00CB542F" w:rsidRDefault="00573A58">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Nurykite visas kapsules, užsigerdami stikline vandens.</w:t>
      </w:r>
    </w:p>
    <w:p w14:paraId="36B35439" w14:textId="77777777" w:rsidR="00CB542F" w:rsidRDefault="00CB542F">
      <w:pPr>
        <w:rPr>
          <w:noProof/>
        </w:rPr>
      </w:pPr>
    </w:p>
    <w:p w14:paraId="18B2D3F2" w14:textId="77777777" w:rsidR="00CB542F" w:rsidRDefault="00573A58">
      <w:pPr>
        <w:rPr>
          <w:noProof/>
        </w:rPr>
      </w:pPr>
      <w:r>
        <w:rPr>
          <w:noProof/>
          <w:lang w:eastAsia="lt-LT"/>
        </w:rPr>
        <w:lastRenderedPageBreak/>
        <w:drawing>
          <wp:inline distT="0" distB="0" distL="0" distR="0" wp14:anchorId="4C4BE1ED" wp14:editId="16270D9A">
            <wp:extent cx="5981065" cy="139065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065" cy="1390650"/>
                    </a:xfrm>
                    <a:prstGeom prst="rect">
                      <a:avLst/>
                    </a:prstGeom>
                    <a:noFill/>
                  </pic:spPr>
                </pic:pic>
              </a:graphicData>
            </a:graphic>
          </wp:inline>
        </w:drawing>
      </w:r>
    </w:p>
    <w:p w14:paraId="1F799819" w14:textId="77777777" w:rsidR="00CB542F" w:rsidRDefault="00CB542F">
      <w:pPr>
        <w:rPr>
          <w:noProof/>
        </w:rPr>
      </w:pPr>
    </w:p>
    <w:p w14:paraId="16CCBEDE" w14:textId="77777777" w:rsidR="00CB542F" w:rsidRDefault="00573A58">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47C2FE93" w14:textId="77777777" w:rsidR="00CB542F" w:rsidRDefault="00CB542F">
      <w:pPr>
        <w:rPr>
          <w:noProof/>
        </w:rPr>
      </w:pPr>
    </w:p>
    <w:p w14:paraId="1EAD2286" w14:textId="77777777" w:rsidR="00CB542F" w:rsidRDefault="00573A58">
      <w:pPr>
        <w:pStyle w:val="Pagrindinistekstas"/>
        <w:rPr>
          <w:i w:val="0"/>
          <w:iCs/>
          <w:noProof/>
          <w:color w:val="auto"/>
          <w:lang w:val="lt-LT"/>
        </w:rPr>
      </w:pPr>
      <w:r>
        <w:rPr>
          <w:i w:val="0"/>
          <w:iCs/>
          <w:noProof/>
          <w:color w:val="auto"/>
          <w:lang w:val="lt-LT"/>
        </w:rPr>
        <w:t>Laikyti vaikams nepastebimoje ir nepasiekiamoje vietoje.</w:t>
      </w:r>
    </w:p>
    <w:p w14:paraId="73122F57" w14:textId="77777777" w:rsidR="00CB542F" w:rsidRDefault="00CB542F">
      <w:pPr>
        <w:rPr>
          <w:noProof/>
        </w:rPr>
      </w:pPr>
    </w:p>
    <w:p w14:paraId="1BAF1372" w14:textId="77777777" w:rsidR="00CB542F" w:rsidRDefault="00CB542F">
      <w:pPr>
        <w:rPr>
          <w:noProof/>
        </w:rPr>
      </w:pPr>
    </w:p>
    <w:p w14:paraId="2689B330"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BAC09D0" w14:textId="77777777" w:rsidR="00CB542F" w:rsidRDefault="00CB542F">
      <w:pPr>
        <w:rPr>
          <w:noProof/>
        </w:rPr>
      </w:pPr>
    </w:p>
    <w:p w14:paraId="62012E14" w14:textId="77777777" w:rsidR="00CB542F" w:rsidRDefault="00CB542F">
      <w:pPr>
        <w:rPr>
          <w:noProof/>
        </w:rPr>
      </w:pPr>
    </w:p>
    <w:p w14:paraId="625193F9"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6EA6A812" w14:textId="77777777" w:rsidR="00CB542F" w:rsidRDefault="00CB542F">
      <w:pPr>
        <w:rPr>
          <w:i/>
          <w:noProof/>
        </w:rPr>
      </w:pPr>
    </w:p>
    <w:p w14:paraId="0A8ABAF8" w14:textId="77777777" w:rsidR="00CB542F" w:rsidRDefault="00573A58">
      <w:pPr>
        <w:rPr>
          <w:iCs/>
          <w:noProof/>
        </w:rPr>
      </w:pPr>
      <w:r>
        <w:rPr>
          <w:iCs/>
          <w:noProof/>
        </w:rPr>
        <w:t xml:space="preserve">EXP </w:t>
      </w:r>
      <w:bookmarkStart w:id="2" w:name="_Hlk148615308"/>
      <w:r>
        <w:rPr>
          <w:snapToGrid w:val="0"/>
        </w:rPr>
        <w:t>(mm/MMMM)</w:t>
      </w:r>
      <w:bookmarkEnd w:id="2"/>
    </w:p>
    <w:p w14:paraId="07337C76" w14:textId="77777777" w:rsidR="00CB542F" w:rsidRDefault="00CB542F">
      <w:pPr>
        <w:rPr>
          <w:noProof/>
        </w:rPr>
      </w:pPr>
    </w:p>
    <w:p w14:paraId="5D3A6F77" w14:textId="77777777" w:rsidR="00CB542F" w:rsidRDefault="00CB542F">
      <w:pPr>
        <w:rPr>
          <w:noProof/>
        </w:rPr>
      </w:pPr>
    </w:p>
    <w:p w14:paraId="25D315B4"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2DF45C54" w14:textId="77777777" w:rsidR="00CB542F" w:rsidRDefault="00CB542F">
      <w:pPr>
        <w:rPr>
          <w:i/>
          <w:noProof/>
        </w:rPr>
      </w:pPr>
    </w:p>
    <w:p w14:paraId="1286D65D" w14:textId="77777777" w:rsidR="00CB542F" w:rsidRDefault="00573A58">
      <w:pPr>
        <w:ind w:left="567" w:hanging="567"/>
      </w:pPr>
      <w:r>
        <w:t>Laikyti gamintojo pakuotėje, kad vaistas būtų apsaugotas nuo šviesos ir drėgmės.</w:t>
      </w:r>
    </w:p>
    <w:p w14:paraId="59DA6B13" w14:textId="77777777" w:rsidR="00CB542F" w:rsidRDefault="00CB542F">
      <w:pPr>
        <w:ind w:left="567" w:hanging="567"/>
        <w:rPr>
          <w:i/>
          <w:iCs/>
        </w:rPr>
      </w:pPr>
    </w:p>
    <w:p w14:paraId="2B4AA812" w14:textId="77777777" w:rsidR="00CB542F" w:rsidRDefault="00CB542F">
      <w:pPr>
        <w:ind w:left="567" w:hanging="567"/>
        <w:rPr>
          <w:noProof/>
        </w:rPr>
      </w:pPr>
    </w:p>
    <w:p w14:paraId="6A1E9127"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31B38479" w14:textId="77777777" w:rsidR="00CB542F" w:rsidRDefault="00CB542F">
      <w:pPr>
        <w:rPr>
          <w:noProof/>
        </w:rPr>
      </w:pPr>
    </w:p>
    <w:p w14:paraId="4EEDE0BC" w14:textId="77777777" w:rsidR="00CB542F" w:rsidRDefault="00CB542F">
      <w:pPr>
        <w:rPr>
          <w:noProof/>
        </w:rPr>
      </w:pPr>
    </w:p>
    <w:p w14:paraId="16D370C7" w14:textId="77777777" w:rsidR="00CB542F" w:rsidRDefault="00573A58">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489A4C06" w14:textId="77777777" w:rsidR="00CB542F" w:rsidRDefault="00CB542F"/>
    <w:p w14:paraId="626351D4"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7470F14" w14:textId="77777777" w:rsidR="00CB542F" w:rsidRDefault="00573A58">
      <w:pPr>
        <w:widowControl w:val="0"/>
        <w:rPr>
          <w:noProof/>
          <w:szCs w:val="22"/>
          <w:lang w:eastAsia="sl-SI"/>
        </w:rPr>
      </w:pPr>
      <w:r>
        <w:rPr>
          <w:noProof/>
          <w:szCs w:val="22"/>
          <w:lang w:eastAsia="sl-SI"/>
        </w:rPr>
        <w:t>Heinz-Lohmann-Straße 5</w:t>
      </w:r>
    </w:p>
    <w:p w14:paraId="1C1A3CAC" w14:textId="77777777" w:rsidR="00CB542F" w:rsidRDefault="00573A58">
      <w:pPr>
        <w:widowControl w:val="0"/>
        <w:rPr>
          <w:noProof/>
          <w:szCs w:val="22"/>
          <w:lang w:eastAsia="sl-SI"/>
        </w:rPr>
      </w:pPr>
      <w:r>
        <w:rPr>
          <w:noProof/>
          <w:szCs w:val="22"/>
          <w:lang w:eastAsia="sl-SI"/>
        </w:rPr>
        <w:t>27472 Cuxhaven</w:t>
      </w:r>
    </w:p>
    <w:p w14:paraId="3596541F" w14:textId="77777777" w:rsidR="00CB542F" w:rsidRDefault="00573A58">
      <w:pPr>
        <w:widowControl w:val="0"/>
        <w:rPr>
          <w:noProof/>
          <w:szCs w:val="22"/>
          <w:lang w:eastAsia="sl-SI"/>
        </w:rPr>
      </w:pPr>
      <w:r>
        <w:rPr>
          <w:noProof/>
          <w:szCs w:val="22"/>
          <w:lang w:eastAsia="sl-SI"/>
        </w:rPr>
        <w:t>Vokietija</w:t>
      </w:r>
    </w:p>
    <w:p w14:paraId="63260798" w14:textId="77777777" w:rsidR="00CB542F" w:rsidRDefault="00CB542F">
      <w:pPr>
        <w:rPr>
          <w:noProof/>
        </w:rPr>
      </w:pPr>
    </w:p>
    <w:p w14:paraId="44FE465C" w14:textId="77777777" w:rsidR="00CB542F" w:rsidRDefault="00CB542F">
      <w:pPr>
        <w:rPr>
          <w:noProof/>
        </w:rPr>
      </w:pPr>
    </w:p>
    <w:p w14:paraId="69DDFFBA"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04A86747" w14:textId="77777777" w:rsidR="00CB542F" w:rsidRDefault="00CB542F"/>
    <w:p w14:paraId="4B8EC710"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3F779A76" w14:textId="77777777" w:rsidR="00CB542F" w:rsidRDefault="00573A58">
      <w:pPr>
        <w:widowControl w:val="0"/>
        <w:rPr>
          <w:noProof/>
          <w:szCs w:val="22"/>
          <w:shd w:val="clear" w:color="auto" w:fill="F2F2F2" w:themeFill="background1" w:themeFillShade="F2"/>
          <w:lang w:eastAsia="sl-SI"/>
        </w:rPr>
      </w:pPr>
      <w:r>
        <w:rPr>
          <w:noProof/>
          <w:szCs w:val="22"/>
          <w:lang w:eastAsia="sl-SI"/>
        </w:rPr>
        <w:t xml:space="preserve">LT/1/23/5280/001 </w:t>
      </w:r>
      <w:r>
        <w:rPr>
          <w:noProof/>
          <w:szCs w:val="22"/>
          <w:shd w:val="clear" w:color="auto" w:fill="F2F2F2" w:themeFill="background1" w:themeFillShade="F2"/>
          <w:lang w:eastAsia="sl-SI"/>
        </w:rPr>
        <w:t>– N10x1</w:t>
      </w:r>
    </w:p>
    <w:p w14:paraId="6A6D7F0D"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LT/1/23/5280/002 – N30x1</w:t>
      </w:r>
    </w:p>
    <w:p w14:paraId="05AFFBEE"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LT/1/23/5280/003 – N60x1</w:t>
      </w:r>
    </w:p>
    <w:p w14:paraId="4B6083A5"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LT/1/23/5280/004 – N100x1</w:t>
      </w:r>
    </w:p>
    <w:p w14:paraId="50A734E5" w14:textId="77777777" w:rsidR="00CB542F" w:rsidRDefault="00CB542F">
      <w:pPr>
        <w:rPr>
          <w:noProof/>
          <w:szCs w:val="22"/>
          <w:shd w:val="clear" w:color="auto" w:fill="F2F2F2" w:themeFill="background1" w:themeFillShade="F2"/>
          <w:lang w:eastAsia="sl-SI"/>
        </w:rPr>
      </w:pPr>
    </w:p>
    <w:p w14:paraId="39A51ADF"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0E04A326"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LT/1/23/5281/001 – N10x1</w:t>
      </w:r>
    </w:p>
    <w:p w14:paraId="62F39CE1"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LT/1/23/5281/002 – N30x1</w:t>
      </w:r>
    </w:p>
    <w:p w14:paraId="36D646CB"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LT/1/23/5281/003 – N60x1</w:t>
      </w:r>
    </w:p>
    <w:p w14:paraId="5566B888"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LT/1/23/5281/004 – N100x1</w:t>
      </w:r>
    </w:p>
    <w:p w14:paraId="60C20AA0" w14:textId="77777777" w:rsidR="00CB542F" w:rsidRDefault="00CB542F">
      <w:pPr>
        <w:rPr>
          <w:noProof/>
          <w:szCs w:val="22"/>
          <w:shd w:val="clear" w:color="auto" w:fill="F2F2F2" w:themeFill="background1" w:themeFillShade="F2"/>
          <w:lang w:eastAsia="sl-SI"/>
        </w:rPr>
      </w:pPr>
    </w:p>
    <w:p w14:paraId="0F1E986F"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23CA9AEA"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lastRenderedPageBreak/>
        <w:t>LT/1/23/5282/001 – N10x1</w:t>
      </w:r>
    </w:p>
    <w:p w14:paraId="2EA5CC84"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LT/1/23/5282/002 – N30x1</w:t>
      </w:r>
    </w:p>
    <w:p w14:paraId="29A39EB3"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LT/1/23/5282/003 – N60x1</w:t>
      </w:r>
    </w:p>
    <w:p w14:paraId="050BFC18"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LT/1/23/5282/004 – N100x1</w:t>
      </w:r>
    </w:p>
    <w:p w14:paraId="37D2C7A3" w14:textId="77777777" w:rsidR="00CB542F" w:rsidRDefault="00CB542F">
      <w:pPr>
        <w:rPr>
          <w:noProof/>
        </w:rPr>
      </w:pPr>
    </w:p>
    <w:p w14:paraId="2C41846B" w14:textId="77777777" w:rsidR="00CB542F" w:rsidRDefault="00CB542F">
      <w:pPr>
        <w:rPr>
          <w:noProof/>
        </w:rPr>
      </w:pPr>
    </w:p>
    <w:p w14:paraId="6881CC4B"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68747C4" w14:textId="77777777" w:rsidR="00CB542F" w:rsidRDefault="00CB542F">
      <w:pPr>
        <w:rPr>
          <w:i/>
          <w:noProof/>
        </w:rPr>
      </w:pPr>
    </w:p>
    <w:p w14:paraId="1ED900F9" w14:textId="77777777" w:rsidR="00CB542F" w:rsidRDefault="00573A58">
      <w:pPr>
        <w:rPr>
          <w:noProof/>
        </w:rPr>
      </w:pPr>
      <w:r>
        <w:rPr>
          <w:noProof/>
        </w:rPr>
        <w:t>Lot</w:t>
      </w:r>
    </w:p>
    <w:p w14:paraId="060710F9" w14:textId="77777777" w:rsidR="00CB542F" w:rsidRDefault="00CB542F">
      <w:pPr>
        <w:rPr>
          <w:noProof/>
        </w:rPr>
      </w:pPr>
    </w:p>
    <w:p w14:paraId="5822E2FE" w14:textId="77777777" w:rsidR="00CB542F" w:rsidRDefault="00CB542F">
      <w:pPr>
        <w:rPr>
          <w:noProof/>
        </w:rPr>
      </w:pPr>
    </w:p>
    <w:p w14:paraId="4D6B0F80"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1F3E8A8D" w14:textId="77777777" w:rsidR="00CB542F" w:rsidRDefault="00CB542F">
      <w:pPr>
        <w:rPr>
          <w:noProof/>
        </w:rPr>
      </w:pPr>
    </w:p>
    <w:p w14:paraId="3D561006" w14:textId="77777777" w:rsidR="00CB542F" w:rsidRDefault="00573A58">
      <w:pPr>
        <w:widowControl w:val="0"/>
        <w:tabs>
          <w:tab w:val="left" w:pos="567"/>
        </w:tabs>
        <w:rPr>
          <w:snapToGrid w:val="0"/>
          <w:szCs w:val="22"/>
        </w:rPr>
      </w:pPr>
      <w:r>
        <w:rPr>
          <w:snapToGrid w:val="0"/>
          <w:szCs w:val="22"/>
        </w:rPr>
        <w:t>Receptinis vaistas</w:t>
      </w:r>
    </w:p>
    <w:p w14:paraId="29B196FD" w14:textId="77777777" w:rsidR="00CB542F" w:rsidRDefault="00CB542F">
      <w:pPr>
        <w:rPr>
          <w:noProof/>
        </w:rPr>
      </w:pPr>
    </w:p>
    <w:p w14:paraId="1CFA3577" w14:textId="77777777" w:rsidR="00CB542F" w:rsidRDefault="00CB542F">
      <w:pPr>
        <w:rPr>
          <w:noProof/>
        </w:rPr>
      </w:pPr>
    </w:p>
    <w:p w14:paraId="45E1C9A2"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201168F" w14:textId="77777777" w:rsidR="00CB542F" w:rsidRDefault="00CB542F">
      <w:pPr>
        <w:rPr>
          <w:i/>
          <w:iCs/>
        </w:rPr>
      </w:pPr>
    </w:p>
    <w:p w14:paraId="7ECB2318" w14:textId="77777777" w:rsidR="00CB542F" w:rsidRDefault="00CB542F">
      <w:pPr>
        <w:rPr>
          <w:noProof/>
        </w:rPr>
      </w:pPr>
    </w:p>
    <w:p w14:paraId="520E43EF"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8510E1B" w14:textId="77777777" w:rsidR="00CB542F" w:rsidRDefault="00CB542F">
      <w:pPr>
        <w:rPr>
          <w:noProof/>
        </w:rPr>
      </w:pPr>
    </w:p>
    <w:p w14:paraId="2896D2F7" w14:textId="77777777" w:rsidR="00CB542F" w:rsidRDefault="00573A58">
      <w:pPr>
        <w:rPr>
          <w:color w:val="000000" w:themeColor="text1"/>
        </w:rPr>
      </w:pPr>
      <w:r>
        <w:rPr>
          <w:noProof/>
        </w:rPr>
        <w:t>Danengo 75 mg</w:t>
      </w:r>
    </w:p>
    <w:p w14:paraId="3D280733" w14:textId="77777777" w:rsidR="00CB542F" w:rsidRDefault="00573A58">
      <w:pPr>
        <w:rPr>
          <w:color w:val="000000" w:themeColor="text1"/>
          <w:highlight w:val="lightGray"/>
        </w:rPr>
      </w:pPr>
      <w:r>
        <w:rPr>
          <w:noProof/>
          <w:highlight w:val="lightGray"/>
        </w:rPr>
        <w:t>Danengo 110 mg</w:t>
      </w:r>
    </w:p>
    <w:p w14:paraId="43A91594" w14:textId="77777777" w:rsidR="00CB542F" w:rsidRDefault="00573A58">
      <w:pPr>
        <w:rPr>
          <w:color w:val="000000" w:themeColor="text1"/>
        </w:rPr>
      </w:pPr>
      <w:r>
        <w:rPr>
          <w:noProof/>
          <w:highlight w:val="lightGray"/>
        </w:rPr>
        <w:t>Danengo 150 mg</w:t>
      </w:r>
    </w:p>
    <w:p w14:paraId="48ADB7BD" w14:textId="77777777" w:rsidR="00CB542F" w:rsidRDefault="00CB542F">
      <w:pPr>
        <w:rPr>
          <w:noProof/>
          <w:szCs w:val="22"/>
          <w:shd w:val="clear" w:color="auto" w:fill="CCCCCC"/>
        </w:rPr>
      </w:pPr>
    </w:p>
    <w:p w14:paraId="4B6EB9DB" w14:textId="77777777" w:rsidR="00CB542F" w:rsidRDefault="00CB542F">
      <w:pPr>
        <w:rPr>
          <w:noProof/>
          <w:szCs w:val="22"/>
          <w:shd w:val="clear" w:color="auto" w:fill="CCCCCC"/>
        </w:rPr>
      </w:pPr>
    </w:p>
    <w:p w14:paraId="71DCEB7C"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342E796" w14:textId="77777777" w:rsidR="00CB542F" w:rsidRDefault="00CB542F">
      <w:pPr>
        <w:rPr>
          <w:noProof/>
        </w:rPr>
      </w:pPr>
    </w:p>
    <w:p w14:paraId="78BB42ED" w14:textId="77777777" w:rsidR="00CB542F" w:rsidRDefault="00573A58">
      <w:pPr>
        <w:rPr>
          <w:noProof/>
          <w:szCs w:val="22"/>
          <w:shd w:val="clear" w:color="auto" w:fill="CCCCCC"/>
        </w:rPr>
      </w:pPr>
      <w:r>
        <w:rPr>
          <w:noProof/>
          <w:highlight w:val="lightGray"/>
        </w:rPr>
        <w:t>2D brūkšninis kodas su nurodytu unikaliu identifikatoriumi.</w:t>
      </w:r>
    </w:p>
    <w:p w14:paraId="43036B58" w14:textId="77777777" w:rsidR="00CB542F" w:rsidRDefault="00CB542F">
      <w:pPr>
        <w:rPr>
          <w:noProof/>
        </w:rPr>
      </w:pPr>
    </w:p>
    <w:p w14:paraId="7539E283" w14:textId="77777777" w:rsidR="00CB542F" w:rsidRDefault="00CB542F">
      <w:pPr>
        <w:rPr>
          <w:noProof/>
        </w:rPr>
      </w:pPr>
    </w:p>
    <w:p w14:paraId="48B3A9BC"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F836BBD" w14:textId="77777777" w:rsidR="00CB542F" w:rsidRDefault="00CB542F">
      <w:pPr>
        <w:rPr>
          <w:noProof/>
        </w:rPr>
      </w:pPr>
    </w:p>
    <w:p w14:paraId="5FC8EE5A" w14:textId="77777777" w:rsidR="00CB542F" w:rsidRDefault="00573A58">
      <w:pPr>
        <w:widowControl w:val="0"/>
        <w:tabs>
          <w:tab w:val="left" w:pos="567"/>
        </w:tabs>
        <w:spacing w:line="260" w:lineRule="exact"/>
        <w:rPr>
          <w:color w:val="000000"/>
          <w:szCs w:val="22"/>
          <w:lang w:val="en-GB"/>
        </w:rPr>
      </w:pPr>
      <w:r>
        <w:rPr>
          <w:color w:val="000000"/>
          <w:szCs w:val="22"/>
          <w:lang w:val="en-GB"/>
        </w:rPr>
        <w:t>PC</w:t>
      </w:r>
    </w:p>
    <w:p w14:paraId="3A6CD17B" w14:textId="77777777" w:rsidR="00CB542F" w:rsidRDefault="00573A58">
      <w:pPr>
        <w:widowControl w:val="0"/>
        <w:tabs>
          <w:tab w:val="left" w:pos="567"/>
        </w:tabs>
        <w:spacing w:line="260" w:lineRule="exact"/>
        <w:rPr>
          <w:color w:val="000000"/>
          <w:szCs w:val="22"/>
          <w:lang w:val="en-GB"/>
        </w:rPr>
      </w:pPr>
      <w:r>
        <w:rPr>
          <w:color w:val="000000"/>
          <w:szCs w:val="22"/>
          <w:lang w:val="en-GB"/>
        </w:rPr>
        <w:t>SN</w:t>
      </w:r>
    </w:p>
    <w:p w14:paraId="7BAD2CE7" w14:textId="77777777" w:rsidR="00CB542F" w:rsidRDefault="00573A58">
      <w:pPr>
        <w:widowControl w:val="0"/>
        <w:tabs>
          <w:tab w:val="left" w:pos="567"/>
        </w:tabs>
        <w:spacing w:line="260" w:lineRule="exact"/>
        <w:rPr>
          <w:color w:val="000000"/>
          <w:szCs w:val="22"/>
          <w:lang w:val="en-GB"/>
        </w:rPr>
      </w:pPr>
      <w:r>
        <w:rPr>
          <w:color w:val="000000"/>
          <w:szCs w:val="22"/>
          <w:highlight w:val="lightGray"/>
          <w:lang w:val="en-GB"/>
        </w:rPr>
        <w:t>NN</w:t>
      </w:r>
    </w:p>
    <w:p w14:paraId="3DA09639" w14:textId="77777777" w:rsidR="00CB542F" w:rsidRDefault="00CB542F">
      <w:pPr>
        <w:ind w:left="-198"/>
        <w:rPr>
          <w:szCs w:val="22"/>
        </w:rPr>
      </w:pPr>
    </w:p>
    <w:p w14:paraId="54AFEFBC" w14:textId="77777777" w:rsidR="00CB542F" w:rsidRDefault="00573A58">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3" w:name="_Hlk147313146"/>
      <w:r>
        <w:rPr>
          <w:b/>
          <w:noProof/>
        </w:rPr>
        <w:lastRenderedPageBreak/>
        <w:t>INFORMACIJA ANT IŠORINĖS PAKUOTĖS</w:t>
      </w:r>
    </w:p>
    <w:p w14:paraId="7C8CCFC4" w14:textId="77777777" w:rsidR="00CB542F" w:rsidRDefault="00CB542F">
      <w:pPr>
        <w:pBdr>
          <w:top w:val="single" w:sz="4" w:space="1" w:color="auto"/>
          <w:left w:val="single" w:sz="4" w:space="4" w:color="auto"/>
          <w:bottom w:val="single" w:sz="4" w:space="1" w:color="auto"/>
          <w:right w:val="single" w:sz="4" w:space="4" w:color="auto"/>
        </w:pBdr>
        <w:ind w:left="567" w:hanging="567"/>
        <w:rPr>
          <w:bCs/>
          <w:noProof/>
        </w:rPr>
      </w:pPr>
    </w:p>
    <w:p w14:paraId="410B958D" w14:textId="77777777" w:rsidR="00CB542F" w:rsidRDefault="00573A58">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IŠORINĖ DĖŽUTĖ</w:t>
      </w:r>
    </w:p>
    <w:p w14:paraId="74752C18" w14:textId="77777777" w:rsidR="00CB542F" w:rsidRDefault="00CB542F">
      <w:pPr>
        <w:rPr>
          <w:noProof/>
        </w:rPr>
      </w:pPr>
    </w:p>
    <w:p w14:paraId="4E2987CF" w14:textId="77777777" w:rsidR="00CB542F" w:rsidRDefault="00CB542F">
      <w:pPr>
        <w:rPr>
          <w:noProof/>
        </w:rPr>
      </w:pPr>
    </w:p>
    <w:p w14:paraId="2A4BEA0A"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3D5E534E" w14:textId="77777777" w:rsidR="00CB542F" w:rsidRDefault="00CB542F">
      <w:pPr>
        <w:rPr>
          <w:noProof/>
        </w:rPr>
      </w:pPr>
    </w:p>
    <w:p w14:paraId="66AEB0B9" w14:textId="77777777" w:rsidR="00CB542F" w:rsidRDefault="00573A58">
      <w:pPr>
        <w:rPr>
          <w:color w:val="000000" w:themeColor="text1"/>
        </w:rPr>
      </w:pPr>
      <w:r>
        <w:rPr>
          <w:noProof/>
        </w:rPr>
        <w:t>Danengo 75 mg kietosios kapsulės</w:t>
      </w:r>
    </w:p>
    <w:p w14:paraId="56BE9DCB" w14:textId="77777777" w:rsidR="00CB542F" w:rsidRDefault="00573A58">
      <w:pPr>
        <w:rPr>
          <w:color w:val="000000" w:themeColor="text1"/>
          <w:highlight w:val="lightGray"/>
        </w:rPr>
      </w:pPr>
      <w:r>
        <w:rPr>
          <w:noProof/>
          <w:highlight w:val="lightGray"/>
        </w:rPr>
        <w:t>Danengo 110 mg kietosios kapsulės</w:t>
      </w:r>
    </w:p>
    <w:p w14:paraId="69B866DC" w14:textId="77777777" w:rsidR="00CB542F" w:rsidRDefault="00573A58">
      <w:pPr>
        <w:rPr>
          <w:color w:val="000000" w:themeColor="text1"/>
        </w:rPr>
      </w:pPr>
      <w:r>
        <w:rPr>
          <w:noProof/>
          <w:highlight w:val="lightGray"/>
        </w:rPr>
        <w:t>Danengo 150 mg kietosios kapsulės</w:t>
      </w:r>
    </w:p>
    <w:p w14:paraId="624EF843" w14:textId="77777777" w:rsidR="00CB542F" w:rsidRDefault="00CB542F">
      <w:pPr>
        <w:rPr>
          <w:noProof/>
        </w:rPr>
      </w:pPr>
    </w:p>
    <w:p w14:paraId="0A97033A" w14:textId="77777777" w:rsidR="00CB542F" w:rsidRDefault="00573A58">
      <w:pPr>
        <w:rPr>
          <w:noProof/>
        </w:rPr>
      </w:pPr>
      <w:r>
        <w:rPr>
          <w:noProof/>
        </w:rPr>
        <w:t>dabigatranas eteksilatas</w:t>
      </w:r>
    </w:p>
    <w:p w14:paraId="5E63763A" w14:textId="77777777" w:rsidR="00CB542F" w:rsidRDefault="00CB542F">
      <w:pPr>
        <w:rPr>
          <w:noProof/>
        </w:rPr>
      </w:pPr>
    </w:p>
    <w:p w14:paraId="28BB64B7" w14:textId="77777777" w:rsidR="00CB542F" w:rsidRDefault="00CB542F">
      <w:pPr>
        <w:rPr>
          <w:noProof/>
        </w:rPr>
      </w:pPr>
    </w:p>
    <w:p w14:paraId="38138B8F"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0DDC6F0" w14:textId="77777777" w:rsidR="00CB542F" w:rsidRDefault="00CB542F">
      <w:pPr>
        <w:rPr>
          <w:noProof/>
        </w:rPr>
      </w:pPr>
    </w:p>
    <w:p w14:paraId="3725C4CC" w14:textId="77777777" w:rsidR="00CB542F" w:rsidRDefault="00573A58">
      <w:r>
        <w:t>Kiekvienoje kietojoje kapsulėje yra 75 mg dabigatrano eteksilato (dabigatrano eteksilato mesilato pavidalu).</w:t>
      </w:r>
    </w:p>
    <w:p w14:paraId="3EFB9742" w14:textId="77777777" w:rsidR="00CB542F" w:rsidRDefault="00573A58">
      <w:pPr>
        <w:rPr>
          <w:highlight w:val="lightGray"/>
        </w:rPr>
      </w:pPr>
      <w:r>
        <w:rPr>
          <w:highlight w:val="lightGray"/>
        </w:rPr>
        <w:t>Kiekvienoje kietojoje kapsulėje yra 110 mg dabigatrano eteksilato (dabigatrano eteksilato mesilato pavidalu).</w:t>
      </w:r>
    </w:p>
    <w:p w14:paraId="54E68DF3" w14:textId="77777777" w:rsidR="00CB542F" w:rsidRDefault="00573A58">
      <w:r>
        <w:rPr>
          <w:highlight w:val="lightGray"/>
        </w:rPr>
        <w:t>Kiekvienoje kietojoje kapsulėje yra 150 mg dabigatrano eteksilato (dabigatrano eteksilato mesilato pavidalu).</w:t>
      </w:r>
    </w:p>
    <w:p w14:paraId="2BE08E5A" w14:textId="77777777" w:rsidR="00CB542F" w:rsidRDefault="00CB542F"/>
    <w:p w14:paraId="60C1DBD3" w14:textId="77777777" w:rsidR="00CB542F" w:rsidRDefault="00CB542F">
      <w:pPr>
        <w:rPr>
          <w:noProof/>
        </w:rPr>
      </w:pPr>
    </w:p>
    <w:p w14:paraId="081B1249"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1992BD3" w14:textId="77777777" w:rsidR="00CB542F" w:rsidRDefault="00CB542F">
      <w:pPr>
        <w:rPr>
          <w:noProof/>
        </w:rPr>
      </w:pPr>
    </w:p>
    <w:p w14:paraId="3C33050F" w14:textId="77777777" w:rsidR="00CB542F" w:rsidRDefault="00CB542F">
      <w:pPr>
        <w:rPr>
          <w:noProof/>
        </w:rPr>
      </w:pPr>
    </w:p>
    <w:p w14:paraId="0C55EE43"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7A243B3" w14:textId="77777777" w:rsidR="00CB542F" w:rsidRDefault="00CB542F">
      <w:pPr>
        <w:rPr>
          <w:noProof/>
        </w:rPr>
      </w:pPr>
    </w:p>
    <w:p w14:paraId="070C0F2F" w14:textId="77777777" w:rsidR="00CB542F" w:rsidRDefault="00573A58">
      <w:r>
        <w:rPr>
          <w:highlight w:val="lightGray"/>
        </w:rPr>
        <w:t>kietoji kapsulė</w:t>
      </w:r>
    </w:p>
    <w:p w14:paraId="74AF39CA" w14:textId="77777777" w:rsidR="00CB542F" w:rsidRDefault="00CB542F"/>
    <w:p w14:paraId="0148F1AC" w14:textId="77777777" w:rsidR="00CB542F" w:rsidRDefault="00573A58">
      <w:r>
        <w:t>Sudėtinė pakuotė: 100 (2 pakuotės po 50 x 1) kietųjų kapsulių</w:t>
      </w:r>
    </w:p>
    <w:p w14:paraId="666C0D8D" w14:textId="77777777" w:rsidR="00CB542F" w:rsidRDefault="00573A58">
      <w:r>
        <w:rPr>
          <w:highlight w:val="lightGray"/>
        </w:rPr>
        <w:t>Sudėtinė pakuotė: 180 (3 pakuotės po 60 x 1) kietųjų kapsulių</w:t>
      </w:r>
    </w:p>
    <w:p w14:paraId="5A50D1A9" w14:textId="77777777" w:rsidR="00CB542F" w:rsidRDefault="00CB542F">
      <w:pPr>
        <w:rPr>
          <w:noProof/>
        </w:rPr>
      </w:pPr>
    </w:p>
    <w:p w14:paraId="698813DD" w14:textId="77777777" w:rsidR="00CB542F" w:rsidRDefault="00CB542F">
      <w:pPr>
        <w:rPr>
          <w:noProof/>
        </w:rPr>
      </w:pPr>
    </w:p>
    <w:p w14:paraId="246EEC77"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E724947" w14:textId="77777777" w:rsidR="00CB542F" w:rsidRDefault="00CB542F">
      <w:pPr>
        <w:rPr>
          <w:i/>
          <w:noProof/>
        </w:rPr>
      </w:pPr>
    </w:p>
    <w:p w14:paraId="1171FD8A" w14:textId="77777777" w:rsidR="00CB542F" w:rsidRDefault="00573A58">
      <w:pPr>
        <w:rPr>
          <w:noProof/>
        </w:rPr>
      </w:pPr>
      <w:r>
        <w:rPr>
          <w:noProof/>
        </w:rPr>
        <w:t>Nurykite visą kapsulę, kramtyti ar laužyti negalima.</w:t>
      </w:r>
    </w:p>
    <w:p w14:paraId="5D185B51" w14:textId="77777777" w:rsidR="00CB542F" w:rsidRDefault="00573A58">
      <w:pPr>
        <w:rPr>
          <w:noProof/>
        </w:rPr>
      </w:pPr>
      <w:r>
        <w:rPr>
          <w:noProof/>
        </w:rPr>
        <w:t>Prieš vartojimą perskaitykite pakuotės lapelį.</w:t>
      </w:r>
    </w:p>
    <w:p w14:paraId="0A741782" w14:textId="77777777" w:rsidR="00CB542F" w:rsidRDefault="00573A58">
      <w:pPr>
        <w:rPr>
          <w:noProof/>
        </w:rPr>
      </w:pPr>
      <w:r>
        <w:rPr>
          <w:noProof/>
        </w:rPr>
        <w:t>Vartoti per burną</w:t>
      </w:r>
    </w:p>
    <w:p w14:paraId="22B68AFA" w14:textId="77777777" w:rsidR="00CB542F" w:rsidRDefault="00CB542F">
      <w:pPr>
        <w:rPr>
          <w:noProof/>
        </w:rPr>
      </w:pPr>
    </w:p>
    <w:p w14:paraId="4FFE6DDD" w14:textId="77777777" w:rsidR="00CB542F" w:rsidRDefault="00CB542F">
      <w:pPr>
        <w:rPr>
          <w:noProof/>
        </w:rPr>
      </w:pPr>
    </w:p>
    <w:p w14:paraId="6EC99757" w14:textId="77777777" w:rsidR="00CB542F" w:rsidRDefault="00573A58">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46BFDF90" w14:textId="77777777" w:rsidR="00CB542F" w:rsidRDefault="00CB542F">
      <w:pPr>
        <w:rPr>
          <w:noProof/>
        </w:rPr>
      </w:pPr>
    </w:p>
    <w:p w14:paraId="49F07400" w14:textId="77777777" w:rsidR="00CB542F" w:rsidRDefault="00573A58">
      <w:pPr>
        <w:pStyle w:val="Pagrindinistekstas"/>
        <w:rPr>
          <w:i w:val="0"/>
          <w:iCs/>
          <w:noProof/>
          <w:color w:val="auto"/>
          <w:lang w:val="lt-LT"/>
        </w:rPr>
      </w:pPr>
      <w:r>
        <w:rPr>
          <w:i w:val="0"/>
          <w:iCs/>
          <w:noProof/>
          <w:color w:val="auto"/>
          <w:lang w:val="lt-LT"/>
        </w:rPr>
        <w:t>Laikyti vaikams nepastebimoje ir nepasiekiamoje vietoje.</w:t>
      </w:r>
    </w:p>
    <w:p w14:paraId="289EF1ED" w14:textId="77777777" w:rsidR="00CB542F" w:rsidRDefault="00CB542F">
      <w:pPr>
        <w:rPr>
          <w:noProof/>
        </w:rPr>
      </w:pPr>
    </w:p>
    <w:p w14:paraId="74B3E756" w14:textId="77777777" w:rsidR="00CB542F" w:rsidRDefault="00CB542F">
      <w:pPr>
        <w:rPr>
          <w:noProof/>
        </w:rPr>
      </w:pPr>
    </w:p>
    <w:p w14:paraId="34BED111"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76758B6" w14:textId="77777777" w:rsidR="00CB542F" w:rsidRDefault="00CB542F">
      <w:pPr>
        <w:rPr>
          <w:noProof/>
        </w:rPr>
      </w:pPr>
    </w:p>
    <w:p w14:paraId="72C3084B" w14:textId="77777777" w:rsidR="00CB542F" w:rsidRDefault="00CB542F">
      <w:pPr>
        <w:rPr>
          <w:noProof/>
        </w:rPr>
      </w:pPr>
    </w:p>
    <w:p w14:paraId="3F221EB5"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1B00CA2B" w14:textId="77777777" w:rsidR="00CB542F" w:rsidRDefault="00CB542F">
      <w:pPr>
        <w:rPr>
          <w:i/>
          <w:noProof/>
        </w:rPr>
      </w:pPr>
    </w:p>
    <w:p w14:paraId="085880E2" w14:textId="77777777" w:rsidR="00CB542F" w:rsidRDefault="00573A58">
      <w:pPr>
        <w:rPr>
          <w:iCs/>
          <w:noProof/>
        </w:rPr>
      </w:pPr>
      <w:r>
        <w:rPr>
          <w:iCs/>
          <w:noProof/>
        </w:rPr>
        <w:t xml:space="preserve">EXP </w:t>
      </w:r>
      <w:r>
        <w:rPr>
          <w:snapToGrid w:val="0"/>
        </w:rPr>
        <w:t>(mm/MMMM)</w:t>
      </w:r>
    </w:p>
    <w:p w14:paraId="4655067D" w14:textId="77777777" w:rsidR="00CB542F" w:rsidRDefault="00CB542F">
      <w:pPr>
        <w:rPr>
          <w:noProof/>
        </w:rPr>
      </w:pPr>
    </w:p>
    <w:p w14:paraId="46E6BF94" w14:textId="77777777" w:rsidR="00CB542F" w:rsidRDefault="00CB542F">
      <w:pPr>
        <w:rPr>
          <w:noProof/>
        </w:rPr>
      </w:pPr>
    </w:p>
    <w:p w14:paraId="1D506643"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06FD57C" w14:textId="77777777" w:rsidR="00CB542F" w:rsidRDefault="00CB542F">
      <w:pPr>
        <w:rPr>
          <w:i/>
          <w:noProof/>
        </w:rPr>
      </w:pPr>
    </w:p>
    <w:p w14:paraId="4D5DB1EA" w14:textId="77777777" w:rsidR="00CB542F" w:rsidRDefault="00573A58">
      <w:pPr>
        <w:ind w:left="567" w:hanging="567"/>
      </w:pPr>
      <w:r>
        <w:t>Laikyti gamintojo pakuotėje, kad vaistas būtų apsaugotas nuo šviesos ir drėgmės.</w:t>
      </w:r>
    </w:p>
    <w:p w14:paraId="1E7F3CDF" w14:textId="77777777" w:rsidR="00CB542F" w:rsidRDefault="00CB542F">
      <w:pPr>
        <w:ind w:left="567" w:hanging="567"/>
        <w:rPr>
          <w:i/>
          <w:iCs/>
        </w:rPr>
      </w:pPr>
    </w:p>
    <w:p w14:paraId="124EE8D8" w14:textId="77777777" w:rsidR="00CB542F" w:rsidRDefault="00CB542F">
      <w:pPr>
        <w:ind w:left="567" w:hanging="567"/>
        <w:rPr>
          <w:noProof/>
        </w:rPr>
      </w:pPr>
    </w:p>
    <w:p w14:paraId="784751ED"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31ED86C" w14:textId="77777777" w:rsidR="00CB542F" w:rsidRDefault="00CB542F">
      <w:pPr>
        <w:rPr>
          <w:noProof/>
        </w:rPr>
      </w:pPr>
    </w:p>
    <w:p w14:paraId="316193A8" w14:textId="77777777" w:rsidR="00CB542F" w:rsidRDefault="00CB542F">
      <w:pPr>
        <w:rPr>
          <w:noProof/>
        </w:rPr>
      </w:pPr>
    </w:p>
    <w:p w14:paraId="076A6781" w14:textId="77777777" w:rsidR="00CB542F" w:rsidRDefault="00573A58">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181180AE" w14:textId="77777777" w:rsidR="00CB542F" w:rsidRDefault="00CB542F"/>
    <w:p w14:paraId="72824B41"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0B8DF7B9" w14:textId="77777777" w:rsidR="00CB542F" w:rsidRDefault="00573A58">
      <w:pPr>
        <w:widowControl w:val="0"/>
        <w:rPr>
          <w:noProof/>
          <w:szCs w:val="22"/>
          <w:lang w:eastAsia="sl-SI"/>
        </w:rPr>
      </w:pPr>
      <w:r>
        <w:rPr>
          <w:noProof/>
          <w:szCs w:val="22"/>
          <w:lang w:eastAsia="sl-SI"/>
        </w:rPr>
        <w:t>Heinz-Lohmann-Straße 5</w:t>
      </w:r>
    </w:p>
    <w:p w14:paraId="60653877" w14:textId="77777777" w:rsidR="00CB542F" w:rsidRDefault="00573A58">
      <w:pPr>
        <w:widowControl w:val="0"/>
        <w:rPr>
          <w:noProof/>
          <w:szCs w:val="22"/>
          <w:lang w:eastAsia="sl-SI"/>
        </w:rPr>
      </w:pPr>
      <w:r>
        <w:rPr>
          <w:noProof/>
          <w:szCs w:val="22"/>
          <w:lang w:eastAsia="sl-SI"/>
        </w:rPr>
        <w:t>27472 Cuxhaven</w:t>
      </w:r>
    </w:p>
    <w:p w14:paraId="26341947" w14:textId="77777777" w:rsidR="00CB542F" w:rsidRDefault="00573A58">
      <w:pPr>
        <w:widowControl w:val="0"/>
        <w:rPr>
          <w:noProof/>
          <w:szCs w:val="22"/>
          <w:lang w:eastAsia="sl-SI"/>
        </w:rPr>
      </w:pPr>
      <w:r>
        <w:rPr>
          <w:noProof/>
          <w:szCs w:val="22"/>
          <w:lang w:eastAsia="sl-SI"/>
        </w:rPr>
        <w:t>Vokietija</w:t>
      </w:r>
    </w:p>
    <w:p w14:paraId="37BA8FC9" w14:textId="77777777" w:rsidR="00CB542F" w:rsidRDefault="00CB542F">
      <w:pPr>
        <w:rPr>
          <w:noProof/>
        </w:rPr>
      </w:pPr>
    </w:p>
    <w:p w14:paraId="0B2AE771" w14:textId="77777777" w:rsidR="00CB542F" w:rsidRDefault="00CB542F">
      <w:pPr>
        <w:rPr>
          <w:noProof/>
        </w:rPr>
      </w:pPr>
    </w:p>
    <w:p w14:paraId="07FD903A"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592C110" w14:textId="77777777" w:rsidR="00CB542F" w:rsidRDefault="00CB542F"/>
    <w:p w14:paraId="0A053AF0"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05B2BE8A" w14:textId="77777777" w:rsidR="00CB542F" w:rsidRDefault="00573A58">
      <w:pPr>
        <w:widowControl w:val="0"/>
        <w:rPr>
          <w:noProof/>
          <w:szCs w:val="22"/>
          <w:shd w:val="clear" w:color="auto" w:fill="F2F2F2" w:themeFill="background1" w:themeFillShade="F2"/>
          <w:lang w:eastAsia="sl-SI"/>
        </w:rPr>
      </w:pPr>
      <w:r>
        <w:rPr>
          <w:noProof/>
          <w:szCs w:val="22"/>
          <w:shd w:val="clear" w:color="auto" w:fill="FFFFFF" w:themeFill="background1"/>
          <w:lang w:eastAsia="sl-SI"/>
        </w:rPr>
        <w:t>LT/1/23/5280/005</w:t>
      </w:r>
      <w:r>
        <w:rPr>
          <w:noProof/>
          <w:szCs w:val="22"/>
          <w:shd w:val="clear" w:color="auto" w:fill="F2F2F2" w:themeFill="background1" w:themeFillShade="F2"/>
          <w:lang w:eastAsia="sl-SI"/>
        </w:rPr>
        <w:t xml:space="preserve"> – N100 (2x (50x1))</w:t>
      </w:r>
    </w:p>
    <w:p w14:paraId="35447433"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LT/1/23/5280/006 – N180 (3x (60x1))</w:t>
      </w:r>
    </w:p>
    <w:p w14:paraId="1E2A879F" w14:textId="77777777" w:rsidR="00CB542F" w:rsidRDefault="00CB542F"/>
    <w:p w14:paraId="60A18FFD"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311DC3B7"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LT/1/23/5281/005 – N100 (2x (50x1))</w:t>
      </w:r>
    </w:p>
    <w:p w14:paraId="5DE9FF0C"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LT/1/23/5281/006 – N180 (3x (60x1))</w:t>
      </w:r>
    </w:p>
    <w:p w14:paraId="74EA58B5" w14:textId="77777777" w:rsidR="00CB542F" w:rsidRDefault="00CB542F"/>
    <w:p w14:paraId="5D5A006D"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60CF4C5B"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LT/1/23/5282/005 – N100 (2x (50x1))</w:t>
      </w:r>
    </w:p>
    <w:p w14:paraId="0BB13B71" w14:textId="77777777" w:rsidR="00CB542F" w:rsidRDefault="00573A58">
      <w:pPr>
        <w:rPr>
          <w:noProof/>
        </w:rPr>
      </w:pPr>
      <w:r>
        <w:rPr>
          <w:noProof/>
          <w:szCs w:val="22"/>
          <w:shd w:val="clear" w:color="auto" w:fill="F2F2F2" w:themeFill="background1" w:themeFillShade="F2"/>
          <w:lang w:eastAsia="sl-SI"/>
        </w:rPr>
        <w:t>LT/1/23/5282/006 – N180 (3x (60x1))</w:t>
      </w:r>
    </w:p>
    <w:p w14:paraId="2942259C" w14:textId="77777777" w:rsidR="00CB542F" w:rsidRDefault="00CB542F">
      <w:pPr>
        <w:rPr>
          <w:noProof/>
        </w:rPr>
      </w:pPr>
    </w:p>
    <w:p w14:paraId="69A9970E" w14:textId="77777777" w:rsidR="00CB542F" w:rsidRDefault="00CB542F">
      <w:pPr>
        <w:rPr>
          <w:noProof/>
        </w:rPr>
      </w:pPr>
    </w:p>
    <w:p w14:paraId="2A14D592"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C520193" w14:textId="77777777" w:rsidR="00CB542F" w:rsidRDefault="00CB542F">
      <w:pPr>
        <w:rPr>
          <w:i/>
          <w:noProof/>
        </w:rPr>
      </w:pPr>
    </w:p>
    <w:p w14:paraId="711365CD" w14:textId="77777777" w:rsidR="00CB542F" w:rsidRDefault="00573A58">
      <w:pPr>
        <w:rPr>
          <w:noProof/>
        </w:rPr>
      </w:pPr>
      <w:r>
        <w:rPr>
          <w:noProof/>
        </w:rPr>
        <w:t>Lot</w:t>
      </w:r>
    </w:p>
    <w:p w14:paraId="10355DFD" w14:textId="77777777" w:rsidR="00CB542F" w:rsidRDefault="00CB542F">
      <w:pPr>
        <w:rPr>
          <w:noProof/>
          <w:sz w:val="16"/>
          <w:szCs w:val="16"/>
        </w:rPr>
      </w:pPr>
    </w:p>
    <w:p w14:paraId="6A6377C4" w14:textId="77777777" w:rsidR="00CB542F" w:rsidRDefault="00CB542F">
      <w:pPr>
        <w:rPr>
          <w:noProof/>
        </w:rPr>
      </w:pPr>
    </w:p>
    <w:p w14:paraId="04F697A3"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0323FE3E" w14:textId="77777777" w:rsidR="00CB542F" w:rsidRDefault="00CB542F">
      <w:pPr>
        <w:rPr>
          <w:noProof/>
        </w:rPr>
      </w:pPr>
    </w:p>
    <w:p w14:paraId="16DD4294" w14:textId="77777777" w:rsidR="00CB542F" w:rsidRDefault="00573A58">
      <w:pPr>
        <w:widowControl w:val="0"/>
        <w:tabs>
          <w:tab w:val="left" w:pos="567"/>
        </w:tabs>
        <w:rPr>
          <w:snapToGrid w:val="0"/>
          <w:szCs w:val="22"/>
        </w:rPr>
      </w:pPr>
      <w:r>
        <w:rPr>
          <w:snapToGrid w:val="0"/>
          <w:szCs w:val="22"/>
        </w:rPr>
        <w:t>Receptinis vaistas</w:t>
      </w:r>
    </w:p>
    <w:p w14:paraId="414FE822" w14:textId="77777777" w:rsidR="00CB542F" w:rsidRDefault="00CB542F">
      <w:pPr>
        <w:rPr>
          <w:noProof/>
          <w:sz w:val="16"/>
          <w:szCs w:val="16"/>
        </w:rPr>
      </w:pPr>
    </w:p>
    <w:p w14:paraId="31892BF5" w14:textId="77777777" w:rsidR="00CB542F" w:rsidRDefault="00CB542F">
      <w:pPr>
        <w:rPr>
          <w:noProof/>
        </w:rPr>
      </w:pPr>
    </w:p>
    <w:p w14:paraId="7668140B"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1D5D320" w14:textId="77777777" w:rsidR="00CB542F" w:rsidRDefault="00CB542F">
      <w:pPr>
        <w:rPr>
          <w:i/>
          <w:iCs/>
        </w:rPr>
      </w:pPr>
    </w:p>
    <w:p w14:paraId="5311201B" w14:textId="77777777" w:rsidR="00CB542F" w:rsidRDefault="00CB542F">
      <w:pPr>
        <w:rPr>
          <w:noProof/>
        </w:rPr>
      </w:pPr>
    </w:p>
    <w:p w14:paraId="53098F76"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30D19209" w14:textId="77777777" w:rsidR="00CB542F" w:rsidRDefault="00CB542F">
      <w:pPr>
        <w:rPr>
          <w:noProof/>
        </w:rPr>
      </w:pPr>
    </w:p>
    <w:p w14:paraId="72DC39E2" w14:textId="77777777" w:rsidR="00CB542F" w:rsidRDefault="00573A58">
      <w:pPr>
        <w:rPr>
          <w:color w:val="000000" w:themeColor="text1"/>
        </w:rPr>
      </w:pPr>
      <w:r>
        <w:rPr>
          <w:noProof/>
        </w:rPr>
        <w:t>Danengo 75 mg</w:t>
      </w:r>
    </w:p>
    <w:p w14:paraId="05A59269" w14:textId="77777777" w:rsidR="00CB542F" w:rsidRDefault="00573A58">
      <w:pPr>
        <w:rPr>
          <w:color w:val="000000" w:themeColor="text1"/>
          <w:highlight w:val="lightGray"/>
        </w:rPr>
      </w:pPr>
      <w:r>
        <w:rPr>
          <w:noProof/>
          <w:highlight w:val="lightGray"/>
        </w:rPr>
        <w:t>Danengo 110 mg</w:t>
      </w:r>
    </w:p>
    <w:p w14:paraId="3BEE6AA3" w14:textId="77777777" w:rsidR="00CB542F" w:rsidRDefault="00573A58">
      <w:pPr>
        <w:rPr>
          <w:color w:val="000000" w:themeColor="text1"/>
        </w:rPr>
      </w:pPr>
      <w:r>
        <w:rPr>
          <w:noProof/>
          <w:highlight w:val="lightGray"/>
        </w:rPr>
        <w:t>Danengo 150 mg</w:t>
      </w:r>
    </w:p>
    <w:p w14:paraId="447DB44C" w14:textId="77777777" w:rsidR="00CB542F" w:rsidRDefault="00CB542F">
      <w:pPr>
        <w:rPr>
          <w:noProof/>
          <w:szCs w:val="22"/>
          <w:shd w:val="clear" w:color="auto" w:fill="CCCCCC"/>
        </w:rPr>
      </w:pPr>
    </w:p>
    <w:p w14:paraId="257AB395" w14:textId="77777777" w:rsidR="00CB542F" w:rsidRDefault="00CB542F">
      <w:pPr>
        <w:rPr>
          <w:noProof/>
          <w:szCs w:val="22"/>
          <w:shd w:val="clear" w:color="auto" w:fill="CCCCCC"/>
        </w:rPr>
      </w:pPr>
    </w:p>
    <w:p w14:paraId="6F482B26"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3EAC50B5" w14:textId="77777777" w:rsidR="00CB542F" w:rsidRDefault="00CB542F">
      <w:pPr>
        <w:rPr>
          <w:noProof/>
        </w:rPr>
      </w:pPr>
    </w:p>
    <w:p w14:paraId="73A10BFD" w14:textId="77777777" w:rsidR="00CB542F" w:rsidRDefault="00573A58">
      <w:pPr>
        <w:rPr>
          <w:noProof/>
          <w:szCs w:val="22"/>
          <w:shd w:val="clear" w:color="auto" w:fill="CCCCCC"/>
        </w:rPr>
      </w:pPr>
      <w:r>
        <w:rPr>
          <w:noProof/>
          <w:highlight w:val="lightGray"/>
        </w:rPr>
        <w:t>2D brūkšninis kodas su nurodytu unikaliu identifikatoriumi.</w:t>
      </w:r>
    </w:p>
    <w:p w14:paraId="0455D9C2" w14:textId="77777777" w:rsidR="00CB542F" w:rsidRDefault="00CB542F">
      <w:pPr>
        <w:rPr>
          <w:noProof/>
        </w:rPr>
      </w:pPr>
    </w:p>
    <w:p w14:paraId="6C8F89DE" w14:textId="77777777" w:rsidR="00CB542F" w:rsidRDefault="00CB542F">
      <w:pPr>
        <w:rPr>
          <w:noProof/>
        </w:rPr>
      </w:pPr>
    </w:p>
    <w:p w14:paraId="59A8F1CC"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1510B88" w14:textId="77777777" w:rsidR="00CB542F" w:rsidRDefault="00CB542F">
      <w:pPr>
        <w:rPr>
          <w:noProof/>
        </w:rPr>
      </w:pPr>
    </w:p>
    <w:p w14:paraId="5D3433E0" w14:textId="77777777" w:rsidR="00CB542F" w:rsidRDefault="00573A58">
      <w:pPr>
        <w:widowControl w:val="0"/>
        <w:tabs>
          <w:tab w:val="left" w:pos="567"/>
        </w:tabs>
        <w:spacing w:line="260" w:lineRule="exact"/>
        <w:rPr>
          <w:color w:val="000000"/>
          <w:szCs w:val="22"/>
          <w:lang w:val="en-GB"/>
        </w:rPr>
      </w:pPr>
      <w:r>
        <w:rPr>
          <w:color w:val="000000"/>
          <w:szCs w:val="22"/>
          <w:lang w:val="en-GB"/>
        </w:rPr>
        <w:t>PC</w:t>
      </w:r>
    </w:p>
    <w:p w14:paraId="36B6FF8D" w14:textId="77777777" w:rsidR="00CB542F" w:rsidRDefault="00573A58">
      <w:pPr>
        <w:widowControl w:val="0"/>
        <w:tabs>
          <w:tab w:val="left" w:pos="567"/>
        </w:tabs>
        <w:spacing w:line="260" w:lineRule="exact"/>
        <w:rPr>
          <w:color w:val="000000"/>
          <w:szCs w:val="22"/>
          <w:lang w:val="en-GB"/>
        </w:rPr>
      </w:pPr>
      <w:r>
        <w:rPr>
          <w:color w:val="000000"/>
          <w:szCs w:val="22"/>
          <w:lang w:val="en-GB"/>
        </w:rPr>
        <w:t>SN</w:t>
      </w:r>
    </w:p>
    <w:p w14:paraId="2576A2A2" w14:textId="77777777" w:rsidR="00CB542F" w:rsidRDefault="00573A58">
      <w:pPr>
        <w:widowControl w:val="0"/>
        <w:tabs>
          <w:tab w:val="left" w:pos="567"/>
        </w:tabs>
        <w:spacing w:line="260" w:lineRule="exact"/>
        <w:rPr>
          <w:color w:val="000000"/>
          <w:szCs w:val="22"/>
          <w:lang w:val="en-GB"/>
        </w:rPr>
      </w:pPr>
      <w:r>
        <w:rPr>
          <w:color w:val="000000"/>
          <w:szCs w:val="22"/>
          <w:highlight w:val="lightGray"/>
          <w:lang w:val="en-GB"/>
        </w:rPr>
        <w:t>NN</w:t>
      </w:r>
    </w:p>
    <w:p w14:paraId="5349F598" w14:textId="77777777" w:rsidR="00CB542F" w:rsidRDefault="00CB542F">
      <w:pPr>
        <w:ind w:left="-198"/>
        <w:rPr>
          <w:szCs w:val="22"/>
        </w:rPr>
      </w:pPr>
    </w:p>
    <w:p w14:paraId="575FB2C4" w14:textId="77777777" w:rsidR="00CB542F" w:rsidRDefault="00573A58">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4" w:name="_Hlk147313864"/>
      <w:r>
        <w:rPr>
          <w:b/>
          <w:noProof/>
        </w:rPr>
        <w:lastRenderedPageBreak/>
        <w:t>INFORMACIJA ANT IŠORINĖS PAKUOTĖS</w:t>
      </w:r>
    </w:p>
    <w:p w14:paraId="0D59EE49" w14:textId="77777777" w:rsidR="00CB542F" w:rsidRDefault="00CB542F">
      <w:pPr>
        <w:pBdr>
          <w:top w:val="single" w:sz="4" w:space="1" w:color="auto"/>
          <w:left w:val="single" w:sz="4" w:space="4" w:color="auto"/>
          <w:bottom w:val="single" w:sz="4" w:space="1" w:color="auto"/>
          <w:right w:val="single" w:sz="4" w:space="4" w:color="auto"/>
        </w:pBdr>
        <w:ind w:left="567" w:hanging="567"/>
        <w:rPr>
          <w:bCs/>
          <w:noProof/>
        </w:rPr>
      </w:pPr>
    </w:p>
    <w:p w14:paraId="4E171B45" w14:textId="77777777" w:rsidR="00CB542F" w:rsidRDefault="00573A58">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VIDINĖ DĖŽUTĖ</w:t>
      </w:r>
    </w:p>
    <w:p w14:paraId="677DFB1C" w14:textId="77777777" w:rsidR="00CB542F" w:rsidRDefault="00CB542F">
      <w:pPr>
        <w:rPr>
          <w:noProof/>
        </w:rPr>
      </w:pPr>
    </w:p>
    <w:p w14:paraId="6717413A" w14:textId="77777777" w:rsidR="00CB542F" w:rsidRDefault="00CB542F">
      <w:pPr>
        <w:rPr>
          <w:noProof/>
        </w:rPr>
      </w:pPr>
    </w:p>
    <w:p w14:paraId="022E4908"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44B46E28" w14:textId="77777777" w:rsidR="00CB542F" w:rsidRDefault="00CB542F">
      <w:pPr>
        <w:rPr>
          <w:noProof/>
        </w:rPr>
      </w:pPr>
    </w:p>
    <w:p w14:paraId="58F2BB7D" w14:textId="77777777" w:rsidR="00CB542F" w:rsidRDefault="00573A58">
      <w:pPr>
        <w:rPr>
          <w:color w:val="000000" w:themeColor="text1"/>
        </w:rPr>
      </w:pPr>
      <w:r>
        <w:rPr>
          <w:noProof/>
        </w:rPr>
        <w:t>Danengo 75 mg kietosios kapsulės</w:t>
      </w:r>
    </w:p>
    <w:p w14:paraId="730F9BC6" w14:textId="77777777" w:rsidR="00CB542F" w:rsidRDefault="00573A58">
      <w:pPr>
        <w:rPr>
          <w:color w:val="000000" w:themeColor="text1"/>
          <w:highlight w:val="lightGray"/>
        </w:rPr>
      </w:pPr>
      <w:r>
        <w:rPr>
          <w:noProof/>
          <w:highlight w:val="lightGray"/>
        </w:rPr>
        <w:t>Danengo 110 mg kietosios kapsulės</w:t>
      </w:r>
    </w:p>
    <w:p w14:paraId="38D7F450" w14:textId="77777777" w:rsidR="00CB542F" w:rsidRDefault="00573A58">
      <w:pPr>
        <w:rPr>
          <w:color w:val="000000" w:themeColor="text1"/>
        </w:rPr>
      </w:pPr>
      <w:r>
        <w:rPr>
          <w:noProof/>
          <w:highlight w:val="lightGray"/>
        </w:rPr>
        <w:t>Danengo 150 mg kietosios kapsulės</w:t>
      </w:r>
    </w:p>
    <w:p w14:paraId="4FC484CB" w14:textId="77777777" w:rsidR="00CB542F" w:rsidRDefault="00CB542F">
      <w:pPr>
        <w:rPr>
          <w:noProof/>
        </w:rPr>
      </w:pPr>
    </w:p>
    <w:p w14:paraId="41273085" w14:textId="77777777" w:rsidR="00CB542F" w:rsidRDefault="00573A58">
      <w:pPr>
        <w:rPr>
          <w:noProof/>
        </w:rPr>
      </w:pPr>
      <w:r>
        <w:rPr>
          <w:noProof/>
        </w:rPr>
        <w:t>dabigatranas eteksilatas</w:t>
      </w:r>
    </w:p>
    <w:p w14:paraId="177D30D1" w14:textId="77777777" w:rsidR="00CB542F" w:rsidRDefault="00CB542F">
      <w:pPr>
        <w:rPr>
          <w:noProof/>
        </w:rPr>
      </w:pPr>
    </w:p>
    <w:p w14:paraId="38C674E1" w14:textId="77777777" w:rsidR="00CB542F" w:rsidRDefault="00CB542F">
      <w:pPr>
        <w:rPr>
          <w:noProof/>
        </w:rPr>
      </w:pPr>
    </w:p>
    <w:p w14:paraId="307EA2FF"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53FE084" w14:textId="77777777" w:rsidR="00CB542F" w:rsidRDefault="00CB542F">
      <w:pPr>
        <w:rPr>
          <w:noProof/>
        </w:rPr>
      </w:pPr>
    </w:p>
    <w:p w14:paraId="7E94CD30" w14:textId="77777777" w:rsidR="00CB542F" w:rsidRDefault="00573A58">
      <w:r>
        <w:t>Kiekvienoje kietojoje kapsulėje yra 75 mg dabigatrano eteksilato (dabigatrano eteksilato mesilato pavidalu).</w:t>
      </w:r>
    </w:p>
    <w:p w14:paraId="2D90B535" w14:textId="77777777" w:rsidR="00CB542F" w:rsidRDefault="00573A58">
      <w:pPr>
        <w:rPr>
          <w:highlight w:val="lightGray"/>
        </w:rPr>
      </w:pPr>
      <w:r>
        <w:rPr>
          <w:highlight w:val="lightGray"/>
        </w:rPr>
        <w:t>Kiekvienoje kietojoje kapsulėje yra 110 mg dabigatrano eteksilato (dabigatrano eteksilato mesilato pavidalu).</w:t>
      </w:r>
    </w:p>
    <w:p w14:paraId="23847504" w14:textId="77777777" w:rsidR="00CB542F" w:rsidRDefault="00573A58">
      <w:r>
        <w:rPr>
          <w:highlight w:val="lightGray"/>
        </w:rPr>
        <w:t>Kiekvienoje kietojoje kapsulėje yra 150 mg dabigatrano eteksilato (dabigatrano eteksilato mesilato pavidalu).</w:t>
      </w:r>
    </w:p>
    <w:p w14:paraId="2B89EE39" w14:textId="77777777" w:rsidR="00CB542F" w:rsidRDefault="00CB542F"/>
    <w:p w14:paraId="6584DD64" w14:textId="77777777" w:rsidR="00CB542F" w:rsidRDefault="00CB542F">
      <w:pPr>
        <w:rPr>
          <w:noProof/>
        </w:rPr>
      </w:pPr>
    </w:p>
    <w:p w14:paraId="352E399E"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96538A4" w14:textId="77777777" w:rsidR="00CB542F" w:rsidRDefault="00CB542F">
      <w:pPr>
        <w:rPr>
          <w:noProof/>
        </w:rPr>
      </w:pPr>
    </w:p>
    <w:p w14:paraId="4B3AC80A" w14:textId="77777777" w:rsidR="00CB542F" w:rsidRDefault="00CB542F">
      <w:pPr>
        <w:rPr>
          <w:noProof/>
        </w:rPr>
      </w:pPr>
    </w:p>
    <w:p w14:paraId="29190705"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402F070F" w14:textId="77777777" w:rsidR="00CB542F" w:rsidRDefault="00CB542F">
      <w:pPr>
        <w:rPr>
          <w:noProof/>
        </w:rPr>
      </w:pPr>
    </w:p>
    <w:p w14:paraId="672EA5C9" w14:textId="77777777" w:rsidR="00CB542F" w:rsidRDefault="00573A58">
      <w:r>
        <w:rPr>
          <w:highlight w:val="lightGray"/>
        </w:rPr>
        <w:t>kietoji kapsulė</w:t>
      </w:r>
    </w:p>
    <w:p w14:paraId="039AF9F9" w14:textId="77777777" w:rsidR="00CB542F" w:rsidRDefault="00CB542F"/>
    <w:p w14:paraId="6B7472C9" w14:textId="77777777" w:rsidR="00CB542F" w:rsidRDefault="00573A58">
      <w:r>
        <w:t>50 x 1 kietųjų kapsulių</w:t>
      </w:r>
    </w:p>
    <w:p w14:paraId="6D648519" w14:textId="77777777" w:rsidR="00CB542F" w:rsidRDefault="00573A58">
      <w:r>
        <w:rPr>
          <w:highlight w:val="lightGray"/>
        </w:rPr>
        <w:t>60 x 1 kietųjų kapsulių</w:t>
      </w:r>
    </w:p>
    <w:p w14:paraId="4453087E" w14:textId="77777777" w:rsidR="00CB542F" w:rsidRDefault="00573A58">
      <w:pPr>
        <w:rPr>
          <w:noProof/>
        </w:rPr>
      </w:pPr>
      <w:r>
        <w:rPr>
          <w:noProof/>
        </w:rPr>
        <w:t>Sudėtinės pakuotės dalis, negali būti parduodama atskirai.</w:t>
      </w:r>
    </w:p>
    <w:p w14:paraId="40799FB7" w14:textId="77777777" w:rsidR="00CB542F" w:rsidRDefault="00CB542F">
      <w:pPr>
        <w:rPr>
          <w:noProof/>
        </w:rPr>
      </w:pPr>
    </w:p>
    <w:p w14:paraId="14F1166F" w14:textId="77777777" w:rsidR="00CB542F" w:rsidRDefault="00CB542F">
      <w:pPr>
        <w:rPr>
          <w:noProof/>
        </w:rPr>
      </w:pPr>
    </w:p>
    <w:p w14:paraId="7FF669D3"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B46CB20" w14:textId="77777777" w:rsidR="00CB542F" w:rsidRDefault="00CB542F">
      <w:pPr>
        <w:rPr>
          <w:i/>
          <w:noProof/>
        </w:rPr>
      </w:pPr>
    </w:p>
    <w:p w14:paraId="55EB4DAF" w14:textId="77777777" w:rsidR="00CB542F" w:rsidRDefault="00573A58">
      <w:pPr>
        <w:rPr>
          <w:noProof/>
        </w:rPr>
      </w:pPr>
      <w:r>
        <w:rPr>
          <w:noProof/>
        </w:rPr>
        <w:t>Nurykite visą kapsulę, kramtyti ar laužyti negalima.</w:t>
      </w:r>
    </w:p>
    <w:p w14:paraId="3F102238" w14:textId="77777777" w:rsidR="00CB542F" w:rsidRDefault="00573A58">
      <w:pPr>
        <w:rPr>
          <w:noProof/>
        </w:rPr>
      </w:pPr>
      <w:r>
        <w:rPr>
          <w:noProof/>
        </w:rPr>
        <w:t>Prieš vartojimą perskaitykite pakuotės lapelį.</w:t>
      </w:r>
    </w:p>
    <w:p w14:paraId="68FD8A8B" w14:textId="77777777" w:rsidR="00CB542F" w:rsidRDefault="00573A58">
      <w:pPr>
        <w:rPr>
          <w:noProof/>
        </w:rPr>
      </w:pPr>
      <w:r>
        <w:rPr>
          <w:noProof/>
        </w:rPr>
        <w:t>Vartoti per burną</w:t>
      </w:r>
    </w:p>
    <w:p w14:paraId="61B8EC48" w14:textId="77777777" w:rsidR="00CB542F" w:rsidRDefault="00CB542F">
      <w:pPr>
        <w:rPr>
          <w:noProof/>
        </w:rPr>
      </w:pPr>
    </w:p>
    <w:p w14:paraId="0E4D74AE" w14:textId="77777777" w:rsidR="00CB542F" w:rsidRDefault="00573A58">
      <w:pPr>
        <w:rPr>
          <w:noProof/>
        </w:rPr>
      </w:pPr>
      <w:r>
        <w:rPr>
          <w:noProof/>
        </w:rPr>
        <w:t>Paciento budrumo kortelė yra viduje.</w:t>
      </w:r>
    </w:p>
    <w:p w14:paraId="4C81E79D" w14:textId="77777777" w:rsidR="00CB542F" w:rsidRDefault="00CB542F">
      <w:pPr>
        <w:rPr>
          <w:noProof/>
        </w:rPr>
      </w:pPr>
    </w:p>
    <w:p w14:paraId="2E9F58EA" w14:textId="77777777" w:rsidR="00CB542F" w:rsidRDefault="00573A58">
      <w:pPr>
        <w:rPr>
          <w:noProof/>
        </w:rPr>
      </w:pPr>
      <w:r>
        <w:rPr>
          <w:noProof/>
        </w:rPr>
        <w:t>Norėdami išimti kapsulę iš lizdinės plokštelės:</w:t>
      </w:r>
    </w:p>
    <w:p w14:paraId="3222CB8C" w14:textId="77777777" w:rsidR="00CB542F" w:rsidRDefault="00573A58">
      <w:pPr>
        <w:ind w:left="720" w:hanging="720"/>
        <w:rPr>
          <w:noProof/>
        </w:rPr>
      </w:pPr>
      <w:r>
        <w:rPr>
          <w:noProof/>
        </w:rPr>
        <w:t>1.</w:t>
      </w:r>
      <w:r>
        <w:rPr>
          <w:noProof/>
        </w:rPr>
        <w:tab/>
        <w:t>Laikykite lizdinę plokštelę už kraštų ir atskirkite vieną lizdinės plokštelės dalomąją dalį juostelės, švelniai lenkdami ir nuplėšdami išilgai perforuotų linijų.</w:t>
      </w:r>
    </w:p>
    <w:p w14:paraId="7BE778B9" w14:textId="77777777" w:rsidR="00CB542F" w:rsidRDefault="00573A58">
      <w:pPr>
        <w:rPr>
          <w:noProof/>
        </w:rPr>
      </w:pPr>
      <w:r>
        <w:rPr>
          <w:noProof/>
        </w:rPr>
        <w:t>2.</w:t>
      </w:r>
      <w:r>
        <w:rPr>
          <w:noProof/>
        </w:rPr>
        <w:tab/>
        <w:t>Patraukite folijos kraštą ir visiškai nulupkite foliją.</w:t>
      </w:r>
    </w:p>
    <w:p w14:paraId="7A0F3A41" w14:textId="77777777" w:rsidR="00CB542F" w:rsidRDefault="00573A58">
      <w:pPr>
        <w:rPr>
          <w:noProof/>
        </w:rPr>
      </w:pPr>
      <w:r>
        <w:rPr>
          <w:noProof/>
        </w:rPr>
        <w:t>3.</w:t>
      </w:r>
      <w:r>
        <w:rPr>
          <w:noProof/>
        </w:rPr>
        <w:tab/>
        <w:t>Išmeskite kapsulę ant rankos.</w:t>
      </w:r>
    </w:p>
    <w:p w14:paraId="353AC2EE" w14:textId="77777777" w:rsidR="00CB542F" w:rsidRDefault="00573A58">
      <w:pPr>
        <w:rPr>
          <w:noProof/>
        </w:rPr>
      </w:pPr>
      <w:r>
        <w:rPr>
          <w:noProof/>
        </w:rPr>
        <w:t>4.</w:t>
      </w:r>
      <w:r>
        <w:rPr>
          <w:noProof/>
        </w:rPr>
        <w:tab/>
        <w:t>Nurykite visas kapsules, užsigerdami stikline vandens.</w:t>
      </w:r>
    </w:p>
    <w:p w14:paraId="2A54ECEB" w14:textId="77777777" w:rsidR="00CB542F" w:rsidRDefault="00573A58">
      <w:pPr>
        <w:rPr>
          <w:noProof/>
        </w:rPr>
      </w:pPr>
      <w:r>
        <w:rPr>
          <w:noProof/>
          <w:lang w:eastAsia="lt-LT"/>
        </w:rPr>
        <w:lastRenderedPageBreak/>
        <w:drawing>
          <wp:inline distT="0" distB="0" distL="0" distR="0" wp14:anchorId="734191E0" wp14:editId="358642C6">
            <wp:extent cx="5759450" cy="1339123"/>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339123"/>
                    </a:xfrm>
                    <a:prstGeom prst="rect">
                      <a:avLst/>
                    </a:prstGeom>
                    <a:noFill/>
                  </pic:spPr>
                </pic:pic>
              </a:graphicData>
            </a:graphic>
          </wp:inline>
        </w:drawing>
      </w:r>
    </w:p>
    <w:p w14:paraId="1711BFA7" w14:textId="77777777" w:rsidR="00CB542F" w:rsidRDefault="00CB542F">
      <w:pPr>
        <w:rPr>
          <w:noProof/>
        </w:rPr>
      </w:pPr>
    </w:p>
    <w:p w14:paraId="1EF219B3" w14:textId="77777777" w:rsidR="00CB542F" w:rsidRDefault="00CB542F">
      <w:pPr>
        <w:rPr>
          <w:noProof/>
        </w:rPr>
      </w:pPr>
    </w:p>
    <w:p w14:paraId="48D0AC10" w14:textId="77777777" w:rsidR="00CB542F" w:rsidRDefault="00573A58">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865B8F5" w14:textId="77777777" w:rsidR="00CB542F" w:rsidRDefault="00CB542F">
      <w:pPr>
        <w:rPr>
          <w:noProof/>
        </w:rPr>
      </w:pPr>
    </w:p>
    <w:p w14:paraId="41754BFF" w14:textId="77777777" w:rsidR="00CB542F" w:rsidRDefault="00573A58">
      <w:pPr>
        <w:pStyle w:val="Pagrindinistekstas"/>
        <w:rPr>
          <w:i w:val="0"/>
          <w:iCs/>
          <w:noProof/>
          <w:color w:val="auto"/>
          <w:lang w:val="lt-LT"/>
        </w:rPr>
      </w:pPr>
      <w:r>
        <w:rPr>
          <w:i w:val="0"/>
          <w:iCs/>
          <w:noProof/>
          <w:color w:val="auto"/>
          <w:lang w:val="lt-LT"/>
        </w:rPr>
        <w:t>Laikyti vaikams nepastebimoje ir nepasiekiamoje vietoje.</w:t>
      </w:r>
    </w:p>
    <w:p w14:paraId="4BF149EE" w14:textId="77777777" w:rsidR="00CB542F" w:rsidRDefault="00CB542F">
      <w:pPr>
        <w:rPr>
          <w:noProof/>
        </w:rPr>
      </w:pPr>
    </w:p>
    <w:p w14:paraId="02AE1691" w14:textId="77777777" w:rsidR="00CB542F" w:rsidRDefault="00CB542F">
      <w:pPr>
        <w:rPr>
          <w:noProof/>
        </w:rPr>
      </w:pPr>
    </w:p>
    <w:p w14:paraId="6BA469C0"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D79E9FC" w14:textId="77777777" w:rsidR="00CB542F" w:rsidRDefault="00CB542F">
      <w:pPr>
        <w:rPr>
          <w:noProof/>
        </w:rPr>
      </w:pPr>
    </w:p>
    <w:p w14:paraId="69121D12" w14:textId="77777777" w:rsidR="00CB542F" w:rsidRDefault="00CB542F">
      <w:pPr>
        <w:rPr>
          <w:noProof/>
        </w:rPr>
      </w:pPr>
    </w:p>
    <w:p w14:paraId="76F2220A"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4210C60E" w14:textId="77777777" w:rsidR="00CB542F" w:rsidRDefault="00CB542F">
      <w:pPr>
        <w:rPr>
          <w:i/>
          <w:noProof/>
        </w:rPr>
      </w:pPr>
    </w:p>
    <w:p w14:paraId="188ADAA2" w14:textId="77777777" w:rsidR="00CB542F" w:rsidRDefault="00573A58">
      <w:pPr>
        <w:rPr>
          <w:iCs/>
          <w:noProof/>
        </w:rPr>
      </w:pPr>
      <w:r>
        <w:rPr>
          <w:iCs/>
          <w:noProof/>
        </w:rPr>
        <w:t xml:space="preserve">EXP </w:t>
      </w:r>
      <w:r>
        <w:rPr>
          <w:snapToGrid w:val="0"/>
        </w:rPr>
        <w:t>(mm/MMMM)</w:t>
      </w:r>
    </w:p>
    <w:p w14:paraId="21F240A3" w14:textId="77777777" w:rsidR="00CB542F" w:rsidRDefault="00CB542F">
      <w:pPr>
        <w:rPr>
          <w:noProof/>
        </w:rPr>
      </w:pPr>
    </w:p>
    <w:p w14:paraId="65A66123" w14:textId="77777777" w:rsidR="00CB542F" w:rsidRDefault="00CB542F">
      <w:pPr>
        <w:rPr>
          <w:noProof/>
        </w:rPr>
      </w:pPr>
    </w:p>
    <w:p w14:paraId="3AE97733"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298EA031" w14:textId="77777777" w:rsidR="00CB542F" w:rsidRDefault="00CB542F">
      <w:pPr>
        <w:rPr>
          <w:i/>
          <w:noProof/>
        </w:rPr>
      </w:pPr>
    </w:p>
    <w:p w14:paraId="5FA44846" w14:textId="77777777" w:rsidR="00CB542F" w:rsidRDefault="00573A58">
      <w:pPr>
        <w:ind w:left="567" w:hanging="567"/>
      </w:pPr>
      <w:r>
        <w:t>Laikyti gamintojo pakuotėje, kad vaistas būtų apsaugotas nuo šviesos ir drėgmės.</w:t>
      </w:r>
    </w:p>
    <w:p w14:paraId="3C75826B" w14:textId="77777777" w:rsidR="00CB542F" w:rsidRDefault="00CB542F">
      <w:pPr>
        <w:ind w:left="567" w:hanging="567"/>
        <w:rPr>
          <w:i/>
          <w:iCs/>
        </w:rPr>
      </w:pPr>
    </w:p>
    <w:p w14:paraId="03190650" w14:textId="77777777" w:rsidR="00CB542F" w:rsidRDefault="00CB542F">
      <w:pPr>
        <w:ind w:left="567" w:hanging="567"/>
        <w:rPr>
          <w:noProof/>
        </w:rPr>
      </w:pPr>
    </w:p>
    <w:p w14:paraId="7213CA74"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7C4AC877" w14:textId="77777777" w:rsidR="00CB542F" w:rsidRDefault="00CB542F">
      <w:pPr>
        <w:rPr>
          <w:noProof/>
        </w:rPr>
      </w:pPr>
    </w:p>
    <w:p w14:paraId="5BF9659B" w14:textId="77777777" w:rsidR="00CB542F" w:rsidRDefault="00CB542F">
      <w:pPr>
        <w:rPr>
          <w:noProof/>
        </w:rPr>
      </w:pPr>
    </w:p>
    <w:p w14:paraId="09BBC633" w14:textId="77777777" w:rsidR="00CB542F" w:rsidRDefault="00573A58">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03AF52AC" w14:textId="77777777" w:rsidR="00CB542F" w:rsidRDefault="00CB542F"/>
    <w:p w14:paraId="7803302D"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2D5C282F" w14:textId="77777777" w:rsidR="00CB542F" w:rsidRDefault="00573A58">
      <w:pPr>
        <w:widowControl w:val="0"/>
        <w:rPr>
          <w:noProof/>
          <w:szCs w:val="22"/>
          <w:lang w:eastAsia="sl-SI"/>
        </w:rPr>
      </w:pPr>
      <w:r>
        <w:rPr>
          <w:noProof/>
          <w:szCs w:val="22"/>
          <w:lang w:eastAsia="sl-SI"/>
        </w:rPr>
        <w:t>Heinz-Lohmann-Straße 5</w:t>
      </w:r>
    </w:p>
    <w:p w14:paraId="437E540A" w14:textId="77777777" w:rsidR="00CB542F" w:rsidRDefault="00573A58">
      <w:pPr>
        <w:widowControl w:val="0"/>
        <w:rPr>
          <w:noProof/>
          <w:szCs w:val="22"/>
          <w:lang w:eastAsia="sl-SI"/>
        </w:rPr>
      </w:pPr>
      <w:r>
        <w:rPr>
          <w:noProof/>
          <w:szCs w:val="22"/>
          <w:lang w:eastAsia="sl-SI"/>
        </w:rPr>
        <w:t>27472 Cuxhaven</w:t>
      </w:r>
    </w:p>
    <w:p w14:paraId="606AC99D" w14:textId="77777777" w:rsidR="00CB542F" w:rsidRDefault="00573A58">
      <w:pPr>
        <w:widowControl w:val="0"/>
        <w:rPr>
          <w:noProof/>
          <w:szCs w:val="22"/>
          <w:lang w:eastAsia="sl-SI"/>
        </w:rPr>
      </w:pPr>
      <w:r>
        <w:rPr>
          <w:noProof/>
          <w:szCs w:val="22"/>
          <w:lang w:eastAsia="sl-SI"/>
        </w:rPr>
        <w:t>Vokietija</w:t>
      </w:r>
    </w:p>
    <w:p w14:paraId="7BC57EE6" w14:textId="77777777" w:rsidR="00CB542F" w:rsidRDefault="00CB542F">
      <w:pPr>
        <w:rPr>
          <w:noProof/>
        </w:rPr>
      </w:pPr>
    </w:p>
    <w:p w14:paraId="62A228DA" w14:textId="77777777" w:rsidR="00CB542F" w:rsidRDefault="00CB542F">
      <w:pPr>
        <w:rPr>
          <w:noProof/>
        </w:rPr>
      </w:pPr>
    </w:p>
    <w:p w14:paraId="0206113C"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3DCFDCB3" w14:textId="77777777" w:rsidR="00CB542F" w:rsidRDefault="00CB542F"/>
    <w:p w14:paraId="6A5297D1"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7D972721" w14:textId="77777777" w:rsidR="00CB542F" w:rsidRDefault="00573A58">
      <w:pPr>
        <w:widowControl w:val="0"/>
        <w:rPr>
          <w:noProof/>
          <w:szCs w:val="22"/>
          <w:shd w:val="clear" w:color="auto" w:fill="F2F2F2" w:themeFill="background1" w:themeFillShade="F2"/>
          <w:lang w:eastAsia="sl-SI"/>
        </w:rPr>
      </w:pPr>
      <w:r>
        <w:rPr>
          <w:noProof/>
          <w:szCs w:val="22"/>
          <w:shd w:val="clear" w:color="auto" w:fill="FFFFFF" w:themeFill="background1"/>
          <w:lang w:eastAsia="sl-SI"/>
        </w:rPr>
        <w:t>LT/1/23/5280/005</w:t>
      </w:r>
      <w:r>
        <w:rPr>
          <w:noProof/>
          <w:szCs w:val="22"/>
          <w:shd w:val="clear" w:color="auto" w:fill="F2F2F2" w:themeFill="background1" w:themeFillShade="F2"/>
          <w:lang w:eastAsia="sl-SI"/>
        </w:rPr>
        <w:t xml:space="preserve"> – N100 (2x (50x1))</w:t>
      </w:r>
    </w:p>
    <w:p w14:paraId="2AC52702"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LT/1/23/5280/006 – N180 (3x (60x1))</w:t>
      </w:r>
    </w:p>
    <w:p w14:paraId="687641AE" w14:textId="77777777" w:rsidR="00CB542F" w:rsidRDefault="00CB542F"/>
    <w:p w14:paraId="1BC294C4"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12D1F3E7"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LT/1/23/5281/005 – N100 (2x (50x1))</w:t>
      </w:r>
    </w:p>
    <w:p w14:paraId="1B86B073"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LT/1/23/5281/006 – N180 (3x (60x1))</w:t>
      </w:r>
    </w:p>
    <w:p w14:paraId="192BE2DA" w14:textId="77777777" w:rsidR="00CB542F" w:rsidRDefault="00CB542F"/>
    <w:p w14:paraId="43AA8C14" w14:textId="77777777" w:rsidR="00CB542F" w:rsidRDefault="00573A58">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00CCAEAA" w14:textId="77777777" w:rsidR="00CB542F" w:rsidRDefault="00573A58">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LT/1/23/5282/005 – N100 (2x (50x1))</w:t>
      </w:r>
    </w:p>
    <w:p w14:paraId="4755699A" w14:textId="77777777" w:rsidR="00CB542F" w:rsidRDefault="00573A58">
      <w:pPr>
        <w:rPr>
          <w:noProof/>
        </w:rPr>
      </w:pPr>
      <w:r>
        <w:rPr>
          <w:noProof/>
          <w:szCs w:val="22"/>
          <w:shd w:val="clear" w:color="auto" w:fill="F2F2F2" w:themeFill="background1" w:themeFillShade="F2"/>
          <w:lang w:eastAsia="sl-SI"/>
        </w:rPr>
        <w:t>LT/1/23/5282/006 – N180 (3x (60x1))</w:t>
      </w:r>
    </w:p>
    <w:p w14:paraId="32C11B7A" w14:textId="77777777" w:rsidR="00CB542F" w:rsidRDefault="00CB542F"/>
    <w:p w14:paraId="3547F728" w14:textId="77777777" w:rsidR="00CB542F" w:rsidRDefault="00CB542F">
      <w:pPr>
        <w:rPr>
          <w:noProof/>
        </w:rPr>
      </w:pPr>
    </w:p>
    <w:p w14:paraId="24E17939"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8F44251" w14:textId="77777777" w:rsidR="00CB542F" w:rsidRDefault="00CB542F">
      <w:pPr>
        <w:rPr>
          <w:i/>
          <w:noProof/>
        </w:rPr>
      </w:pPr>
    </w:p>
    <w:p w14:paraId="4DA1099F" w14:textId="77777777" w:rsidR="00CB542F" w:rsidRDefault="00573A58">
      <w:pPr>
        <w:rPr>
          <w:noProof/>
        </w:rPr>
      </w:pPr>
      <w:r>
        <w:rPr>
          <w:noProof/>
        </w:rPr>
        <w:t>Lot</w:t>
      </w:r>
    </w:p>
    <w:p w14:paraId="35FAFDB1" w14:textId="77777777" w:rsidR="00CB542F" w:rsidRDefault="00CB542F">
      <w:pPr>
        <w:rPr>
          <w:noProof/>
        </w:rPr>
      </w:pPr>
    </w:p>
    <w:p w14:paraId="78E33C79" w14:textId="77777777" w:rsidR="00CB542F" w:rsidRDefault="00CB542F">
      <w:pPr>
        <w:rPr>
          <w:noProof/>
        </w:rPr>
      </w:pPr>
    </w:p>
    <w:p w14:paraId="4093F19B"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06A8A6B2" w14:textId="77777777" w:rsidR="00CB542F" w:rsidRDefault="00CB542F">
      <w:pPr>
        <w:rPr>
          <w:noProof/>
        </w:rPr>
      </w:pPr>
    </w:p>
    <w:p w14:paraId="0F0FB6E9" w14:textId="77777777" w:rsidR="00CB542F" w:rsidRDefault="00573A58">
      <w:pPr>
        <w:widowControl w:val="0"/>
        <w:tabs>
          <w:tab w:val="left" w:pos="567"/>
        </w:tabs>
        <w:rPr>
          <w:snapToGrid w:val="0"/>
          <w:szCs w:val="22"/>
        </w:rPr>
      </w:pPr>
      <w:r>
        <w:rPr>
          <w:snapToGrid w:val="0"/>
          <w:szCs w:val="22"/>
        </w:rPr>
        <w:t>Receptinis vaistas</w:t>
      </w:r>
    </w:p>
    <w:p w14:paraId="68E8BD9E" w14:textId="77777777" w:rsidR="00CB542F" w:rsidRDefault="00CB542F">
      <w:pPr>
        <w:rPr>
          <w:noProof/>
        </w:rPr>
      </w:pPr>
    </w:p>
    <w:p w14:paraId="43BF4059" w14:textId="77777777" w:rsidR="00CB542F" w:rsidRDefault="00CB542F">
      <w:pPr>
        <w:rPr>
          <w:noProof/>
        </w:rPr>
      </w:pPr>
    </w:p>
    <w:p w14:paraId="1B146A08"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9346442" w14:textId="77777777" w:rsidR="00CB542F" w:rsidRDefault="00CB542F">
      <w:pPr>
        <w:rPr>
          <w:i/>
          <w:iCs/>
        </w:rPr>
      </w:pPr>
    </w:p>
    <w:p w14:paraId="69F73062" w14:textId="77777777" w:rsidR="00CB542F" w:rsidRDefault="00CB542F">
      <w:pPr>
        <w:rPr>
          <w:noProof/>
        </w:rPr>
      </w:pPr>
    </w:p>
    <w:p w14:paraId="4B081BE8"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1237A3C" w14:textId="77777777" w:rsidR="00CB542F" w:rsidRDefault="00CB542F">
      <w:pPr>
        <w:rPr>
          <w:noProof/>
        </w:rPr>
      </w:pPr>
    </w:p>
    <w:p w14:paraId="1915194E" w14:textId="77777777" w:rsidR="00CB542F" w:rsidRDefault="00573A58">
      <w:pPr>
        <w:rPr>
          <w:color w:val="000000" w:themeColor="text1"/>
        </w:rPr>
      </w:pPr>
      <w:r>
        <w:rPr>
          <w:noProof/>
        </w:rPr>
        <w:t>Danengo 75 mg</w:t>
      </w:r>
    </w:p>
    <w:p w14:paraId="59788014" w14:textId="77777777" w:rsidR="00CB542F" w:rsidRDefault="00573A58">
      <w:pPr>
        <w:rPr>
          <w:color w:val="000000" w:themeColor="text1"/>
          <w:highlight w:val="lightGray"/>
        </w:rPr>
      </w:pPr>
      <w:r>
        <w:rPr>
          <w:noProof/>
          <w:highlight w:val="lightGray"/>
        </w:rPr>
        <w:t>Danengo 110 mg</w:t>
      </w:r>
    </w:p>
    <w:p w14:paraId="7ED668B0" w14:textId="77777777" w:rsidR="00CB542F" w:rsidRDefault="00573A58">
      <w:pPr>
        <w:rPr>
          <w:color w:val="000000" w:themeColor="text1"/>
        </w:rPr>
      </w:pPr>
      <w:r>
        <w:rPr>
          <w:noProof/>
          <w:highlight w:val="lightGray"/>
        </w:rPr>
        <w:t>Danengo 150 mg</w:t>
      </w:r>
    </w:p>
    <w:p w14:paraId="027B1796" w14:textId="77777777" w:rsidR="00CB542F" w:rsidRDefault="00CB542F">
      <w:pPr>
        <w:rPr>
          <w:noProof/>
          <w:szCs w:val="22"/>
          <w:shd w:val="clear" w:color="auto" w:fill="CCCCCC"/>
        </w:rPr>
      </w:pPr>
    </w:p>
    <w:p w14:paraId="47447B7B" w14:textId="77777777" w:rsidR="00CB542F" w:rsidRDefault="00CB542F">
      <w:pPr>
        <w:rPr>
          <w:noProof/>
          <w:szCs w:val="22"/>
          <w:shd w:val="clear" w:color="auto" w:fill="CCCCCC"/>
        </w:rPr>
      </w:pPr>
    </w:p>
    <w:p w14:paraId="2941FB0C"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348D246" w14:textId="77777777" w:rsidR="00CB542F" w:rsidRDefault="00CB542F">
      <w:pPr>
        <w:rPr>
          <w:noProof/>
        </w:rPr>
      </w:pPr>
    </w:p>
    <w:p w14:paraId="7BB7BC3D" w14:textId="77777777" w:rsidR="00CB542F" w:rsidRDefault="00CB542F">
      <w:pPr>
        <w:rPr>
          <w:noProof/>
        </w:rPr>
      </w:pPr>
    </w:p>
    <w:p w14:paraId="52BD772E"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99205D7" w14:textId="77777777" w:rsidR="00CB542F" w:rsidRDefault="00CB542F">
      <w:pPr>
        <w:rPr>
          <w:noProof/>
        </w:rPr>
      </w:pPr>
    </w:p>
    <w:p w14:paraId="01F6D2B0" w14:textId="77777777" w:rsidR="00CB542F" w:rsidRDefault="00CB542F">
      <w:pPr>
        <w:ind w:left="-198"/>
        <w:rPr>
          <w:szCs w:val="22"/>
        </w:rPr>
      </w:pPr>
    </w:p>
    <w:p w14:paraId="74FD6BA6" w14:textId="77777777" w:rsidR="00CB542F" w:rsidRDefault="00573A58">
      <w:pPr>
        <w:rPr>
          <w:noProof/>
          <w:szCs w:val="22"/>
        </w:rPr>
      </w:pPr>
      <w:r>
        <w:rPr>
          <w:b/>
          <w:noProof/>
          <w:color w:val="FF0000"/>
        </w:rPr>
        <w:br w:type="page"/>
      </w:r>
    </w:p>
    <w:bookmarkEnd w:id="4"/>
    <w:p w14:paraId="3917A49C" w14:textId="77777777" w:rsidR="00CB542F" w:rsidRDefault="00CB542F">
      <w:pPr>
        <w:rPr>
          <w:noProof/>
          <w:szCs w:val="22"/>
        </w:rPr>
      </w:pPr>
    </w:p>
    <w:bookmarkEnd w:id="3"/>
    <w:p w14:paraId="5B12D567" w14:textId="77777777" w:rsidR="00CB542F" w:rsidRDefault="00CB542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42F" w14:paraId="4775E28A" w14:textId="77777777">
        <w:trPr>
          <w:trHeight w:val="785"/>
        </w:trPr>
        <w:tc>
          <w:tcPr>
            <w:tcW w:w="9287" w:type="dxa"/>
            <w:tcBorders>
              <w:bottom w:val="single" w:sz="4" w:space="0" w:color="auto"/>
            </w:tcBorders>
          </w:tcPr>
          <w:p w14:paraId="7C91BD5C" w14:textId="77777777" w:rsidR="00CB542F" w:rsidRDefault="00573A58">
            <w:pPr>
              <w:rPr>
                <w:b/>
                <w:noProof/>
              </w:rPr>
            </w:pPr>
            <w:r>
              <w:rPr>
                <w:b/>
                <w:noProof/>
              </w:rPr>
              <w:t xml:space="preserve">MINIMALI </w:t>
            </w:r>
            <w:r>
              <w:rPr>
                <w:b/>
                <w:caps/>
                <w:noProof/>
              </w:rPr>
              <w:t xml:space="preserve">informacija ant </w:t>
            </w:r>
            <w:r>
              <w:rPr>
                <w:b/>
                <w:noProof/>
              </w:rPr>
              <w:t>LIZDINIŲ PLOKŠTELIŲ ARBA DVISLUOKSNIŲ JUOSTELIŲ</w:t>
            </w:r>
          </w:p>
          <w:p w14:paraId="7E1A76AB" w14:textId="77777777" w:rsidR="00CB542F" w:rsidRDefault="00CB542F">
            <w:pPr>
              <w:rPr>
                <w:b/>
                <w:noProof/>
              </w:rPr>
            </w:pPr>
          </w:p>
          <w:p w14:paraId="58476EE3" w14:textId="77777777" w:rsidR="00CB542F" w:rsidRDefault="00573A58">
            <w:pPr>
              <w:rPr>
                <w:b/>
                <w:noProof/>
              </w:rPr>
            </w:pPr>
            <w:r>
              <w:rPr>
                <w:b/>
                <w:noProof/>
              </w:rPr>
              <w:t>LIZDINĖS PLOKŠTELĖS</w:t>
            </w:r>
          </w:p>
        </w:tc>
      </w:tr>
    </w:tbl>
    <w:p w14:paraId="1080AD70" w14:textId="77777777" w:rsidR="00CB542F" w:rsidRDefault="00CB542F">
      <w:pPr>
        <w:rPr>
          <w:b/>
          <w:noProof/>
        </w:rPr>
      </w:pPr>
    </w:p>
    <w:p w14:paraId="338A6B58" w14:textId="77777777" w:rsidR="00CB542F" w:rsidRDefault="00CB542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42F" w14:paraId="4C11DC7C" w14:textId="77777777">
        <w:tc>
          <w:tcPr>
            <w:tcW w:w="9287" w:type="dxa"/>
          </w:tcPr>
          <w:p w14:paraId="6044D7A6" w14:textId="77777777" w:rsidR="00CB542F" w:rsidRDefault="00573A58">
            <w:pPr>
              <w:tabs>
                <w:tab w:val="left" w:pos="142"/>
              </w:tabs>
              <w:ind w:left="567" w:hanging="567"/>
              <w:rPr>
                <w:b/>
                <w:noProof/>
              </w:rPr>
            </w:pPr>
            <w:r>
              <w:rPr>
                <w:b/>
                <w:noProof/>
              </w:rPr>
              <w:t>1.</w:t>
            </w:r>
            <w:r>
              <w:rPr>
                <w:b/>
                <w:noProof/>
              </w:rPr>
              <w:tab/>
            </w:r>
            <w:r>
              <w:rPr>
                <w:b/>
                <w:caps/>
                <w:noProof/>
              </w:rPr>
              <w:t>Vaistinio preparato pavadinimas</w:t>
            </w:r>
          </w:p>
        </w:tc>
      </w:tr>
    </w:tbl>
    <w:p w14:paraId="64447170" w14:textId="77777777" w:rsidR="00CB542F" w:rsidRDefault="00CB542F">
      <w:pPr>
        <w:ind w:left="567" w:hanging="567"/>
        <w:rPr>
          <w:noProof/>
        </w:rPr>
      </w:pPr>
    </w:p>
    <w:p w14:paraId="30C0C136" w14:textId="77777777" w:rsidR="00CB542F" w:rsidRDefault="00573A58">
      <w:pPr>
        <w:rPr>
          <w:color w:val="000000" w:themeColor="text1"/>
        </w:rPr>
      </w:pPr>
      <w:r>
        <w:rPr>
          <w:noProof/>
        </w:rPr>
        <w:t xml:space="preserve">Danengo 75 mg </w:t>
      </w:r>
      <w:r>
        <w:rPr>
          <w:noProof/>
          <w:highlight w:val="lightGray"/>
        </w:rPr>
        <w:t>kietosios</w:t>
      </w:r>
      <w:r>
        <w:rPr>
          <w:noProof/>
        </w:rPr>
        <w:t xml:space="preserve"> kapsulės</w:t>
      </w:r>
    </w:p>
    <w:p w14:paraId="6DC10131" w14:textId="77777777" w:rsidR="00CB542F" w:rsidRDefault="00573A58">
      <w:pPr>
        <w:rPr>
          <w:color w:val="000000" w:themeColor="text1"/>
          <w:highlight w:val="lightGray"/>
        </w:rPr>
      </w:pPr>
      <w:r>
        <w:rPr>
          <w:noProof/>
          <w:highlight w:val="lightGray"/>
        </w:rPr>
        <w:t>Danengo 110 mg kietosios kapsulės</w:t>
      </w:r>
    </w:p>
    <w:p w14:paraId="2057A712" w14:textId="77777777" w:rsidR="00CB542F" w:rsidRDefault="00573A58">
      <w:pPr>
        <w:rPr>
          <w:color w:val="000000" w:themeColor="text1"/>
        </w:rPr>
      </w:pPr>
      <w:r>
        <w:rPr>
          <w:noProof/>
          <w:highlight w:val="lightGray"/>
        </w:rPr>
        <w:t>Danengo 150 mg kietosios kapsulės</w:t>
      </w:r>
    </w:p>
    <w:p w14:paraId="5DB1112A" w14:textId="77777777" w:rsidR="00CB542F" w:rsidRDefault="00CB542F">
      <w:pPr>
        <w:rPr>
          <w:noProof/>
        </w:rPr>
      </w:pPr>
    </w:p>
    <w:p w14:paraId="6CEC57DD" w14:textId="77777777" w:rsidR="00CB542F" w:rsidRDefault="00573A58">
      <w:pPr>
        <w:rPr>
          <w:noProof/>
        </w:rPr>
      </w:pPr>
      <w:r>
        <w:rPr>
          <w:noProof/>
        </w:rPr>
        <w:t>dabigatranas eteksilatas</w:t>
      </w:r>
    </w:p>
    <w:p w14:paraId="41F3B0CC" w14:textId="77777777" w:rsidR="00CB542F" w:rsidRDefault="00CB542F">
      <w:pPr>
        <w:rPr>
          <w:b/>
          <w:noProof/>
        </w:rPr>
      </w:pPr>
    </w:p>
    <w:p w14:paraId="3CD25129" w14:textId="77777777" w:rsidR="00CB542F" w:rsidRDefault="00CB542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42F" w14:paraId="3692956A" w14:textId="77777777">
        <w:tc>
          <w:tcPr>
            <w:tcW w:w="9287" w:type="dxa"/>
          </w:tcPr>
          <w:p w14:paraId="6B805D92" w14:textId="77777777" w:rsidR="00CB542F" w:rsidRDefault="00573A58">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307AC239" w14:textId="77777777" w:rsidR="00CB542F" w:rsidRDefault="00CB542F">
      <w:pPr>
        <w:rPr>
          <w:b/>
          <w:noProof/>
        </w:rPr>
      </w:pPr>
    </w:p>
    <w:p w14:paraId="7079DFD1" w14:textId="77777777" w:rsidR="00CB542F" w:rsidRDefault="00573A58">
      <w:pPr>
        <w:widowControl w:val="0"/>
        <w:rPr>
          <w:rFonts w:eastAsia="Calibri"/>
          <w:szCs w:val="22"/>
          <w:lang w:eastAsia="lt-LT"/>
        </w:rPr>
      </w:pPr>
      <w:r>
        <w:rPr>
          <w:rFonts w:eastAsia="Calibri"/>
          <w:szCs w:val="22"/>
          <w:lang w:eastAsia="lt-LT"/>
        </w:rPr>
        <w:t>TAD Pharma GmbH</w:t>
      </w:r>
    </w:p>
    <w:p w14:paraId="0E8C5056" w14:textId="77777777" w:rsidR="00CB542F" w:rsidRDefault="00CB542F">
      <w:pPr>
        <w:rPr>
          <w:b/>
          <w:noProof/>
        </w:rPr>
      </w:pPr>
    </w:p>
    <w:p w14:paraId="37F2AD03" w14:textId="77777777" w:rsidR="00CB542F" w:rsidRDefault="00CB542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42F" w14:paraId="12D20A29" w14:textId="77777777">
        <w:tc>
          <w:tcPr>
            <w:tcW w:w="9287" w:type="dxa"/>
          </w:tcPr>
          <w:p w14:paraId="73E427A6" w14:textId="77777777" w:rsidR="00CB542F" w:rsidRDefault="00573A58">
            <w:pPr>
              <w:tabs>
                <w:tab w:val="left" w:pos="142"/>
              </w:tabs>
              <w:ind w:left="567" w:hanging="567"/>
              <w:rPr>
                <w:b/>
                <w:noProof/>
              </w:rPr>
            </w:pPr>
            <w:r>
              <w:rPr>
                <w:b/>
                <w:noProof/>
              </w:rPr>
              <w:t>3.</w:t>
            </w:r>
            <w:r>
              <w:rPr>
                <w:b/>
                <w:noProof/>
              </w:rPr>
              <w:tab/>
            </w:r>
            <w:r>
              <w:rPr>
                <w:b/>
                <w:caps/>
                <w:noProof/>
              </w:rPr>
              <w:t>tinkamumo laikas</w:t>
            </w:r>
          </w:p>
        </w:tc>
      </w:tr>
    </w:tbl>
    <w:p w14:paraId="1EDC8E4E" w14:textId="77777777" w:rsidR="00CB542F" w:rsidRDefault="00CB542F">
      <w:pPr>
        <w:rPr>
          <w:b/>
          <w:noProof/>
        </w:rPr>
      </w:pPr>
    </w:p>
    <w:p w14:paraId="0E4BFDC9" w14:textId="77777777" w:rsidR="00CB542F" w:rsidRDefault="00573A58">
      <w:pPr>
        <w:rPr>
          <w:noProof/>
        </w:rPr>
      </w:pPr>
      <w:r>
        <w:rPr>
          <w:noProof/>
        </w:rPr>
        <w:t xml:space="preserve">EXP </w:t>
      </w:r>
      <w:r>
        <w:rPr>
          <w:snapToGrid w:val="0"/>
        </w:rPr>
        <w:t>(mm/MMMM)</w:t>
      </w:r>
    </w:p>
    <w:p w14:paraId="1453CB62" w14:textId="77777777" w:rsidR="00CB542F" w:rsidRDefault="00CB542F">
      <w:pPr>
        <w:rPr>
          <w:noProof/>
        </w:rPr>
      </w:pPr>
    </w:p>
    <w:p w14:paraId="6DAE2D64" w14:textId="77777777" w:rsidR="00CB542F" w:rsidRDefault="00CB542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42F" w14:paraId="5F2A8824" w14:textId="77777777">
        <w:tc>
          <w:tcPr>
            <w:tcW w:w="9287" w:type="dxa"/>
          </w:tcPr>
          <w:p w14:paraId="4E103769" w14:textId="77777777" w:rsidR="00CB542F" w:rsidRDefault="00573A58">
            <w:pPr>
              <w:tabs>
                <w:tab w:val="left" w:pos="142"/>
              </w:tabs>
              <w:ind w:left="567" w:hanging="567"/>
              <w:rPr>
                <w:b/>
                <w:noProof/>
              </w:rPr>
            </w:pPr>
            <w:r>
              <w:rPr>
                <w:b/>
                <w:noProof/>
              </w:rPr>
              <w:t>4.</w:t>
            </w:r>
            <w:r>
              <w:rPr>
                <w:b/>
                <w:noProof/>
              </w:rPr>
              <w:tab/>
            </w:r>
            <w:r>
              <w:rPr>
                <w:b/>
                <w:caps/>
                <w:noProof/>
              </w:rPr>
              <w:t>serijos numeris</w:t>
            </w:r>
          </w:p>
        </w:tc>
      </w:tr>
    </w:tbl>
    <w:p w14:paraId="7DB5B47A" w14:textId="77777777" w:rsidR="00CB542F" w:rsidRDefault="00CB542F">
      <w:pPr>
        <w:ind w:right="113"/>
        <w:rPr>
          <w:i/>
          <w:noProof/>
          <w:highlight w:val="yellow"/>
        </w:rPr>
      </w:pPr>
    </w:p>
    <w:p w14:paraId="3ED99FA3" w14:textId="77777777" w:rsidR="00CB542F" w:rsidRDefault="00573A58">
      <w:pPr>
        <w:ind w:right="113"/>
        <w:rPr>
          <w:noProof/>
        </w:rPr>
      </w:pPr>
      <w:r>
        <w:rPr>
          <w:noProof/>
        </w:rPr>
        <w:t>Lot</w:t>
      </w:r>
    </w:p>
    <w:p w14:paraId="3DCDF8AC" w14:textId="77777777" w:rsidR="00CB542F" w:rsidRDefault="00CB542F">
      <w:pPr>
        <w:ind w:right="113"/>
        <w:rPr>
          <w:noProof/>
        </w:rPr>
      </w:pPr>
    </w:p>
    <w:p w14:paraId="21C9AAC3" w14:textId="77777777" w:rsidR="00CB542F" w:rsidRDefault="00CB542F">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42F" w14:paraId="776FAED4" w14:textId="77777777">
        <w:tc>
          <w:tcPr>
            <w:tcW w:w="9287" w:type="dxa"/>
          </w:tcPr>
          <w:p w14:paraId="50A8D13B" w14:textId="77777777" w:rsidR="00CB542F" w:rsidRDefault="00573A58">
            <w:pPr>
              <w:tabs>
                <w:tab w:val="left" w:pos="142"/>
              </w:tabs>
              <w:ind w:left="567" w:hanging="567"/>
              <w:rPr>
                <w:b/>
                <w:noProof/>
              </w:rPr>
            </w:pPr>
            <w:r>
              <w:rPr>
                <w:b/>
                <w:noProof/>
              </w:rPr>
              <w:t>5.</w:t>
            </w:r>
            <w:r>
              <w:rPr>
                <w:b/>
                <w:noProof/>
              </w:rPr>
              <w:tab/>
              <w:t>KITA</w:t>
            </w:r>
          </w:p>
        </w:tc>
      </w:tr>
    </w:tbl>
    <w:p w14:paraId="1292F886" w14:textId="77777777" w:rsidR="00CB542F" w:rsidRDefault="00CB542F">
      <w:pPr>
        <w:widowControl w:val="0"/>
        <w:ind w:left="567" w:hanging="567"/>
        <w:rPr>
          <w:noProof/>
          <w:color w:val="000000"/>
          <w:szCs w:val="22"/>
          <w:lang w:val="en-GB" w:eastAsia="sl-SI"/>
        </w:rPr>
      </w:pPr>
    </w:p>
    <w:p w14:paraId="2B54E9BF" w14:textId="77777777" w:rsidR="00CB542F" w:rsidRDefault="00573A58">
      <w:pPr>
        <w:widowControl w:val="0"/>
        <w:ind w:left="567" w:hanging="567"/>
        <w:rPr>
          <w:noProof/>
          <w:color w:val="000000"/>
          <w:szCs w:val="22"/>
          <w:lang w:val="en-GB" w:eastAsia="sl-SI"/>
        </w:rPr>
      </w:pPr>
      <w:r>
        <w:rPr>
          <w:noProof/>
          <w:color w:val="000000"/>
          <w:szCs w:val="22"/>
          <w:lang w:val="en-GB" w:eastAsia="sl-SI"/>
        </w:rPr>
        <w:t>1.</w:t>
      </w:r>
      <w:r>
        <w:rPr>
          <w:noProof/>
          <w:color w:val="000000"/>
          <w:szCs w:val="22"/>
          <w:lang w:val="en-GB" w:eastAsia="sl-SI"/>
        </w:rPr>
        <w:tab/>
        <w:t>Atplėšti</w:t>
      </w:r>
    </w:p>
    <w:p w14:paraId="73981FA6" w14:textId="77777777" w:rsidR="00CB542F" w:rsidRDefault="00573A58">
      <w:pPr>
        <w:widowControl w:val="0"/>
        <w:ind w:left="567" w:hanging="567"/>
        <w:rPr>
          <w:noProof/>
          <w:color w:val="000000"/>
          <w:szCs w:val="22"/>
          <w:lang w:val="en-GB" w:eastAsia="sl-SI"/>
        </w:rPr>
      </w:pPr>
      <w:r>
        <w:rPr>
          <w:noProof/>
          <w:color w:val="000000"/>
          <w:szCs w:val="22"/>
          <w:lang w:val="en-GB" w:eastAsia="sl-SI"/>
        </w:rPr>
        <w:t>2.</w:t>
      </w:r>
      <w:r>
        <w:rPr>
          <w:noProof/>
          <w:color w:val="000000"/>
          <w:szCs w:val="22"/>
          <w:lang w:val="en-GB" w:eastAsia="sl-SI"/>
        </w:rPr>
        <w:tab/>
        <w:t>Nulupti</w:t>
      </w:r>
    </w:p>
    <w:p w14:paraId="2E030649" w14:textId="77777777" w:rsidR="00CB542F" w:rsidRDefault="00CB542F">
      <w:pPr>
        <w:ind w:right="113"/>
        <w:rPr>
          <w:noProof/>
        </w:rPr>
      </w:pPr>
    </w:p>
    <w:p w14:paraId="4514F669" w14:textId="77777777" w:rsidR="00CB542F" w:rsidRDefault="00573A58">
      <w:pPr>
        <w:rPr>
          <w:b/>
          <w:noProof/>
          <w:color w:val="FF0000"/>
        </w:rPr>
      </w:pPr>
      <w:r>
        <w:rPr>
          <w:b/>
          <w:noProof/>
          <w:color w:val="FF0000"/>
        </w:rPr>
        <w:br w:type="page"/>
      </w:r>
    </w:p>
    <w:p w14:paraId="503DF675" w14:textId="77777777" w:rsidR="00CB542F" w:rsidRDefault="00573A58">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7424B7F3" w14:textId="77777777" w:rsidR="00CB542F" w:rsidRDefault="00CB542F">
      <w:pPr>
        <w:pBdr>
          <w:top w:val="single" w:sz="4" w:space="1" w:color="auto"/>
          <w:left w:val="single" w:sz="4" w:space="4" w:color="auto"/>
          <w:bottom w:val="single" w:sz="4" w:space="1" w:color="auto"/>
          <w:right w:val="single" w:sz="4" w:space="4" w:color="auto"/>
        </w:pBdr>
        <w:ind w:left="567" w:hanging="567"/>
        <w:rPr>
          <w:bCs/>
          <w:noProof/>
        </w:rPr>
      </w:pPr>
    </w:p>
    <w:p w14:paraId="3FB1D020" w14:textId="77777777" w:rsidR="00CB542F" w:rsidRDefault="00573A58">
      <w:pPr>
        <w:pBdr>
          <w:top w:val="single" w:sz="4" w:space="1" w:color="auto"/>
          <w:left w:val="single" w:sz="4" w:space="4" w:color="auto"/>
          <w:bottom w:val="single" w:sz="4" w:space="1" w:color="auto"/>
          <w:right w:val="single" w:sz="4" w:space="4" w:color="auto"/>
        </w:pBdr>
        <w:rPr>
          <w:bCs/>
          <w:noProof/>
        </w:rPr>
      </w:pPr>
      <w:r>
        <w:rPr>
          <w:b/>
          <w:noProof/>
        </w:rPr>
        <w:t>TALPYKLĖS DĖŽUTĖ</w:t>
      </w:r>
    </w:p>
    <w:p w14:paraId="238A365D" w14:textId="77777777" w:rsidR="00CB542F" w:rsidRDefault="00CB542F">
      <w:pPr>
        <w:rPr>
          <w:noProof/>
        </w:rPr>
      </w:pPr>
    </w:p>
    <w:p w14:paraId="0854665B" w14:textId="77777777" w:rsidR="00CB542F" w:rsidRDefault="00CB542F">
      <w:pPr>
        <w:rPr>
          <w:noProof/>
        </w:rPr>
      </w:pPr>
    </w:p>
    <w:p w14:paraId="28E758FF"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4E4E015B" w14:textId="77777777" w:rsidR="00CB542F" w:rsidRDefault="00CB542F">
      <w:pPr>
        <w:rPr>
          <w:noProof/>
        </w:rPr>
      </w:pPr>
    </w:p>
    <w:p w14:paraId="2196EE48" w14:textId="77777777" w:rsidR="00CB542F" w:rsidRDefault="00573A58">
      <w:pPr>
        <w:rPr>
          <w:color w:val="000000" w:themeColor="text1"/>
        </w:rPr>
      </w:pPr>
      <w:r>
        <w:rPr>
          <w:noProof/>
        </w:rPr>
        <w:t>Danengo 75 mg kietosios kapsulės</w:t>
      </w:r>
    </w:p>
    <w:p w14:paraId="363FFB0D" w14:textId="77777777" w:rsidR="00CB542F" w:rsidRDefault="00573A58">
      <w:pPr>
        <w:rPr>
          <w:color w:val="000000" w:themeColor="text1"/>
          <w:highlight w:val="lightGray"/>
        </w:rPr>
      </w:pPr>
      <w:r>
        <w:rPr>
          <w:noProof/>
          <w:highlight w:val="lightGray"/>
        </w:rPr>
        <w:t>Danengo 110 mg kietosios kapsulės</w:t>
      </w:r>
    </w:p>
    <w:p w14:paraId="4F8EF2B8" w14:textId="77777777" w:rsidR="00CB542F" w:rsidRDefault="00573A58">
      <w:pPr>
        <w:rPr>
          <w:color w:val="000000" w:themeColor="text1"/>
        </w:rPr>
      </w:pPr>
      <w:r>
        <w:rPr>
          <w:noProof/>
          <w:highlight w:val="lightGray"/>
        </w:rPr>
        <w:t>Danengo 150 mg kietosios kapsulės</w:t>
      </w:r>
    </w:p>
    <w:p w14:paraId="3A02643F" w14:textId="77777777" w:rsidR="00CB542F" w:rsidRDefault="00CB542F">
      <w:pPr>
        <w:rPr>
          <w:noProof/>
        </w:rPr>
      </w:pPr>
    </w:p>
    <w:p w14:paraId="08CC91D7" w14:textId="77777777" w:rsidR="00CB542F" w:rsidRDefault="00573A58">
      <w:pPr>
        <w:rPr>
          <w:noProof/>
        </w:rPr>
      </w:pPr>
      <w:r>
        <w:rPr>
          <w:noProof/>
        </w:rPr>
        <w:t>dabigatranas eteksilatas</w:t>
      </w:r>
    </w:p>
    <w:p w14:paraId="2B03AD7D" w14:textId="77777777" w:rsidR="00CB542F" w:rsidRDefault="00CB542F">
      <w:pPr>
        <w:rPr>
          <w:noProof/>
        </w:rPr>
      </w:pPr>
    </w:p>
    <w:p w14:paraId="472359B8" w14:textId="77777777" w:rsidR="00CB542F" w:rsidRDefault="00CB542F">
      <w:pPr>
        <w:rPr>
          <w:noProof/>
        </w:rPr>
      </w:pPr>
    </w:p>
    <w:p w14:paraId="3235C25C"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536E0715" w14:textId="77777777" w:rsidR="00CB542F" w:rsidRDefault="00CB542F">
      <w:pPr>
        <w:rPr>
          <w:noProof/>
        </w:rPr>
      </w:pPr>
    </w:p>
    <w:p w14:paraId="3F128B4B" w14:textId="77777777" w:rsidR="00CB542F" w:rsidRDefault="00573A58">
      <w:r>
        <w:t>Kiekvienoje kietojoje kapsulėje yra 75 mg dabigatrano eteksilato (dabigatrano eteksilato mesilato pavidalu).</w:t>
      </w:r>
    </w:p>
    <w:p w14:paraId="45768DD8" w14:textId="77777777" w:rsidR="00CB542F" w:rsidRDefault="00573A58">
      <w:pPr>
        <w:rPr>
          <w:highlight w:val="lightGray"/>
        </w:rPr>
      </w:pPr>
      <w:r>
        <w:rPr>
          <w:highlight w:val="lightGray"/>
        </w:rPr>
        <w:t>Kiekvienoje kietojoje kapsulėje yra 110 mg dabigatrano eteksilato (dabigatrano eteksilato mesilato pavidalu).</w:t>
      </w:r>
    </w:p>
    <w:p w14:paraId="702C69E3" w14:textId="77777777" w:rsidR="00CB542F" w:rsidRDefault="00573A58">
      <w:r>
        <w:rPr>
          <w:highlight w:val="lightGray"/>
        </w:rPr>
        <w:t>Kiekvienoje kietojoje kapsulėje yra 150 mg dabigatrano eteksilato (dabigatrano eteksilato mesilato pavidalu).</w:t>
      </w:r>
    </w:p>
    <w:p w14:paraId="72E7222C" w14:textId="77777777" w:rsidR="00CB542F" w:rsidRDefault="00CB542F"/>
    <w:p w14:paraId="2816E3CD" w14:textId="77777777" w:rsidR="00CB542F" w:rsidRDefault="00CB542F">
      <w:pPr>
        <w:rPr>
          <w:noProof/>
        </w:rPr>
      </w:pPr>
    </w:p>
    <w:p w14:paraId="112E0605"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DA9996D" w14:textId="77777777" w:rsidR="00CB542F" w:rsidRDefault="00CB542F">
      <w:pPr>
        <w:rPr>
          <w:noProof/>
        </w:rPr>
      </w:pPr>
    </w:p>
    <w:p w14:paraId="5E6FB97F" w14:textId="77777777" w:rsidR="00CB542F" w:rsidRDefault="00CB542F">
      <w:pPr>
        <w:rPr>
          <w:noProof/>
        </w:rPr>
      </w:pPr>
    </w:p>
    <w:p w14:paraId="7F2C213D"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B0414C6" w14:textId="77777777" w:rsidR="00CB542F" w:rsidRDefault="00CB542F">
      <w:pPr>
        <w:rPr>
          <w:noProof/>
        </w:rPr>
      </w:pPr>
    </w:p>
    <w:p w14:paraId="469DD442" w14:textId="77777777" w:rsidR="00CB542F" w:rsidRDefault="00573A58">
      <w:r>
        <w:rPr>
          <w:highlight w:val="lightGray"/>
        </w:rPr>
        <w:t>kietoji kapsulė</w:t>
      </w:r>
    </w:p>
    <w:p w14:paraId="2FE4CA22" w14:textId="77777777" w:rsidR="00CB542F" w:rsidRDefault="00CB542F"/>
    <w:p w14:paraId="772B523D" w14:textId="77777777" w:rsidR="00CB542F" w:rsidRDefault="00573A58">
      <w:r>
        <w:t>60 kietųjų kapsulių</w:t>
      </w:r>
    </w:p>
    <w:p w14:paraId="53FEF0D6" w14:textId="77777777" w:rsidR="00CB542F" w:rsidRDefault="00573A58">
      <w:r>
        <w:rPr>
          <w:highlight w:val="lightGray"/>
        </w:rPr>
        <w:t>3 talpyklės po 60 kietųjų kapsulių</w:t>
      </w:r>
    </w:p>
    <w:p w14:paraId="766A1330" w14:textId="77777777" w:rsidR="00CB542F" w:rsidRDefault="00CB542F">
      <w:pPr>
        <w:rPr>
          <w:noProof/>
          <w:sz w:val="16"/>
          <w:szCs w:val="16"/>
        </w:rPr>
      </w:pPr>
    </w:p>
    <w:p w14:paraId="5E6F0349" w14:textId="77777777" w:rsidR="00CB542F" w:rsidRDefault="00CB542F">
      <w:pPr>
        <w:rPr>
          <w:noProof/>
        </w:rPr>
      </w:pPr>
    </w:p>
    <w:p w14:paraId="63DDE241"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523DD68B" w14:textId="77777777" w:rsidR="00CB542F" w:rsidRDefault="00CB542F">
      <w:pPr>
        <w:rPr>
          <w:i/>
          <w:noProof/>
        </w:rPr>
      </w:pPr>
    </w:p>
    <w:p w14:paraId="295C60CC" w14:textId="77777777" w:rsidR="00CB542F" w:rsidRDefault="00573A58">
      <w:pPr>
        <w:rPr>
          <w:noProof/>
        </w:rPr>
      </w:pPr>
      <w:r>
        <w:rPr>
          <w:noProof/>
        </w:rPr>
        <w:t>Nurykite visą kapsulę, kramtyti ar laužyti negalima.</w:t>
      </w:r>
    </w:p>
    <w:p w14:paraId="57FA44D4" w14:textId="77777777" w:rsidR="00CB542F" w:rsidRDefault="00573A58">
      <w:pPr>
        <w:rPr>
          <w:noProof/>
        </w:rPr>
      </w:pPr>
      <w:r>
        <w:rPr>
          <w:noProof/>
        </w:rPr>
        <w:t>Prieš vartojimą perskaitykite pakuotės lapelį.</w:t>
      </w:r>
    </w:p>
    <w:p w14:paraId="372F673C" w14:textId="77777777" w:rsidR="00CB542F" w:rsidRDefault="00573A58">
      <w:pPr>
        <w:rPr>
          <w:noProof/>
        </w:rPr>
      </w:pPr>
      <w:r>
        <w:rPr>
          <w:noProof/>
        </w:rPr>
        <w:t>Vartoti per burną</w:t>
      </w:r>
    </w:p>
    <w:p w14:paraId="30984A0E" w14:textId="77777777" w:rsidR="00CB542F" w:rsidRDefault="00CB542F">
      <w:pPr>
        <w:rPr>
          <w:noProof/>
        </w:rPr>
      </w:pPr>
    </w:p>
    <w:p w14:paraId="5D5DCC15" w14:textId="77777777" w:rsidR="00CB542F" w:rsidRDefault="00573A58">
      <w:pPr>
        <w:rPr>
          <w:noProof/>
        </w:rPr>
      </w:pPr>
      <w:r>
        <w:rPr>
          <w:noProof/>
        </w:rPr>
        <w:t>Paciento budrumo kortelė yra viduje.</w:t>
      </w:r>
    </w:p>
    <w:p w14:paraId="726B2907" w14:textId="77777777" w:rsidR="00CB542F" w:rsidRDefault="00CB542F">
      <w:pPr>
        <w:rPr>
          <w:noProof/>
        </w:rPr>
      </w:pPr>
    </w:p>
    <w:p w14:paraId="1411E4DC" w14:textId="77777777" w:rsidR="00CB542F" w:rsidRDefault="00CB542F">
      <w:pPr>
        <w:rPr>
          <w:noProof/>
        </w:rPr>
      </w:pPr>
    </w:p>
    <w:p w14:paraId="0D859462" w14:textId="77777777" w:rsidR="00CB542F" w:rsidRDefault="00573A58">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89A1984" w14:textId="77777777" w:rsidR="00CB542F" w:rsidRDefault="00CB542F">
      <w:pPr>
        <w:rPr>
          <w:noProof/>
        </w:rPr>
      </w:pPr>
    </w:p>
    <w:p w14:paraId="2AD1B359" w14:textId="77777777" w:rsidR="00CB542F" w:rsidRDefault="00573A58">
      <w:pPr>
        <w:pStyle w:val="Pagrindinistekstas"/>
        <w:rPr>
          <w:i w:val="0"/>
          <w:iCs/>
          <w:noProof/>
          <w:color w:val="auto"/>
          <w:lang w:val="lt-LT"/>
        </w:rPr>
      </w:pPr>
      <w:r>
        <w:rPr>
          <w:i w:val="0"/>
          <w:iCs/>
          <w:noProof/>
          <w:color w:val="auto"/>
          <w:lang w:val="lt-LT"/>
        </w:rPr>
        <w:t>Laikyti vaikams nepastebimoje ir nepasiekiamoje vietoje.</w:t>
      </w:r>
    </w:p>
    <w:p w14:paraId="49DA215E" w14:textId="77777777" w:rsidR="00CB542F" w:rsidRDefault="00CB542F">
      <w:pPr>
        <w:rPr>
          <w:noProof/>
        </w:rPr>
      </w:pPr>
    </w:p>
    <w:p w14:paraId="503EEA4A" w14:textId="77777777" w:rsidR="00CB542F" w:rsidRDefault="00CB542F">
      <w:pPr>
        <w:rPr>
          <w:noProof/>
          <w:sz w:val="16"/>
          <w:szCs w:val="16"/>
        </w:rPr>
      </w:pPr>
    </w:p>
    <w:p w14:paraId="18AEFC3E"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C0F8475" w14:textId="77777777" w:rsidR="00CB542F" w:rsidRDefault="00CB542F">
      <w:pPr>
        <w:rPr>
          <w:noProof/>
        </w:rPr>
      </w:pPr>
    </w:p>
    <w:p w14:paraId="4A593D3E" w14:textId="77777777" w:rsidR="00CB542F" w:rsidRDefault="00CB542F">
      <w:pPr>
        <w:rPr>
          <w:noProof/>
        </w:rPr>
      </w:pPr>
    </w:p>
    <w:p w14:paraId="5C8F4AF7"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03BBE9A" w14:textId="77777777" w:rsidR="00CB542F" w:rsidRDefault="00CB542F">
      <w:pPr>
        <w:rPr>
          <w:i/>
          <w:noProof/>
        </w:rPr>
      </w:pPr>
    </w:p>
    <w:p w14:paraId="0F0BB765" w14:textId="77777777" w:rsidR="00CB542F" w:rsidRDefault="00573A58">
      <w:pPr>
        <w:rPr>
          <w:iCs/>
          <w:noProof/>
        </w:rPr>
      </w:pPr>
      <w:r>
        <w:rPr>
          <w:iCs/>
          <w:noProof/>
        </w:rPr>
        <w:t xml:space="preserve">EXP </w:t>
      </w:r>
      <w:r>
        <w:rPr>
          <w:snapToGrid w:val="0"/>
        </w:rPr>
        <w:t>(mm/MMMM)</w:t>
      </w:r>
    </w:p>
    <w:p w14:paraId="4F875FEE" w14:textId="77777777" w:rsidR="00CB542F" w:rsidRDefault="00CB542F">
      <w:pPr>
        <w:rPr>
          <w:noProof/>
        </w:rPr>
      </w:pPr>
    </w:p>
    <w:p w14:paraId="17780530" w14:textId="77777777" w:rsidR="00CB542F" w:rsidRDefault="00CB542F">
      <w:pPr>
        <w:rPr>
          <w:noProof/>
        </w:rPr>
      </w:pPr>
    </w:p>
    <w:p w14:paraId="726BB250"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28A4A9E4" w14:textId="77777777" w:rsidR="00CB542F" w:rsidRDefault="00CB542F">
      <w:pPr>
        <w:rPr>
          <w:i/>
          <w:noProof/>
        </w:rPr>
      </w:pPr>
    </w:p>
    <w:p w14:paraId="501648FF" w14:textId="77777777" w:rsidR="00CB542F" w:rsidRDefault="00573A58">
      <w:pPr>
        <w:ind w:left="567" w:hanging="567"/>
      </w:pPr>
      <w:r>
        <w:t>Laikyti gamintojo pakuotėje, kad vaistas būtų apsaugotas nuo šviesos ir drėgmės.</w:t>
      </w:r>
    </w:p>
    <w:p w14:paraId="01FB4F2F" w14:textId="77777777" w:rsidR="00CB542F" w:rsidRDefault="00573A58">
      <w:pPr>
        <w:ind w:left="567" w:hanging="567"/>
      </w:pPr>
      <w:r>
        <w:t>Talpyklę laikyti sandariai uždarytą.</w:t>
      </w:r>
    </w:p>
    <w:p w14:paraId="21196ACF" w14:textId="77777777" w:rsidR="00CB542F" w:rsidRDefault="00CB542F">
      <w:pPr>
        <w:ind w:left="567" w:hanging="567"/>
      </w:pPr>
    </w:p>
    <w:p w14:paraId="67234B89" w14:textId="77777777" w:rsidR="00CB542F" w:rsidRDefault="00CB542F">
      <w:pPr>
        <w:ind w:left="567" w:hanging="567"/>
        <w:rPr>
          <w:noProof/>
        </w:rPr>
      </w:pPr>
    </w:p>
    <w:p w14:paraId="5015AA6C"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A37E166" w14:textId="77777777" w:rsidR="00CB542F" w:rsidRDefault="00CB542F">
      <w:pPr>
        <w:rPr>
          <w:noProof/>
        </w:rPr>
      </w:pPr>
    </w:p>
    <w:p w14:paraId="7CCF0308" w14:textId="77777777" w:rsidR="00CB542F" w:rsidRDefault="00CB542F">
      <w:pPr>
        <w:rPr>
          <w:noProof/>
        </w:rPr>
      </w:pPr>
    </w:p>
    <w:p w14:paraId="2CB44936" w14:textId="77777777" w:rsidR="00CB542F" w:rsidRDefault="00573A58">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1B696779" w14:textId="77777777" w:rsidR="00CB542F" w:rsidRDefault="00CB542F"/>
    <w:p w14:paraId="35B3520B"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3B5F359B" w14:textId="77777777" w:rsidR="00CB542F" w:rsidRDefault="00573A58">
      <w:pPr>
        <w:widowControl w:val="0"/>
        <w:rPr>
          <w:noProof/>
          <w:szCs w:val="22"/>
          <w:lang w:eastAsia="sl-SI"/>
        </w:rPr>
      </w:pPr>
      <w:r>
        <w:rPr>
          <w:noProof/>
          <w:szCs w:val="22"/>
          <w:lang w:eastAsia="sl-SI"/>
        </w:rPr>
        <w:t>Heinz-Lohmann-Straße 5</w:t>
      </w:r>
    </w:p>
    <w:p w14:paraId="4E984B55" w14:textId="77777777" w:rsidR="00CB542F" w:rsidRDefault="00573A58">
      <w:pPr>
        <w:widowControl w:val="0"/>
        <w:rPr>
          <w:noProof/>
          <w:szCs w:val="22"/>
          <w:lang w:eastAsia="sl-SI"/>
        </w:rPr>
      </w:pPr>
      <w:r>
        <w:rPr>
          <w:noProof/>
          <w:szCs w:val="22"/>
          <w:lang w:eastAsia="sl-SI"/>
        </w:rPr>
        <w:t>27472 Cuxhaven</w:t>
      </w:r>
    </w:p>
    <w:p w14:paraId="438ED56B" w14:textId="77777777" w:rsidR="00CB542F" w:rsidRDefault="00573A58">
      <w:pPr>
        <w:widowControl w:val="0"/>
        <w:rPr>
          <w:noProof/>
          <w:szCs w:val="22"/>
          <w:lang w:eastAsia="sl-SI"/>
        </w:rPr>
      </w:pPr>
      <w:r>
        <w:rPr>
          <w:noProof/>
          <w:szCs w:val="22"/>
          <w:lang w:eastAsia="sl-SI"/>
        </w:rPr>
        <w:t>Vokietija</w:t>
      </w:r>
    </w:p>
    <w:p w14:paraId="599E4608" w14:textId="77777777" w:rsidR="00CB542F" w:rsidRDefault="00CB542F">
      <w:pPr>
        <w:rPr>
          <w:noProof/>
        </w:rPr>
      </w:pPr>
    </w:p>
    <w:p w14:paraId="27F18AC8" w14:textId="77777777" w:rsidR="00CB542F" w:rsidRDefault="00CB542F">
      <w:pPr>
        <w:rPr>
          <w:noProof/>
        </w:rPr>
      </w:pPr>
    </w:p>
    <w:p w14:paraId="7865E761"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786A7470" w14:textId="77777777" w:rsidR="00CB542F" w:rsidRDefault="00CB542F"/>
    <w:p w14:paraId="2701E4CD"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&lt;75 mg&gt;</w:t>
      </w:r>
    </w:p>
    <w:p w14:paraId="0EB3468C" w14:textId="77777777" w:rsidR="00CB542F" w:rsidRDefault="00573A58">
      <w:pPr>
        <w:widowControl w:val="0"/>
        <w:rPr>
          <w:rFonts w:eastAsia="Calibri"/>
          <w:shd w:val="clear" w:color="auto" w:fill="F2F2F2" w:themeFill="background1" w:themeFillShade="F2"/>
          <w:lang w:val="en-US"/>
        </w:rPr>
      </w:pPr>
      <w:r>
        <w:rPr>
          <w:noProof/>
          <w:szCs w:val="22"/>
          <w:lang w:eastAsia="sl-SI"/>
        </w:rPr>
        <w:t>LT/1/23/5280</w:t>
      </w:r>
      <w:r>
        <w:rPr>
          <w:rFonts w:eastAsia="Calibri"/>
          <w:lang w:val="en-US"/>
        </w:rPr>
        <w:t xml:space="preserve">/007 </w:t>
      </w:r>
      <w:r>
        <w:rPr>
          <w:rFonts w:eastAsia="Calibri"/>
          <w:shd w:val="clear" w:color="auto" w:fill="F2F2F2" w:themeFill="background1" w:themeFillShade="F2"/>
          <w:lang w:val="en-US"/>
        </w:rPr>
        <w:t>– N60</w:t>
      </w:r>
    </w:p>
    <w:p w14:paraId="0EA61392"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LT/1/23/5280/008 – N3x60</w:t>
      </w:r>
    </w:p>
    <w:p w14:paraId="1449900C" w14:textId="77777777" w:rsidR="00CB542F" w:rsidRDefault="00CB542F">
      <w:pPr>
        <w:rPr>
          <w:rFonts w:eastAsia="Calibri"/>
          <w:shd w:val="clear" w:color="auto" w:fill="F2F2F2" w:themeFill="background1" w:themeFillShade="F2"/>
          <w:lang w:val="en-US"/>
        </w:rPr>
      </w:pPr>
    </w:p>
    <w:p w14:paraId="6527E530"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&lt;110 mg&gt;</w:t>
      </w:r>
    </w:p>
    <w:p w14:paraId="4690518E"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LT/1/23/5281/007 – N60</w:t>
      </w:r>
    </w:p>
    <w:p w14:paraId="29959CBD"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LT/1/23/5281/008 – N3x60</w:t>
      </w:r>
    </w:p>
    <w:p w14:paraId="6BAAC491" w14:textId="77777777" w:rsidR="00CB542F" w:rsidRDefault="00CB542F">
      <w:pPr>
        <w:rPr>
          <w:rFonts w:eastAsia="Calibri"/>
          <w:shd w:val="clear" w:color="auto" w:fill="F2F2F2" w:themeFill="background1" w:themeFillShade="F2"/>
          <w:lang w:val="en-US"/>
        </w:rPr>
      </w:pPr>
    </w:p>
    <w:p w14:paraId="1143DA93"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&lt;150 mg&gt;</w:t>
      </w:r>
    </w:p>
    <w:p w14:paraId="73250274"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LT/1/23/5282/007 – N60</w:t>
      </w:r>
    </w:p>
    <w:p w14:paraId="6DDC2029"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LT/1/23/5282/008 – N3x60</w:t>
      </w:r>
    </w:p>
    <w:p w14:paraId="30CAC732" w14:textId="77777777" w:rsidR="00CB542F" w:rsidRDefault="00CB542F"/>
    <w:p w14:paraId="6E489E35" w14:textId="77777777" w:rsidR="00CB542F" w:rsidRDefault="00CB542F">
      <w:pPr>
        <w:rPr>
          <w:noProof/>
        </w:rPr>
      </w:pPr>
    </w:p>
    <w:p w14:paraId="72EA374F"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1E58CCCF" w14:textId="77777777" w:rsidR="00CB542F" w:rsidRDefault="00CB542F">
      <w:pPr>
        <w:rPr>
          <w:i/>
          <w:noProof/>
        </w:rPr>
      </w:pPr>
    </w:p>
    <w:p w14:paraId="4FB5E575" w14:textId="77777777" w:rsidR="00CB542F" w:rsidRDefault="00573A58">
      <w:pPr>
        <w:rPr>
          <w:noProof/>
        </w:rPr>
      </w:pPr>
      <w:r>
        <w:rPr>
          <w:noProof/>
        </w:rPr>
        <w:t>Lot</w:t>
      </w:r>
    </w:p>
    <w:p w14:paraId="1030A58E" w14:textId="77777777" w:rsidR="00CB542F" w:rsidRDefault="00CB542F">
      <w:pPr>
        <w:rPr>
          <w:noProof/>
        </w:rPr>
      </w:pPr>
    </w:p>
    <w:p w14:paraId="354BE937" w14:textId="77777777" w:rsidR="00CB542F" w:rsidRDefault="00CB542F">
      <w:pPr>
        <w:rPr>
          <w:noProof/>
        </w:rPr>
      </w:pPr>
    </w:p>
    <w:p w14:paraId="3C3EB866"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4D34FD97" w14:textId="77777777" w:rsidR="00CB542F" w:rsidRDefault="00CB542F">
      <w:pPr>
        <w:rPr>
          <w:noProof/>
        </w:rPr>
      </w:pPr>
    </w:p>
    <w:p w14:paraId="04F17036" w14:textId="77777777" w:rsidR="00CB542F" w:rsidRDefault="00573A58">
      <w:pPr>
        <w:widowControl w:val="0"/>
        <w:tabs>
          <w:tab w:val="left" w:pos="567"/>
        </w:tabs>
        <w:rPr>
          <w:snapToGrid w:val="0"/>
          <w:szCs w:val="22"/>
        </w:rPr>
      </w:pPr>
      <w:r>
        <w:rPr>
          <w:snapToGrid w:val="0"/>
          <w:szCs w:val="22"/>
        </w:rPr>
        <w:t>Receptinis vaistas</w:t>
      </w:r>
    </w:p>
    <w:p w14:paraId="3D6A7FBD" w14:textId="77777777" w:rsidR="00CB542F" w:rsidRDefault="00CB542F">
      <w:pPr>
        <w:rPr>
          <w:noProof/>
        </w:rPr>
      </w:pPr>
    </w:p>
    <w:p w14:paraId="39B35160" w14:textId="77777777" w:rsidR="00CB542F" w:rsidRDefault="00CB542F">
      <w:pPr>
        <w:rPr>
          <w:noProof/>
        </w:rPr>
      </w:pPr>
    </w:p>
    <w:p w14:paraId="2F458FF1"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AAFCFA5" w14:textId="77777777" w:rsidR="00CB542F" w:rsidRDefault="00CB542F">
      <w:pPr>
        <w:rPr>
          <w:i/>
          <w:iCs/>
        </w:rPr>
      </w:pPr>
    </w:p>
    <w:p w14:paraId="65BD9E2B" w14:textId="77777777" w:rsidR="00CB542F" w:rsidRDefault="00CB542F">
      <w:pPr>
        <w:rPr>
          <w:noProof/>
        </w:rPr>
      </w:pPr>
    </w:p>
    <w:p w14:paraId="3669BE6C"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1BB172B" w14:textId="77777777" w:rsidR="00CB542F" w:rsidRDefault="00CB542F">
      <w:pPr>
        <w:rPr>
          <w:noProof/>
        </w:rPr>
      </w:pPr>
    </w:p>
    <w:p w14:paraId="51748F9B" w14:textId="77777777" w:rsidR="00CB542F" w:rsidRDefault="00573A58">
      <w:pPr>
        <w:rPr>
          <w:color w:val="000000" w:themeColor="text1"/>
        </w:rPr>
      </w:pPr>
      <w:r>
        <w:rPr>
          <w:noProof/>
        </w:rPr>
        <w:t>Danengo 75 mg</w:t>
      </w:r>
    </w:p>
    <w:p w14:paraId="7FB615FB" w14:textId="77777777" w:rsidR="00CB542F" w:rsidRDefault="00573A58">
      <w:pPr>
        <w:rPr>
          <w:color w:val="000000" w:themeColor="text1"/>
          <w:highlight w:val="lightGray"/>
        </w:rPr>
      </w:pPr>
      <w:r>
        <w:rPr>
          <w:noProof/>
          <w:highlight w:val="lightGray"/>
        </w:rPr>
        <w:t>Danengo 110 mg</w:t>
      </w:r>
    </w:p>
    <w:p w14:paraId="077634E0" w14:textId="77777777" w:rsidR="00CB542F" w:rsidRDefault="00573A58">
      <w:pPr>
        <w:rPr>
          <w:color w:val="000000" w:themeColor="text1"/>
        </w:rPr>
      </w:pPr>
      <w:r>
        <w:rPr>
          <w:noProof/>
          <w:highlight w:val="lightGray"/>
        </w:rPr>
        <w:t>Danengo 150 mg</w:t>
      </w:r>
    </w:p>
    <w:p w14:paraId="5CD71E0F" w14:textId="77777777" w:rsidR="00CB542F" w:rsidRDefault="00CB542F">
      <w:pPr>
        <w:rPr>
          <w:noProof/>
          <w:szCs w:val="22"/>
          <w:shd w:val="clear" w:color="auto" w:fill="CCCCCC"/>
        </w:rPr>
      </w:pPr>
    </w:p>
    <w:p w14:paraId="43A9177D" w14:textId="77777777" w:rsidR="00CB542F" w:rsidRDefault="00CB542F">
      <w:pPr>
        <w:rPr>
          <w:noProof/>
          <w:szCs w:val="22"/>
          <w:shd w:val="clear" w:color="auto" w:fill="CCCCCC"/>
        </w:rPr>
      </w:pPr>
    </w:p>
    <w:p w14:paraId="48F701C8"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17.</w:t>
      </w:r>
      <w:r>
        <w:rPr>
          <w:b/>
          <w:noProof/>
        </w:rPr>
        <w:tab/>
        <w:t>UNIKALUS IDENTIFIKATORIUS – 2D BRŪKŠNINIS KODAS</w:t>
      </w:r>
    </w:p>
    <w:p w14:paraId="470C3AA9" w14:textId="77777777" w:rsidR="00CB542F" w:rsidRDefault="00CB542F">
      <w:pPr>
        <w:rPr>
          <w:noProof/>
        </w:rPr>
      </w:pPr>
    </w:p>
    <w:p w14:paraId="3B33398A" w14:textId="77777777" w:rsidR="00CB542F" w:rsidRDefault="00573A58">
      <w:pPr>
        <w:rPr>
          <w:noProof/>
          <w:szCs w:val="22"/>
          <w:shd w:val="clear" w:color="auto" w:fill="CCCCCC"/>
        </w:rPr>
      </w:pPr>
      <w:r>
        <w:rPr>
          <w:noProof/>
          <w:highlight w:val="lightGray"/>
        </w:rPr>
        <w:t>2D brūkšninis kodas su nurodytu unikaliu identifikatoriumi.</w:t>
      </w:r>
    </w:p>
    <w:p w14:paraId="37333C4C" w14:textId="77777777" w:rsidR="00CB542F" w:rsidRDefault="00CB542F">
      <w:pPr>
        <w:rPr>
          <w:noProof/>
        </w:rPr>
      </w:pPr>
    </w:p>
    <w:p w14:paraId="439D0F4B" w14:textId="77777777" w:rsidR="00CB542F" w:rsidRDefault="00CB542F">
      <w:pPr>
        <w:rPr>
          <w:noProof/>
        </w:rPr>
      </w:pPr>
    </w:p>
    <w:p w14:paraId="7B60885C"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15C22A4" w14:textId="77777777" w:rsidR="00CB542F" w:rsidRDefault="00CB542F">
      <w:pPr>
        <w:rPr>
          <w:noProof/>
        </w:rPr>
      </w:pPr>
    </w:p>
    <w:p w14:paraId="06A9B2BE" w14:textId="77777777" w:rsidR="00CB542F" w:rsidRDefault="00573A58">
      <w:pPr>
        <w:widowControl w:val="0"/>
        <w:tabs>
          <w:tab w:val="left" w:pos="567"/>
        </w:tabs>
        <w:spacing w:line="260" w:lineRule="exact"/>
        <w:rPr>
          <w:color w:val="000000"/>
          <w:szCs w:val="22"/>
          <w:lang w:val="en-GB"/>
        </w:rPr>
      </w:pPr>
      <w:r>
        <w:rPr>
          <w:color w:val="000000"/>
          <w:szCs w:val="22"/>
          <w:lang w:val="en-GB"/>
        </w:rPr>
        <w:t>PC</w:t>
      </w:r>
    </w:p>
    <w:p w14:paraId="373AC93D" w14:textId="77777777" w:rsidR="00CB542F" w:rsidRDefault="00573A58">
      <w:pPr>
        <w:widowControl w:val="0"/>
        <w:tabs>
          <w:tab w:val="left" w:pos="567"/>
        </w:tabs>
        <w:spacing w:line="260" w:lineRule="exact"/>
        <w:rPr>
          <w:color w:val="000000"/>
          <w:szCs w:val="22"/>
          <w:lang w:val="en-GB"/>
        </w:rPr>
      </w:pPr>
      <w:r>
        <w:rPr>
          <w:color w:val="000000"/>
          <w:szCs w:val="22"/>
          <w:lang w:val="en-GB"/>
        </w:rPr>
        <w:t>SN</w:t>
      </w:r>
    </w:p>
    <w:p w14:paraId="6546F510" w14:textId="77777777" w:rsidR="00CB542F" w:rsidRDefault="00573A58">
      <w:pPr>
        <w:widowControl w:val="0"/>
        <w:tabs>
          <w:tab w:val="left" w:pos="567"/>
        </w:tabs>
        <w:spacing w:line="260" w:lineRule="exact"/>
        <w:rPr>
          <w:color w:val="000000"/>
          <w:szCs w:val="22"/>
          <w:lang w:val="en-GB"/>
        </w:rPr>
      </w:pPr>
      <w:r>
        <w:rPr>
          <w:color w:val="000000"/>
          <w:szCs w:val="22"/>
          <w:highlight w:val="lightGray"/>
          <w:lang w:val="en-GB"/>
        </w:rPr>
        <w:t>NN</w:t>
      </w:r>
    </w:p>
    <w:p w14:paraId="6E3440B9" w14:textId="77777777" w:rsidR="00CB542F" w:rsidRDefault="00573A58">
      <w:pPr>
        <w:ind w:right="113"/>
        <w:rPr>
          <w:b/>
          <w:noProof/>
          <w:u w:val="single"/>
        </w:rPr>
      </w:pPr>
      <w:r>
        <w:rPr>
          <w:b/>
          <w:noProof/>
          <w:u w:val="single"/>
        </w:rPr>
        <w:br w:type="page"/>
      </w:r>
    </w:p>
    <w:p w14:paraId="65A3F835" w14:textId="77777777" w:rsidR="00CB542F" w:rsidRDefault="00573A58">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5E7604F5" w14:textId="77777777" w:rsidR="00CB542F" w:rsidRDefault="00CB542F">
      <w:pPr>
        <w:pBdr>
          <w:top w:val="single" w:sz="4" w:space="1" w:color="auto"/>
          <w:left w:val="single" w:sz="4" w:space="4" w:color="auto"/>
          <w:bottom w:val="single" w:sz="4" w:space="1" w:color="auto"/>
          <w:right w:val="single" w:sz="4" w:space="4" w:color="auto"/>
        </w:pBdr>
        <w:ind w:left="567" w:hanging="567"/>
        <w:rPr>
          <w:bCs/>
          <w:noProof/>
        </w:rPr>
      </w:pPr>
    </w:p>
    <w:p w14:paraId="70A926EF" w14:textId="77777777" w:rsidR="00CB542F" w:rsidRDefault="00573A58">
      <w:pPr>
        <w:pBdr>
          <w:top w:val="single" w:sz="4" w:space="1" w:color="auto"/>
          <w:left w:val="single" w:sz="4" w:space="4" w:color="auto"/>
          <w:bottom w:val="single" w:sz="4" w:space="1" w:color="auto"/>
          <w:right w:val="single" w:sz="4" w:space="4" w:color="auto"/>
        </w:pBdr>
        <w:rPr>
          <w:bCs/>
          <w:noProof/>
        </w:rPr>
      </w:pPr>
      <w:r>
        <w:rPr>
          <w:b/>
          <w:noProof/>
        </w:rPr>
        <w:t>TALPYKLĖS ETIKETĖ</w:t>
      </w:r>
    </w:p>
    <w:p w14:paraId="2447894D" w14:textId="77777777" w:rsidR="00CB542F" w:rsidRDefault="00CB542F">
      <w:pPr>
        <w:rPr>
          <w:noProof/>
        </w:rPr>
      </w:pPr>
    </w:p>
    <w:p w14:paraId="676B06CB" w14:textId="77777777" w:rsidR="00CB542F" w:rsidRDefault="00CB542F">
      <w:pPr>
        <w:rPr>
          <w:noProof/>
        </w:rPr>
      </w:pPr>
    </w:p>
    <w:p w14:paraId="0FF07FF4"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18695DD4" w14:textId="77777777" w:rsidR="00CB542F" w:rsidRDefault="00CB542F">
      <w:pPr>
        <w:rPr>
          <w:noProof/>
        </w:rPr>
      </w:pPr>
    </w:p>
    <w:p w14:paraId="1D414B9C" w14:textId="77777777" w:rsidR="00CB542F" w:rsidRDefault="00573A58">
      <w:pPr>
        <w:rPr>
          <w:color w:val="000000" w:themeColor="text1"/>
        </w:rPr>
      </w:pPr>
      <w:r>
        <w:rPr>
          <w:noProof/>
        </w:rPr>
        <w:t xml:space="preserve">Danengo 75 mg </w:t>
      </w:r>
      <w:r>
        <w:rPr>
          <w:noProof/>
          <w:highlight w:val="lightGray"/>
        </w:rPr>
        <w:t>kietosios</w:t>
      </w:r>
      <w:r>
        <w:rPr>
          <w:noProof/>
        </w:rPr>
        <w:t xml:space="preserve"> kapsulės</w:t>
      </w:r>
    </w:p>
    <w:p w14:paraId="6CFE5EFC" w14:textId="77777777" w:rsidR="00CB542F" w:rsidRDefault="00573A58">
      <w:pPr>
        <w:rPr>
          <w:color w:val="000000" w:themeColor="text1"/>
          <w:highlight w:val="lightGray"/>
        </w:rPr>
      </w:pPr>
      <w:r>
        <w:rPr>
          <w:noProof/>
          <w:highlight w:val="lightGray"/>
        </w:rPr>
        <w:t>Danengo 110 mg kietosios kapsulės</w:t>
      </w:r>
    </w:p>
    <w:p w14:paraId="758ED60A" w14:textId="77777777" w:rsidR="00CB542F" w:rsidRDefault="00573A58">
      <w:pPr>
        <w:rPr>
          <w:color w:val="000000" w:themeColor="text1"/>
        </w:rPr>
      </w:pPr>
      <w:r>
        <w:rPr>
          <w:noProof/>
          <w:highlight w:val="lightGray"/>
        </w:rPr>
        <w:t>Danengo 150 mg kietosios kapsulės</w:t>
      </w:r>
    </w:p>
    <w:p w14:paraId="03B63E70" w14:textId="77777777" w:rsidR="00CB542F" w:rsidRDefault="00CB542F">
      <w:pPr>
        <w:rPr>
          <w:noProof/>
        </w:rPr>
      </w:pPr>
    </w:p>
    <w:p w14:paraId="01860B75" w14:textId="77777777" w:rsidR="00CB542F" w:rsidRDefault="00573A58">
      <w:pPr>
        <w:rPr>
          <w:noProof/>
        </w:rPr>
      </w:pPr>
      <w:r>
        <w:rPr>
          <w:noProof/>
        </w:rPr>
        <w:t>dabigatranas eteksilatas</w:t>
      </w:r>
    </w:p>
    <w:p w14:paraId="0E7246E6" w14:textId="77777777" w:rsidR="00CB542F" w:rsidRDefault="00CB542F">
      <w:pPr>
        <w:rPr>
          <w:noProof/>
        </w:rPr>
      </w:pPr>
    </w:p>
    <w:p w14:paraId="51168C4B" w14:textId="77777777" w:rsidR="00CB542F" w:rsidRDefault="00CB542F">
      <w:pPr>
        <w:rPr>
          <w:noProof/>
        </w:rPr>
      </w:pPr>
    </w:p>
    <w:p w14:paraId="6910FB10"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4B7C86DA" w14:textId="77777777" w:rsidR="00CB542F" w:rsidRDefault="00CB542F">
      <w:pPr>
        <w:rPr>
          <w:noProof/>
        </w:rPr>
      </w:pPr>
    </w:p>
    <w:p w14:paraId="034E4492" w14:textId="77777777" w:rsidR="00CB542F" w:rsidRDefault="00573A58">
      <w:r>
        <w:t>Kiekvienoje kietojoje kapsulėje yra 75 mg dabigatrano eteksilato (dabigatrano eteksilato mesilato pavidalu).</w:t>
      </w:r>
    </w:p>
    <w:p w14:paraId="6CA953AD" w14:textId="77777777" w:rsidR="00CB542F" w:rsidRDefault="00573A58">
      <w:pPr>
        <w:rPr>
          <w:highlight w:val="lightGray"/>
        </w:rPr>
      </w:pPr>
      <w:r>
        <w:rPr>
          <w:highlight w:val="lightGray"/>
        </w:rPr>
        <w:t>Kiekvienoje kietojoje kapsulėje yra 110 mg dabigatrano eteksilato (dabigatrano eteksilato mesilato pavidalu).</w:t>
      </w:r>
    </w:p>
    <w:p w14:paraId="36FC0E5C" w14:textId="77777777" w:rsidR="00CB542F" w:rsidRDefault="00573A58">
      <w:r>
        <w:rPr>
          <w:highlight w:val="lightGray"/>
        </w:rPr>
        <w:t>Kiekvienoje kietojoje kapsulėje yra 150 mg dabigatrano eteksilato (dabigatrano eteksilato mesilato pavidalu).</w:t>
      </w:r>
    </w:p>
    <w:p w14:paraId="7EBFA939" w14:textId="77777777" w:rsidR="00CB542F" w:rsidRDefault="00CB542F"/>
    <w:p w14:paraId="19CBECB1" w14:textId="77777777" w:rsidR="00CB542F" w:rsidRDefault="00CB542F">
      <w:pPr>
        <w:rPr>
          <w:noProof/>
        </w:rPr>
      </w:pPr>
    </w:p>
    <w:p w14:paraId="3F43F4E1"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D162685" w14:textId="77777777" w:rsidR="00CB542F" w:rsidRDefault="00CB542F">
      <w:pPr>
        <w:rPr>
          <w:noProof/>
        </w:rPr>
      </w:pPr>
    </w:p>
    <w:p w14:paraId="45D07A6F" w14:textId="77777777" w:rsidR="00CB542F" w:rsidRDefault="00CB542F">
      <w:pPr>
        <w:rPr>
          <w:noProof/>
        </w:rPr>
      </w:pPr>
    </w:p>
    <w:p w14:paraId="69F5BE0D"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388EEBD" w14:textId="77777777" w:rsidR="00CB542F" w:rsidRDefault="00CB542F">
      <w:pPr>
        <w:rPr>
          <w:noProof/>
        </w:rPr>
      </w:pPr>
    </w:p>
    <w:p w14:paraId="073B7F5D" w14:textId="77777777" w:rsidR="00CB542F" w:rsidRDefault="00573A58">
      <w:r>
        <w:rPr>
          <w:highlight w:val="lightGray"/>
        </w:rPr>
        <w:t>kietoji kapsulė</w:t>
      </w:r>
    </w:p>
    <w:p w14:paraId="1091B6D4" w14:textId="77777777" w:rsidR="00CB542F" w:rsidRDefault="00CB542F"/>
    <w:p w14:paraId="411FA4A7" w14:textId="77777777" w:rsidR="00CB542F" w:rsidRDefault="00573A58">
      <w:r>
        <w:t>60 kietųjų kapsulių</w:t>
      </w:r>
    </w:p>
    <w:p w14:paraId="75FC7900" w14:textId="77777777" w:rsidR="00CB542F" w:rsidRDefault="00CB542F">
      <w:pPr>
        <w:rPr>
          <w:noProof/>
        </w:rPr>
      </w:pPr>
    </w:p>
    <w:p w14:paraId="71BAE923" w14:textId="77777777" w:rsidR="00CB542F" w:rsidRDefault="00CB542F">
      <w:pPr>
        <w:rPr>
          <w:noProof/>
        </w:rPr>
      </w:pPr>
    </w:p>
    <w:p w14:paraId="2A8ED289"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42F9E1F" w14:textId="77777777" w:rsidR="00CB542F" w:rsidRDefault="00CB542F">
      <w:pPr>
        <w:rPr>
          <w:i/>
          <w:noProof/>
        </w:rPr>
      </w:pPr>
    </w:p>
    <w:p w14:paraId="71D1E89F" w14:textId="77777777" w:rsidR="00CB542F" w:rsidRDefault="00573A58">
      <w:pPr>
        <w:rPr>
          <w:noProof/>
        </w:rPr>
      </w:pPr>
      <w:r>
        <w:rPr>
          <w:noProof/>
        </w:rPr>
        <w:t>Nurykite visą kapsulę, kramtyti ar laužyti negalima.</w:t>
      </w:r>
    </w:p>
    <w:p w14:paraId="1CD6020B" w14:textId="77777777" w:rsidR="00CB542F" w:rsidRDefault="00573A58">
      <w:pPr>
        <w:rPr>
          <w:noProof/>
        </w:rPr>
      </w:pPr>
      <w:r>
        <w:rPr>
          <w:noProof/>
        </w:rPr>
        <w:t>Prieš vartojimą perskaitykite pakuotės lapelį.</w:t>
      </w:r>
    </w:p>
    <w:p w14:paraId="59191139" w14:textId="77777777" w:rsidR="00CB542F" w:rsidRDefault="00CB542F">
      <w:pPr>
        <w:rPr>
          <w:noProof/>
        </w:rPr>
      </w:pPr>
    </w:p>
    <w:p w14:paraId="31B69E83" w14:textId="77777777" w:rsidR="00CB542F" w:rsidRDefault="00573A58">
      <w:pPr>
        <w:rPr>
          <w:noProof/>
        </w:rPr>
      </w:pPr>
      <w:r>
        <w:rPr>
          <w:noProof/>
        </w:rPr>
        <w:t>Vartoti per burną</w:t>
      </w:r>
    </w:p>
    <w:p w14:paraId="45EBC328" w14:textId="77777777" w:rsidR="00CB542F" w:rsidRDefault="00CB542F">
      <w:pPr>
        <w:rPr>
          <w:noProof/>
        </w:rPr>
      </w:pPr>
    </w:p>
    <w:p w14:paraId="00AABEE2" w14:textId="77777777" w:rsidR="00CB542F" w:rsidRDefault="00CB542F">
      <w:pPr>
        <w:rPr>
          <w:noProof/>
        </w:rPr>
      </w:pPr>
    </w:p>
    <w:p w14:paraId="3169A66A" w14:textId="77777777" w:rsidR="00CB542F" w:rsidRDefault="00573A58">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3D2200D5" w14:textId="77777777" w:rsidR="00CB542F" w:rsidRDefault="00CB542F">
      <w:pPr>
        <w:rPr>
          <w:noProof/>
        </w:rPr>
      </w:pPr>
    </w:p>
    <w:p w14:paraId="5C86C5EE" w14:textId="77777777" w:rsidR="00CB542F" w:rsidRDefault="00573A58">
      <w:pPr>
        <w:pStyle w:val="Pagrindinistekstas"/>
        <w:rPr>
          <w:i w:val="0"/>
          <w:iCs/>
          <w:noProof/>
          <w:color w:val="auto"/>
          <w:lang w:val="lt-LT"/>
        </w:rPr>
      </w:pPr>
      <w:r>
        <w:rPr>
          <w:i w:val="0"/>
          <w:iCs/>
          <w:noProof/>
          <w:color w:val="auto"/>
          <w:lang w:val="lt-LT"/>
        </w:rPr>
        <w:t>Laikyti vaikams nepastebimoje ir nepasiekiamoje vietoje.</w:t>
      </w:r>
    </w:p>
    <w:p w14:paraId="396415D3" w14:textId="77777777" w:rsidR="00CB542F" w:rsidRDefault="00CB542F">
      <w:pPr>
        <w:rPr>
          <w:noProof/>
        </w:rPr>
      </w:pPr>
    </w:p>
    <w:p w14:paraId="4FA61BBD" w14:textId="77777777" w:rsidR="00CB542F" w:rsidRDefault="00CB542F">
      <w:pPr>
        <w:rPr>
          <w:noProof/>
        </w:rPr>
      </w:pPr>
    </w:p>
    <w:p w14:paraId="32830491"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752FF85" w14:textId="77777777" w:rsidR="00CB542F" w:rsidRDefault="00CB542F">
      <w:pPr>
        <w:rPr>
          <w:noProof/>
        </w:rPr>
      </w:pPr>
    </w:p>
    <w:p w14:paraId="76219124" w14:textId="77777777" w:rsidR="00CB542F" w:rsidRDefault="00CB542F">
      <w:pPr>
        <w:rPr>
          <w:noProof/>
        </w:rPr>
      </w:pPr>
    </w:p>
    <w:p w14:paraId="00CA0DA4"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6279EDEB" w14:textId="77777777" w:rsidR="00CB542F" w:rsidRDefault="00CB542F">
      <w:pPr>
        <w:rPr>
          <w:i/>
          <w:noProof/>
        </w:rPr>
      </w:pPr>
    </w:p>
    <w:p w14:paraId="7AA94A0D" w14:textId="77777777" w:rsidR="00CB542F" w:rsidRDefault="00573A58">
      <w:pPr>
        <w:rPr>
          <w:iCs/>
          <w:noProof/>
        </w:rPr>
      </w:pPr>
      <w:r>
        <w:rPr>
          <w:iCs/>
          <w:noProof/>
        </w:rPr>
        <w:t xml:space="preserve">EXP </w:t>
      </w:r>
      <w:r>
        <w:rPr>
          <w:snapToGrid w:val="0"/>
        </w:rPr>
        <w:t>(mm/MMMM)</w:t>
      </w:r>
    </w:p>
    <w:p w14:paraId="4B8ADFCA" w14:textId="77777777" w:rsidR="00CB542F" w:rsidRDefault="00CB542F">
      <w:pPr>
        <w:rPr>
          <w:noProof/>
        </w:rPr>
      </w:pPr>
    </w:p>
    <w:p w14:paraId="29B82705" w14:textId="77777777" w:rsidR="00CB542F" w:rsidRDefault="00CB542F">
      <w:pPr>
        <w:rPr>
          <w:noProof/>
        </w:rPr>
      </w:pPr>
    </w:p>
    <w:p w14:paraId="18BDAE1B"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FCCF9A1" w14:textId="77777777" w:rsidR="00CB542F" w:rsidRDefault="00CB542F">
      <w:pPr>
        <w:rPr>
          <w:i/>
          <w:noProof/>
        </w:rPr>
      </w:pPr>
    </w:p>
    <w:p w14:paraId="35917BB1" w14:textId="77777777" w:rsidR="00CB542F" w:rsidRDefault="00573A58">
      <w:pPr>
        <w:ind w:left="567" w:hanging="567"/>
      </w:pPr>
      <w:r>
        <w:t>Laikyti gamintojo pakuotėje, kad vaistas būtų apsaugotas nuo šviesos ir drėgmės.</w:t>
      </w:r>
    </w:p>
    <w:p w14:paraId="294305DA" w14:textId="77777777" w:rsidR="00CB542F" w:rsidRDefault="00573A58">
      <w:pPr>
        <w:ind w:left="567" w:hanging="567"/>
      </w:pPr>
      <w:r>
        <w:t>Talpyklę laikyti sandariai uždarytą.</w:t>
      </w:r>
    </w:p>
    <w:p w14:paraId="0B4439CA" w14:textId="77777777" w:rsidR="00CB542F" w:rsidRDefault="00CB542F">
      <w:pPr>
        <w:ind w:left="567" w:hanging="567"/>
      </w:pPr>
    </w:p>
    <w:p w14:paraId="5369B9B2" w14:textId="77777777" w:rsidR="00CB542F" w:rsidRDefault="00CB542F">
      <w:pPr>
        <w:ind w:left="567" w:hanging="567"/>
        <w:rPr>
          <w:noProof/>
        </w:rPr>
      </w:pPr>
    </w:p>
    <w:p w14:paraId="1A05CE2A" w14:textId="77777777" w:rsidR="00CB542F" w:rsidRDefault="00573A58">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BC2D555" w14:textId="77777777" w:rsidR="00CB542F" w:rsidRDefault="00CB542F">
      <w:pPr>
        <w:rPr>
          <w:noProof/>
        </w:rPr>
      </w:pPr>
    </w:p>
    <w:p w14:paraId="2C7F00F0" w14:textId="77777777" w:rsidR="00CB542F" w:rsidRDefault="00CB542F">
      <w:pPr>
        <w:rPr>
          <w:noProof/>
        </w:rPr>
      </w:pPr>
    </w:p>
    <w:p w14:paraId="1F53AFC3" w14:textId="77777777" w:rsidR="00CB542F" w:rsidRDefault="00573A58">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88A84A2" w14:textId="77777777" w:rsidR="00CB542F" w:rsidRDefault="00CB542F"/>
    <w:p w14:paraId="250F2EEB"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5287AEB5" w14:textId="77777777" w:rsidR="00CB542F" w:rsidRDefault="00573A58">
      <w:pPr>
        <w:widowControl w:val="0"/>
        <w:rPr>
          <w:noProof/>
          <w:szCs w:val="22"/>
          <w:lang w:eastAsia="sl-SI"/>
        </w:rPr>
      </w:pPr>
      <w:r>
        <w:rPr>
          <w:noProof/>
          <w:szCs w:val="22"/>
          <w:lang w:eastAsia="sl-SI"/>
        </w:rPr>
        <w:t>Heinz-Lohmann-Straße 5</w:t>
      </w:r>
    </w:p>
    <w:p w14:paraId="3A463E94" w14:textId="77777777" w:rsidR="00CB542F" w:rsidRDefault="00573A58">
      <w:pPr>
        <w:widowControl w:val="0"/>
        <w:rPr>
          <w:noProof/>
          <w:szCs w:val="22"/>
          <w:lang w:eastAsia="sl-SI"/>
        </w:rPr>
      </w:pPr>
      <w:r>
        <w:rPr>
          <w:noProof/>
          <w:szCs w:val="22"/>
          <w:lang w:eastAsia="sl-SI"/>
        </w:rPr>
        <w:t>27472 Cuxhaven</w:t>
      </w:r>
    </w:p>
    <w:p w14:paraId="33DB9207" w14:textId="77777777" w:rsidR="00CB542F" w:rsidRDefault="00573A58">
      <w:pPr>
        <w:widowControl w:val="0"/>
        <w:rPr>
          <w:noProof/>
          <w:szCs w:val="22"/>
          <w:lang w:eastAsia="sl-SI"/>
        </w:rPr>
      </w:pPr>
      <w:r>
        <w:rPr>
          <w:noProof/>
          <w:szCs w:val="22"/>
          <w:lang w:eastAsia="sl-SI"/>
        </w:rPr>
        <w:t>Vokietija</w:t>
      </w:r>
    </w:p>
    <w:p w14:paraId="097DDD5B" w14:textId="77777777" w:rsidR="00CB542F" w:rsidRDefault="00CB542F">
      <w:pPr>
        <w:rPr>
          <w:noProof/>
        </w:rPr>
      </w:pPr>
    </w:p>
    <w:p w14:paraId="3CA1921F" w14:textId="77777777" w:rsidR="00CB542F" w:rsidRDefault="00CB542F">
      <w:pPr>
        <w:rPr>
          <w:noProof/>
        </w:rPr>
      </w:pPr>
    </w:p>
    <w:p w14:paraId="1D6F9398"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C7DEA03" w14:textId="77777777" w:rsidR="00CB542F" w:rsidRDefault="00CB542F"/>
    <w:p w14:paraId="65874CFB"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&lt;75 mg&gt;</w:t>
      </w:r>
    </w:p>
    <w:p w14:paraId="12A11580"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LT/1/23/5280/007 – N60</w:t>
      </w:r>
    </w:p>
    <w:p w14:paraId="48C27A95"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LT/1/23/5280/008 – N3x60</w:t>
      </w:r>
    </w:p>
    <w:p w14:paraId="67E590F9" w14:textId="77777777" w:rsidR="00CB542F" w:rsidRDefault="00CB542F">
      <w:pPr>
        <w:rPr>
          <w:rFonts w:eastAsia="Calibri"/>
          <w:shd w:val="clear" w:color="auto" w:fill="F2F2F2" w:themeFill="background1" w:themeFillShade="F2"/>
          <w:lang w:val="en-US"/>
        </w:rPr>
      </w:pPr>
    </w:p>
    <w:p w14:paraId="6CF7A168"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&lt;110 mg&gt;</w:t>
      </w:r>
    </w:p>
    <w:p w14:paraId="72F803C5"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LT/1/23/5281/007 – N60</w:t>
      </w:r>
    </w:p>
    <w:p w14:paraId="2FB59979"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LT/1/23/5281/008 – N3x60</w:t>
      </w:r>
    </w:p>
    <w:p w14:paraId="64CD8900" w14:textId="77777777" w:rsidR="00CB542F" w:rsidRDefault="00CB542F">
      <w:pPr>
        <w:rPr>
          <w:rFonts w:eastAsia="Calibri"/>
          <w:shd w:val="clear" w:color="auto" w:fill="F2F2F2" w:themeFill="background1" w:themeFillShade="F2"/>
          <w:lang w:val="en-US"/>
        </w:rPr>
      </w:pPr>
    </w:p>
    <w:p w14:paraId="3C0DC13B"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&lt;150 mg&gt;</w:t>
      </w:r>
    </w:p>
    <w:p w14:paraId="76BAD46A"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LT/1/23/5282/007 – N60</w:t>
      </w:r>
    </w:p>
    <w:p w14:paraId="7873DA7E" w14:textId="77777777" w:rsidR="00CB542F" w:rsidRDefault="00573A58">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LT/1/23/5282/008 – N3x60</w:t>
      </w:r>
    </w:p>
    <w:p w14:paraId="0F921ADF" w14:textId="77777777" w:rsidR="00CB542F" w:rsidRDefault="00CB542F"/>
    <w:p w14:paraId="731DA3AB" w14:textId="77777777" w:rsidR="00CB542F" w:rsidRDefault="00CB542F">
      <w:pPr>
        <w:rPr>
          <w:noProof/>
        </w:rPr>
      </w:pPr>
    </w:p>
    <w:p w14:paraId="531CBBF9"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10642C2E" w14:textId="77777777" w:rsidR="00CB542F" w:rsidRDefault="00CB542F">
      <w:pPr>
        <w:rPr>
          <w:i/>
          <w:noProof/>
        </w:rPr>
      </w:pPr>
    </w:p>
    <w:p w14:paraId="6DFFA9B0" w14:textId="77777777" w:rsidR="00CB542F" w:rsidRDefault="00573A58">
      <w:pPr>
        <w:rPr>
          <w:noProof/>
        </w:rPr>
      </w:pPr>
      <w:r>
        <w:rPr>
          <w:noProof/>
        </w:rPr>
        <w:t>Lot</w:t>
      </w:r>
    </w:p>
    <w:p w14:paraId="041DC1FF" w14:textId="77777777" w:rsidR="00CB542F" w:rsidRDefault="00CB542F">
      <w:pPr>
        <w:rPr>
          <w:noProof/>
        </w:rPr>
      </w:pPr>
    </w:p>
    <w:p w14:paraId="04A80D43" w14:textId="77777777" w:rsidR="00CB542F" w:rsidRDefault="00CB542F">
      <w:pPr>
        <w:rPr>
          <w:noProof/>
        </w:rPr>
      </w:pPr>
    </w:p>
    <w:p w14:paraId="3E116A9A"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3D3376AE" w14:textId="77777777" w:rsidR="00CB542F" w:rsidRDefault="00CB542F">
      <w:pPr>
        <w:rPr>
          <w:noProof/>
        </w:rPr>
      </w:pPr>
    </w:p>
    <w:p w14:paraId="7A5CB7CA" w14:textId="77777777" w:rsidR="00CB542F" w:rsidRDefault="00573A58">
      <w:pPr>
        <w:widowControl w:val="0"/>
        <w:tabs>
          <w:tab w:val="left" w:pos="567"/>
        </w:tabs>
        <w:rPr>
          <w:snapToGrid w:val="0"/>
          <w:szCs w:val="22"/>
        </w:rPr>
      </w:pPr>
      <w:r>
        <w:rPr>
          <w:snapToGrid w:val="0"/>
          <w:szCs w:val="22"/>
        </w:rPr>
        <w:t>Receptinis vaistas</w:t>
      </w:r>
    </w:p>
    <w:p w14:paraId="5203C4A1" w14:textId="77777777" w:rsidR="00CB542F" w:rsidRDefault="00CB542F">
      <w:pPr>
        <w:rPr>
          <w:noProof/>
        </w:rPr>
      </w:pPr>
    </w:p>
    <w:p w14:paraId="759B4541" w14:textId="77777777" w:rsidR="00CB542F" w:rsidRDefault="00CB542F">
      <w:pPr>
        <w:rPr>
          <w:noProof/>
        </w:rPr>
      </w:pPr>
    </w:p>
    <w:p w14:paraId="60BCB69D"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42B6835F" w14:textId="77777777" w:rsidR="00CB542F" w:rsidRDefault="00CB542F">
      <w:pPr>
        <w:rPr>
          <w:i/>
          <w:iCs/>
        </w:rPr>
      </w:pPr>
    </w:p>
    <w:p w14:paraId="6EDAA149" w14:textId="77777777" w:rsidR="00CB542F" w:rsidRDefault="00CB542F">
      <w:pPr>
        <w:rPr>
          <w:noProof/>
        </w:rPr>
      </w:pPr>
    </w:p>
    <w:p w14:paraId="546A5C30" w14:textId="77777777" w:rsidR="00CB542F" w:rsidRDefault="00573A58">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F5F8238" w14:textId="77777777" w:rsidR="00CB542F" w:rsidRDefault="00CB542F">
      <w:pPr>
        <w:rPr>
          <w:noProof/>
          <w:szCs w:val="22"/>
          <w:shd w:val="clear" w:color="auto" w:fill="CCCCCC"/>
        </w:rPr>
      </w:pPr>
    </w:p>
    <w:p w14:paraId="5E135D95" w14:textId="77777777" w:rsidR="00CB542F" w:rsidRDefault="00CB542F">
      <w:pPr>
        <w:rPr>
          <w:noProof/>
          <w:szCs w:val="22"/>
          <w:shd w:val="clear" w:color="auto" w:fill="CCCCCC"/>
        </w:rPr>
      </w:pPr>
    </w:p>
    <w:p w14:paraId="27FA02A9"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3D44C597" w14:textId="77777777" w:rsidR="00CB542F" w:rsidRDefault="00CB542F">
      <w:pPr>
        <w:rPr>
          <w:noProof/>
        </w:rPr>
      </w:pPr>
    </w:p>
    <w:p w14:paraId="125D148A" w14:textId="77777777" w:rsidR="00CB542F" w:rsidRDefault="00CB542F">
      <w:pPr>
        <w:rPr>
          <w:noProof/>
        </w:rPr>
      </w:pPr>
    </w:p>
    <w:p w14:paraId="17E9AE14" w14:textId="77777777" w:rsidR="00CB542F" w:rsidRDefault="00573A5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AC7F4BA" w14:textId="77777777" w:rsidR="00CB542F" w:rsidRDefault="00573A58">
      <w:pPr>
        <w:ind w:right="113"/>
        <w:rPr>
          <w:noProof/>
        </w:rPr>
      </w:pPr>
      <w:r>
        <w:rPr>
          <w:b/>
          <w:noProof/>
          <w:u w:val="single"/>
        </w:rPr>
        <w:br w:type="page"/>
      </w:r>
    </w:p>
    <w:p w14:paraId="64047E00" w14:textId="77777777" w:rsidR="00CB542F" w:rsidRDefault="00573A58">
      <w:pPr>
        <w:rPr>
          <w:b/>
          <w:bCs/>
        </w:rPr>
      </w:pPr>
      <w:r>
        <w:rPr>
          <w:b/>
          <w:bCs/>
        </w:rPr>
        <w:lastRenderedPageBreak/>
        <w:t>PACIENTO BUDRUMO KORTELĖ</w:t>
      </w:r>
    </w:p>
    <w:p w14:paraId="1B62BEB6" w14:textId="77777777" w:rsidR="00CB542F" w:rsidRDefault="00CB542F"/>
    <w:p w14:paraId="363B177F" w14:textId="77777777" w:rsidR="00CB542F" w:rsidRDefault="00573A58">
      <w:r>
        <w:t>TAD Pharma GmbH</w:t>
      </w:r>
    </w:p>
    <w:p w14:paraId="140132A3" w14:textId="77777777" w:rsidR="00CB542F" w:rsidRDefault="00CB542F"/>
    <w:p w14:paraId="0D006658" w14:textId="77777777" w:rsidR="00CB542F" w:rsidRDefault="00573A58">
      <w:r>
        <w:t>Danengo kietosios kapsulės (dabigatranas eteksilatas)</w:t>
      </w:r>
    </w:p>
    <w:p w14:paraId="6362EA40" w14:textId="77777777" w:rsidR="00CB542F" w:rsidRDefault="00CB542F"/>
    <w:p w14:paraId="64C18080" w14:textId="77777777" w:rsidR="00CB542F" w:rsidRDefault="00573A58">
      <w:pPr>
        <w:rPr>
          <w:b/>
          <w:bCs/>
        </w:rPr>
      </w:pPr>
      <w:r>
        <w:sym w:font="Symbol" w:char="F0B7"/>
      </w:r>
      <w:r>
        <w:t xml:space="preserve"> </w:t>
      </w:r>
      <w:r>
        <w:rPr>
          <w:b/>
          <w:bCs/>
        </w:rPr>
        <w:t>Šią kortelę Jūs / prižiūrintis asmuo visuomet turite / turi turėti su savimi.</w:t>
      </w:r>
    </w:p>
    <w:p w14:paraId="6E6B93E0" w14:textId="77777777" w:rsidR="00CB542F" w:rsidRDefault="00573A58">
      <w:pPr>
        <w:rPr>
          <w:b/>
          <w:bCs/>
        </w:rPr>
      </w:pPr>
      <w:r>
        <w:rPr>
          <w:b/>
          <w:bCs/>
        </w:rPr>
        <w:sym w:font="Symbol" w:char="F0B7"/>
      </w:r>
      <w:r>
        <w:rPr>
          <w:b/>
          <w:bCs/>
        </w:rPr>
        <w:t xml:space="preserve"> Prašome įsitikinti, kad turite naujausią kortelės variantą.</w:t>
      </w:r>
    </w:p>
    <w:p w14:paraId="3014EF5D" w14:textId="77777777" w:rsidR="00CB542F" w:rsidRDefault="00CB542F"/>
    <w:p w14:paraId="2E2F8759" w14:textId="77777777" w:rsidR="00CB542F" w:rsidRDefault="00573A58">
      <w:pPr>
        <w:rPr>
          <w:b/>
          <w:bCs/>
        </w:rPr>
      </w:pPr>
      <w:r>
        <w:rPr>
          <w:b/>
          <w:bCs/>
        </w:rPr>
        <w:t>Mielas paciente / pacientą vaiką prižiūrintis globėjau,</w:t>
      </w:r>
    </w:p>
    <w:p w14:paraId="70681C86" w14:textId="77777777" w:rsidR="00CB542F" w:rsidRDefault="00573A58">
      <w:r>
        <w:t>Jūsų / Jūsų vaiko gydytojas pradėjo gydyti Danengo. Kad Danengo būtų vartojamas saugiai, prašome atidžiai susipažinti su pakuotės lapelyje pateikta informacija.</w:t>
      </w:r>
    </w:p>
    <w:p w14:paraId="651B2D8C" w14:textId="77777777" w:rsidR="00CB542F" w:rsidRDefault="00573A58">
      <w:pPr>
        <w:rPr>
          <w:noProof/>
        </w:rPr>
      </w:pPr>
      <w:r>
        <w:t>Kadangi šioje Paciento budrumo kortelėje yra svarbios informacijos apie Jūsų / Jūsų vaiko gydymą, ši kortelė visuomet turi būti su Jumis / Jūsų vaiku, kad informuotumėte sveikatos priežiūros specialistus apie tai, kad Jūs vartojate / Jūsų vaikas vartoja Danengo.</w:t>
      </w:r>
    </w:p>
    <w:p w14:paraId="5EAF5136" w14:textId="77777777" w:rsidR="00CB542F" w:rsidRDefault="00CB542F">
      <w:pPr>
        <w:rPr>
          <w:noProof/>
        </w:rPr>
      </w:pPr>
    </w:p>
    <w:p w14:paraId="06CB8067" w14:textId="77777777" w:rsidR="00CB542F" w:rsidRDefault="00573A58">
      <w:pPr>
        <w:rPr>
          <w:b/>
          <w:bCs/>
        </w:rPr>
      </w:pPr>
      <w:r>
        <w:rPr>
          <w:b/>
          <w:bCs/>
        </w:rPr>
        <w:t>Danengo informacija pacientui / pacientą vaiką prižiūrinčiam asmeniui</w:t>
      </w:r>
    </w:p>
    <w:p w14:paraId="4809A597" w14:textId="77777777" w:rsidR="00CB542F" w:rsidRDefault="00573A58">
      <w:r>
        <w:t>Apie Jūsų / Jūsų vaiko gydymą</w:t>
      </w:r>
    </w:p>
    <w:p w14:paraId="35227835" w14:textId="77777777" w:rsidR="00CB542F" w:rsidRDefault="00573A58">
      <w:r>
        <w:t>• Danengo skystina kraują. Jis skirtas esamiems krešuliams gydyti arba apsaugoti nuo pavojingų kraujo krešulių formavimosi.</w:t>
      </w:r>
    </w:p>
    <w:p w14:paraId="066A67BE" w14:textId="77777777" w:rsidR="00CB542F" w:rsidRDefault="00573A58">
      <w:r>
        <w:t>• Danengo vartojimo metu laikykitės Jūsų / Jūsų vaiko gydytojo nurodymų. Nepasitarę su Jūsų / Jūsų vaiko gydytoju, jokiu būdu nepraleiskite Danengo dozės arba nenutraukite vartojimo.</w:t>
      </w:r>
    </w:p>
    <w:p w14:paraId="3B1A995F" w14:textId="77777777" w:rsidR="00CB542F" w:rsidRDefault="00573A58">
      <w:r>
        <w:t>• Pasakykite Jūsų / Jūsų vaiko gydytojui apie visus vaistus, kurių dabar vartojate arba kurių vartoja Jūsų vaikas.</w:t>
      </w:r>
    </w:p>
    <w:p w14:paraId="067AB7F1" w14:textId="77777777" w:rsidR="00CB542F" w:rsidRDefault="00573A58">
      <w:r>
        <w:t>• Prieš bet kurią chirurginę ar invazinę procedūrą pasakykite Jūsų / Jūsų vaiko gydytojui, kad vartojate Danengo.</w:t>
      </w:r>
    </w:p>
    <w:p w14:paraId="2CEF57A4" w14:textId="77777777" w:rsidR="00CB542F" w:rsidRDefault="00573A58">
      <w:pPr>
        <w:rPr>
          <w:noProof/>
        </w:rPr>
      </w:pPr>
      <w:r>
        <w:t>• Danengo kapsules galima gerti su maistu arba nevalgius. Kapsulę reikia nuryti visą, užgeriant stikline vandens. Kapsulės negalima laužyti arba kramtyti, negalima išpilti joje esančių granulių.</w:t>
      </w:r>
    </w:p>
    <w:p w14:paraId="7502062B" w14:textId="77777777" w:rsidR="00CB542F" w:rsidRDefault="00CB542F">
      <w:pPr>
        <w:rPr>
          <w:noProof/>
        </w:rPr>
      </w:pPr>
    </w:p>
    <w:p w14:paraId="69B3866C" w14:textId="77777777" w:rsidR="00CB542F" w:rsidRDefault="00573A58">
      <w:r>
        <w:t>Kada kreiptis į gydytoją</w:t>
      </w:r>
    </w:p>
    <w:p w14:paraId="2738BF2B" w14:textId="77777777" w:rsidR="00CB542F" w:rsidRDefault="00573A58">
      <w:r>
        <w:t>• Danengo vartojimas gali didinti kraujavimo riziką. Nedelsdami pasakykite Jūsų / Jūsų vaiko gydytojui, jeigu Jums / Jūsų vaikui pasireiškė kraujavimą galinčių reikšti 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470A979B" w14:textId="77777777" w:rsidR="00CB542F" w:rsidRDefault="00573A58">
      <w:r>
        <w:t>• Griuvimo arba susižeidimo atveju, ypač jeigu sutrenkta galva, reikia nedelsiant kreiptis gydytojo pagalbos.</w:t>
      </w:r>
    </w:p>
    <w:p w14:paraId="7C66FDFB" w14:textId="77777777" w:rsidR="00CB542F" w:rsidRDefault="00573A58">
      <w:pPr>
        <w:rPr>
          <w:noProof/>
        </w:rPr>
      </w:pPr>
      <w:r>
        <w:t>• Nepasitarę su Jūsų / Jūsų vaiko gydytoju Danengo vartojimo nenutraukite, jeigu Jums / Jūsų vaikui pasireiškė rėmuo, pykinimas, vėmimas, nemalonus jausmas skrandžio srityje, viršutinės pilvo dalies skausmas arba pūtimas.</w:t>
      </w:r>
    </w:p>
    <w:p w14:paraId="162A7CDF" w14:textId="77777777" w:rsidR="00CB542F" w:rsidRDefault="00CB542F">
      <w:pPr>
        <w:rPr>
          <w:noProof/>
        </w:rPr>
      </w:pPr>
    </w:p>
    <w:p w14:paraId="7705460F" w14:textId="77777777" w:rsidR="00CB542F" w:rsidRDefault="00573A58">
      <w:pPr>
        <w:rPr>
          <w:b/>
          <w:bCs/>
        </w:rPr>
      </w:pPr>
      <w:r>
        <w:rPr>
          <w:b/>
          <w:bCs/>
        </w:rPr>
        <w:t>Danengo informacija sveikatos priežiūros specialistams</w:t>
      </w:r>
    </w:p>
    <w:p w14:paraId="205D9F7E" w14:textId="77777777" w:rsidR="00CB542F" w:rsidRDefault="00573A58">
      <w:r>
        <w:t>• Danengo yra geriamasis antikoaguliantas (tiesioginis trombino inhibitorius).</w:t>
      </w:r>
    </w:p>
    <w:p w14:paraId="42BC69EF" w14:textId="77777777" w:rsidR="00CB542F" w:rsidRDefault="00573A58">
      <w:r>
        <w:t>• Danengo vartojimą prieš chirurginę operaciją bei kitokias invazines procedūras gali reikėti iš anksto nutraukti.</w:t>
      </w:r>
    </w:p>
    <w:p w14:paraId="5138C266" w14:textId="77777777" w:rsidR="00CB542F" w:rsidRDefault="00573A58">
      <w:pPr>
        <w:rPr>
          <w:noProof/>
        </w:rPr>
      </w:pPr>
      <w:r>
        <w:t>• Jeigu prasideda didysis kraujavimas, Danengo vartojimą būtina nutraukti nedelsiant.</w:t>
      </w:r>
    </w:p>
    <w:p w14:paraId="0986B553" w14:textId="77777777" w:rsidR="00CB542F" w:rsidRDefault="00573A58">
      <w:r>
        <w:t>• Yra specifinis neutralizuojantis preparatas (idarucizumabas), skirtas suaugusiems pacientams. Specifinio neutralizuojančio preparato idarucizumabo veiksmingumas ir saugumas pacientams vaikams neištirti. Išsamią informaciją ir daugiau patarimų apie antikoaguliacinio Danengo poveikio panaikinimą žr. Danengo ir idarucizumabo preparato charakteristikų santraukose.</w:t>
      </w:r>
    </w:p>
    <w:p w14:paraId="0FE6E4B5" w14:textId="77777777" w:rsidR="00CB542F" w:rsidRDefault="00573A58">
      <w:pPr>
        <w:rPr>
          <w:noProof/>
        </w:rPr>
      </w:pPr>
      <w:r>
        <w:t>• Danengo daugiausia išsiskiria per inkstus; būtina palaikyti pakankamą diurezę. Danengo galima pašalinti dialize.</w:t>
      </w:r>
    </w:p>
    <w:p w14:paraId="27E0A608" w14:textId="77777777" w:rsidR="00CB542F" w:rsidRDefault="00CB542F">
      <w:pPr>
        <w:rPr>
          <w:noProof/>
        </w:rPr>
      </w:pPr>
    </w:p>
    <w:p w14:paraId="704E562C" w14:textId="77777777" w:rsidR="00CB542F" w:rsidRDefault="00573A58">
      <w:pPr>
        <w:rPr>
          <w:b/>
          <w:bCs/>
          <w:noProof/>
        </w:rPr>
      </w:pPr>
      <w:r>
        <w:rPr>
          <w:b/>
          <w:bCs/>
        </w:rPr>
        <w:t>Prašome užpildyti informaciją žemiau arba paprašyti Jūsų / Jūsų vaiko gydytojo, kad užpildytų. Paciento informacija</w:t>
      </w:r>
    </w:p>
    <w:p w14:paraId="084CCAF3" w14:textId="77777777" w:rsidR="00CB542F" w:rsidRDefault="00573A58">
      <w:pPr>
        <w:rPr>
          <w:color w:val="000000"/>
          <w:szCs w:val="22"/>
          <w:lang w:val="en-GB" w:eastAsia="sl-SI"/>
        </w:rPr>
      </w:pPr>
      <w:r>
        <w:rPr>
          <w:color w:val="000000"/>
          <w:szCs w:val="22"/>
          <w:lang w:val="en-GB" w:eastAsia="sl-SI"/>
        </w:rPr>
        <w:lastRenderedPageBreak/>
        <w:t>________________________________</w:t>
      </w:r>
    </w:p>
    <w:p w14:paraId="05129496" w14:textId="77777777" w:rsidR="00CB542F" w:rsidRDefault="00573A58">
      <w:pPr>
        <w:rPr>
          <w:color w:val="000000"/>
          <w:szCs w:val="22"/>
          <w:lang w:val="en-GB" w:eastAsia="sl-SI"/>
        </w:rPr>
      </w:pPr>
      <w:r>
        <w:rPr>
          <w:color w:val="000000"/>
          <w:szCs w:val="22"/>
          <w:lang w:val="en-GB" w:eastAsia="sl-SI"/>
        </w:rPr>
        <w:t>Paciento vardas ir pavardė</w:t>
      </w:r>
    </w:p>
    <w:p w14:paraId="34DAFCD5" w14:textId="77777777" w:rsidR="00CB542F" w:rsidRDefault="00CB542F">
      <w:pPr>
        <w:rPr>
          <w:color w:val="000000"/>
          <w:szCs w:val="22"/>
          <w:lang w:val="en-GB" w:eastAsia="sl-SI"/>
        </w:rPr>
      </w:pPr>
    </w:p>
    <w:p w14:paraId="50225603" w14:textId="77777777" w:rsidR="00CB542F" w:rsidRDefault="00573A58">
      <w:pPr>
        <w:rPr>
          <w:color w:val="000000"/>
          <w:szCs w:val="22"/>
          <w:lang w:val="en-GB" w:eastAsia="sl-SI"/>
        </w:rPr>
      </w:pPr>
      <w:r>
        <w:rPr>
          <w:color w:val="000000"/>
          <w:szCs w:val="22"/>
          <w:lang w:val="en-GB" w:eastAsia="sl-SI"/>
        </w:rPr>
        <w:t>_________________________________</w:t>
      </w:r>
    </w:p>
    <w:p w14:paraId="504A9ABD" w14:textId="77777777" w:rsidR="00CB542F" w:rsidRDefault="00573A58">
      <w:pPr>
        <w:rPr>
          <w:color w:val="000000"/>
          <w:szCs w:val="22"/>
          <w:lang w:val="en-GB" w:eastAsia="sl-SI"/>
        </w:rPr>
      </w:pPr>
      <w:r>
        <w:rPr>
          <w:color w:val="000000"/>
          <w:szCs w:val="22"/>
          <w:lang w:val="en-GB" w:eastAsia="sl-SI"/>
        </w:rPr>
        <w:t>Gimimo data</w:t>
      </w:r>
    </w:p>
    <w:p w14:paraId="591F22D8" w14:textId="77777777" w:rsidR="00CB542F" w:rsidRDefault="00CB542F">
      <w:pPr>
        <w:rPr>
          <w:color w:val="000000"/>
          <w:szCs w:val="22"/>
          <w:lang w:val="en-GB" w:eastAsia="sl-SI"/>
        </w:rPr>
      </w:pPr>
    </w:p>
    <w:p w14:paraId="1A889EAC" w14:textId="77777777" w:rsidR="00CB542F" w:rsidRDefault="00573A58">
      <w:pPr>
        <w:rPr>
          <w:color w:val="000000"/>
          <w:szCs w:val="22"/>
          <w:lang w:val="en-GB" w:eastAsia="sl-SI"/>
        </w:rPr>
      </w:pPr>
      <w:r>
        <w:rPr>
          <w:color w:val="000000"/>
          <w:szCs w:val="22"/>
          <w:lang w:val="en-GB" w:eastAsia="sl-SI"/>
        </w:rPr>
        <w:t>_________________________________</w:t>
      </w:r>
    </w:p>
    <w:p w14:paraId="063BFD09" w14:textId="77777777" w:rsidR="00CB542F" w:rsidRDefault="00573A58">
      <w:pPr>
        <w:rPr>
          <w:color w:val="000000"/>
          <w:szCs w:val="22"/>
          <w:lang w:val="en-GB" w:eastAsia="sl-SI"/>
        </w:rPr>
      </w:pPr>
      <w:r>
        <w:rPr>
          <w:color w:val="000000"/>
          <w:szCs w:val="22"/>
          <w:lang w:val="en-GB" w:eastAsia="sl-SI"/>
        </w:rPr>
        <w:t>Indikacija antikoaguliacijai</w:t>
      </w:r>
    </w:p>
    <w:p w14:paraId="4666FFDC" w14:textId="77777777" w:rsidR="00CB542F" w:rsidRDefault="00CB542F">
      <w:pPr>
        <w:rPr>
          <w:color w:val="000000"/>
          <w:szCs w:val="22"/>
          <w:lang w:val="en-GB" w:eastAsia="sl-SI"/>
        </w:rPr>
      </w:pPr>
    </w:p>
    <w:p w14:paraId="78728099" w14:textId="77777777" w:rsidR="00CB542F" w:rsidRDefault="00573A58">
      <w:pPr>
        <w:rPr>
          <w:color w:val="000000"/>
          <w:szCs w:val="22"/>
          <w:lang w:val="en-GB" w:eastAsia="sl-SI"/>
        </w:rPr>
      </w:pPr>
      <w:r>
        <w:rPr>
          <w:color w:val="000000"/>
          <w:szCs w:val="22"/>
          <w:lang w:val="en-GB" w:eastAsia="sl-SI"/>
        </w:rPr>
        <w:t>_________________________________</w:t>
      </w:r>
    </w:p>
    <w:p w14:paraId="5BBC5A14" w14:textId="77777777" w:rsidR="00CB542F" w:rsidRDefault="00573A58">
      <w:pPr>
        <w:rPr>
          <w:color w:val="000000"/>
          <w:szCs w:val="22"/>
          <w:lang w:val="en-GB" w:eastAsia="sl-SI"/>
        </w:rPr>
      </w:pPr>
      <w:r>
        <w:rPr>
          <w:color w:val="000000"/>
          <w:szCs w:val="22"/>
          <w:lang w:val="en-GB" w:eastAsia="sl-SI"/>
        </w:rPr>
        <w:t>Danengo dozė</w:t>
      </w:r>
    </w:p>
    <w:p w14:paraId="63D88BB4" w14:textId="77777777" w:rsidR="00CB542F" w:rsidRDefault="00CB542F">
      <w:pPr>
        <w:widowControl w:val="0"/>
        <w:rPr>
          <w:color w:val="000000"/>
          <w:szCs w:val="22"/>
          <w:lang w:val="en-GB" w:eastAsia="sl-SI"/>
        </w:rPr>
      </w:pPr>
    </w:p>
    <w:p w14:paraId="05745B73" w14:textId="77777777" w:rsidR="00CB542F" w:rsidRDefault="00CB542F">
      <w:pPr>
        <w:rPr>
          <w:color w:val="000000"/>
          <w:szCs w:val="22"/>
          <w:highlight w:val="lightGray"/>
          <w:lang w:val="en-GB"/>
        </w:rPr>
      </w:pPr>
    </w:p>
    <w:p w14:paraId="5BE50332" w14:textId="77777777" w:rsidR="00CB542F" w:rsidRDefault="00573A58">
      <w:pPr>
        <w:rPr>
          <w:sz w:val="24"/>
          <w:szCs w:val="20"/>
          <w:lang w:val="sl-SI" w:eastAsia="sl-SI"/>
        </w:rPr>
      </w:pPr>
      <w:r>
        <w:rPr>
          <w:b/>
          <w:noProof/>
        </w:rPr>
        <w:br w:type="page"/>
      </w:r>
    </w:p>
    <w:p w14:paraId="7BB88CBF" w14:textId="77777777" w:rsidR="00CB542F" w:rsidRDefault="00CB542F">
      <w:pPr>
        <w:rPr>
          <w:noProof/>
        </w:rPr>
      </w:pPr>
    </w:p>
    <w:p w14:paraId="71FC77B1" w14:textId="77777777" w:rsidR="00CB542F" w:rsidRDefault="00CB542F">
      <w:pPr>
        <w:rPr>
          <w:noProof/>
        </w:rPr>
      </w:pPr>
    </w:p>
    <w:p w14:paraId="7D88A853" w14:textId="77777777" w:rsidR="00CB542F" w:rsidRDefault="00CB542F">
      <w:pPr>
        <w:rPr>
          <w:noProof/>
        </w:rPr>
      </w:pPr>
    </w:p>
    <w:p w14:paraId="7EAE6F0F" w14:textId="77777777" w:rsidR="00CB542F" w:rsidRDefault="00CB542F">
      <w:pPr>
        <w:rPr>
          <w:noProof/>
        </w:rPr>
      </w:pPr>
    </w:p>
    <w:p w14:paraId="04E79CD9" w14:textId="77777777" w:rsidR="00CB542F" w:rsidRDefault="00CB542F">
      <w:pPr>
        <w:rPr>
          <w:noProof/>
        </w:rPr>
      </w:pPr>
    </w:p>
    <w:p w14:paraId="4478D0D4" w14:textId="77777777" w:rsidR="00CB542F" w:rsidRDefault="00CB542F">
      <w:pPr>
        <w:rPr>
          <w:noProof/>
        </w:rPr>
      </w:pPr>
    </w:p>
    <w:p w14:paraId="69F01DFE" w14:textId="77777777" w:rsidR="00CB542F" w:rsidRDefault="00CB542F">
      <w:pPr>
        <w:rPr>
          <w:noProof/>
        </w:rPr>
      </w:pPr>
    </w:p>
    <w:p w14:paraId="3BBB9654" w14:textId="77777777" w:rsidR="00CB542F" w:rsidRDefault="00CB542F">
      <w:pPr>
        <w:rPr>
          <w:noProof/>
        </w:rPr>
      </w:pPr>
    </w:p>
    <w:p w14:paraId="2682F46D" w14:textId="77777777" w:rsidR="00CB542F" w:rsidRDefault="00CB542F">
      <w:pPr>
        <w:rPr>
          <w:noProof/>
        </w:rPr>
      </w:pPr>
    </w:p>
    <w:p w14:paraId="08E7C042" w14:textId="77777777" w:rsidR="00CB542F" w:rsidRDefault="00CB542F">
      <w:pPr>
        <w:rPr>
          <w:noProof/>
        </w:rPr>
      </w:pPr>
    </w:p>
    <w:p w14:paraId="3DC76278" w14:textId="77777777" w:rsidR="00CB542F" w:rsidRDefault="00CB542F">
      <w:pPr>
        <w:rPr>
          <w:noProof/>
        </w:rPr>
      </w:pPr>
    </w:p>
    <w:p w14:paraId="25195BCE" w14:textId="77777777" w:rsidR="00CB542F" w:rsidRDefault="00CB542F">
      <w:pPr>
        <w:rPr>
          <w:noProof/>
        </w:rPr>
      </w:pPr>
    </w:p>
    <w:p w14:paraId="58E3A8E1" w14:textId="77777777" w:rsidR="00CB542F" w:rsidRDefault="00CB542F">
      <w:pPr>
        <w:rPr>
          <w:noProof/>
        </w:rPr>
      </w:pPr>
    </w:p>
    <w:p w14:paraId="30D29EAC" w14:textId="77777777" w:rsidR="00CB542F" w:rsidRDefault="00CB542F">
      <w:pPr>
        <w:rPr>
          <w:noProof/>
        </w:rPr>
      </w:pPr>
    </w:p>
    <w:p w14:paraId="1B1E0BA5" w14:textId="77777777" w:rsidR="00CB542F" w:rsidRDefault="00CB542F">
      <w:pPr>
        <w:rPr>
          <w:noProof/>
        </w:rPr>
      </w:pPr>
    </w:p>
    <w:p w14:paraId="6AB186A4" w14:textId="77777777" w:rsidR="00CB542F" w:rsidRDefault="00CB542F">
      <w:pPr>
        <w:rPr>
          <w:noProof/>
        </w:rPr>
      </w:pPr>
    </w:p>
    <w:p w14:paraId="37872948" w14:textId="77777777" w:rsidR="00CB542F" w:rsidRDefault="00CB542F">
      <w:pPr>
        <w:rPr>
          <w:noProof/>
        </w:rPr>
      </w:pPr>
    </w:p>
    <w:p w14:paraId="5747719E" w14:textId="77777777" w:rsidR="00CB542F" w:rsidRDefault="00CB542F">
      <w:pPr>
        <w:rPr>
          <w:noProof/>
        </w:rPr>
      </w:pPr>
    </w:p>
    <w:p w14:paraId="6ADE98A8" w14:textId="77777777" w:rsidR="00CB542F" w:rsidRDefault="00CB542F">
      <w:pPr>
        <w:rPr>
          <w:noProof/>
        </w:rPr>
      </w:pPr>
    </w:p>
    <w:p w14:paraId="78935233" w14:textId="77777777" w:rsidR="00CB542F" w:rsidRDefault="00CB542F">
      <w:pPr>
        <w:rPr>
          <w:noProof/>
        </w:rPr>
      </w:pPr>
    </w:p>
    <w:p w14:paraId="46C56164" w14:textId="77777777" w:rsidR="00CB542F" w:rsidRDefault="00CB542F">
      <w:pPr>
        <w:rPr>
          <w:noProof/>
        </w:rPr>
      </w:pPr>
    </w:p>
    <w:p w14:paraId="1D3624B4" w14:textId="77777777" w:rsidR="00CB542F" w:rsidRDefault="00CB542F">
      <w:pPr>
        <w:rPr>
          <w:noProof/>
        </w:rPr>
      </w:pPr>
    </w:p>
    <w:p w14:paraId="412ACC08" w14:textId="77777777" w:rsidR="00CB542F" w:rsidRDefault="00CB542F">
      <w:pPr>
        <w:rPr>
          <w:noProof/>
        </w:rPr>
      </w:pPr>
    </w:p>
    <w:p w14:paraId="21E2230E" w14:textId="77777777" w:rsidR="00CB542F" w:rsidRDefault="00573A58">
      <w:pPr>
        <w:pStyle w:val="Sraopastraipa"/>
        <w:numPr>
          <w:ilvl w:val="0"/>
          <w:numId w:val="11"/>
        </w:numPr>
        <w:jc w:val="center"/>
        <w:outlineLvl w:val="0"/>
        <w:rPr>
          <w:noProof/>
        </w:rPr>
      </w:pPr>
      <w:r>
        <w:rPr>
          <w:b/>
          <w:noProof/>
        </w:rPr>
        <w:t>PAKUOTĖS LAPELIS</w:t>
      </w:r>
    </w:p>
    <w:p w14:paraId="7B6782E2" w14:textId="77777777" w:rsidR="00CB542F" w:rsidRDefault="00573A58">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4D151E26" w14:textId="77777777" w:rsidR="00CB542F" w:rsidRDefault="00CB542F">
      <w:pPr>
        <w:jc w:val="center"/>
        <w:outlineLvl w:val="0"/>
        <w:rPr>
          <w:b/>
          <w:noProof/>
        </w:rPr>
      </w:pPr>
    </w:p>
    <w:p w14:paraId="3E326FFF" w14:textId="77777777" w:rsidR="00CB542F" w:rsidRDefault="00573A58">
      <w:pPr>
        <w:jc w:val="center"/>
      </w:pPr>
      <w:r>
        <w:rPr>
          <w:b/>
          <w:bCs/>
          <w:noProof/>
        </w:rPr>
        <w:t>Danengo 150 mg kietosios kapsulės</w:t>
      </w:r>
    </w:p>
    <w:p w14:paraId="2FFF5B76" w14:textId="77777777" w:rsidR="00CB542F" w:rsidRDefault="00573A58">
      <w:pPr>
        <w:numPr>
          <w:ilvl w:val="12"/>
          <w:numId w:val="0"/>
        </w:numPr>
        <w:jc w:val="center"/>
        <w:rPr>
          <w:noProof/>
        </w:rPr>
      </w:pPr>
      <w:r>
        <w:rPr>
          <w:noProof/>
        </w:rPr>
        <w:t>dabigatranas eteksilatas</w:t>
      </w:r>
    </w:p>
    <w:p w14:paraId="72647ED4" w14:textId="77777777" w:rsidR="00CB542F" w:rsidRDefault="00CB542F">
      <w:pPr>
        <w:jc w:val="center"/>
        <w:rPr>
          <w:noProof/>
        </w:rPr>
      </w:pPr>
    </w:p>
    <w:p w14:paraId="1462775D" w14:textId="77777777" w:rsidR="00CB542F" w:rsidRDefault="00573A58">
      <w:pPr>
        <w:suppressAutoHyphens/>
        <w:ind w:left="142" w:hanging="142"/>
      </w:pPr>
      <w:r>
        <w:rPr>
          <w:b/>
          <w:noProof/>
        </w:rPr>
        <w:t>Atidžiai perskaitykite visą šį lapelį, prieš pradėdami vartoti vaistą,</w:t>
      </w:r>
      <w:r>
        <w:rPr>
          <w:b/>
        </w:rPr>
        <w:t xml:space="preserve"> nes jame pateikiama Jums svarbi informacija.</w:t>
      </w:r>
    </w:p>
    <w:p w14:paraId="2089F770" w14:textId="77777777" w:rsidR="00CB542F" w:rsidRDefault="00573A58">
      <w:pPr>
        <w:ind w:left="567" w:hanging="567"/>
        <w:rPr>
          <w:noProof/>
        </w:rPr>
      </w:pPr>
      <w:r>
        <w:rPr>
          <w:noProof/>
        </w:rPr>
        <w:t>-</w:t>
      </w:r>
      <w:r>
        <w:rPr>
          <w:noProof/>
        </w:rPr>
        <w:tab/>
        <w:t>Neišmeskite šio lapelio, nes vėl gali prireikti jį perskaityti.</w:t>
      </w:r>
    </w:p>
    <w:p w14:paraId="67E6568E" w14:textId="77777777" w:rsidR="00CB542F" w:rsidRDefault="00573A58">
      <w:pPr>
        <w:ind w:left="567" w:hanging="567"/>
        <w:rPr>
          <w:noProof/>
        </w:rPr>
      </w:pPr>
      <w:r>
        <w:rPr>
          <w:noProof/>
        </w:rPr>
        <w:t>-</w:t>
      </w:r>
      <w:r>
        <w:rPr>
          <w:noProof/>
        </w:rPr>
        <w:tab/>
        <w:t>Jeigu kiltų daugiau klausimų, kreipkitės į gydytoją arba vaistininką</w:t>
      </w:r>
      <w:r>
        <w:t>.</w:t>
      </w:r>
    </w:p>
    <w:p w14:paraId="0A9381BF" w14:textId="77777777" w:rsidR="00CB542F" w:rsidRDefault="00573A58">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57E52F0A" w14:textId="77777777" w:rsidR="00CB542F" w:rsidRDefault="00573A58">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0E4A6462" w14:textId="77777777" w:rsidR="00CB542F" w:rsidRDefault="00CB542F">
      <w:pPr>
        <w:numPr>
          <w:ilvl w:val="12"/>
          <w:numId w:val="0"/>
        </w:numPr>
        <w:ind w:right="-2"/>
        <w:outlineLvl w:val="0"/>
        <w:rPr>
          <w:b/>
          <w:noProof/>
        </w:rPr>
      </w:pPr>
    </w:p>
    <w:p w14:paraId="56F9BD98" w14:textId="77777777" w:rsidR="00CB542F" w:rsidRDefault="00573A58">
      <w:pPr>
        <w:ind w:left="567" w:hanging="567"/>
        <w:rPr>
          <w:b/>
          <w:szCs w:val="22"/>
        </w:rPr>
      </w:pPr>
      <w:r>
        <w:rPr>
          <w:b/>
          <w:szCs w:val="22"/>
        </w:rPr>
        <w:t>Apie ką rašoma šiame lapelyje?</w:t>
      </w:r>
    </w:p>
    <w:p w14:paraId="45EB60B0" w14:textId="77777777" w:rsidR="00CB542F" w:rsidRDefault="00CB542F">
      <w:pPr>
        <w:rPr>
          <w:b/>
          <w:noProof/>
        </w:rPr>
      </w:pPr>
    </w:p>
    <w:p w14:paraId="71E90C10" w14:textId="77777777" w:rsidR="00CB542F" w:rsidRDefault="00573A58">
      <w:pPr>
        <w:ind w:left="567" w:hanging="567"/>
        <w:rPr>
          <w:noProof/>
        </w:rPr>
      </w:pPr>
      <w:r>
        <w:rPr>
          <w:noProof/>
        </w:rPr>
        <w:t>1.</w:t>
      </w:r>
      <w:r>
        <w:rPr>
          <w:noProof/>
        </w:rPr>
        <w:tab/>
        <w:t>Kas yra Danengo ir kam jis vartojamas</w:t>
      </w:r>
    </w:p>
    <w:p w14:paraId="1480B0A2" w14:textId="77777777" w:rsidR="00CB542F" w:rsidRDefault="00573A58">
      <w:pPr>
        <w:ind w:left="567" w:hanging="567"/>
        <w:rPr>
          <w:noProof/>
        </w:rPr>
      </w:pPr>
      <w:r>
        <w:rPr>
          <w:noProof/>
        </w:rPr>
        <w:t>2.</w:t>
      </w:r>
      <w:r>
        <w:rPr>
          <w:noProof/>
        </w:rPr>
        <w:tab/>
        <w:t>Kas žinotina prieš vartojant Danengo</w:t>
      </w:r>
    </w:p>
    <w:p w14:paraId="28050335" w14:textId="77777777" w:rsidR="00CB542F" w:rsidRDefault="00573A58">
      <w:pPr>
        <w:ind w:left="567" w:hanging="567"/>
        <w:rPr>
          <w:noProof/>
        </w:rPr>
      </w:pPr>
      <w:r>
        <w:rPr>
          <w:noProof/>
        </w:rPr>
        <w:t>3.</w:t>
      </w:r>
      <w:r>
        <w:rPr>
          <w:noProof/>
        </w:rPr>
        <w:tab/>
        <w:t>Kaip vartoti Danengo</w:t>
      </w:r>
    </w:p>
    <w:p w14:paraId="6358BF40" w14:textId="77777777" w:rsidR="00CB542F" w:rsidRDefault="00573A58">
      <w:pPr>
        <w:ind w:left="567" w:hanging="567"/>
        <w:rPr>
          <w:noProof/>
        </w:rPr>
      </w:pPr>
      <w:r>
        <w:rPr>
          <w:noProof/>
        </w:rPr>
        <w:t>4.</w:t>
      </w:r>
      <w:r>
        <w:rPr>
          <w:noProof/>
        </w:rPr>
        <w:tab/>
        <w:t>Galimas šalutinis poveikis</w:t>
      </w:r>
    </w:p>
    <w:p w14:paraId="5EADE087" w14:textId="77777777" w:rsidR="00CB542F" w:rsidRDefault="00573A58">
      <w:pPr>
        <w:ind w:left="567" w:hanging="567"/>
        <w:rPr>
          <w:noProof/>
        </w:rPr>
      </w:pPr>
      <w:r>
        <w:rPr>
          <w:noProof/>
        </w:rPr>
        <w:t>5.</w:t>
      </w:r>
      <w:r>
        <w:rPr>
          <w:noProof/>
        </w:rPr>
        <w:tab/>
        <w:t>Kaip laikyti Danengo</w:t>
      </w:r>
    </w:p>
    <w:p w14:paraId="4F8B728F" w14:textId="77777777" w:rsidR="00CB542F" w:rsidRDefault="00573A58">
      <w:pPr>
        <w:ind w:left="567" w:hanging="567"/>
        <w:rPr>
          <w:noProof/>
        </w:rPr>
      </w:pPr>
      <w:r>
        <w:rPr>
          <w:noProof/>
        </w:rPr>
        <w:t>6.</w:t>
      </w:r>
      <w:r>
        <w:rPr>
          <w:noProof/>
        </w:rPr>
        <w:tab/>
      </w:r>
      <w:r>
        <w:t>Pakuotės turinys ir kita</w:t>
      </w:r>
      <w:r>
        <w:rPr>
          <w:noProof/>
        </w:rPr>
        <w:t xml:space="preserve"> informacija</w:t>
      </w:r>
    </w:p>
    <w:p w14:paraId="33B6B7C9" w14:textId="77777777" w:rsidR="00CB542F" w:rsidRDefault="00CB542F">
      <w:pPr>
        <w:numPr>
          <w:ilvl w:val="12"/>
          <w:numId w:val="0"/>
        </w:numPr>
        <w:rPr>
          <w:noProof/>
        </w:rPr>
      </w:pPr>
    </w:p>
    <w:p w14:paraId="03B559B6" w14:textId="77777777" w:rsidR="00CB542F" w:rsidRDefault="00CB542F">
      <w:pPr>
        <w:numPr>
          <w:ilvl w:val="12"/>
          <w:numId w:val="0"/>
        </w:numPr>
        <w:rPr>
          <w:noProof/>
        </w:rPr>
      </w:pPr>
    </w:p>
    <w:p w14:paraId="5F3F5DBA" w14:textId="77777777" w:rsidR="00CB542F" w:rsidRDefault="00573A58">
      <w:pPr>
        <w:numPr>
          <w:ilvl w:val="12"/>
          <w:numId w:val="0"/>
        </w:numPr>
        <w:ind w:left="567" w:hanging="567"/>
        <w:outlineLvl w:val="0"/>
        <w:rPr>
          <w:b/>
          <w:caps/>
          <w:noProof/>
        </w:rPr>
      </w:pPr>
      <w:r>
        <w:rPr>
          <w:b/>
          <w:noProof/>
        </w:rPr>
        <w:t>1.</w:t>
      </w:r>
      <w:r>
        <w:rPr>
          <w:b/>
          <w:noProof/>
        </w:rPr>
        <w:tab/>
      </w:r>
      <w:r>
        <w:rPr>
          <w:b/>
        </w:rPr>
        <w:t>Kas yra Danengo ir kam jis vartojamas</w:t>
      </w:r>
    </w:p>
    <w:p w14:paraId="1CFB94C5" w14:textId="77777777" w:rsidR="00CB542F" w:rsidRDefault="00CB542F">
      <w:pPr>
        <w:ind w:left="567" w:hanging="567"/>
        <w:rPr>
          <w:noProof/>
        </w:rPr>
      </w:pPr>
    </w:p>
    <w:p w14:paraId="7A870821" w14:textId="77777777" w:rsidR="00CB542F" w:rsidRDefault="00573A58">
      <w:pPr>
        <w:numPr>
          <w:ilvl w:val="12"/>
          <w:numId w:val="0"/>
        </w:numPr>
      </w:pPr>
      <w:r>
        <w:t>Veiklioji Danengo medžiaga yra dabigatrano eteksilatas, priklausantis vaistų, vadinamų antikoaguliantais, grupei. Jis veikia blokuodamas organizmo medžiagos, dalyvaujančios formuojantis kraujo krešuliams, veikimą.</w:t>
      </w:r>
    </w:p>
    <w:p w14:paraId="294FCD88" w14:textId="77777777" w:rsidR="00CB542F" w:rsidRDefault="00CB542F">
      <w:pPr>
        <w:numPr>
          <w:ilvl w:val="12"/>
          <w:numId w:val="0"/>
        </w:numPr>
      </w:pPr>
    </w:p>
    <w:p w14:paraId="758C917A" w14:textId="77777777" w:rsidR="00CB542F" w:rsidRDefault="00573A58">
      <w:pPr>
        <w:numPr>
          <w:ilvl w:val="12"/>
          <w:numId w:val="0"/>
        </w:numPr>
      </w:pPr>
      <w:r>
        <w:t>Danengo vartojamas suaugusiesiems:</w:t>
      </w:r>
    </w:p>
    <w:p w14:paraId="2CB5E291" w14:textId="77777777" w:rsidR="00CB542F" w:rsidRDefault="00573A58">
      <w:pPr>
        <w:widowControl w:val="0"/>
        <w:numPr>
          <w:ilvl w:val="0"/>
          <w:numId w:val="5"/>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14:paraId="58C1A838" w14:textId="77777777" w:rsidR="00CB542F" w:rsidRDefault="00573A58">
      <w:pPr>
        <w:widowControl w:val="0"/>
        <w:numPr>
          <w:ilvl w:val="0"/>
          <w:numId w:val="5"/>
        </w:numPr>
        <w:autoSpaceDE w:val="0"/>
        <w:autoSpaceDN w:val="0"/>
        <w:ind w:left="567" w:hanging="567"/>
        <w:rPr>
          <w:color w:val="000000"/>
          <w:szCs w:val="22"/>
          <w:lang w:val="en-US"/>
        </w:rPr>
      </w:pPr>
      <w:r>
        <w:t>kojų ir plaučių venų kraujo krešuliams gydyti bei kojų ir plaučių venų kraujo krešulių pasikartojimo profilaktikai.</w:t>
      </w:r>
    </w:p>
    <w:p w14:paraId="185F5A7E" w14:textId="77777777" w:rsidR="00CB542F" w:rsidRDefault="00CB542F">
      <w:pPr>
        <w:widowControl w:val="0"/>
        <w:autoSpaceDE w:val="0"/>
        <w:autoSpaceDN w:val="0"/>
        <w:rPr>
          <w:color w:val="000000"/>
          <w:szCs w:val="22"/>
          <w:lang w:val="en-US"/>
        </w:rPr>
      </w:pPr>
    </w:p>
    <w:p w14:paraId="1D1F47B4" w14:textId="77777777" w:rsidR="00CB542F" w:rsidRDefault="00573A58">
      <w:pPr>
        <w:widowControl w:val="0"/>
        <w:autoSpaceDE w:val="0"/>
        <w:autoSpaceDN w:val="0"/>
        <w:rPr>
          <w:color w:val="000000"/>
          <w:szCs w:val="22"/>
          <w:lang w:val="en-US"/>
        </w:rPr>
      </w:pPr>
      <w:r>
        <w:t>Danengo vartojamas vaikams</w:t>
      </w:r>
    </w:p>
    <w:p w14:paraId="540E7325" w14:textId="77777777" w:rsidR="00CB542F" w:rsidRDefault="00573A58">
      <w:pPr>
        <w:widowControl w:val="0"/>
        <w:numPr>
          <w:ilvl w:val="0"/>
          <w:numId w:val="5"/>
        </w:numPr>
        <w:autoSpaceDE w:val="0"/>
        <w:autoSpaceDN w:val="0"/>
        <w:ind w:left="567" w:hanging="567"/>
        <w:rPr>
          <w:color w:val="000000"/>
          <w:szCs w:val="22"/>
          <w:lang w:val="en-US"/>
        </w:rPr>
      </w:pPr>
      <w:r>
        <w:t>kraujo krešuliams gydyti ir kraujo krešulių kartotiniam susidarymui išvengti.</w:t>
      </w:r>
    </w:p>
    <w:p w14:paraId="49643978" w14:textId="77777777" w:rsidR="00CB542F" w:rsidRDefault="00CB542F">
      <w:pPr>
        <w:numPr>
          <w:ilvl w:val="12"/>
          <w:numId w:val="0"/>
        </w:numPr>
        <w:rPr>
          <w:noProof/>
        </w:rPr>
      </w:pPr>
    </w:p>
    <w:p w14:paraId="24FD8112" w14:textId="77777777" w:rsidR="00CB542F" w:rsidRDefault="00CB542F">
      <w:pPr>
        <w:numPr>
          <w:ilvl w:val="12"/>
          <w:numId w:val="0"/>
        </w:numPr>
        <w:rPr>
          <w:noProof/>
        </w:rPr>
      </w:pPr>
    </w:p>
    <w:p w14:paraId="2C4D462A" w14:textId="77777777" w:rsidR="00CB542F" w:rsidRDefault="00573A58">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Danengo</w:t>
      </w:r>
    </w:p>
    <w:p w14:paraId="2B897CB2" w14:textId="77777777" w:rsidR="00CB542F" w:rsidRDefault="00CB542F">
      <w:pPr>
        <w:ind w:left="567" w:hanging="567"/>
        <w:rPr>
          <w:noProof/>
        </w:rPr>
      </w:pPr>
    </w:p>
    <w:p w14:paraId="54817E6C" w14:textId="77777777" w:rsidR="00CB542F" w:rsidRDefault="00573A58">
      <w:pPr>
        <w:ind w:left="567" w:hanging="567"/>
        <w:rPr>
          <w:b/>
          <w:caps/>
          <w:noProof/>
        </w:rPr>
      </w:pPr>
      <w:r>
        <w:rPr>
          <w:b/>
          <w:bCs/>
          <w:noProof/>
        </w:rPr>
        <w:t>Danengo vartoti draudžiama:</w:t>
      </w:r>
    </w:p>
    <w:p w14:paraId="06DBD333" w14:textId="77777777" w:rsidR="00CB542F" w:rsidRDefault="00573A58">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14:paraId="3A41F676" w14:textId="77777777" w:rsidR="00CB542F" w:rsidRDefault="00573A58">
      <w:pPr>
        <w:widowControl w:val="0"/>
        <w:numPr>
          <w:ilvl w:val="0"/>
          <w:numId w:val="5"/>
        </w:numPr>
        <w:autoSpaceDE w:val="0"/>
        <w:autoSpaceDN w:val="0"/>
        <w:ind w:left="567" w:hanging="567"/>
        <w:rPr>
          <w:color w:val="000000"/>
          <w:szCs w:val="22"/>
          <w:lang w:val="en-US"/>
        </w:rPr>
      </w:pPr>
      <w:r>
        <w:t>jeigu labai susilpnėjusi inkstų funkcija.</w:t>
      </w:r>
    </w:p>
    <w:p w14:paraId="0F98E9C8" w14:textId="77777777" w:rsidR="00CB542F" w:rsidRDefault="00573A58">
      <w:pPr>
        <w:widowControl w:val="0"/>
        <w:numPr>
          <w:ilvl w:val="0"/>
          <w:numId w:val="5"/>
        </w:numPr>
        <w:autoSpaceDE w:val="0"/>
        <w:autoSpaceDN w:val="0"/>
        <w:ind w:left="567" w:hanging="567"/>
        <w:rPr>
          <w:color w:val="000000"/>
          <w:szCs w:val="22"/>
          <w:lang w:val="en-US"/>
        </w:rPr>
      </w:pPr>
      <w:r>
        <w:t>jeigu šiuo metu kraujuojate.</w:t>
      </w:r>
    </w:p>
    <w:p w14:paraId="784D5A1F" w14:textId="77777777" w:rsidR="00CB542F" w:rsidRDefault="00573A58">
      <w:pPr>
        <w:widowControl w:val="0"/>
        <w:numPr>
          <w:ilvl w:val="0"/>
          <w:numId w:val="5"/>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14:paraId="4A874781" w14:textId="77777777" w:rsidR="00CB542F" w:rsidRDefault="00573A58">
      <w:pPr>
        <w:widowControl w:val="0"/>
        <w:numPr>
          <w:ilvl w:val="0"/>
          <w:numId w:val="5"/>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14:paraId="42CEFD99" w14:textId="77777777" w:rsidR="00CB542F" w:rsidRDefault="00573A58">
      <w:pPr>
        <w:widowControl w:val="0"/>
        <w:numPr>
          <w:ilvl w:val="0"/>
          <w:numId w:val="5"/>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r>
        <w:lastRenderedPageBreak/>
        <w:t>kateterine abliacija.</w:t>
      </w:r>
    </w:p>
    <w:p w14:paraId="19E3B957" w14:textId="77777777" w:rsidR="00CB542F" w:rsidRDefault="00573A58">
      <w:pPr>
        <w:widowControl w:val="0"/>
        <w:numPr>
          <w:ilvl w:val="0"/>
          <w:numId w:val="5"/>
        </w:numPr>
        <w:autoSpaceDE w:val="0"/>
        <w:autoSpaceDN w:val="0"/>
        <w:ind w:left="567" w:hanging="567"/>
        <w:rPr>
          <w:color w:val="000000"/>
          <w:szCs w:val="22"/>
          <w:lang w:val="en-US"/>
        </w:rPr>
      </w:pPr>
      <w:r>
        <w:t>jeigu labai susilpnėjusi Jūsų kepenų funkcija arba sergate kepenų liga, galinčia sukelti mirtį.</w:t>
      </w:r>
    </w:p>
    <w:p w14:paraId="504A0184" w14:textId="77777777" w:rsidR="00CB542F" w:rsidRDefault="00573A58">
      <w:pPr>
        <w:widowControl w:val="0"/>
        <w:numPr>
          <w:ilvl w:val="0"/>
          <w:numId w:val="5"/>
        </w:numPr>
        <w:autoSpaceDE w:val="0"/>
        <w:autoSpaceDN w:val="0"/>
        <w:ind w:left="567" w:hanging="567"/>
        <w:rPr>
          <w:color w:val="000000"/>
          <w:szCs w:val="22"/>
          <w:lang w:val="en-US"/>
        </w:rPr>
      </w:pPr>
      <w:r>
        <w:t>jeigu vartojate geriamojo ketokonazolo ar itrakonazolo (vaistų, vartojamų grybelinėms ligoms gydyti).</w:t>
      </w:r>
    </w:p>
    <w:p w14:paraId="422906A9" w14:textId="77777777" w:rsidR="00CB542F" w:rsidRDefault="00573A58">
      <w:pPr>
        <w:widowControl w:val="0"/>
        <w:numPr>
          <w:ilvl w:val="0"/>
          <w:numId w:val="5"/>
        </w:numPr>
        <w:autoSpaceDE w:val="0"/>
        <w:autoSpaceDN w:val="0"/>
        <w:ind w:left="567" w:hanging="567"/>
        <w:rPr>
          <w:color w:val="000000"/>
          <w:szCs w:val="22"/>
          <w:lang w:val="en-US"/>
        </w:rPr>
      </w:pPr>
      <w:r>
        <w:t>jeigu vartojate geriamojo ciklosporino (vaisto, vartojamo persodinto organo atmetimo profilaktikai).</w:t>
      </w:r>
    </w:p>
    <w:p w14:paraId="3AF155D7" w14:textId="77777777" w:rsidR="00CB542F" w:rsidRDefault="00573A58">
      <w:pPr>
        <w:widowControl w:val="0"/>
        <w:numPr>
          <w:ilvl w:val="0"/>
          <w:numId w:val="5"/>
        </w:numPr>
        <w:autoSpaceDE w:val="0"/>
        <w:autoSpaceDN w:val="0"/>
        <w:ind w:left="567" w:hanging="567"/>
        <w:rPr>
          <w:color w:val="000000"/>
          <w:szCs w:val="22"/>
          <w:lang w:val="en-US"/>
        </w:rPr>
      </w:pPr>
      <w:r>
        <w:t>jeigu vartojate dronedarono (vaisto, vartojamo nenormalaus širdies plakimo gydymui).</w:t>
      </w:r>
    </w:p>
    <w:p w14:paraId="5776E7C7" w14:textId="77777777" w:rsidR="00CB542F" w:rsidRDefault="00573A58">
      <w:pPr>
        <w:widowControl w:val="0"/>
        <w:numPr>
          <w:ilvl w:val="0"/>
          <w:numId w:val="5"/>
        </w:numPr>
        <w:autoSpaceDE w:val="0"/>
        <w:autoSpaceDN w:val="0"/>
        <w:ind w:left="567" w:hanging="567"/>
        <w:rPr>
          <w:color w:val="000000"/>
          <w:szCs w:val="22"/>
          <w:lang w:val="en-US"/>
        </w:rPr>
      </w:pPr>
      <w:r>
        <w:t>jeigu vartojate sudėtinį glekapreviro ir pibrentasviro vaistą (priešvirusinį vaistą, vartojamą hepatitui C gydyti).</w:t>
      </w:r>
    </w:p>
    <w:p w14:paraId="07A6B2DC" w14:textId="77777777" w:rsidR="00CB542F" w:rsidRDefault="00573A58">
      <w:pPr>
        <w:widowControl w:val="0"/>
        <w:numPr>
          <w:ilvl w:val="0"/>
          <w:numId w:val="5"/>
        </w:numPr>
        <w:autoSpaceDE w:val="0"/>
        <w:autoSpaceDN w:val="0"/>
        <w:ind w:left="567" w:hanging="567"/>
        <w:rPr>
          <w:color w:val="000000"/>
          <w:szCs w:val="22"/>
          <w:lang w:val="en-US"/>
        </w:rPr>
      </w:pPr>
      <w:r>
        <w:t>jeigu Jums įsiuvo dirbtinį širdies vožtuvą, dėl kurio reikia nuolat skystinti kraują</w:t>
      </w:r>
    </w:p>
    <w:p w14:paraId="2128552D" w14:textId="77777777" w:rsidR="00CB542F" w:rsidRDefault="00CB542F">
      <w:pPr>
        <w:ind w:left="567" w:hanging="567"/>
        <w:rPr>
          <w:noProof/>
        </w:rPr>
      </w:pPr>
    </w:p>
    <w:p w14:paraId="23585C1E" w14:textId="77777777" w:rsidR="00CB542F" w:rsidRDefault="00573A58">
      <w:pPr>
        <w:ind w:left="567" w:hanging="567"/>
        <w:rPr>
          <w:b/>
          <w:noProof/>
        </w:rPr>
      </w:pPr>
      <w:r>
        <w:rPr>
          <w:b/>
          <w:noProof/>
        </w:rPr>
        <w:t>Įspėjimai ir atsargumo priemonės</w:t>
      </w:r>
    </w:p>
    <w:p w14:paraId="0FD2AA4B" w14:textId="77777777" w:rsidR="00CB542F" w:rsidRDefault="00CB542F">
      <w:pPr>
        <w:ind w:left="567" w:hanging="567"/>
        <w:rPr>
          <w:b/>
          <w:noProof/>
        </w:rPr>
      </w:pPr>
    </w:p>
    <w:p w14:paraId="1FDBA5FC" w14:textId="77777777" w:rsidR="00CB542F" w:rsidRDefault="00573A58">
      <w:pPr>
        <w:rPr>
          <w:szCs w:val="22"/>
        </w:rPr>
      </w:pPr>
      <w:r>
        <w:rPr>
          <w:szCs w:val="22"/>
        </w:rPr>
        <w:t>Pasitarkite su gydytoju arba vaistininku, prieš pradėdami vartoti Danengo.</w:t>
      </w:r>
      <w:r>
        <w:t xml:space="preserve"> Su gydytoju gali reikėti pasitarti ir gydymo šiuo vaistu metu tuo atveju, jei atsiranda simptomų ar Jums bus atliekama operacija.</w:t>
      </w:r>
    </w:p>
    <w:p w14:paraId="487B8ADD" w14:textId="77777777" w:rsidR="00CB542F" w:rsidRDefault="00CB542F">
      <w:pPr>
        <w:numPr>
          <w:ilvl w:val="12"/>
          <w:numId w:val="0"/>
        </w:numPr>
        <w:rPr>
          <w:noProof/>
        </w:rPr>
      </w:pPr>
    </w:p>
    <w:p w14:paraId="468B23B7" w14:textId="77777777" w:rsidR="00CB542F" w:rsidRDefault="00573A58">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14:paraId="62E5FEBE" w14:textId="77777777" w:rsidR="00CB542F" w:rsidRDefault="00573A58">
      <w:pPr>
        <w:widowControl w:val="0"/>
        <w:numPr>
          <w:ilvl w:val="0"/>
          <w:numId w:val="5"/>
        </w:numPr>
        <w:autoSpaceDE w:val="0"/>
        <w:autoSpaceDN w:val="0"/>
        <w:ind w:left="567" w:hanging="567"/>
        <w:rPr>
          <w:color w:val="000000"/>
          <w:szCs w:val="22"/>
          <w:lang w:val="en-US"/>
        </w:rPr>
      </w:pPr>
      <w:r>
        <w:t>Jeigu padidėjusi kraujavimo rizika, pavyzdžiui:</w:t>
      </w:r>
    </w:p>
    <w:p w14:paraId="2C6AA201"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neseniai patyrėte kraujavimą.</w:t>
      </w:r>
    </w:p>
    <w:p w14:paraId="11D5D82F"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14:paraId="53D3320E"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14:paraId="683418A7"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sergate stemplės ar skrandžio uždegimu.</w:t>
      </w:r>
    </w:p>
    <w:p w14:paraId="31A2A924"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vargina skrandžio sulčių grįžtamasis tekėjimas į stemplę.</w:t>
      </w:r>
    </w:p>
    <w:p w14:paraId="483FA830"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vartojate vaistų, galinčių padidinti kraujavimo riziką. Žr. toliau skyrių „Kiti vaistai ir Danengo“.</w:t>
      </w:r>
    </w:p>
    <w:p w14:paraId="4D2418AC"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vartojate vaistų nuo uždegimo, pavyzdžiui, diklofenako, ibuprofeno, piroksikamo.</w:t>
      </w:r>
    </w:p>
    <w:p w14:paraId="7CD35326"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sergate infekcine širdies liga (bakteriniu endokarditu).</w:t>
      </w:r>
    </w:p>
    <w:p w14:paraId="5229E2BF"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14:paraId="2BECA2AA"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esate vyresnis negu 75 metų.</w:t>
      </w:r>
    </w:p>
    <w:p w14:paraId="30290F1A"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jeigu esate suaugęs pacientas ir sveriate 50 kg arba mažiau.</w:t>
      </w:r>
    </w:p>
    <w:p w14:paraId="32352CE4"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tik vartojant vaikams: jeigu vaikas serga galvos smegenų arba aplinkinių sričių infekcine liga.</w:t>
      </w:r>
    </w:p>
    <w:p w14:paraId="3D07F581" w14:textId="77777777" w:rsidR="00CB542F" w:rsidRDefault="00573A58">
      <w:pPr>
        <w:pStyle w:val="Sraopastraipa"/>
        <w:widowControl w:val="0"/>
        <w:numPr>
          <w:ilvl w:val="0"/>
          <w:numId w:val="5"/>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14:paraId="7562250F" w14:textId="77777777" w:rsidR="00CB542F" w:rsidRDefault="00573A58">
      <w:pPr>
        <w:pStyle w:val="Sraopastraipa"/>
        <w:widowControl w:val="0"/>
        <w:numPr>
          <w:ilvl w:val="0"/>
          <w:numId w:val="5"/>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14:paraId="5134B06D" w14:textId="77777777" w:rsidR="00CB542F" w:rsidRDefault="00CB542F">
      <w:pPr>
        <w:widowControl w:val="0"/>
        <w:autoSpaceDE w:val="0"/>
        <w:autoSpaceDN w:val="0"/>
        <w:rPr>
          <w:color w:val="000000"/>
          <w:szCs w:val="22"/>
          <w:lang w:val="en-US"/>
        </w:rPr>
      </w:pPr>
    </w:p>
    <w:p w14:paraId="6D6128BA" w14:textId="77777777" w:rsidR="00CB542F" w:rsidRDefault="00573A58">
      <w:pPr>
        <w:widowControl w:val="0"/>
        <w:autoSpaceDE w:val="0"/>
        <w:autoSpaceDN w:val="0"/>
        <w:rPr>
          <w:b/>
          <w:bCs/>
        </w:rPr>
      </w:pPr>
      <w:r>
        <w:rPr>
          <w:b/>
          <w:bCs/>
        </w:rPr>
        <w:t>Specialių atsargumo priemonių vartojant Danengo reikia</w:t>
      </w:r>
    </w:p>
    <w:p w14:paraId="43644D53" w14:textId="77777777" w:rsidR="00CB542F" w:rsidRDefault="00573A58">
      <w:pPr>
        <w:widowControl w:val="0"/>
        <w:numPr>
          <w:ilvl w:val="0"/>
          <w:numId w:val="5"/>
        </w:numPr>
        <w:autoSpaceDE w:val="0"/>
        <w:autoSpaceDN w:val="0"/>
        <w:ind w:left="567" w:hanging="567"/>
        <w:rPr>
          <w:color w:val="000000"/>
          <w:szCs w:val="22"/>
          <w:lang w:val="en-US"/>
        </w:rPr>
      </w:pPr>
      <w:r>
        <w:t>Jeigu Jus reikia operuoti:</w:t>
      </w:r>
    </w:p>
    <w:p w14:paraId="79F73666" w14:textId="77777777" w:rsidR="00CB542F" w:rsidRDefault="00573A58">
      <w:pPr>
        <w:widowControl w:val="0"/>
        <w:autoSpaceDE w:val="0"/>
        <w:autoSpaceDN w:val="0"/>
        <w:ind w:left="567"/>
      </w:pPr>
      <w:r>
        <w:t>Tokiu atveju dėl kraujavimo rizikos padidėjimo, operacijos metu ir trumpai po jos Danengo vartojimą turėsite laikinai nutraukti. Labai svarbu prieš operaciją ir po jos vartoti Danengo tiksliai gydytojo nurodytu laiku.</w:t>
      </w:r>
    </w:p>
    <w:p w14:paraId="1BEEF1AD" w14:textId="77777777" w:rsidR="00CB542F" w:rsidRDefault="00573A58">
      <w:pPr>
        <w:widowControl w:val="0"/>
        <w:numPr>
          <w:ilvl w:val="0"/>
          <w:numId w:val="5"/>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14:paraId="38BA2ED3"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labai svarbu prieš operaciją ir po jos vartoti Danengo tiksliai gydytojo nurodytu laiku;</w:t>
      </w:r>
    </w:p>
    <w:p w14:paraId="59A3183D" w14:textId="77777777" w:rsidR="00CB542F" w:rsidRDefault="00573A58">
      <w:pPr>
        <w:pStyle w:val="Sraopastraipa"/>
        <w:widowControl w:val="0"/>
        <w:numPr>
          <w:ilvl w:val="0"/>
          <w:numId w:val="5"/>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14:paraId="60E5AFDA" w14:textId="77777777" w:rsidR="00CB542F" w:rsidRDefault="00573A58">
      <w:pPr>
        <w:pStyle w:val="Sraopastraipa"/>
        <w:widowControl w:val="0"/>
        <w:numPr>
          <w:ilvl w:val="0"/>
          <w:numId w:val="5"/>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14:paraId="66983A46" w14:textId="77777777" w:rsidR="00CB542F" w:rsidRDefault="00573A58">
      <w:pPr>
        <w:pStyle w:val="Sraopastraipa"/>
        <w:widowControl w:val="0"/>
        <w:numPr>
          <w:ilvl w:val="0"/>
          <w:numId w:val="5"/>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14:paraId="790087D6" w14:textId="77777777" w:rsidR="00CB542F" w:rsidRDefault="00CB542F">
      <w:pPr>
        <w:widowControl w:val="0"/>
        <w:autoSpaceDE w:val="0"/>
        <w:autoSpaceDN w:val="0"/>
        <w:ind w:left="567"/>
        <w:rPr>
          <w:color w:val="000000"/>
          <w:szCs w:val="22"/>
          <w:lang w:val="en-US"/>
        </w:rPr>
      </w:pPr>
    </w:p>
    <w:p w14:paraId="246818FA" w14:textId="77777777" w:rsidR="00CB542F" w:rsidRDefault="00573A58">
      <w:pPr>
        <w:widowControl w:val="0"/>
        <w:autoSpaceDE w:val="0"/>
        <w:autoSpaceDN w:val="0"/>
        <w:rPr>
          <w:b/>
          <w:bCs/>
        </w:rPr>
      </w:pPr>
      <w:r>
        <w:rPr>
          <w:b/>
          <w:bCs/>
        </w:rPr>
        <w:t>Kiti vaistai ir Danengo</w:t>
      </w:r>
    </w:p>
    <w:p w14:paraId="4892E897" w14:textId="77777777" w:rsidR="00CB542F" w:rsidRDefault="00573A58">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Danengo ypač svarbu pasakyti gydytojui, jeigu vartojate bet kurį iš toliau išvardytų vaistų:</w:t>
      </w:r>
    </w:p>
    <w:p w14:paraId="46F1C46B" w14:textId="77777777" w:rsidR="00CB542F" w:rsidRDefault="00573A58">
      <w:pPr>
        <w:widowControl w:val="0"/>
        <w:numPr>
          <w:ilvl w:val="0"/>
          <w:numId w:val="5"/>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14:paraId="4409155D" w14:textId="77777777" w:rsidR="00CB542F" w:rsidRDefault="00573A58">
      <w:pPr>
        <w:widowControl w:val="0"/>
        <w:numPr>
          <w:ilvl w:val="0"/>
          <w:numId w:val="5"/>
        </w:numPr>
        <w:autoSpaceDE w:val="0"/>
        <w:autoSpaceDN w:val="0"/>
        <w:ind w:left="567" w:hanging="567"/>
        <w:rPr>
          <w:color w:val="000000"/>
          <w:szCs w:val="22"/>
          <w:lang w:val="en-US"/>
        </w:rPr>
      </w:pPr>
      <w:r>
        <w:t>Vaistų nuo grybelinių ligų (pvz., ketokonazolo, itrakonazolo), išskyrus vartojamus ant odos.</w:t>
      </w:r>
    </w:p>
    <w:p w14:paraId="2B85581E" w14:textId="77777777" w:rsidR="00CB542F" w:rsidRDefault="00573A58">
      <w:pPr>
        <w:widowControl w:val="0"/>
        <w:numPr>
          <w:ilvl w:val="0"/>
          <w:numId w:val="5"/>
        </w:numPr>
        <w:autoSpaceDE w:val="0"/>
        <w:autoSpaceDN w:val="0"/>
        <w:ind w:left="567" w:hanging="567"/>
        <w:rPr>
          <w:color w:val="000000"/>
          <w:szCs w:val="22"/>
          <w:lang w:val="en-US"/>
        </w:rPr>
      </w:pPr>
      <w:r>
        <w:t>Vaistų nuo nenormalaus širdies plakimo (pvz., amjodarono, dronedarono, chinidino, verapamilio);</w:t>
      </w:r>
    </w:p>
    <w:p w14:paraId="35924DBE" w14:textId="77777777" w:rsidR="00CB542F" w:rsidRDefault="00573A58">
      <w:pPr>
        <w:widowControl w:val="0"/>
        <w:numPr>
          <w:ilvl w:val="0"/>
          <w:numId w:val="5"/>
        </w:numPr>
        <w:autoSpaceDE w:val="0"/>
        <w:autoSpaceDN w:val="0"/>
        <w:ind w:left="567" w:hanging="567"/>
        <w:rPr>
          <w:color w:val="000000"/>
          <w:szCs w:val="22"/>
          <w:lang w:val="en-US"/>
        </w:rPr>
      </w:pPr>
      <w:r>
        <w:t>Jeigu vartojate vaistų, kuriuose yra verapamilio, gydytojas gali nurodyti vartoti mažesnę Danengo dozę, atsižvelgdamas į būklę, dėl kurios Jums paskyrė šį vaistą. Taip pat žr. 3 skyrių.</w:t>
      </w:r>
    </w:p>
    <w:p w14:paraId="48BD3981" w14:textId="77777777" w:rsidR="00CB542F" w:rsidRDefault="00573A58">
      <w:pPr>
        <w:widowControl w:val="0"/>
        <w:numPr>
          <w:ilvl w:val="0"/>
          <w:numId w:val="5"/>
        </w:numPr>
        <w:autoSpaceDE w:val="0"/>
        <w:autoSpaceDN w:val="0"/>
        <w:ind w:left="567" w:hanging="567"/>
        <w:rPr>
          <w:color w:val="000000"/>
          <w:szCs w:val="22"/>
          <w:lang w:val="en-US"/>
        </w:rPr>
      </w:pPr>
      <w:r>
        <w:t>Vaistų, vartojamų persodinto organo atmetimo profilaktikai (pvz., takrolimuzo, ciklosporino).</w:t>
      </w:r>
    </w:p>
    <w:p w14:paraId="1E53EEA5" w14:textId="77777777" w:rsidR="00CB542F" w:rsidRDefault="00573A58">
      <w:pPr>
        <w:widowControl w:val="0"/>
        <w:numPr>
          <w:ilvl w:val="0"/>
          <w:numId w:val="5"/>
        </w:numPr>
        <w:autoSpaceDE w:val="0"/>
        <w:autoSpaceDN w:val="0"/>
        <w:ind w:left="567" w:hanging="567"/>
        <w:rPr>
          <w:color w:val="000000"/>
          <w:szCs w:val="22"/>
          <w:lang w:val="en-US"/>
        </w:rPr>
      </w:pPr>
      <w:r>
        <w:t>Sudėtinio glekapreviro ir pibrentasviro vaisto (priešvirusinio vaisto, vartojamo hepatitui C gydyti).</w:t>
      </w:r>
    </w:p>
    <w:p w14:paraId="14F6EF2F" w14:textId="77777777" w:rsidR="00CB542F" w:rsidRDefault="00573A58">
      <w:pPr>
        <w:widowControl w:val="0"/>
        <w:numPr>
          <w:ilvl w:val="0"/>
          <w:numId w:val="5"/>
        </w:numPr>
        <w:autoSpaceDE w:val="0"/>
        <w:autoSpaceDN w:val="0"/>
        <w:ind w:left="567" w:hanging="567"/>
        <w:rPr>
          <w:color w:val="000000"/>
          <w:szCs w:val="22"/>
          <w:lang w:val="en-US"/>
        </w:rPr>
      </w:pPr>
      <w:r>
        <w:t>Vaistų nuo uždegimo ir skausmo (pvz., acetilsalicilo rūgšties, ibuprofeno, diklofenako).</w:t>
      </w:r>
    </w:p>
    <w:p w14:paraId="60429D3D" w14:textId="77777777" w:rsidR="00CB542F" w:rsidRDefault="00573A58">
      <w:pPr>
        <w:widowControl w:val="0"/>
        <w:numPr>
          <w:ilvl w:val="0"/>
          <w:numId w:val="5"/>
        </w:numPr>
        <w:autoSpaceDE w:val="0"/>
        <w:autoSpaceDN w:val="0"/>
        <w:ind w:left="567" w:hanging="567"/>
        <w:rPr>
          <w:color w:val="000000"/>
          <w:szCs w:val="22"/>
          <w:lang w:val="en-US"/>
        </w:rPr>
      </w:pPr>
      <w:r>
        <w:t>Paprastųjų jonažolių (vaistažolių preparatas nuo depresijos).</w:t>
      </w:r>
    </w:p>
    <w:p w14:paraId="76970BB7" w14:textId="77777777" w:rsidR="00CB542F" w:rsidRDefault="00573A58">
      <w:pPr>
        <w:widowControl w:val="0"/>
        <w:numPr>
          <w:ilvl w:val="0"/>
          <w:numId w:val="5"/>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14:paraId="1BA97487" w14:textId="77777777" w:rsidR="00CB542F" w:rsidRDefault="00573A58">
      <w:pPr>
        <w:widowControl w:val="0"/>
        <w:numPr>
          <w:ilvl w:val="0"/>
          <w:numId w:val="5"/>
        </w:numPr>
        <w:autoSpaceDE w:val="0"/>
        <w:autoSpaceDN w:val="0"/>
        <w:ind w:left="567" w:hanging="567"/>
        <w:rPr>
          <w:color w:val="000000"/>
          <w:szCs w:val="22"/>
          <w:lang w:val="en-US"/>
        </w:rPr>
      </w:pPr>
      <w:r>
        <w:t>Rifampicino arba klaritromicino (du antibiotikai).</w:t>
      </w:r>
    </w:p>
    <w:p w14:paraId="4EE81B0F" w14:textId="77777777" w:rsidR="00CB542F" w:rsidRDefault="00573A58">
      <w:pPr>
        <w:widowControl w:val="0"/>
        <w:numPr>
          <w:ilvl w:val="0"/>
          <w:numId w:val="5"/>
        </w:numPr>
        <w:autoSpaceDE w:val="0"/>
        <w:autoSpaceDN w:val="0"/>
        <w:ind w:left="567" w:hanging="567"/>
        <w:rPr>
          <w:color w:val="000000"/>
          <w:szCs w:val="22"/>
          <w:lang w:val="en-US"/>
        </w:rPr>
      </w:pPr>
      <w:r>
        <w:t>Priešvirusinių vaistų nuo AIDS (pvz., ritonaviro).</w:t>
      </w:r>
    </w:p>
    <w:p w14:paraId="3962FB3F" w14:textId="77777777" w:rsidR="00CB542F" w:rsidRDefault="00573A58">
      <w:pPr>
        <w:widowControl w:val="0"/>
        <w:numPr>
          <w:ilvl w:val="0"/>
          <w:numId w:val="5"/>
        </w:numPr>
        <w:autoSpaceDE w:val="0"/>
        <w:autoSpaceDN w:val="0"/>
        <w:ind w:left="567" w:hanging="567"/>
        <w:rPr>
          <w:color w:val="000000"/>
          <w:szCs w:val="22"/>
          <w:lang w:val="en-US"/>
        </w:rPr>
      </w:pPr>
      <w:r>
        <w:t>Tam tikrų vaistų, vartojamų epilepsijai gydyti (pvz., karbamazepino, fenitoino).</w:t>
      </w:r>
    </w:p>
    <w:p w14:paraId="254D6FD6" w14:textId="77777777" w:rsidR="00CB542F" w:rsidRDefault="00CB542F">
      <w:pPr>
        <w:widowControl w:val="0"/>
        <w:autoSpaceDE w:val="0"/>
        <w:autoSpaceDN w:val="0"/>
      </w:pPr>
    </w:p>
    <w:p w14:paraId="26C83751" w14:textId="77777777" w:rsidR="00CB542F" w:rsidRDefault="00573A58">
      <w:pPr>
        <w:widowControl w:val="0"/>
        <w:autoSpaceDE w:val="0"/>
        <w:autoSpaceDN w:val="0"/>
        <w:rPr>
          <w:b/>
          <w:bCs/>
        </w:rPr>
      </w:pPr>
      <w:r>
        <w:rPr>
          <w:b/>
          <w:bCs/>
        </w:rPr>
        <w:t>Nėštumas ir žindymo laikotarpis</w:t>
      </w:r>
    </w:p>
    <w:p w14:paraId="69FED858" w14:textId="77777777" w:rsidR="00CB542F" w:rsidRDefault="00573A58">
      <w:pPr>
        <w:widowControl w:val="0"/>
        <w:autoSpaceDE w:val="0"/>
        <w:autoSpaceDN w:val="0"/>
      </w:pPr>
      <w:r>
        <w:t>Danengo poveikis nėštumo eigai ir dar negimusiam vaikui nežinomas. Jeigu esate nėščia, šio vaisto vartoti negalima, išskyrus tuos atvejus, kai Jūsų gydytojas pasako, jog vaisto vartoti yra saugu. Jeigu esate vaisinga moteris, Danengo vartojimo metu turite saugotis nuo pastojimo.</w:t>
      </w:r>
    </w:p>
    <w:p w14:paraId="70BE9177" w14:textId="77777777" w:rsidR="00CB542F" w:rsidRDefault="00CB542F">
      <w:pPr>
        <w:widowControl w:val="0"/>
        <w:autoSpaceDE w:val="0"/>
        <w:autoSpaceDN w:val="0"/>
      </w:pPr>
    </w:p>
    <w:p w14:paraId="59DF78D7" w14:textId="77777777" w:rsidR="00CB542F" w:rsidRDefault="00573A58">
      <w:pPr>
        <w:widowControl w:val="0"/>
        <w:autoSpaceDE w:val="0"/>
        <w:autoSpaceDN w:val="0"/>
      </w:pPr>
      <w:r>
        <w:t>Danengo vartojimo metu kūdikio žindyti negalima.</w:t>
      </w:r>
    </w:p>
    <w:p w14:paraId="6D2BBE9F" w14:textId="77777777" w:rsidR="00CB542F" w:rsidRDefault="00CB542F">
      <w:pPr>
        <w:widowControl w:val="0"/>
        <w:autoSpaceDE w:val="0"/>
        <w:autoSpaceDN w:val="0"/>
      </w:pPr>
    </w:p>
    <w:p w14:paraId="423CD6E4" w14:textId="77777777" w:rsidR="00CB542F" w:rsidRDefault="00573A58">
      <w:pPr>
        <w:widowControl w:val="0"/>
        <w:autoSpaceDE w:val="0"/>
        <w:autoSpaceDN w:val="0"/>
        <w:rPr>
          <w:b/>
          <w:bCs/>
        </w:rPr>
      </w:pPr>
      <w:r>
        <w:rPr>
          <w:b/>
          <w:bCs/>
        </w:rPr>
        <w:t>Vairavimas ir mechanizmų valdymas</w:t>
      </w:r>
    </w:p>
    <w:p w14:paraId="330CCFDB" w14:textId="77777777" w:rsidR="00CB542F" w:rsidRDefault="00573A58">
      <w:pPr>
        <w:widowControl w:val="0"/>
        <w:autoSpaceDE w:val="0"/>
        <w:autoSpaceDN w:val="0"/>
      </w:pPr>
      <w:r>
        <w:t>Danengo žinomo poveikio gebėjimui vairuoti ir valdyti mechanizmus nedaro.</w:t>
      </w:r>
    </w:p>
    <w:p w14:paraId="0D8ED509" w14:textId="77777777" w:rsidR="00CB542F" w:rsidRDefault="00CB542F">
      <w:pPr>
        <w:widowControl w:val="0"/>
        <w:autoSpaceDE w:val="0"/>
        <w:autoSpaceDN w:val="0"/>
        <w:rPr>
          <w:color w:val="000000"/>
          <w:szCs w:val="22"/>
          <w:lang w:val="en-US"/>
        </w:rPr>
      </w:pPr>
    </w:p>
    <w:p w14:paraId="3B8F70E5" w14:textId="77777777" w:rsidR="00CB542F" w:rsidRDefault="00CB542F">
      <w:pPr>
        <w:widowControl w:val="0"/>
        <w:autoSpaceDE w:val="0"/>
        <w:autoSpaceDN w:val="0"/>
        <w:rPr>
          <w:color w:val="000000"/>
          <w:szCs w:val="22"/>
          <w:lang w:val="en-US"/>
        </w:rPr>
      </w:pPr>
    </w:p>
    <w:p w14:paraId="08EAC4A1" w14:textId="77777777" w:rsidR="00CB542F" w:rsidRDefault="00573A58">
      <w:pPr>
        <w:numPr>
          <w:ilvl w:val="12"/>
          <w:numId w:val="0"/>
        </w:numPr>
        <w:ind w:left="567" w:hanging="567"/>
        <w:outlineLvl w:val="0"/>
        <w:rPr>
          <w:b/>
          <w:caps/>
          <w:noProof/>
        </w:rPr>
      </w:pPr>
      <w:r>
        <w:rPr>
          <w:b/>
          <w:noProof/>
        </w:rPr>
        <w:t>3.</w:t>
      </w:r>
      <w:r>
        <w:rPr>
          <w:b/>
          <w:noProof/>
        </w:rPr>
        <w:tab/>
      </w:r>
      <w:r>
        <w:rPr>
          <w:b/>
        </w:rPr>
        <w:t xml:space="preserve">Kaip vartoti </w:t>
      </w:r>
      <w:r>
        <w:rPr>
          <w:b/>
          <w:noProof/>
        </w:rPr>
        <w:t>Danengo</w:t>
      </w:r>
    </w:p>
    <w:p w14:paraId="31861A3F" w14:textId="77777777" w:rsidR="00CB542F" w:rsidRDefault="00CB542F">
      <w:pPr>
        <w:ind w:left="567" w:hanging="567"/>
        <w:rPr>
          <w:noProof/>
        </w:rPr>
      </w:pPr>
    </w:p>
    <w:p w14:paraId="00A9C0DA" w14:textId="77777777" w:rsidR="00CB542F" w:rsidRDefault="00573A58">
      <w:r>
        <w:t>Danengo kapsules galima skirti suaugusiesiems ir 8 metų arba vyresniems vaikams, kurie gali nuryti visą kapsulę.</w:t>
      </w:r>
    </w:p>
    <w:p w14:paraId="0B581622" w14:textId="77777777" w:rsidR="00CB542F" w:rsidRDefault="00CB542F"/>
    <w:p w14:paraId="4D55CCE6" w14:textId="77777777" w:rsidR="00CB542F" w:rsidRDefault="00573A58">
      <w:r>
        <w:t>Jaunesniems kaip 8 metų amžiaus vaikams vaistas tiekiamas kitomis tinkamomis dozavimo formomis.</w:t>
      </w:r>
    </w:p>
    <w:p w14:paraId="6FA281E2" w14:textId="77777777" w:rsidR="00CB542F" w:rsidRDefault="00CB542F"/>
    <w:p w14:paraId="485DBA08" w14:textId="77777777" w:rsidR="00CB542F" w:rsidRDefault="00573A58">
      <w:r>
        <w:t>Visada vartokite šį vaistą tiksliai, kaip nurodė gydytojas. Jeigu abejojate, kreipkitės į gydytoją.</w:t>
      </w:r>
    </w:p>
    <w:p w14:paraId="4EB6935B" w14:textId="77777777" w:rsidR="00CB542F" w:rsidRDefault="00CB542F">
      <w:pPr>
        <w:rPr>
          <w:noProof/>
        </w:rPr>
      </w:pPr>
    </w:p>
    <w:p w14:paraId="4D3FEAB7" w14:textId="77777777" w:rsidR="00CB542F" w:rsidRDefault="00573A58">
      <w:pPr>
        <w:numPr>
          <w:ilvl w:val="12"/>
          <w:numId w:val="0"/>
        </w:numPr>
        <w:ind w:right="-2"/>
        <w:rPr>
          <w:b/>
          <w:bCs/>
        </w:rPr>
      </w:pPr>
      <w:r>
        <w:rPr>
          <w:b/>
          <w:bCs/>
        </w:rPr>
        <w:t>Žemiau nurodytų būklių atveju Danengo vartokite taip, kaip rekomenduojama.</w:t>
      </w:r>
    </w:p>
    <w:p w14:paraId="281C5476" w14:textId="77777777" w:rsidR="00CB542F" w:rsidRDefault="00CB542F">
      <w:pPr>
        <w:numPr>
          <w:ilvl w:val="12"/>
          <w:numId w:val="0"/>
        </w:numPr>
        <w:ind w:right="-2"/>
      </w:pPr>
    </w:p>
    <w:p w14:paraId="61E0EE82" w14:textId="77777777" w:rsidR="00CB542F" w:rsidRDefault="00573A58">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14:paraId="0D2AE18C" w14:textId="77777777" w:rsidR="00CB542F" w:rsidRDefault="00CB542F">
      <w:pPr>
        <w:numPr>
          <w:ilvl w:val="12"/>
          <w:numId w:val="0"/>
        </w:numPr>
        <w:ind w:right="-2"/>
      </w:pPr>
    </w:p>
    <w:p w14:paraId="411B760D" w14:textId="77777777" w:rsidR="00CB542F" w:rsidRDefault="00573A58">
      <w:pPr>
        <w:numPr>
          <w:ilvl w:val="12"/>
          <w:numId w:val="0"/>
        </w:numPr>
        <w:ind w:right="-2"/>
      </w:pPr>
      <w:r>
        <w:t xml:space="preserve">Rekomenduojama dozė yra 300 mg, t. y. Jums reikia vartoti po </w:t>
      </w:r>
      <w:r>
        <w:rPr>
          <w:b/>
          <w:bCs/>
        </w:rPr>
        <w:t>vieną 150 mg kapsulę 2 kartus per parą</w:t>
      </w:r>
      <w:r>
        <w:t>.</w:t>
      </w:r>
    </w:p>
    <w:p w14:paraId="558CA16B" w14:textId="77777777" w:rsidR="00CB542F" w:rsidRDefault="00CB542F">
      <w:pPr>
        <w:numPr>
          <w:ilvl w:val="12"/>
          <w:numId w:val="0"/>
        </w:numPr>
        <w:ind w:right="-2"/>
      </w:pPr>
    </w:p>
    <w:p w14:paraId="0F1977C4" w14:textId="77777777" w:rsidR="00CB542F" w:rsidRDefault="00573A58">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14:paraId="5F145146" w14:textId="77777777" w:rsidR="00CB542F" w:rsidRDefault="00CB542F">
      <w:pPr>
        <w:numPr>
          <w:ilvl w:val="12"/>
          <w:numId w:val="0"/>
        </w:numPr>
        <w:ind w:right="-2"/>
      </w:pPr>
    </w:p>
    <w:p w14:paraId="297ED7AD" w14:textId="77777777" w:rsidR="00CB542F" w:rsidRDefault="00573A58">
      <w:pPr>
        <w:numPr>
          <w:ilvl w:val="12"/>
          <w:numId w:val="0"/>
        </w:numPr>
        <w:ind w:right="-2"/>
      </w:pPr>
      <w:r>
        <w:t xml:space="preserve">Jeigu vartojate </w:t>
      </w:r>
      <w:r>
        <w:rPr>
          <w:b/>
          <w:bCs/>
        </w:rPr>
        <w:t>vaistų, kuriuose yra verapamilio</w:t>
      </w:r>
      <w:r>
        <w:t xml:space="preserve">, Jus turi gydyti mažesne 220 mg Danengo doze, t. y. turite gerti po </w:t>
      </w:r>
      <w:r>
        <w:rPr>
          <w:b/>
          <w:bCs/>
        </w:rPr>
        <w:t>vieną 110 mg kapsulę 2 kartus per parą</w:t>
      </w:r>
      <w:r>
        <w:t>, kadangi tokiu atveju gali padidėti kraujavimo rizika.</w:t>
      </w:r>
    </w:p>
    <w:p w14:paraId="0224DB3F" w14:textId="77777777" w:rsidR="00CB542F" w:rsidRDefault="00CB542F">
      <w:pPr>
        <w:numPr>
          <w:ilvl w:val="12"/>
          <w:numId w:val="0"/>
        </w:numPr>
        <w:ind w:right="-2"/>
      </w:pPr>
    </w:p>
    <w:p w14:paraId="5AFBB9BB" w14:textId="77777777" w:rsidR="00CB542F" w:rsidRDefault="00573A58">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14:paraId="06111D78" w14:textId="77777777" w:rsidR="00CB542F" w:rsidRDefault="00CB542F">
      <w:pPr>
        <w:numPr>
          <w:ilvl w:val="12"/>
          <w:numId w:val="0"/>
        </w:numPr>
        <w:ind w:right="-2"/>
      </w:pPr>
    </w:p>
    <w:p w14:paraId="59A4499A" w14:textId="77777777" w:rsidR="00CB542F" w:rsidRDefault="00573A58">
      <w:pPr>
        <w:numPr>
          <w:ilvl w:val="12"/>
          <w:numId w:val="0"/>
        </w:numPr>
        <w:ind w:right="-2"/>
      </w:pPr>
      <w:r>
        <w:t>Galite toliau vartoti šį vaistą, jeigu numatoma atstatyti normalų Jūsų širdies plakimą taikant procedūrą, vadinamą kardioversija, arba procedūrą, vadinamą prieširdžių virpėjimo kateterine abliacija. Vartokite Danengo tiksliai, kaip nurodė gydytojas.</w:t>
      </w:r>
    </w:p>
    <w:p w14:paraId="0EA87DF4" w14:textId="77777777" w:rsidR="00CB542F" w:rsidRDefault="00CB542F">
      <w:pPr>
        <w:numPr>
          <w:ilvl w:val="12"/>
          <w:numId w:val="0"/>
        </w:numPr>
        <w:ind w:right="-2"/>
      </w:pPr>
    </w:p>
    <w:p w14:paraId="70F4A76B" w14:textId="77777777" w:rsidR="00CB542F" w:rsidRDefault="00573A58">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Danengo, po to kai Jūsų gydytojas nuspręs, kad pasiekta normali kraujo krešėjimo kontrolė. Vartokite Danengo tiksliai, kaip nurodė gydytojas.</w:t>
      </w:r>
    </w:p>
    <w:p w14:paraId="74C7B365" w14:textId="77777777" w:rsidR="00CB542F" w:rsidRDefault="00CB542F">
      <w:pPr>
        <w:numPr>
          <w:ilvl w:val="12"/>
          <w:numId w:val="0"/>
        </w:numPr>
        <w:ind w:right="-2"/>
      </w:pPr>
    </w:p>
    <w:p w14:paraId="2C3A2FE4" w14:textId="77777777" w:rsidR="00CB542F" w:rsidRDefault="00573A58">
      <w:pPr>
        <w:numPr>
          <w:ilvl w:val="12"/>
          <w:numId w:val="0"/>
        </w:numPr>
        <w:ind w:right="-2"/>
        <w:rPr>
          <w:u w:val="single"/>
        </w:rPr>
      </w:pPr>
      <w:r>
        <w:rPr>
          <w:u w:val="single"/>
        </w:rPr>
        <w:t>Kraujo krešulių gydymas ir kraujo krešulių kartotinio susidarymo profilaktika vaikams</w:t>
      </w:r>
    </w:p>
    <w:p w14:paraId="4F4BFD97" w14:textId="77777777" w:rsidR="00CB542F" w:rsidRDefault="00CB542F">
      <w:pPr>
        <w:numPr>
          <w:ilvl w:val="12"/>
          <w:numId w:val="0"/>
        </w:numPr>
        <w:ind w:right="-2"/>
      </w:pPr>
    </w:p>
    <w:p w14:paraId="314C79CD" w14:textId="77777777" w:rsidR="00CB542F" w:rsidRDefault="00573A58">
      <w:pPr>
        <w:numPr>
          <w:ilvl w:val="12"/>
          <w:numId w:val="0"/>
        </w:numPr>
        <w:ind w:right="-2"/>
      </w:pPr>
      <w:r>
        <w:rPr>
          <w:b/>
          <w:bCs/>
        </w:rPr>
        <w:t>Danengo reikia vartoti du kartus per parą</w:t>
      </w:r>
      <w:r>
        <w:t>: vieną dozę ryte ir vieną dozę vakare, kasdien maždaug tuo pačiu paros laiku. Kiek įmanoma, reikia siekti išlaikyti maždaug 12 valandų dozavimo intervalą.</w:t>
      </w:r>
    </w:p>
    <w:p w14:paraId="5DE96F2F" w14:textId="77777777" w:rsidR="00CB542F" w:rsidRDefault="00CB542F">
      <w:pPr>
        <w:numPr>
          <w:ilvl w:val="12"/>
          <w:numId w:val="0"/>
        </w:numPr>
        <w:ind w:right="-2"/>
      </w:pPr>
    </w:p>
    <w:p w14:paraId="5F5B4360" w14:textId="77777777" w:rsidR="00CB542F" w:rsidRDefault="00573A58">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14:paraId="4B34A9E4" w14:textId="77777777" w:rsidR="00CB542F" w:rsidRDefault="00CB542F">
      <w:pPr>
        <w:numPr>
          <w:ilvl w:val="12"/>
          <w:numId w:val="0"/>
        </w:numPr>
        <w:ind w:right="-2"/>
      </w:pPr>
    </w:p>
    <w:p w14:paraId="3E667EDF" w14:textId="77777777" w:rsidR="00CB542F" w:rsidRDefault="00573A58">
      <w:pPr>
        <w:numPr>
          <w:ilvl w:val="12"/>
          <w:numId w:val="0"/>
        </w:numPr>
        <w:ind w:right="-2"/>
      </w:pPr>
      <w:r>
        <w:t>1 lentelėje nurodytos Danengo vienkartinė ir suminė paros dozės miligramais (mg). Dozės priklauso nuo paciento kūno svorio kilogramais (kg) ir amžiaus metais.</w:t>
      </w:r>
    </w:p>
    <w:p w14:paraId="7D1E1231" w14:textId="77777777" w:rsidR="00CB542F" w:rsidRDefault="00CB542F">
      <w:pPr>
        <w:numPr>
          <w:ilvl w:val="12"/>
          <w:numId w:val="0"/>
        </w:numPr>
        <w:ind w:right="-2"/>
      </w:pPr>
    </w:p>
    <w:p w14:paraId="05ACD232" w14:textId="77777777" w:rsidR="00CB542F" w:rsidRDefault="00573A58">
      <w:pPr>
        <w:numPr>
          <w:ilvl w:val="12"/>
          <w:numId w:val="0"/>
        </w:numPr>
        <w:ind w:right="-2"/>
      </w:pPr>
      <w:r>
        <w:t>1 lentelė. Danengo kapsulių dozavimo lentelė</w:t>
      </w:r>
    </w:p>
    <w:p w14:paraId="52088D52" w14:textId="77777777" w:rsidR="00CB542F" w:rsidRDefault="00CB542F">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CB542F" w14:paraId="45C6C6AC" w14:textId="77777777">
        <w:trPr>
          <w:trHeight w:val="253"/>
        </w:trPr>
        <w:tc>
          <w:tcPr>
            <w:tcW w:w="2431" w:type="pct"/>
            <w:gridSpan w:val="2"/>
            <w:shd w:val="clear" w:color="auto" w:fill="auto"/>
          </w:tcPr>
          <w:p w14:paraId="2D2275BB" w14:textId="77777777" w:rsidR="00CB542F" w:rsidRDefault="00573A58">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14:paraId="1E0B52D7" w14:textId="77777777" w:rsidR="00CB542F" w:rsidRDefault="00573A58">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14:paraId="3375B5A8" w14:textId="77777777" w:rsidR="00CB542F" w:rsidRDefault="00573A58">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CB542F" w14:paraId="51A1DDC9" w14:textId="77777777">
        <w:trPr>
          <w:trHeight w:val="251"/>
        </w:trPr>
        <w:tc>
          <w:tcPr>
            <w:tcW w:w="1215" w:type="pct"/>
            <w:shd w:val="clear" w:color="auto" w:fill="auto"/>
          </w:tcPr>
          <w:p w14:paraId="75C089C0" w14:textId="77777777" w:rsidR="00CB542F" w:rsidRDefault="00573A58">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14:paraId="76717FB6" w14:textId="77777777" w:rsidR="00CB542F" w:rsidRDefault="00573A58">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14:paraId="7B3D57C8" w14:textId="77777777" w:rsidR="00CB542F" w:rsidRDefault="00CB542F">
            <w:pPr>
              <w:widowControl w:val="0"/>
              <w:autoSpaceDE w:val="0"/>
              <w:autoSpaceDN w:val="0"/>
              <w:rPr>
                <w:rFonts w:eastAsia="Calibri"/>
                <w:sz w:val="2"/>
                <w:szCs w:val="2"/>
                <w:lang w:val="en-US"/>
              </w:rPr>
            </w:pPr>
          </w:p>
        </w:tc>
        <w:tc>
          <w:tcPr>
            <w:tcW w:w="1257" w:type="pct"/>
            <w:vMerge/>
            <w:tcBorders>
              <w:top w:val="nil"/>
            </w:tcBorders>
            <w:shd w:val="clear" w:color="auto" w:fill="auto"/>
          </w:tcPr>
          <w:p w14:paraId="7B5D9ECB" w14:textId="77777777" w:rsidR="00CB542F" w:rsidRDefault="00CB542F">
            <w:pPr>
              <w:widowControl w:val="0"/>
              <w:autoSpaceDE w:val="0"/>
              <w:autoSpaceDN w:val="0"/>
              <w:rPr>
                <w:rFonts w:eastAsia="Calibri"/>
                <w:sz w:val="2"/>
                <w:szCs w:val="2"/>
                <w:lang w:val="en-US"/>
              </w:rPr>
            </w:pPr>
          </w:p>
        </w:tc>
      </w:tr>
      <w:tr w:rsidR="00CB542F" w14:paraId="6241E98E" w14:textId="77777777">
        <w:trPr>
          <w:trHeight w:val="254"/>
        </w:trPr>
        <w:tc>
          <w:tcPr>
            <w:tcW w:w="1215" w:type="pct"/>
            <w:shd w:val="clear" w:color="auto" w:fill="auto"/>
          </w:tcPr>
          <w:p w14:paraId="49C65497"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14:paraId="58A80643" w14:textId="77777777" w:rsidR="00CB542F" w:rsidRDefault="00573A58">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14:paraId="41051746"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14:paraId="7B5AB796"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CB542F" w14:paraId="2BC1A379" w14:textId="77777777">
        <w:trPr>
          <w:trHeight w:val="253"/>
        </w:trPr>
        <w:tc>
          <w:tcPr>
            <w:tcW w:w="1215" w:type="pct"/>
            <w:shd w:val="clear" w:color="auto" w:fill="auto"/>
          </w:tcPr>
          <w:p w14:paraId="15A9D45D"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14:paraId="2F44BD37" w14:textId="77777777" w:rsidR="00CB542F" w:rsidRDefault="00573A58">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14:paraId="7B1BC11E"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72CC8971"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CB542F" w14:paraId="5266BD60" w14:textId="77777777">
        <w:trPr>
          <w:trHeight w:val="251"/>
        </w:trPr>
        <w:tc>
          <w:tcPr>
            <w:tcW w:w="1215" w:type="pct"/>
            <w:shd w:val="clear" w:color="auto" w:fill="auto"/>
          </w:tcPr>
          <w:p w14:paraId="3EA91054"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14:paraId="76E44945" w14:textId="77777777" w:rsidR="00CB542F" w:rsidRDefault="00573A58">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14:paraId="2EDBC558"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402E7C63"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CB542F" w14:paraId="7CCA97BF" w14:textId="77777777">
        <w:trPr>
          <w:trHeight w:val="253"/>
        </w:trPr>
        <w:tc>
          <w:tcPr>
            <w:tcW w:w="1215" w:type="pct"/>
            <w:shd w:val="clear" w:color="auto" w:fill="auto"/>
          </w:tcPr>
          <w:p w14:paraId="4A7BFCCB"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14:paraId="119DC753" w14:textId="77777777" w:rsidR="00CB542F" w:rsidRDefault="00573A58">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14:paraId="6CF46AE1"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77B52EA0"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CB542F" w14:paraId="35F0C954" w14:textId="77777777">
        <w:trPr>
          <w:trHeight w:val="251"/>
        </w:trPr>
        <w:tc>
          <w:tcPr>
            <w:tcW w:w="1215" w:type="pct"/>
            <w:shd w:val="clear" w:color="auto" w:fill="auto"/>
          </w:tcPr>
          <w:p w14:paraId="032C82AF"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 xml:space="preserve">nuo 26 </w:t>
            </w:r>
            <w:r>
              <w:rPr>
                <w:szCs w:val="22"/>
                <w:lang w:val="sl-SI" w:eastAsia="sl-SI"/>
              </w:rPr>
              <w:t>iki mažiau kaip</w:t>
            </w:r>
            <w:r>
              <w:rPr>
                <w:rFonts w:eastAsia="Calibri"/>
                <w:szCs w:val="22"/>
                <w:lang w:val="en-US"/>
              </w:rPr>
              <w:t xml:space="preserve"> 31 kg</w:t>
            </w:r>
          </w:p>
        </w:tc>
        <w:tc>
          <w:tcPr>
            <w:tcW w:w="1216" w:type="pct"/>
            <w:shd w:val="clear" w:color="auto" w:fill="auto"/>
          </w:tcPr>
          <w:p w14:paraId="5D9E36A2" w14:textId="77777777" w:rsidR="00CB542F" w:rsidRDefault="00573A58">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19A2D480"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16BEEF58"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CB542F" w14:paraId="399CDADC" w14:textId="77777777">
        <w:trPr>
          <w:trHeight w:val="253"/>
        </w:trPr>
        <w:tc>
          <w:tcPr>
            <w:tcW w:w="1215" w:type="pct"/>
            <w:shd w:val="clear" w:color="auto" w:fill="auto"/>
          </w:tcPr>
          <w:p w14:paraId="7168647E"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14:paraId="4CE432D4" w14:textId="77777777" w:rsidR="00CB542F" w:rsidRDefault="00573A58">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697ECEFF"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14:paraId="40D800A0"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CB542F" w14:paraId="2CD7A024" w14:textId="77777777">
        <w:trPr>
          <w:trHeight w:val="251"/>
        </w:trPr>
        <w:tc>
          <w:tcPr>
            <w:tcW w:w="1215" w:type="pct"/>
            <w:shd w:val="clear" w:color="auto" w:fill="auto"/>
          </w:tcPr>
          <w:p w14:paraId="5184F081"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14:paraId="740B62BF" w14:textId="77777777" w:rsidR="00CB542F" w:rsidRDefault="00573A58">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73D82A13"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14:paraId="46D3224C"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CB542F" w14:paraId="25ABEF9E" w14:textId="77777777">
        <w:trPr>
          <w:trHeight w:val="254"/>
        </w:trPr>
        <w:tc>
          <w:tcPr>
            <w:tcW w:w="1215" w:type="pct"/>
            <w:shd w:val="clear" w:color="auto" w:fill="auto"/>
          </w:tcPr>
          <w:p w14:paraId="67275972"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14:paraId="6B9F587B" w14:textId="77777777" w:rsidR="00CB542F" w:rsidRDefault="00573A58">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5B12605E"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14:paraId="6B07CF63"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CB542F" w14:paraId="57A09574" w14:textId="77777777">
        <w:trPr>
          <w:trHeight w:val="253"/>
        </w:trPr>
        <w:tc>
          <w:tcPr>
            <w:tcW w:w="1215" w:type="pct"/>
            <w:shd w:val="clear" w:color="auto" w:fill="auto"/>
          </w:tcPr>
          <w:p w14:paraId="5014548B"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14:paraId="36FC31A9" w14:textId="77777777" w:rsidR="00CB542F" w:rsidRDefault="00573A58">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14:paraId="040A0015"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0EB1D762"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CB542F" w14:paraId="5BC0E854" w14:textId="77777777">
        <w:trPr>
          <w:trHeight w:val="251"/>
        </w:trPr>
        <w:tc>
          <w:tcPr>
            <w:tcW w:w="1215" w:type="pct"/>
            <w:shd w:val="clear" w:color="auto" w:fill="auto"/>
          </w:tcPr>
          <w:p w14:paraId="46926E96" w14:textId="77777777" w:rsidR="00CB542F" w:rsidRDefault="00573A58">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14:paraId="7AA95C76" w14:textId="77777777" w:rsidR="00CB542F" w:rsidRDefault="00573A58">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4E4D1141"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7D9BC426" w14:textId="77777777" w:rsidR="00CB542F" w:rsidRDefault="00573A58">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CB542F" w14:paraId="20DA25B2" w14:textId="77777777">
        <w:trPr>
          <w:trHeight w:val="253"/>
        </w:trPr>
        <w:tc>
          <w:tcPr>
            <w:tcW w:w="1215" w:type="pct"/>
            <w:shd w:val="clear" w:color="auto" w:fill="auto"/>
          </w:tcPr>
          <w:p w14:paraId="129DC88B" w14:textId="77777777" w:rsidR="00CB542F" w:rsidRDefault="00573A58">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14:paraId="4A2330CC" w14:textId="77777777" w:rsidR="00CB542F" w:rsidRDefault="00573A58">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14:paraId="4313D3B5"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6AAD992C" w14:textId="77777777" w:rsidR="00CB542F" w:rsidRDefault="00573A58">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6BE4E90A" w14:textId="77777777" w:rsidR="00CB542F" w:rsidRDefault="00573A58">
      <w:pPr>
        <w:numPr>
          <w:ilvl w:val="12"/>
          <w:numId w:val="0"/>
        </w:numPr>
        <w:ind w:right="-2"/>
      </w:pPr>
      <w:r>
        <w:t>Vienkartinės dozės, kurioms reikia vartoti daugiau kaip vieną kapsulę:</w:t>
      </w:r>
    </w:p>
    <w:p w14:paraId="47CD1A7F" w14:textId="77777777" w:rsidR="00CB542F" w:rsidRDefault="00573A58">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227E4957" w14:textId="77777777" w:rsidR="00CB542F" w:rsidRDefault="00573A58">
      <w:pPr>
        <w:widowControl w:val="0"/>
        <w:autoSpaceDE w:val="0"/>
        <w:autoSpaceDN w:val="0"/>
        <w:spacing w:line="252" w:lineRule="exact"/>
        <w:ind w:left="1351"/>
        <w:rPr>
          <w:szCs w:val="22"/>
          <w:lang w:val="en-US"/>
        </w:rPr>
      </w:pPr>
      <w:r>
        <w:rPr>
          <w:szCs w:val="22"/>
          <w:lang w:val="en-US"/>
        </w:rPr>
        <w:lastRenderedPageBreak/>
        <w:t>keturios 75 mg kapsulės</w:t>
      </w:r>
    </w:p>
    <w:p w14:paraId="61D041DB" w14:textId="77777777" w:rsidR="00CB542F" w:rsidRDefault="00573A58">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viena110 mg plius viena 150 mg kapsulė arba</w:t>
      </w:r>
    </w:p>
    <w:p w14:paraId="0D7B51B1" w14:textId="77777777" w:rsidR="00CB542F" w:rsidRDefault="00573A58">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14:paraId="4EF9B2B1" w14:textId="77777777" w:rsidR="00CB542F" w:rsidRDefault="00573A58">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5C48FD67" w14:textId="77777777" w:rsidR="00CB542F" w:rsidRDefault="00573A58">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w:t>
      </w:r>
    </w:p>
    <w:p w14:paraId="772E2EBB" w14:textId="77777777" w:rsidR="00CB542F" w:rsidRDefault="00573A58">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14:paraId="41C3C5BA" w14:textId="77777777" w:rsidR="00CB542F" w:rsidRDefault="00573A58">
      <w:pPr>
        <w:widowControl w:val="0"/>
        <w:tabs>
          <w:tab w:val="left" w:pos="1351"/>
        </w:tabs>
        <w:autoSpaceDE w:val="0"/>
        <w:autoSpaceDN w:val="0"/>
        <w:ind w:left="218" w:right="1871"/>
        <w:rPr>
          <w:szCs w:val="22"/>
          <w:lang w:val="en-US"/>
        </w:rPr>
      </w:pPr>
      <w:r>
        <w:rPr>
          <w:szCs w:val="22"/>
          <w:lang w:val="en-US"/>
        </w:rPr>
        <w:tab/>
        <w:t>dvi 75 mg kapsulės</w:t>
      </w:r>
    </w:p>
    <w:p w14:paraId="0E854BE9" w14:textId="77777777" w:rsidR="00CB542F" w:rsidRDefault="00CB542F">
      <w:pPr>
        <w:numPr>
          <w:ilvl w:val="12"/>
          <w:numId w:val="0"/>
        </w:numPr>
        <w:ind w:right="-2"/>
      </w:pPr>
    </w:p>
    <w:p w14:paraId="2ABDED3B" w14:textId="77777777" w:rsidR="00CB542F" w:rsidRDefault="00573A58">
      <w:pPr>
        <w:numPr>
          <w:ilvl w:val="12"/>
          <w:numId w:val="0"/>
        </w:numPr>
        <w:ind w:right="-2"/>
        <w:rPr>
          <w:b/>
          <w:bCs/>
        </w:rPr>
      </w:pPr>
      <w:r>
        <w:rPr>
          <w:b/>
          <w:bCs/>
        </w:rPr>
        <w:t>Kaip vartoti Danengo</w:t>
      </w:r>
    </w:p>
    <w:p w14:paraId="5342C421" w14:textId="77777777" w:rsidR="00CB542F" w:rsidRDefault="00573A58">
      <w:pPr>
        <w:numPr>
          <w:ilvl w:val="12"/>
          <w:numId w:val="0"/>
        </w:numPr>
        <w:ind w:right="-2"/>
      </w:pPr>
      <w:r>
        <w:t>Danengo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14:paraId="436AFBB5" w14:textId="77777777" w:rsidR="00CB542F" w:rsidRDefault="00CB542F">
      <w:pPr>
        <w:numPr>
          <w:ilvl w:val="12"/>
          <w:numId w:val="0"/>
        </w:numPr>
        <w:ind w:right="-2"/>
      </w:pPr>
    </w:p>
    <w:p w14:paraId="7A4720CC" w14:textId="77777777" w:rsidR="00CB542F" w:rsidRDefault="00573A58">
      <w:pPr>
        <w:numPr>
          <w:ilvl w:val="12"/>
          <w:numId w:val="0"/>
        </w:numPr>
        <w:ind w:right="-2"/>
        <w:rPr>
          <w:b/>
        </w:rPr>
      </w:pPr>
      <w:r>
        <w:rPr>
          <w:b/>
        </w:rPr>
        <w:t>Lizdinės plokštelės atidarymo instrukcija</w:t>
      </w:r>
    </w:p>
    <w:p w14:paraId="15C22E58" w14:textId="77777777" w:rsidR="00CB542F" w:rsidRDefault="00573A58">
      <w:pPr>
        <w:numPr>
          <w:ilvl w:val="12"/>
          <w:numId w:val="0"/>
        </w:numPr>
        <w:ind w:right="-2"/>
      </w:pPr>
      <w:r>
        <w:t>Šios piktogramos parodo, kaip Danengo kapsules išimti iš lizdinės plokštelės.</w:t>
      </w:r>
    </w:p>
    <w:p w14:paraId="55789FBD" w14:textId="77777777" w:rsidR="00CB542F" w:rsidRDefault="00CB542F">
      <w:pPr>
        <w:numPr>
          <w:ilvl w:val="12"/>
          <w:numId w:val="0"/>
        </w:numPr>
        <w:ind w:right="-2"/>
        <w:rPr>
          <w:noProof/>
        </w:rPr>
      </w:pPr>
    </w:p>
    <w:p w14:paraId="0F94F13A" w14:textId="77777777" w:rsidR="00CB542F" w:rsidRDefault="00573A58">
      <w:pPr>
        <w:numPr>
          <w:ilvl w:val="12"/>
          <w:numId w:val="0"/>
        </w:numPr>
        <w:ind w:right="-2"/>
        <w:rPr>
          <w:noProof/>
        </w:rPr>
      </w:pPr>
      <w:r>
        <w:rPr>
          <w:noProof/>
        </w:rPr>
        <w:t>Norėdami išimti kapsulę iš lizdinės plokštelės:</w:t>
      </w:r>
    </w:p>
    <w:p w14:paraId="5FF6F032" w14:textId="77777777" w:rsidR="00CB542F" w:rsidRDefault="00573A58">
      <w:pPr>
        <w:pStyle w:val="Sraopastraipa"/>
        <w:widowControl w:val="0"/>
        <w:numPr>
          <w:ilvl w:val="0"/>
          <w:numId w:val="9"/>
        </w:numPr>
        <w:kinsoku w:val="0"/>
        <w:overflowPunct w:val="0"/>
        <w:autoSpaceDE w:val="0"/>
        <w:autoSpaceDN w:val="0"/>
        <w:adjustRightInd w:val="0"/>
        <w:rPr>
          <w:noProof/>
        </w:rPr>
      </w:pPr>
      <w:r>
        <w:rPr>
          <w:noProof/>
        </w:rPr>
        <w:t>Laikykite lizdinę plokštelę už kraštų ir atskirkite vieną lizdinės plokštelės dalomąją dalį , švelniai lenkdami ir nuplėšdami išilgai perforuotų linijų.</w:t>
      </w:r>
    </w:p>
    <w:p w14:paraId="1F699BDD" w14:textId="77777777" w:rsidR="00CB542F" w:rsidRDefault="00573A58">
      <w:pPr>
        <w:pStyle w:val="Sraopastraipa"/>
        <w:widowControl w:val="0"/>
        <w:numPr>
          <w:ilvl w:val="0"/>
          <w:numId w:val="9"/>
        </w:numPr>
        <w:kinsoku w:val="0"/>
        <w:overflowPunct w:val="0"/>
        <w:autoSpaceDE w:val="0"/>
        <w:autoSpaceDN w:val="0"/>
        <w:adjustRightInd w:val="0"/>
        <w:rPr>
          <w:noProof/>
        </w:rPr>
      </w:pPr>
      <w:r>
        <w:rPr>
          <w:noProof/>
        </w:rPr>
        <w:t>Patraukite folijos kraštą ir visiškai nulupkite foliją.</w:t>
      </w:r>
    </w:p>
    <w:p w14:paraId="318D1DC4" w14:textId="77777777" w:rsidR="00CB542F" w:rsidRDefault="00573A58">
      <w:pPr>
        <w:pStyle w:val="Sraopastraipa"/>
        <w:widowControl w:val="0"/>
        <w:numPr>
          <w:ilvl w:val="0"/>
          <w:numId w:val="9"/>
        </w:numPr>
        <w:kinsoku w:val="0"/>
        <w:overflowPunct w:val="0"/>
        <w:autoSpaceDE w:val="0"/>
        <w:autoSpaceDN w:val="0"/>
        <w:adjustRightInd w:val="0"/>
        <w:rPr>
          <w:noProof/>
        </w:rPr>
      </w:pPr>
      <w:r>
        <w:rPr>
          <w:noProof/>
        </w:rPr>
        <w:t>Išmeskite kapsulę ant rankos.</w:t>
      </w:r>
    </w:p>
    <w:p w14:paraId="0DBBAFB0" w14:textId="77777777" w:rsidR="00CB542F" w:rsidRDefault="00573A58">
      <w:pPr>
        <w:pStyle w:val="Sraopastraipa"/>
        <w:widowControl w:val="0"/>
        <w:numPr>
          <w:ilvl w:val="0"/>
          <w:numId w:val="9"/>
        </w:numPr>
        <w:kinsoku w:val="0"/>
        <w:overflowPunct w:val="0"/>
        <w:autoSpaceDE w:val="0"/>
        <w:autoSpaceDN w:val="0"/>
        <w:adjustRightInd w:val="0"/>
        <w:rPr>
          <w:noProof/>
        </w:rPr>
      </w:pPr>
      <w:r>
        <w:rPr>
          <w:noProof/>
        </w:rPr>
        <w:t>Nurykite visas kapsules, užsigerdami stikline vandens.</w:t>
      </w:r>
    </w:p>
    <w:p w14:paraId="744FB15A" w14:textId="77777777" w:rsidR="00CB542F" w:rsidRDefault="00CB542F">
      <w:pPr>
        <w:numPr>
          <w:ilvl w:val="12"/>
          <w:numId w:val="0"/>
        </w:numPr>
        <w:ind w:right="-2"/>
        <w:rPr>
          <w:noProof/>
        </w:rPr>
      </w:pPr>
    </w:p>
    <w:p w14:paraId="3053AF4D" w14:textId="77777777" w:rsidR="00CB542F" w:rsidRDefault="00573A58">
      <w:pPr>
        <w:numPr>
          <w:ilvl w:val="0"/>
          <w:numId w:val="5"/>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14:paraId="1578DC24" w14:textId="77777777" w:rsidR="00CB542F" w:rsidRDefault="00573A58">
      <w:pPr>
        <w:numPr>
          <w:ilvl w:val="0"/>
          <w:numId w:val="5"/>
        </w:numPr>
        <w:autoSpaceDE w:val="0"/>
        <w:autoSpaceDN w:val="0"/>
        <w:adjustRightInd w:val="0"/>
        <w:ind w:left="567" w:hanging="567"/>
        <w:rPr>
          <w:color w:val="000000"/>
          <w:szCs w:val="22"/>
          <w:lang w:val="sl-SI" w:eastAsia="sl-SI"/>
        </w:rPr>
      </w:pPr>
      <w:r>
        <w:rPr>
          <w:noProof/>
        </w:rPr>
        <w:t>Nenuplėškite lizdinės plokštelės folijos, kol neprireiks kapsulės.</w:t>
      </w:r>
    </w:p>
    <w:p w14:paraId="58A20946" w14:textId="77777777" w:rsidR="00CB542F" w:rsidRDefault="00CB542F">
      <w:pPr>
        <w:autoSpaceDE w:val="0"/>
        <w:autoSpaceDN w:val="0"/>
        <w:adjustRightInd w:val="0"/>
        <w:rPr>
          <w:color w:val="000000"/>
          <w:szCs w:val="22"/>
          <w:lang w:val="sl-SI" w:eastAsia="sl-SI"/>
        </w:rPr>
      </w:pPr>
    </w:p>
    <w:p w14:paraId="5B4AA51C" w14:textId="77777777" w:rsidR="00CB542F" w:rsidRDefault="00573A58">
      <w:pPr>
        <w:numPr>
          <w:ilvl w:val="12"/>
          <w:numId w:val="0"/>
        </w:numPr>
        <w:ind w:right="-2"/>
        <w:rPr>
          <w:noProof/>
        </w:rPr>
      </w:pPr>
      <w:r>
        <w:rPr>
          <w:noProof/>
          <w:lang w:eastAsia="lt-LT"/>
        </w:rPr>
        <w:drawing>
          <wp:inline distT="0" distB="0" distL="0" distR="0" wp14:anchorId="7ABC7E44" wp14:editId="2C44FCD4">
            <wp:extent cx="6057265" cy="1400175"/>
            <wp:effectExtent l="0" t="0" r="63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14:paraId="59AD057A" w14:textId="77777777" w:rsidR="00CB542F" w:rsidRDefault="00CB542F">
      <w:pPr>
        <w:numPr>
          <w:ilvl w:val="12"/>
          <w:numId w:val="0"/>
        </w:numPr>
        <w:ind w:right="-2"/>
        <w:rPr>
          <w:noProof/>
        </w:rPr>
      </w:pPr>
    </w:p>
    <w:p w14:paraId="5DB7FF25" w14:textId="77777777" w:rsidR="00CB542F" w:rsidRDefault="00573A58">
      <w:pPr>
        <w:numPr>
          <w:ilvl w:val="12"/>
          <w:numId w:val="0"/>
        </w:numPr>
        <w:ind w:right="-2"/>
        <w:rPr>
          <w:b/>
          <w:bCs/>
          <w:noProof/>
        </w:rPr>
      </w:pPr>
      <w:r>
        <w:rPr>
          <w:b/>
          <w:bCs/>
          <w:noProof/>
        </w:rPr>
        <w:t>Talpyklės naudojimo instrukcijos</w:t>
      </w:r>
    </w:p>
    <w:p w14:paraId="76C428DF" w14:textId="77777777" w:rsidR="00CB542F" w:rsidRDefault="00573A58">
      <w:pPr>
        <w:widowControl w:val="0"/>
        <w:numPr>
          <w:ilvl w:val="0"/>
          <w:numId w:val="5"/>
        </w:numPr>
        <w:autoSpaceDE w:val="0"/>
        <w:autoSpaceDN w:val="0"/>
        <w:ind w:left="567" w:hanging="567"/>
        <w:rPr>
          <w:color w:val="000000"/>
          <w:szCs w:val="22"/>
          <w:lang w:val="en-US"/>
        </w:rPr>
      </w:pPr>
      <w:r>
        <w:rPr>
          <w:noProof/>
        </w:rPr>
        <w:t>Paspauskite ir pasukite, kad atidarytumėte.</w:t>
      </w:r>
    </w:p>
    <w:p w14:paraId="5E60EB92" w14:textId="77777777" w:rsidR="00CB542F" w:rsidRDefault="00573A58">
      <w:pPr>
        <w:widowControl w:val="0"/>
        <w:numPr>
          <w:ilvl w:val="0"/>
          <w:numId w:val="5"/>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14:paraId="473A23EB" w14:textId="77777777" w:rsidR="00CB542F" w:rsidRDefault="00CB542F">
      <w:pPr>
        <w:numPr>
          <w:ilvl w:val="12"/>
          <w:numId w:val="0"/>
        </w:numPr>
        <w:ind w:right="-2"/>
      </w:pPr>
    </w:p>
    <w:p w14:paraId="1C80CD15" w14:textId="77777777" w:rsidR="00CB542F" w:rsidRDefault="00573A58">
      <w:pPr>
        <w:numPr>
          <w:ilvl w:val="12"/>
          <w:numId w:val="0"/>
        </w:numPr>
        <w:ind w:right="-2"/>
        <w:rPr>
          <w:b/>
          <w:bCs/>
        </w:rPr>
      </w:pPr>
      <w:r>
        <w:rPr>
          <w:b/>
          <w:bCs/>
        </w:rPr>
        <w:t>Gydymo antikoaguliantais keitimas</w:t>
      </w:r>
    </w:p>
    <w:p w14:paraId="144868E3" w14:textId="77777777" w:rsidR="00CB542F" w:rsidRDefault="00573A58">
      <w:pPr>
        <w:numPr>
          <w:ilvl w:val="12"/>
          <w:numId w:val="0"/>
        </w:numPr>
        <w:ind w:right="-2"/>
      </w:pPr>
      <w:r>
        <w:t>Nekeiskite gydymo antikoaguliantais be konkrečių gydytojo nurodymų.</w:t>
      </w:r>
    </w:p>
    <w:p w14:paraId="38EC802B" w14:textId="77777777" w:rsidR="00CB542F" w:rsidRDefault="00CB542F">
      <w:pPr>
        <w:numPr>
          <w:ilvl w:val="12"/>
          <w:numId w:val="0"/>
        </w:numPr>
        <w:ind w:right="-2"/>
      </w:pPr>
    </w:p>
    <w:p w14:paraId="63FDB1D5" w14:textId="77777777" w:rsidR="00CB542F" w:rsidRDefault="00573A58">
      <w:pPr>
        <w:numPr>
          <w:ilvl w:val="12"/>
          <w:numId w:val="0"/>
        </w:numPr>
        <w:ind w:right="-2"/>
        <w:rPr>
          <w:b/>
          <w:bCs/>
        </w:rPr>
      </w:pPr>
      <w:r>
        <w:rPr>
          <w:b/>
          <w:bCs/>
        </w:rPr>
        <w:t>Ką daryti pavartojus per didelę Danengo dozę</w:t>
      </w:r>
    </w:p>
    <w:p w14:paraId="169C2BC5" w14:textId="77777777" w:rsidR="00CB542F" w:rsidRDefault="00573A58">
      <w:pPr>
        <w:numPr>
          <w:ilvl w:val="12"/>
          <w:numId w:val="0"/>
        </w:numPr>
        <w:ind w:right="-2"/>
      </w:pPr>
      <w:r>
        <w:t>Pavartojus šio vaisto per daug, padidėja kraujavimo rizika. Jeigu suvartojote per daug kapsulių, nedelsdami kreipkitės į gydytoją. Tokiu atveju galima taikyti specialius gydymo metodus.</w:t>
      </w:r>
    </w:p>
    <w:p w14:paraId="0047F3EB" w14:textId="77777777" w:rsidR="00CB542F" w:rsidRDefault="00CB542F">
      <w:pPr>
        <w:numPr>
          <w:ilvl w:val="12"/>
          <w:numId w:val="0"/>
        </w:numPr>
        <w:ind w:right="-2"/>
      </w:pPr>
    </w:p>
    <w:p w14:paraId="63653F8F" w14:textId="77777777" w:rsidR="00CB542F" w:rsidRDefault="00573A58">
      <w:pPr>
        <w:numPr>
          <w:ilvl w:val="12"/>
          <w:numId w:val="0"/>
        </w:numPr>
        <w:ind w:right="-2"/>
        <w:rPr>
          <w:b/>
          <w:bCs/>
        </w:rPr>
      </w:pPr>
      <w:r>
        <w:rPr>
          <w:b/>
          <w:bCs/>
        </w:rPr>
        <w:t>Pamiršus pavartoti Danengo</w:t>
      </w:r>
    </w:p>
    <w:p w14:paraId="3E442BD7" w14:textId="77777777" w:rsidR="00CB542F" w:rsidRDefault="00CB542F">
      <w:pPr>
        <w:numPr>
          <w:ilvl w:val="12"/>
          <w:numId w:val="0"/>
        </w:numPr>
        <w:ind w:right="-2"/>
        <w:rPr>
          <w:b/>
          <w:bCs/>
        </w:rPr>
      </w:pPr>
    </w:p>
    <w:p w14:paraId="5852A5A1" w14:textId="77777777" w:rsidR="00CB542F" w:rsidRDefault="00573A58">
      <w:pPr>
        <w:numPr>
          <w:ilvl w:val="12"/>
          <w:numId w:val="0"/>
        </w:numPr>
        <w:ind w:right="-2"/>
      </w:pPr>
      <w:r>
        <w:t>Pamirštą dozę galima gerti, jeigu iki kitos dozės vartojimo laiko yra likusios ne mažiau kaip 6 valandos.</w:t>
      </w:r>
    </w:p>
    <w:p w14:paraId="75A8F91C" w14:textId="77777777" w:rsidR="00CB542F" w:rsidRDefault="00573A58">
      <w:pPr>
        <w:numPr>
          <w:ilvl w:val="12"/>
          <w:numId w:val="0"/>
        </w:numPr>
        <w:ind w:right="-2"/>
      </w:pPr>
      <w:r>
        <w:t>Pamirštą dozę reikia praleisti, jeigu iki kitos dozės vartojimo laiko likusios mažiau kaip 6 valandos.</w:t>
      </w:r>
    </w:p>
    <w:p w14:paraId="6E69AF64" w14:textId="77777777" w:rsidR="00CB542F" w:rsidRDefault="00573A58">
      <w:pPr>
        <w:numPr>
          <w:ilvl w:val="12"/>
          <w:numId w:val="0"/>
        </w:numPr>
        <w:ind w:right="-2"/>
      </w:pPr>
      <w:r>
        <w:t>Negalima vartoti dvigubos dozės norint kompensuoti praleistą dozę.</w:t>
      </w:r>
    </w:p>
    <w:p w14:paraId="677A71DB" w14:textId="77777777" w:rsidR="00CB542F" w:rsidRDefault="00CB542F">
      <w:pPr>
        <w:numPr>
          <w:ilvl w:val="12"/>
          <w:numId w:val="0"/>
        </w:numPr>
        <w:ind w:right="-2"/>
      </w:pPr>
    </w:p>
    <w:p w14:paraId="5F6ED95D" w14:textId="77777777" w:rsidR="00CB542F" w:rsidRDefault="00573A58">
      <w:pPr>
        <w:numPr>
          <w:ilvl w:val="12"/>
          <w:numId w:val="0"/>
        </w:numPr>
        <w:ind w:right="-2"/>
        <w:rPr>
          <w:b/>
          <w:bCs/>
        </w:rPr>
      </w:pPr>
      <w:r>
        <w:rPr>
          <w:b/>
          <w:bCs/>
        </w:rPr>
        <w:t>Nustojus vartoti Danengo</w:t>
      </w:r>
    </w:p>
    <w:p w14:paraId="3A95B9D3" w14:textId="77777777" w:rsidR="00CB542F" w:rsidRDefault="00573A58">
      <w:pPr>
        <w:numPr>
          <w:ilvl w:val="12"/>
          <w:numId w:val="0"/>
        </w:numPr>
        <w:ind w:right="-2"/>
      </w:pPr>
      <w:r>
        <w:lastRenderedPageBreak/>
        <w:t>Danengo vartokite tiksliai kaip nurodė gydytojas. Iš pradžių nepasitarę su gydytoju, šio vaisto vartojimo nenutraukite, nes per anksti nutraukus gydymą gali padidėti kraujo krešulio susidarymo rizika. Jeigu suvartojus Danengo pasireiškė nevirškinimas, kreipkitės į gydytoją.</w:t>
      </w:r>
    </w:p>
    <w:p w14:paraId="1D06A2DB" w14:textId="77777777" w:rsidR="00CB542F" w:rsidRDefault="00CB542F">
      <w:pPr>
        <w:numPr>
          <w:ilvl w:val="12"/>
          <w:numId w:val="0"/>
        </w:numPr>
        <w:ind w:right="-2"/>
      </w:pPr>
    </w:p>
    <w:p w14:paraId="22A25ED0" w14:textId="77777777" w:rsidR="00CB542F" w:rsidRDefault="00573A58">
      <w:pPr>
        <w:numPr>
          <w:ilvl w:val="12"/>
          <w:numId w:val="0"/>
        </w:numPr>
        <w:ind w:right="-2"/>
      </w:pPr>
      <w:r>
        <w:t>Jeigu kiltų daugiau klausimų dėl šio vaisto vartojimo, kreipkitės į gydytoją arba vaistininką.</w:t>
      </w:r>
    </w:p>
    <w:p w14:paraId="4A1C0E54" w14:textId="77777777" w:rsidR="00CB542F" w:rsidRDefault="00CB542F">
      <w:pPr>
        <w:numPr>
          <w:ilvl w:val="12"/>
          <w:numId w:val="0"/>
        </w:numPr>
        <w:ind w:right="-2"/>
        <w:rPr>
          <w:noProof/>
        </w:rPr>
      </w:pPr>
    </w:p>
    <w:p w14:paraId="315E9245" w14:textId="77777777" w:rsidR="00CB542F" w:rsidRDefault="00CB542F">
      <w:pPr>
        <w:numPr>
          <w:ilvl w:val="12"/>
          <w:numId w:val="0"/>
        </w:numPr>
        <w:ind w:right="-2"/>
        <w:rPr>
          <w:noProof/>
        </w:rPr>
      </w:pPr>
    </w:p>
    <w:p w14:paraId="141E2E2C" w14:textId="77777777" w:rsidR="00CB542F" w:rsidRDefault="00573A58">
      <w:pPr>
        <w:numPr>
          <w:ilvl w:val="12"/>
          <w:numId w:val="0"/>
        </w:numPr>
        <w:ind w:left="567" w:hanging="567"/>
        <w:outlineLvl w:val="0"/>
        <w:rPr>
          <w:b/>
          <w:caps/>
          <w:noProof/>
        </w:rPr>
      </w:pPr>
      <w:r>
        <w:rPr>
          <w:b/>
          <w:caps/>
          <w:noProof/>
        </w:rPr>
        <w:t>4.</w:t>
      </w:r>
      <w:r>
        <w:rPr>
          <w:b/>
          <w:caps/>
          <w:noProof/>
        </w:rPr>
        <w:tab/>
      </w:r>
      <w:r>
        <w:rPr>
          <w:b/>
        </w:rPr>
        <w:t>Galimas šalutinis poveikis</w:t>
      </w:r>
    </w:p>
    <w:p w14:paraId="64DDFDF0" w14:textId="77777777" w:rsidR="00CB542F" w:rsidRDefault="00CB542F">
      <w:pPr>
        <w:ind w:left="567" w:hanging="567"/>
        <w:rPr>
          <w:noProof/>
        </w:rPr>
      </w:pPr>
    </w:p>
    <w:p w14:paraId="3363C39E" w14:textId="77777777" w:rsidR="00CB542F" w:rsidRDefault="00573A58">
      <w:pPr>
        <w:ind w:left="567" w:hanging="567"/>
        <w:rPr>
          <w:noProof/>
        </w:rPr>
      </w:pPr>
      <w:r>
        <w:rPr>
          <w:noProof/>
        </w:rPr>
        <w:t>Šis vaistas, kaip ir visi kiti, gali sukelti šalutinį poveikį, nors jis pasireiškia ne visiems žmonėms.</w:t>
      </w:r>
    </w:p>
    <w:p w14:paraId="15545FAA" w14:textId="77777777" w:rsidR="00CB542F" w:rsidRDefault="00CB542F">
      <w:pPr>
        <w:ind w:left="567" w:hanging="567"/>
        <w:rPr>
          <w:noProof/>
        </w:rPr>
      </w:pPr>
    </w:p>
    <w:p w14:paraId="60E6B960" w14:textId="77777777" w:rsidR="00CB542F" w:rsidRDefault="00573A58">
      <w:pPr>
        <w:numPr>
          <w:ilvl w:val="12"/>
          <w:numId w:val="0"/>
        </w:numPr>
        <w:ind w:right="-2"/>
      </w:pPr>
      <w:r>
        <w:t>Danengo veikia kraujo krešėjimą, todėl dauguma šalutinio poveikio yra susiję su požymiais, tokiais kaip mėlynės ar kraujavimas.</w:t>
      </w:r>
    </w:p>
    <w:p w14:paraId="0E626FB2" w14:textId="77777777" w:rsidR="00CB542F" w:rsidRDefault="00573A58">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14:paraId="7163AEA4" w14:textId="77777777" w:rsidR="00CB542F" w:rsidRDefault="00CB542F">
      <w:pPr>
        <w:numPr>
          <w:ilvl w:val="12"/>
          <w:numId w:val="0"/>
        </w:numPr>
        <w:ind w:right="-2"/>
      </w:pPr>
    </w:p>
    <w:p w14:paraId="182FC583" w14:textId="77777777" w:rsidR="00CB542F" w:rsidRDefault="00573A58">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14:paraId="7BB8F6D9" w14:textId="77777777" w:rsidR="00CB542F" w:rsidRDefault="00CB542F">
      <w:pPr>
        <w:numPr>
          <w:ilvl w:val="12"/>
          <w:numId w:val="0"/>
        </w:numPr>
        <w:ind w:right="-2"/>
      </w:pPr>
    </w:p>
    <w:p w14:paraId="01E2CEE2" w14:textId="77777777" w:rsidR="00CB542F" w:rsidRDefault="00573A58">
      <w:pPr>
        <w:numPr>
          <w:ilvl w:val="12"/>
          <w:numId w:val="0"/>
        </w:numPr>
        <w:ind w:right="-2"/>
      </w:pPr>
      <w:r>
        <w:t>Nedelsdami kreipkitės į savo gydytoją, jei Jums pasireiškė sunkios alerginės reakcijos sukeltas kvėpavimo pasunkėjimas arba svaigulys.</w:t>
      </w:r>
    </w:p>
    <w:p w14:paraId="752764E1" w14:textId="77777777" w:rsidR="00CB542F" w:rsidRDefault="00CB542F">
      <w:pPr>
        <w:numPr>
          <w:ilvl w:val="12"/>
          <w:numId w:val="0"/>
        </w:numPr>
        <w:ind w:right="-2"/>
      </w:pPr>
    </w:p>
    <w:p w14:paraId="0355EF19" w14:textId="77777777" w:rsidR="00CB542F" w:rsidRDefault="00573A58">
      <w:pPr>
        <w:numPr>
          <w:ilvl w:val="12"/>
          <w:numId w:val="0"/>
        </w:numPr>
        <w:ind w:right="-2"/>
        <w:rPr>
          <w:noProof/>
        </w:rPr>
      </w:pPr>
      <w:r>
        <w:t>Toliau išvardytas galimas šalutinis poveikis yra sugrupuotas pagal tikėtiną pasireiškimo dažnį.</w:t>
      </w:r>
    </w:p>
    <w:p w14:paraId="12C25718" w14:textId="77777777" w:rsidR="00CB542F" w:rsidRDefault="00CB542F">
      <w:pPr>
        <w:numPr>
          <w:ilvl w:val="12"/>
          <w:numId w:val="0"/>
        </w:numPr>
        <w:ind w:right="-2"/>
      </w:pPr>
    </w:p>
    <w:p w14:paraId="4493F25C" w14:textId="77777777" w:rsidR="00CB542F" w:rsidRDefault="00573A58">
      <w:pPr>
        <w:widowControl w:val="0"/>
        <w:autoSpaceDE w:val="0"/>
        <w:autoSpaceDN w:val="0"/>
        <w:rPr>
          <w:u w:val="single"/>
        </w:rPr>
      </w:pPr>
      <w:r>
        <w:rPr>
          <w:u w:val="single"/>
        </w:rPr>
        <w:t>Smegenų arba kitų organizmo vietų kraujagyslių užkimšimo po nenormalaus širdies plakimo susifomavusiais kraujo krešuliais profilaktika</w:t>
      </w:r>
    </w:p>
    <w:p w14:paraId="7AC58790" w14:textId="77777777" w:rsidR="00CB542F" w:rsidRDefault="00CB542F">
      <w:pPr>
        <w:numPr>
          <w:ilvl w:val="12"/>
          <w:numId w:val="0"/>
        </w:numPr>
        <w:ind w:right="-2"/>
        <w:rPr>
          <w:noProof/>
          <w:snapToGrid w:val="0"/>
          <w:szCs w:val="22"/>
        </w:rPr>
      </w:pPr>
    </w:p>
    <w:p w14:paraId="06EE9ED8" w14:textId="77777777" w:rsidR="00CB542F" w:rsidRDefault="00573A58">
      <w:pPr>
        <w:numPr>
          <w:ilvl w:val="12"/>
          <w:numId w:val="0"/>
        </w:numPr>
        <w:ind w:right="-2"/>
        <w:rPr>
          <w:noProof/>
          <w:snapToGrid w:val="0"/>
          <w:szCs w:val="22"/>
        </w:rPr>
      </w:pPr>
      <w:r>
        <w:rPr>
          <w:noProof/>
          <w:snapToGrid w:val="0"/>
          <w:szCs w:val="22"/>
        </w:rPr>
        <w:t>Dažni šalutinio poveikio reiškiniai (gali pasireikšti rečiau kaip 1 iš 10 asmenų):</w:t>
      </w:r>
    </w:p>
    <w:p w14:paraId="0B507DF1" w14:textId="77777777" w:rsidR="00CB542F" w:rsidRDefault="00573A58">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14:paraId="29FC463E" w14:textId="77777777" w:rsidR="00CB542F" w:rsidRDefault="00573A58">
      <w:pPr>
        <w:widowControl w:val="0"/>
        <w:numPr>
          <w:ilvl w:val="0"/>
          <w:numId w:val="5"/>
        </w:numPr>
        <w:autoSpaceDE w:val="0"/>
        <w:autoSpaceDN w:val="0"/>
        <w:ind w:left="567" w:hanging="567"/>
        <w:rPr>
          <w:color w:val="000000"/>
          <w:szCs w:val="22"/>
          <w:lang w:val="en-US"/>
        </w:rPr>
      </w:pPr>
      <w:r>
        <w:t>Raudonųjų kraujo ląstelių skaičiaus sumažėjimas kraujyje.</w:t>
      </w:r>
    </w:p>
    <w:p w14:paraId="4E1F7B22" w14:textId="77777777" w:rsidR="00CB542F" w:rsidRDefault="00573A58">
      <w:pPr>
        <w:widowControl w:val="0"/>
        <w:numPr>
          <w:ilvl w:val="0"/>
          <w:numId w:val="5"/>
        </w:numPr>
        <w:autoSpaceDE w:val="0"/>
        <w:autoSpaceDN w:val="0"/>
        <w:ind w:left="567" w:hanging="567"/>
        <w:rPr>
          <w:color w:val="000000"/>
          <w:szCs w:val="22"/>
          <w:lang w:val="en-US"/>
        </w:rPr>
      </w:pPr>
      <w:r>
        <w:t>Pilvo arba skrandžio skausmas.</w:t>
      </w:r>
    </w:p>
    <w:p w14:paraId="28C3B38D" w14:textId="77777777" w:rsidR="00CB542F" w:rsidRDefault="00573A58">
      <w:pPr>
        <w:widowControl w:val="0"/>
        <w:numPr>
          <w:ilvl w:val="0"/>
          <w:numId w:val="5"/>
        </w:numPr>
        <w:autoSpaceDE w:val="0"/>
        <w:autoSpaceDN w:val="0"/>
        <w:ind w:left="567" w:hanging="567"/>
        <w:rPr>
          <w:color w:val="000000"/>
          <w:szCs w:val="22"/>
          <w:lang w:val="en-US"/>
        </w:rPr>
      </w:pPr>
      <w:r>
        <w:t>Nevirškinimas.</w:t>
      </w:r>
    </w:p>
    <w:p w14:paraId="76CBE6C9" w14:textId="77777777" w:rsidR="00CB542F" w:rsidRDefault="00573A58">
      <w:pPr>
        <w:widowControl w:val="0"/>
        <w:numPr>
          <w:ilvl w:val="0"/>
          <w:numId w:val="5"/>
        </w:numPr>
        <w:autoSpaceDE w:val="0"/>
        <w:autoSpaceDN w:val="0"/>
        <w:ind w:left="567" w:hanging="567"/>
        <w:rPr>
          <w:color w:val="000000"/>
          <w:szCs w:val="22"/>
          <w:lang w:val="en-US"/>
        </w:rPr>
      </w:pPr>
      <w:r>
        <w:t>Dažnas tuštinimasis skystomis arba vandeningomis išmatomis.</w:t>
      </w:r>
    </w:p>
    <w:p w14:paraId="0761A090" w14:textId="77777777" w:rsidR="00CB542F" w:rsidRDefault="00573A58">
      <w:pPr>
        <w:widowControl w:val="0"/>
        <w:numPr>
          <w:ilvl w:val="0"/>
          <w:numId w:val="5"/>
        </w:numPr>
        <w:autoSpaceDE w:val="0"/>
        <w:autoSpaceDN w:val="0"/>
        <w:ind w:left="567" w:hanging="567"/>
        <w:rPr>
          <w:color w:val="000000"/>
          <w:szCs w:val="22"/>
          <w:lang w:val="en-US"/>
        </w:rPr>
      </w:pPr>
      <w:r>
        <w:t>Pykinimas.</w:t>
      </w:r>
    </w:p>
    <w:p w14:paraId="47596B62" w14:textId="77777777" w:rsidR="00CB542F" w:rsidRDefault="00CB542F">
      <w:pPr>
        <w:widowControl w:val="0"/>
        <w:autoSpaceDE w:val="0"/>
        <w:autoSpaceDN w:val="0"/>
        <w:rPr>
          <w:color w:val="000000"/>
          <w:szCs w:val="22"/>
          <w:lang w:val="en-US"/>
        </w:rPr>
      </w:pPr>
    </w:p>
    <w:p w14:paraId="4C797BD9" w14:textId="77777777" w:rsidR="00CB542F" w:rsidRDefault="00573A58">
      <w:pPr>
        <w:numPr>
          <w:ilvl w:val="12"/>
          <w:numId w:val="0"/>
        </w:numPr>
        <w:ind w:left="567" w:right="-2" w:hanging="567"/>
        <w:rPr>
          <w:noProof/>
        </w:rPr>
      </w:pPr>
      <w:r>
        <w:rPr>
          <w:noProof/>
          <w:snapToGrid w:val="0"/>
          <w:szCs w:val="22"/>
        </w:rPr>
        <w:t>Nedažni šalutinio poveikio reiškiniai (gali pasireikšti rečiau kaip 1 iš 100 asmenų):</w:t>
      </w:r>
    </w:p>
    <w:p w14:paraId="6B91073A" w14:textId="77777777" w:rsidR="00CB542F" w:rsidRDefault="00573A58">
      <w:pPr>
        <w:widowControl w:val="0"/>
        <w:numPr>
          <w:ilvl w:val="0"/>
          <w:numId w:val="5"/>
        </w:numPr>
        <w:autoSpaceDE w:val="0"/>
        <w:autoSpaceDN w:val="0"/>
        <w:ind w:left="567" w:hanging="567"/>
        <w:rPr>
          <w:color w:val="000000"/>
          <w:szCs w:val="22"/>
          <w:lang w:val="en-US"/>
        </w:rPr>
      </w:pPr>
      <w:r>
        <w:t>Kraujavimas.</w:t>
      </w:r>
    </w:p>
    <w:p w14:paraId="35CF1C47" w14:textId="77777777" w:rsidR="00CB542F" w:rsidRDefault="00573A58">
      <w:pPr>
        <w:widowControl w:val="0"/>
        <w:numPr>
          <w:ilvl w:val="0"/>
          <w:numId w:val="5"/>
        </w:numPr>
        <w:autoSpaceDE w:val="0"/>
        <w:autoSpaceDN w:val="0"/>
        <w:ind w:left="567" w:hanging="567"/>
        <w:rPr>
          <w:color w:val="000000"/>
          <w:szCs w:val="22"/>
          <w:lang w:val="en-US"/>
        </w:rPr>
      </w:pPr>
      <w:r>
        <w:t>Kraujavimas iš hemorojinių mazgų, iš tiesiosios žarnos arba į smegenis.</w:t>
      </w:r>
    </w:p>
    <w:p w14:paraId="657CB252" w14:textId="77777777" w:rsidR="00CB542F" w:rsidRDefault="00573A58">
      <w:pPr>
        <w:widowControl w:val="0"/>
        <w:numPr>
          <w:ilvl w:val="0"/>
          <w:numId w:val="5"/>
        </w:numPr>
        <w:autoSpaceDE w:val="0"/>
        <w:autoSpaceDN w:val="0"/>
        <w:ind w:left="567" w:hanging="567"/>
        <w:rPr>
          <w:color w:val="000000"/>
          <w:szCs w:val="22"/>
          <w:lang w:val="en-US"/>
        </w:rPr>
      </w:pPr>
      <w:r>
        <w:t>Hematomos (kraujosruvos) formavimasis.</w:t>
      </w:r>
    </w:p>
    <w:p w14:paraId="7BD1EE85" w14:textId="77777777" w:rsidR="00CB542F" w:rsidRDefault="00573A58">
      <w:pPr>
        <w:widowControl w:val="0"/>
        <w:numPr>
          <w:ilvl w:val="0"/>
          <w:numId w:val="5"/>
        </w:numPr>
        <w:autoSpaceDE w:val="0"/>
        <w:autoSpaceDN w:val="0"/>
        <w:ind w:left="567" w:hanging="567"/>
        <w:rPr>
          <w:color w:val="000000"/>
          <w:szCs w:val="22"/>
          <w:lang w:val="en-US"/>
        </w:rPr>
      </w:pPr>
      <w:r>
        <w:t>Kraujo arba kraujingų skreplių atkosėjimas.</w:t>
      </w:r>
    </w:p>
    <w:p w14:paraId="3FB85263" w14:textId="77777777" w:rsidR="00CB542F" w:rsidRDefault="00573A58">
      <w:pPr>
        <w:widowControl w:val="0"/>
        <w:numPr>
          <w:ilvl w:val="0"/>
          <w:numId w:val="5"/>
        </w:numPr>
        <w:autoSpaceDE w:val="0"/>
        <w:autoSpaceDN w:val="0"/>
        <w:ind w:left="567" w:hanging="567"/>
        <w:rPr>
          <w:color w:val="000000"/>
          <w:szCs w:val="22"/>
          <w:lang w:val="en-US"/>
        </w:rPr>
      </w:pPr>
      <w:r>
        <w:t>Trombocitų skaičiaus sumažėjimas kraujyje.</w:t>
      </w:r>
    </w:p>
    <w:p w14:paraId="1D3D735D" w14:textId="77777777" w:rsidR="00CB542F" w:rsidRDefault="00573A58">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597F70A1" w14:textId="77777777" w:rsidR="00CB542F" w:rsidRDefault="00573A58">
      <w:pPr>
        <w:widowControl w:val="0"/>
        <w:numPr>
          <w:ilvl w:val="0"/>
          <w:numId w:val="5"/>
        </w:numPr>
        <w:autoSpaceDE w:val="0"/>
        <w:autoSpaceDN w:val="0"/>
        <w:ind w:left="567" w:hanging="567"/>
        <w:rPr>
          <w:color w:val="000000"/>
          <w:szCs w:val="22"/>
          <w:lang w:val="en-US"/>
        </w:rPr>
      </w:pPr>
      <w:r>
        <w:t>Alerginė reakcija.</w:t>
      </w:r>
    </w:p>
    <w:p w14:paraId="0910B306" w14:textId="77777777" w:rsidR="00CB542F" w:rsidRDefault="00573A58">
      <w:pPr>
        <w:widowControl w:val="0"/>
        <w:numPr>
          <w:ilvl w:val="0"/>
          <w:numId w:val="5"/>
        </w:numPr>
        <w:autoSpaceDE w:val="0"/>
        <w:autoSpaceDN w:val="0"/>
        <w:ind w:left="567" w:hanging="567"/>
        <w:rPr>
          <w:color w:val="000000"/>
          <w:szCs w:val="22"/>
          <w:lang w:val="en-US"/>
        </w:rPr>
      </w:pPr>
      <w:r>
        <w:t>Staigus odos pokytis, veikiantis jos spalvą ir išvaizdą.</w:t>
      </w:r>
    </w:p>
    <w:p w14:paraId="60B09B2F" w14:textId="77777777" w:rsidR="00CB542F" w:rsidRDefault="00573A58">
      <w:pPr>
        <w:widowControl w:val="0"/>
        <w:numPr>
          <w:ilvl w:val="0"/>
          <w:numId w:val="5"/>
        </w:numPr>
        <w:autoSpaceDE w:val="0"/>
        <w:autoSpaceDN w:val="0"/>
        <w:ind w:left="567" w:hanging="567"/>
        <w:rPr>
          <w:color w:val="000000"/>
          <w:szCs w:val="22"/>
          <w:lang w:val="en-US"/>
        </w:rPr>
      </w:pPr>
      <w:r>
        <w:t>Niežulys.</w:t>
      </w:r>
    </w:p>
    <w:p w14:paraId="723E4824" w14:textId="77777777" w:rsidR="00CB542F" w:rsidRDefault="00573A58">
      <w:pPr>
        <w:widowControl w:val="0"/>
        <w:numPr>
          <w:ilvl w:val="0"/>
          <w:numId w:val="5"/>
        </w:numPr>
        <w:autoSpaceDE w:val="0"/>
        <w:autoSpaceDN w:val="0"/>
        <w:ind w:left="567" w:hanging="567"/>
        <w:rPr>
          <w:color w:val="000000"/>
          <w:szCs w:val="22"/>
          <w:lang w:val="en-US"/>
        </w:rPr>
      </w:pPr>
      <w:r>
        <w:t>Skrandžio arba žarnų opa (įskaitant stemplės opą).</w:t>
      </w:r>
    </w:p>
    <w:p w14:paraId="5A6286C3" w14:textId="77777777" w:rsidR="00CB542F" w:rsidRDefault="00573A58">
      <w:pPr>
        <w:widowControl w:val="0"/>
        <w:numPr>
          <w:ilvl w:val="0"/>
          <w:numId w:val="5"/>
        </w:numPr>
        <w:autoSpaceDE w:val="0"/>
        <w:autoSpaceDN w:val="0"/>
        <w:ind w:left="567" w:hanging="567"/>
        <w:rPr>
          <w:color w:val="000000"/>
          <w:szCs w:val="22"/>
          <w:lang w:val="en-US"/>
        </w:rPr>
      </w:pPr>
      <w:r>
        <w:t>Stemplės ir skrandžio uždegimas.</w:t>
      </w:r>
    </w:p>
    <w:p w14:paraId="10D8C015" w14:textId="77777777" w:rsidR="00CB542F" w:rsidRDefault="00573A58">
      <w:pPr>
        <w:widowControl w:val="0"/>
        <w:numPr>
          <w:ilvl w:val="0"/>
          <w:numId w:val="5"/>
        </w:numPr>
        <w:autoSpaceDE w:val="0"/>
        <w:autoSpaceDN w:val="0"/>
        <w:ind w:left="567" w:hanging="567"/>
        <w:rPr>
          <w:color w:val="000000"/>
          <w:szCs w:val="22"/>
          <w:lang w:val="en-US"/>
        </w:rPr>
      </w:pPr>
      <w:r>
        <w:t>Grįžtamasis skrandžio sulčių tekėjimas į stemplę.</w:t>
      </w:r>
    </w:p>
    <w:p w14:paraId="664DA5EA" w14:textId="77777777" w:rsidR="00CB542F" w:rsidRDefault="00573A58">
      <w:pPr>
        <w:widowControl w:val="0"/>
        <w:numPr>
          <w:ilvl w:val="0"/>
          <w:numId w:val="5"/>
        </w:numPr>
        <w:autoSpaceDE w:val="0"/>
        <w:autoSpaceDN w:val="0"/>
        <w:ind w:left="567" w:hanging="567"/>
        <w:rPr>
          <w:color w:val="000000"/>
          <w:szCs w:val="22"/>
          <w:lang w:val="en-US"/>
        </w:rPr>
      </w:pPr>
      <w:r>
        <w:t>Vėmimas.</w:t>
      </w:r>
    </w:p>
    <w:p w14:paraId="4BE2FC5E" w14:textId="77777777" w:rsidR="00CB542F" w:rsidRDefault="00573A58">
      <w:pPr>
        <w:widowControl w:val="0"/>
        <w:numPr>
          <w:ilvl w:val="0"/>
          <w:numId w:val="5"/>
        </w:numPr>
        <w:autoSpaceDE w:val="0"/>
        <w:autoSpaceDN w:val="0"/>
        <w:ind w:left="567" w:hanging="567"/>
        <w:rPr>
          <w:color w:val="000000"/>
          <w:szCs w:val="22"/>
          <w:lang w:val="en-US"/>
        </w:rPr>
      </w:pPr>
      <w:r>
        <w:t>Rijimo pasunkėjimas.</w:t>
      </w:r>
    </w:p>
    <w:p w14:paraId="5DF86D60" w14:textId="77777777" w:rsidR="00CB542F" w:rsidRDefault="00573A58">
      <w:pPr>
        <w:widowControl w:val="0"/>
        <w:numPr>
          <w:ilvl w:val="0"/>
          <w:numId w:val="5"/>
        </w:numPr>
        <w:autoSpaceDE w:val="0"/>
        <w:autoSpaceDN w:val="0"/>
        <w:ind w:left="567" w:hanging="567"/>
        <w:rPr>
          <w:color w:val="000000"/>
          <w:szCs w:val="22"/>
          <w:lang w:val="en-US"/>
        </w:rPr>
      </w:pPr>
      <w:r>
        <w:t>Neįprasti kepenų funkcijos laboratorinių tyrimų rezultatai.</w:t>
      </w:r>
    </w:p>
    <w:p w14:paraId="1E88E3CE" w14:textId="77777777" w:rsidR="00CB542F" w:rsidRDefault="00CB542F">
      <w:pPr>
        <w:widowControl w:val="0"/>
        <w:autoSpaceDE w:val="0"/>
        <w:autoSpaceDN w:val="0"/>
        <w:rPr>
          <w:color w:val="000000"/>
          <w:szCs w:val="22"/>
          <w:lang w:val="en-US"/>
        </w:rPr>
      </w:pPr>
    </w:p>
    <w:p w14:paraId="049806D8" w14:textId="77777777" w:rsidR="00CB542F" w:rsidRDefault="00573A58">
      <w:pPr>
        <w:numPr>
          <w:ilvl w:val="12"/>
          <w:numId w:val="0"/>
        </w:numPr>
        <w:ind w:left="567" w:right="-2" w:hanging="567"/>
        <w:rPr>
          <w:noProof/>
        </w:rPr>
      </w:pPr>
      <w:r>
        <w:rPr>
          <w:noProof/>
          <w:snapToGrid w:val="0"/>
          <w:szCs w:val="22"/>
        </w:rPr>
        <w:t>Reti šalutinio poveikio reiškiniai (gali pasireikšti rečiau kaip 1 iš 1 000 asmenų):</w:t>
      </w:r>
    </w:p>
    <w:p w14:paraId="574B3800" w14:textId="77777777" w:rsidR="00CB542F" w:rsidRDefault="00573A58">
      <w:pPr>
        <w:widowControl w:val="0"/>
        <w:numPr>
          <w:ilvl w:val="0"/>
          <w:numId w:val="5"/>
        </w:numPr>
        <w:autoSpaceDE w:val="0"/>
        <w:autoSpaceDN w:val="0"/>
        <w:ind w:left="567" w:hanging="567"/>
        <w:rPr>
          <w:color w:val="000000"/>
          <w:szCs w:val="22"/>
          <w:lang w:val="en-US"/>
        </w:rPr>
      </w:pPr>
      <w:r>
        <w:lastRenderedPageBreak/>
        <w:t>Kraujavimas į sąnarį, iš chirurginio pjūvio, iš sužeidimo, iš injekcijos vietos arba iš kateterio įvedimo į veną vietos.</w:t>
      </w:r>
    </w:p>
    <w:p w14:paraId="7BB0464B" w14:textId="77777777" w:rsidR="00CB542F" w:rsidRDefault="00573A58">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34859379" w14:textId="77777777" w:rsidR="00CB542F" w:rsidRDefault="00573A58">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037755EA" w14:textId="77777777" w:rsidR="00CB542F" w:rsidRDefault="00573A58">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14279407" w14:textId="77777777" w:rsidR="00CB542F" w:rsidRDefault="00573A58">
      <w:pPr>
        <w:widowControl w:val="0"/>
        <w:numPr>
          <w:ilvl w:val="0"/>
          <w:numId w:val="5"/>
        </w:numPr>
        <w:autoSpaceDE w:val="0"/>
        <w:autoSpaceDN w:val="0"/>
        <w:ind w:left="567" w:hanging="567"/>
        <w:rPr>
          <w:color w:val="000000"/>
          <w:szCs w:val="22"/>
          <w:lang w:val="en-US"/>
        </w:rPr>
      </w:pPr>
      <w:r>
        <w:t>Kraujo ląstelių procento sumažėjimas.</w:t>
      </w:r>
    </w:p>
    <w:p w14:paraId="4D6695DA" w14:textId="77777777" w:rsidR="00CB542F" w:rsidRDefault="00573A58">
      <w:pPr>
        <w:widowControl w:val="0"/>
        <w:numPr>
          <w:ilvl w:val="0"/>
          <w:numId w:val="5"/>
        </w:numPr>
        <w:autoSpaceDE w:val="0"/>
        <w:autoSpaceDN w:val="0"/>
        <w:ind w:left="567" w:hanging="567"/>
        <w:rPr>
          <w:color w:val="000000"/>
          <w:szCs w:val="22"/>
          <w:lang w:val="en-US"/>
        </w:rPr>
      </w:pPr>
      <w:r>
        <w:t>Kepenų fermentų padaugėjimas kraujyje.</w:t>
      </w:r>
    </w:p>
    <w:p w14:paraId="738FA6B5" w14:textId="77777777" w:rsidR="00CB542F" w:rsidRDefault="00573A58">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68FB57C6" w14:textId="77777777" w:rsidR="00CB542F" w:rsidRDefault="00CB542F">
      <w:pPr>
        <w:widowControl w:val="0"/>
        <w:autoSpaceDE w:val="0"/>
        <w:autoSpaceDN w:val="0"/>
        <w:rPr>
          <w:color w:val="000000"/>
          <w:szCs w:val="22"/>
          <w:lang w:val="en-US"/>
        </w:rPr>
      </w:pPr>
    </w:p>
    <w:p w14:paraId="0D634809" w14:textId="77777777" w:rsidR="00CB542F" w:rsidRDefault="00573A58">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34CF3379" w14:textId="77777777" w:rsidR="00CB542F" w:rsidRDefault="00573A58">
      <w:pPr>
        <w:widowControl w:val="0"/>
        <w:numPr>
          <w:ilvl w:val="0"/>
          <w:numId w:val="5"/>
        </w:numPr>
        <w:autoSpaceDE w:val="0"/>
        <w:autoSpaceDN w:val="0"/>
        <w:ind w:left="567" w:hanging="567"/>
        <w:rPr>
          <w:color w:val="000000"/>
          <w:szCs w:val="22"/>
          <w:lang w:val="en-US"/>
        </w:rPr>
      </w:pPr>
      <w:r>
        <w:t>Apsunkintas kvėpavimas arba švokštimas.</w:t>
      </w:r>
    </w:p>
    <w:p w14:paraId="0BF67743" w14:textId="77777777" w:rsidR="00CB542F" w:rsidRDefault="00573A58">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0949F1B3" w14:textId="77777777" w:rsidR="00CB542F" w:rsidRDefault="00573A58">
      <w:pPr>
        <w:widowControl w:val="0"/>
        <w:numPr>
          <w:ilvl w:val="0"/>
          <w:numId w:val="5"/>
        </w:numPr>
        <w:autoSpaceDE w:val="0"/>
        <w:autoSpaceDN w:val="0"/>
        <w:ind w:left="567" w:hanging="567"/>
        <w:rPr>
          <w:color w:val="000000"/>
          <w:szCs w:val="22"/>
          <w:lang w:val="en-US"/>
        </w:rPr>
      </w:pPr>
      <w:r>
        <w:t>Nuplikimas.</w:t>
      </w:r>
    </w:p>
    <w:p w14:paraId="74CA27E1" w14:textId="77777777" w:rsidR="00CB542F" w:rsidRDefault="00CB542F">
      <w:pPr>
        <w:widowControl w:val="0"/>
        <w:autoSpaceDE w:val="0"/>
        <w:autoSpaceDN w:val="0"/>
      </w:pPr>
    </w:p>
    <w:p w14:paraId="0A68EA5D" w14:textId="77777777" w:rsidR="00CB542F" w:rsidRDefault="00573A58">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14:paraId="75F39C91" w14:textId="77777777" w:rsidR="00CB542F" w:rsidRDefault="00CB542F">
      <w:pPr>
        <w:widowControl w:val="0"/>
        <w:autoSpaceDE w:val="0"/>
        <w:autoSpaceDN w:val="0"/>
        <w:rPr>
          <w:u w:val="single"/>
        </w:rPr>
      </w:pPr>
    </w:p>
    <w:p w14:paraId="1DCA5C04" w14:textId="77777777" w:rsidR="00CB542F" w:rsidRDefault="00573A58">
      <w:pPr>
        <w:widowControl w:val="0"/>
        <w:autoSpaceDE w:val="0"/>
        <w:autoSpaceDN w:val="0"/>
        <w:rPr>
          <w:u w:val="single"/>
        </w:rPr>
      </w:pPr>
      <w:r>
        <w:rPr>
          <w:u w:val="single"/>
        </w:rPr>
        <w:t>Kraujo krešulių kojų ir plaučių venose gydymas, įskaitant kraujo krešulių pasikartojimo kojų ir plaučių venose profilaktiką</w:t>
      </w:r>
    </w:p>
    <w:p w14:paraId="7738CA4F" w14:textId="77777777" w:rsidR="00CB542F" w:rsidRDefault="00CB542F">
      <w:pPr>
        <w:numPr>
          <w:ilvl w:val="12"/>
          <w:numId w:val="0"/>
        </w:numPr>
        <w:ind w:right="-2"/>
        <w:rPr>
          <w:noProof/>
          <w:snapToGrid w:val="0"/>
          <w:szCs w:val="22"/>
        </w:rPr>
      </w:pPr>
    </w:p>
    <w:p w14:paraId="58B63621" w14:textId="77777777" w:rsidR="00CB542F" w:rsidRDefault="00573A58">
      <w:pPr>
        <w:numPr>
          <w:ilvl w:val="12"/>
          <w:numId w:val="0"/>
        </w:numPr>
        <w:ind w:right="-2"/>
        <w:rPr>
          <w:noProof/>
          <w:snapToGrid w:val="0"/>
          <w:szCs w:val="22"/>
        </w:rPr>
      </w:pPr>
      <w:r>
        <w:rPr>
          <w:noProof/>
          <w:snapToGrid w:val="0"/>
          <w:szCs w:val="22"/>
        </w:rPr>
        <w:t>Dažni šalutinio poveikio reiškiniai (gali pasireikšti rečiau kaip 1 iš 10 asmenų):</w:t>
      </w:r>
    </w:p>
    <w:p w14:paraId="61476C86" w14:textId="77777777" w:rsidR="00CB542F" w:rsidRDefault="00573A58">
      <w:pPr>
        <w:widowControl w:val="0"/>
        <w:numPr>
          <w:ilvl w:val="0"/>
          <w:numId w:val="5"/>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14:paraId="0C1B3709" w14:textId="77777777" w:rsidR="00CB542F" w:rsidRDefault="00573A58">
      <w:pPr>
        <w:widowControl w:val="0"/>
        <w:numPr>
          <w:ilvl w:val="0"/>
          <w:numId w:val="5"/>
        </w:numPr>
        <w:autoSpaceDE w:val="0"/>
        <w:autoSpaceDN w:val="0"/>
        <w:ind w:left="567" w:hanging="567"/>
        <w:rPr>
          <w:color w:val="000000"/>
          <w:szCs w:val="22"/>
          <w:lang w:val="en-US"/>
        </w:rPr>
      </w:pPr>
      <w:r>
        <w:t>Nevirškinimas.</w:t>
      </w:r>
    </w:p>
    <w:p w14:paraId="0B1B0C65" w14:textId="77777777" w:rsidR="00CB542F" w:rsidRDefault="00CB542F">
      <w:pPr>
        <w:widowControl w:val="0"/>
        <w:autoSpaceDE w:val="0"/>
        <w:autoSpaceDN w:val="0"/>
      </w:pPr>
    </w:p>
    <w:p w14:paraId="27B7340B" w14:textId="77777777" w:rsidR="00CB542F" w:rsidRDefault="00573A58">
      <w:pPr>
        <w:numPr>
          <w:ilvl w:val="12"/>
          <w:numId w:val="0"/>
        </w:numPr>
        <w:ind w:left="567" w:right="-2" w:hanging="567"/>
        <w:rPr>
          <w:noProof/>
        </w:rPr>
      </w:pPr>
      <w:r>
        <w:rPr>
          <w:noProof/>
          <w:snapToGrid w:val="0"/>
          <w:szCs w:val="22"/>
        </w:rPr>
        <w:t>Nedažni šalutinio poveikio reiškiniai (gali pasireikšti rečiau kaip 1 iš 100 asmenų):</w:t>
      </w:r>
    </w:p>
    <w:p w14:paraId="3A544A0F" w14:textId="77777777" w:rsidR="00CB542F" w:rsidRDefault="00573A58">
      <w:pPr>
        <w:widowControl w:val="0"/>
        <w:numPr>
          <w:ilvl w:val="0"/>
          <w:numId w:val="5"/>
        </w:numPr>
        <w:autoSpaceDE w:val="0"/>
        <w:autoSpaceDN w:val="0"/>
        <w:ind w:left="567" w:hanging="567"/>
        <w:rPr>
          <w:color w:val="000000"/>
          <w:szCs w:val="22"/>
          <w:lang w:val="en-US"/>
        </w:rPr>
      </w:pPr>
      <w:r>
        <w:t>Kraujavimas.</w:t>
      </w:r>
    </w:p>
    <w:p w14:paraId="4EAA06E7" w14:textId="77777777" w:rsidR="00CB542F" w:rsidRDefault="00573A58">
      <w:pPr>
        <w:widowControl w:val="0"/>
        <w:numPr>
          <w:ilvl w:val="0"/>
          <w:numId w:val="5"/>
        </w:numPr>
        <w:autoSpaceDE w:val="0"/>
        <w:autoSpaceDN w:val="0"/>
        <w:ind w:left="567" w:hanging="567"/>
        <w:rPr>
          <w:color w:val="000000"/>
          <w:szCs w:val="22"/>
          <w:lang w:val="en-US"/>
        </w:rPr>
      </w:pPr>
      <w:r>
        <w:t>Kraujavimas į sąnarį arba iš žaizdos.</w:t>
      </w:r>
    </w:p>
    <w:p w14:paraId="6BD7A382" w14:textId="77777777" w:rsidR="00CB542F" w:rsidRDefault="00573A58">
      <w:pPr>
        <w:widowControl w:val="0"/>
        <w:numPr>
          <w:ilvl w:val="0"/>
          <w:numId w:val="5"/>
        </w:numPr>
        <w:autoSpaceDE w:val="0"/>
        <w:autoSpaceDN w:val="0"/>
        <w:ind w:left="567" w:hanging="567"/>
        <w:rPr>
          <w:color w:val="000000"/>
          <w:szCs w:val="22"/>
          <w:lang w:val="en-US"/>
        </w:rPr>
      </w:pPr>
      <w:r>
        <w:t>Kraujavimas iš hemorojinių mazgų.</w:t>
      </w:r>
    </w:p>
    <w:p w14:paraId="4AA89907" w14:textId="77777777" w:rsidR="00CB542F" w:rsidRDefault="00573A58">
      <w:pPr>
        <w:widowControl w:val="0"/>
        <w:numPr>
          <w:ilvl w:val="0"/>
          <w:numId w:val="5"/>
        </w:numPr>
        <w:autoSpaceDE w:val="0"/>
        <w:autoSpaceDN w:val="0"/>
        <w:ind w:left="567" w:hanging="567"/>
        <w:rPr>
          <w:color w:val="000000"/>
          <w:szCs w:val="22"/>
          <w:lang w:val="en-US"/>
        </w:rPr>
      </w:pPr>
      <w:r>
        <w:t>Raudonųjų kraujo ląstelių skaičiaus sumažėjimas kraujyje.</w:t>
      </w:r>
    </w:p>
    <w:p w14:paraId="41038379" w14:textId="77777777" w:rsidR="00CB542F" w:rsidRDefault="00573A58">
      <w:pPr>
        <w:widowControl w:val="0"/>
        <w:numPr>
          <w:ilvl w:val="0"/>
          <w:numId w:val="5"/>
        </w:numPr>
        <w:autoSpaceDE w:val="0"/>
        <w:autoSpaceDN w:val="0"/>
        <w:ind w:left="567" w:hanging="567"/>
        <w:rPr>
          <w:color w:val="000000"/>
          <w:szCs w:val="22"/>
          <w:lang w:val="en-US"/>
        </w:rPr>
      </w:pPr>
      <w:r>
        <w:t>Hematomos (kraujosruvos) formavimasis.</w:t>
      </w:r>
    </w:p>
    <w:p w14:paraId="3ED7A24E" w14:textId="77777777" w:rsidR="00CB542F" w:rsidRDefault="00573A58">
      <w:pPr>
        <w:widowControl w:val="0"/>
        <w:numPr>
          <w:ilvl w:val="0"/>
          <w:numId w:val="5"/>
        </w:numPr>
        <w:autoSpaceDE w:val="0"/>
        <w:autoSpaceDN w:val="0"/>
        <w:ind w:left="567" w:hanging="567"/>
        <w:rPr>
          <w:color w:val="000000"/>
          <w:szCs w:val="22"/>
          <w:lang w:val="en-US"/>
        </w:rPr>
      </w:pPr>
      <w:r>
        <w:t>Kraujo arba kraujingų skreplių atkosėjimas.</w:t>
      </w:r>
    </w:p>
    <w:p w14:paraId="717A7302" w14:textId="77777777" w:rsidR="00CB542F" w:rsidRDefault="00573A58">
      <w:pPr>
        <w:widowControl w:val="0"/>
        <w:numPr>
          <w:ilvl w:val="0"/>
          <w:numId w:val="5"/>
        </w:numPr>
        <w:autoSpaceDE w:val="0"/>
        <w:autoSpaceDN w:val="0"/>
        <w:ind w:left="567" w:hanging="567"/>
        <w:rPr>
          <w:color w:val="000000"/>
          <w:szCs w:val="22"/>
          <w:lang w:val="en-US"/>
        </w:rPr>
      </w:pPr>
      <w:r>
        <w:t>Alerginė reakcija.</w:t>
      </w:r>
    </w:p>
    <w:p w14:paraId="019B0A6B" w14:textId="77777777" w:rsidR="00CB542F" w:rsidRDefault="00573A58">
      <w:pPr>
        <w:widowControl w:val="0"/>
        <w:numPr>
          <w:ilvl w:val="0"/>
          <w:numId w:val="5"/>
        </w:numPr>
        <w:autoSpaceDE w:val="0"/>
        <w:autoSpaceDN w:val="0"/>
        <w:ind w:left="567" w:hanging="567"/>
        <w:rPr>
          <w:color w:val="000000"/>
          <w:szCs w:val="22"/>
          <w:lang w:val="en-US"/>
        </w:rPr>
      </w:pPr>
      <w:r>
        <w:t>Staigus odos pokytis, veikiantis jos spalvą ir išvaizdą.</w:t>
      </w:r>
    </w:p>
    <w:p w14:paraId="33EB538F" w14:textId="77777777" w:rsidR="00CB542F" w:rsidRDefault="00573A58">
      <w:pPr>
        <w:widowControl w:val="0"/>
        <w:numPr>
          <w:ilvl w:val="0"/>
          <w:numId w:val="5"/>
        </w:numPr>
        <w:autoSpaceDE w:val="0"/>
        <w:autoSpaceDN w:val="0"/>
        <w:ind w:left="567" w:hanging="567"/>
        <w:rPr>
          <w:color w:val="000000"/>
          <w:szCs w:val="22"/>
          <w:lang w:val="en-US"/>
        </w:rPr>
      </w:pPr>
      <w:r>
        <w:t>Niežulys.</w:t>
      </w:r>
    </w:p>
    <w:p w14:paraId="65F160A0" w14:textId="77777777" w:rsidR="00CB542F" w:rsidRDefault="00573A58">
      <w:pPr>
        <w:widowControl w:val="0"/>
        <w:numPr>
          <w:ilvl w:val="0"/>
          <w:numId w:val="5"/>
        </w:numPr>
        <w:autoSpaceDE w:val="0"/>
        <w:autoSpaceDN w:val="0"/>
        <w:ind w:left="567" w:hanging="567"/>
        <w:rPr>
          <w:color w:val="000000"/>
          <w:szCs w:val="22"/>
          <w:lang w:val="en-US"/>
        </w:rPr>
      </w:pPr>
      <w:r>
        <w:t>Skrandžio arba žarnų opa (įskaitant stemplės opą).</w:t>
      </w:r>
    </w:p>
    <w:p w14:paraId="7814D0FF" w14:textId="77777777" w:rsidR="00CB542F" w:rsidRDefault="00573A58">
      <w:pPr>
        <w:widowControl w:val="0"/>
        <w:numPr>
          <w:ilvl w:val="0"/>
          <w:numId w:val="5"/>
        </w:numPr>
        <w:autoSpaceDE w:val="0"/>
        <w:autoSpaceDN w:val="0"/>
        <w:ind w:left="567" w:hanging="567"/>
        <w:rPr>
          <w:color w:val="000000"/>
          <w:szCs w:val="22"/>
          <w:lang w:val="en-US"/>
        </w:rPr>
      </w:pPr>
      <w:r>
        <w:t>Stemplės ir skrandžio uždegimas.</w:t>
      </w:r>
    </w:p>
    <w:p w14:paraId="51A2BA53" w14:textId="77777777" w:rsidR="00CB542F" w:rsidRDefault="00573A58">
      <w:pPr>
        <w:widowControl w:val="0"/>
        <w:numPr>
          <w:ilvl w:val="0"/>
          <w:numId w:val="5"/>
        </w:numPr>
        <w:autoSpaceDE w:val="0"/>
        <w:autoSpaceDN w:val="0"/>
        <w:ind w:left="567" w:hanging="567"/>
        <w:rPr>
          <w:color w:val="000000"/>
          <w:szCs w:val="22"/>
          <w:lang w:val="en-US"/>
        </w:rPr>
      </w:pPr>
      <w:r>
        <w:t>Grįžtamasis skrandžio sulčių tekėjimas į stemplę.</w:t>
      </w:r>
    </w:p>
    <w:p w14:paraId="6AD2ED5F" w14:textId="77777777" w:rsidR="00CB542F" w:rsidRDefault="00573A58">
      <w:pPr>
        <w:widowControl w:val="0"/>
        <w:numPr>
          <w:ilvl w:val="0"/>
          <w:numId w:val="5"/>
        </w:numPr>
        <w:autoSpaceDE w:val="0"/>
        <w:autoSpaceDN w:val="0"/>
        <w:ind w:left="567" w:hanging="567"/>
        <w:rPr>
          <w:color w:val="000000"/>
          <w:szCs w:val="22"/>
          <w:lang w:val="en-US"/>
        </w:rPr>
      </w:pPr>
      <w:r>
        <w:t>Pykinimas.</w:t>
      </w:r>
    </w:p>
    <w:p w14:paraId="38E952F1" w14:textId="77777777" w:rsidR="00CB542F" w:rsidRDefault="00573A58">
      <w:pPr>
        <w:widowControl w:val="0"/>
        <w:numPr>
          <w:ilvl w:val="0"/>
          <w:numId w:val="5"/>
        </w:numPr>
        <w:autoSpaceDE w:val="0"/>
        <w:autoSpaceDN w:val="0"/>
        <w:ind w:left="567" w:hanging="567"/>
        <w:rPr>
          <w:color w:val="000000"/>
          <w:szCs w:val="22"/>
          <w:lang w:val="en-US"/>
        </w:rPr>
      </w:pPr>
      <w:r>
        <w:t>Vėmimas.</w:t>
      </w:r>
    </w:p>
    <w:p w14:paraId="6A1FC416" w14:textId="77777777" w:rsidR="00CB542F" w:rsidRDefault="00573A58">
      <w:pPr>
        <w:widowControl w:val="0"/>
        <w:numPr>
          <w:ilvl w:val="0"/>
          <w:numId w:val="5"/>
        </w:numPr>
        <w:autoSpaceDE w:val="0"/>
        <w:autoSpaceDN w:val="0"/>
        <w:ind w:left="567" w:hanging="567"/>
        <w:rPr>
          <w:color w:val="000000"/>
          <w:szCs w:val="22"/>
          <w:lang w:val="en-US"/>
        </w:rPr>
      </w:pPr>
      <w:r>
        <w:t>Pilvo arba skrandžio skausmas.</w:t>
      </w:r>
    </w:p>
    <w:p w14:paraId="5FB26658" w14:textId="77777777" w:rsidR="00CB542F" w:rsidRDefault="00573A58">
      <w:pPr>
        <w:widowControl w:val="0"/>
        <w:numPr>
          <w:ilvl w:val="0"/>
          <w:numId w:val="5"/>
        </w:numPr>
        <w:autoSpaceDE w:val="0"/>
        <w:autoSpaceDN w:val="0"/>
        <w:ind w:left="567" w:hanging="567"/>
        <w:rPr>
          <w:color w:val="000000"/>
          <w:szCs w:val="22"/>
          <w:lang w:val="en-US"/>
        </w:rPr>
      </w:pPr>
      <w:r>
        <w:t>Dažnas tuštinimasis skystomis arba vandeningomis išmatomis.</w:t>
      </w:r>
    </w:p>
    <w:p w14:paraId="5A0D1C74" w14:textId="77777777" w:rsidR="00CB542F" w:rsidRDefault="00573A58">
      <w:pPr>
        <w:widowControl w:val="0"/>
        <w:numPr>
          <w:ilvl w:val="0"/>
          <w:numId w:val="5"/>
        </w:numPr>
        <w:autoSpaceDE w:val="0"/>
        <w:autoSpaceDN w:val="0"/>
        <w:ind w:left="567" w:hanging="567"/>
        <w:rPr>
          <w:color w:val="000000"/>
          <w:szCs w:val="22"/>
          <w:lang w:val="en-US"/>
        </w:rPr>
      </w:pPr>
      <w:r>
        <w:t>Neįprasti kepenų funkcijos laboratorinių tyrimų rezultatai.</w:t>
      </w:r>
    </w:p>
    <w:p w14:paraId="440969DA" w14:textId="77777777" w:rsidR="00CB542F" w:rsidRDefault="00573A58">
      <w:pPr>
        <w:widowControl w:val="0"/>
        <w:numPr>
          <w:ilvl w:val="0"/>
          <w:numId w:val="5"/>
        </w:numPr>
        <w:autoSpaceDE w:val="0"/>
        <w:autoSpaceDN w:val="0"/>
        <w:ind w:left="567" w:hanging="567"/>
        <w:rPr>
          <w:color w:val="000000"/>
          <w:szCs w:val="22"/>
          <w:lang w:val="en-US"/>
        </w:rPr>
      </w:pPr>
      <w:r>
        <w:t>Kepenų fermentų padaugėjimas kraujyje.</w:t>
      </w:r>
    </w:p>
    <w:p w14:paraId="382EB6A0" w14:textId="77777777" w:rsidR="00CB542F" w:rsidRDefault="00CB542F">
      <w:pPr>
        <w:widowControl w:val="0"/>
        <w:autoSpaceDE w:val="0"/>
        <w:autoSpaceDN w:val="0"/>
        <w:rPr>
          <w:color w:val="000000"/>
          <w:szCs w:val="22"/>
          <w:lang w:val="en-US"/>
        </w:rPr>
      </w:pPr>
    </w:p>
    <w:p w14:paraId="7320D736" w14:textId="77777777" w:rsidR="00CB542F" w:rsidRDefault="00573A58">
      <w:pPr>
        <w:numPr>
          <w:ilvl w:val="12"/>
          <w:numId w:val="0"/>
        </w:numPr>
        <w:ind w:right="-2"/>
        <w:rPr>
          <w:noProof/>
        </w:rPr>
      </w:pPr>
      <w:r>
        <w:rPr>
          <w:noProof/>
          <w:snapToGrid w:val="0"/>
          <w:szCs w:val="22"/>
        </w:rPr>
        <w:t>Reti šalutinio poveikio reiškiniai (gali pasireikšti rečiau kaip 1 iš 1 000 asmenų):</w:t>
      </w:r>
    </w:p>
    <w:p w14:paraId="4DED3092" w14:textId="77777777" w:rsidR="00CB542F" w:rsidRDefault="00573A58">
      <w:pPr>
        <w:widowControl w:val="0"/>
        <w:numPr>
          <w:ilvl w:val="0"/>
          <w:numId w:val="5"/>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14:paraId="1F6D37EB" w14:textId="77777777" w:rsidR="00CB542F" w:rsidRDefault="00573A58">
      <w:pPr>
        <w:widowControl w:val="0"/>
        <w:numPr>
          <w:ilvl w:val="0"/>
          <w:numId w:val="5"/>
        </w:numPr>
        <w:autoSpaceDE w:val="0"/>
        <w:autoSpaceDN w:val="0"/>
        <w:ind w:left="567" w:hanging="567"/>
        <w:rPr>
          <w:color w:val="000000"/>
          <w:szCs w:val="22"/>
          <w:lang w:val="en-US"/>
        </w:rPr>
      </w:pPr>
      <w:r>
        <w:t>Trombocitų skaičiaus sumažėjimas kraujyje.</w:t>
      </w:r>
    </w:p>
    <w:p w14:paraId="3C06F4E8" w14:textId="77777777" w:rsidR="00CB542F" w:rsidRDefault="00573A58">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71EE4D82" w14:textId="77777777" w:rsidR="00CB542F" w:rsidRDefault="00573A58">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5E205D46" w14:textId="77777777" w:rsidR="00CB542F" w:rsidRDefault="00573A58">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1AA739BF" w14:textId="77777777" w:rsidR="00CB542F" w:rsidRDefault="00573A58">
      <w:pPr>
        <w:widowControl w:val="0"/>
        <w:numPr>
          <w:ilvl w:val="0"/>
          <w:numId w:val="5"/>
        </w:numPr>
        <w:autoSpaceDE w:val="0"/>
        <w:autoSpaceDN w:val="0"/>
        <w:ind w:left="567" w:hanging="567"/>
        <w:rPr>
          <w:color w:val="000000"/>
          <w:szCs w:val="22"/>
          <w:lang w:val="en-US"/>
        </w:rPr>
      </w:pPr>
      <w:r>
        <w:t>Rijimo pasunkėjimas.</w:t>
      </w:r>
    </w:p>
    <w:p w14:paraId="1C5F1CC5" w14:textId="77777777" w:rsidR="00CB542F" w:rsidRDefault="00CB542F">
      <w:pPr>
        <w:widowControl w:val="0"/>
        <w:autoSpaceDE w:val="0"/>
        <w:autoSpaceDN w:val="0"/>
        <w:rPr>
          <w:color w:val="000000"/>
          <w:szCs w:val="22"/>
          <w:lang w:val="en-US"/>
        </w:rPr>
      </w:pPr>
    </w:p>
    <w:p w14:paraId="07DF76E1" w14:textId="77777777" w:rsidR="00CB542F" w:rsidRDefault="00573A58">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22E049E4" w14:textId="77777777" w:rsidR="00CB542F" w:rsidRDefault="00573A58">
      <w:pPr>
        <w:widowControl w:val="0"/>
        <w:numPr>
          <w:ilvl w:val="0"/>
          <w:numId w:val="5"/>
        </w:numPr>
        <w:autoSpaceDE w:val="0"/>
        <w:autoSpaceDN w:val="0"/>
        <w:ind w:left="567" w:hanging="567"/>
        <w:rPr>
          <w:color w:val="000000"/>
          <w:szCs w:val="22"/>
          <w:lang w:val="en-US"/>
        </w:rPr>
      </w:pPr>
      <w:r>
        <w:t>Apsunkintas kvėpavimas arba švokštimas.</w:t>
      </w:r>
    </w:p>
    <w:p w14:paraId="117F737E" w14:textId="77777777" w:rsidR="00CB542F" w:rsidRDefault="00573A58">
      <w:pPr>
        <w:widowControl w:val="0"/>
        <w:numPr>
          <w:ilvl w:val="0"/>
          <w:numId w:val="5"/>
        </w:numPr>
        <w:autoSpaceDE w:val="0"/>
        <w:autoSpaceDN w:val="0"/>
        <w:ind w:left="567" w:hanging="567"/>
        <w:rPr>
          <w:color w:val="000000"/>
          <w:szCs w:val="22"/>
          <w:lang w:val="en-US"/>
        </w:rPr>
      </w:pPr>
      <w:r>
        <w:lastRenderedPageBreak/>
        <w:t>Hemoglobino (raudonosiose kraujo ląstelėse esančios medžiagos) kiekio sumažėjimas kraujyje.</w:t>
      </w:r>
    </w:p>
    <w:p w14:paraId="617E5D12" w14:textId="77777777" w:rsidR="00CB542F" w:rsidRDefault="00573A58">
      <w:pPr>
        <w:widowControl w:val="0"/>
        <w:numPr>
          <w:ilvl w:val="0"/>
          <w:numId w:val="5"/>
        </w:numPr>
        <w:autoSpaceDE w:val="0"/>
        <w:autoSpaceDN w:val="0"/>
        <w:ind w:left="567" w:hanging="567"/>
        <w:rPr>
          <w:color w:val="000000"/>
          <w:szCs w:val="22"/>
          <w:lang w:val="en-US"/>
        </w:rPr>
      </w:pPr>
      <w:r>
        <w:t>Kraujo ląstelių procento sumažėjimas.</w:t>
      </w:r>
    </w:p>
    <w:p w14:paraId="47C57380" w14:textId="77777777" w:rsidR="00CB542F" w:rsidRDefault="00573A58">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7CECC7EB" w14:textId="77777777" w:rsidR="00CB542F" w:rsidRDefault="00573A58">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22BE7B15" w14:textId="77777777" w:rsidR="00CB542F" w:rsidRDefault="00573A58">
      <w:pPr>
        <w:widowControl w:val="0"/>
        <w:numPr>
          <w:ilvl w:val="0"/>
          <w:numId w:val="5"/>
        </w:numPr>
        <w:autoSpaceDE w:val="0"/>
        <w:autoSpaceDN w:val="0"/>
        <w:ind w:left="567" w:hanging="567"/>
        <w:rPr>
          <w:color w:val="000000"/>
          <w:szCs w:val="22"/>
          <w:lang w:val="en-US"/>
        </w:rPr>
      </w:pPr>
      <w:r>
        <w:t>Nuplikimas.</w:t>
      </w:r>
    </w:p>
    <w:p w14:paraId="0084A016" w14:textId="77777777" w:rsidR="00CB542F" w:rsidRDefault="00CB542F">
      <w:pPr>
        <w:widowControl w:val="0"/>
        <w:autoSpaceDE w:val="0"/>
        <w:autoSpaceDN w:val="0"/>
      </w:pPr>
    </w:p>
    <w:p w14:paraId="7AFE1C18" w14:textId="77777777" w:rsidR="00CB542F" w:rsidRDefault="00573A58">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14:paraId="0188B617" w14:textId="77777777" w:rsidR="00CB542F" w:rsidRDefault="00CB542F">
      <w:pPr>
        <w:widowControl w:val="0"/>
        <w:autoSpaceDE w:val="0"/>
        <w:autoSpaceDN w:val="0"/>
        <w:rPr>
          <w:color w:val="000000"/>
          <w:szCs w:val="22"/>
          <w:lang w:val="en-US"/>
        </w:rPr>
      </w:pPr>
    </w:p>
    <w:p w14:paraId="74BE48A0" w14:textId="77777777" w:rsidR="00CB542F" w:rsidRDefault="00573A58">
      <w:pPr>
        <w:widowControl w:val="0"/>
        <w:autoSpaceDE w:val="0"/>
        <w:autoSpaceDN w:val="0"/>
        <w:rPr>
          <w:u w:val="single"/>
        </w:rPr>
      </w:pPr>
      <w:r>
        <w:rPr>
          <w:u w:val="single"/>
        </w:rPr>
        <w:t>Kraujo krešulių gydymas ir kraujo krešulių kartotinio susidarymo profilaktika vaikams</w:t>
      </w:r>
    </w:p>
    <w:p w14:paraId="42F50BC6" w14:textId="77777777" w:rsidR="00CB542F" w:rsidRDefault="00CB542F">
      <w:pPr>
        <w:numPr>
          <w:ilvl w:val="12"/>
          <w:numId w:val="0"/>
        </w:numPr>
        <w:ind w:right="-2"/>
        <w:rPr>
          <w:noProof/>
          <w:snapToGrid w:val="0"/>
          <w:szCs w:val="22"/>
        </w:rPr>
      </w:pPr>
    </w:p>
    <w:p w14:paraId="4DD194A7" w14:textId="77777777" w:rsidR="00CB542F" w:rsidRDefault="00573A58">
      <w:pPr>
        <w:numPr>
          <w:ilvl w:val="12"/>
          <w:numId w:val="0"/>
        </w:numPr>
        <w:ind w:right="-2"/>
        <w:rPr>
          <w:noProof/>
          <w:snapToGrid w:val="0"/>
          <w:szCs w:val="22"/>
        </w:rPr>
      </w:pPr>
      <w:r>
        <w:rPr>
          <w:noProof/>
          <w:snapToGrid w:val="0"/>
          <w:szCs w:val="22"/>
        </w:rPr>
        <w:t>Dažni šalutinio poveikio reiškiniai (gali pasireikšti rečiau kaip 1 iš 10 asmenų):</w:t>
      </w:r>
    </w:p>
    <w:p w14:paraId="7C40AFD1" w14:textId="77777777" w:rsidR="00CB542F" w:rsidRDefault="00573A58">
      <w:pPr>
        <w:widowControl w:val="0"/>
        <w:numPr>
          <w:ilvl w:val="0"/>
          <w:numId w:val="5"/>
        </w:numPr>
        <w:autoSpaceDE w:val="0"/>
        <w:autoSpaceDN w:val="0"/>
        <w:ind w:left="567" w:hanging="567"/>
        <w:rPr>
          <w:color w:val="000000"/>
          <w:szCs w:val="22"/>
          <w:lang w:val="en-US"/>
        </w:rPr>
      </w:pPr>
      <w:bookmarkStart w:id="5" w:name="_Hlk147321356"/>
      <w:r>
        <w:t>Raudonųjų kraujo ląstelių skaičiaus sumažėjimas kraujyje.</w:t>
      </w:r>
    </w:p>
    <w:bookmarkEnd w:id="5"/>
    <w:p w14:paraId="58A5ED5E" w14:textId="77777777" w:rsidR="00CB542F" w:rsidRDefault="00573A58">
      <w:pPr>
        <w:widowControl w:val="0"/>
        <w:numPr>
          <w:ilvl w:val="0"/>
          <w:numId w:val="5"/>
        </w:numPr>
        <w:autoSpaceDE w:val="0"/>
        <w:autoSpaceDN w:val="0"/>
        <w:ind w:left="567" w:hanging="567"/>
        <w:rPr>
          <w:color w:val="000000"/>
          <w:szCs w:val="22"/>
          <w:lang w:val="en-US"/>
        </w:rPr>
      </w:pPr>
      <w:r>
        <w:t>Trombocitų skaičiaus sumažėjimas kraujyje.</w:t>
      </w:r>
    </w:p>
    <w:p w14:paraId="70902682" w14:textId="77777777" w:rsidR="00CB542F" w:rsidRDefault="00573A58">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652230A0" w14:textId="77777777" w:rsidR="00CB542F" w:rsidRDefault="00573A58">
      <w:pPr>
        <w:widowControl w:val="0"/>
        <w:numPr>
          <w:ilvl w:val="0"/>
          <w:numId w:val="5"/>
        </w:numPr>
        <w:autoSpaceDE w:val="0"/>
        <w:autoSpaceDN w:val="0"/>
        <w:ind w:left="567" w:hanging="567"/>
        <w:rPr>
          <w:color w:val="000000"/>
          <w:szCs w:val="22"/>
          <w:lang w:val="en-US"/>
        </w:rPr>
      </w:pPr>
      <w:r>
        <w:t>Staigus odos pokytis, veikiantis jos spalvą ir išvaizdą.</w:t>
      </w:r>
    </w:p>
    <w:p w14:paraId="6BB05D70" w14:textId="77777777" w:rsidR="00CB542F" w:rsidRDefault="00573A58">
      <w:pPr>
        <w:widowControl w:val="0"/>
        <w:numPr>
          <w:ilvl w:val="0"/>
          <w:numId w:val="5"/>
        </w:numPr>
        <w:autoSpaceDE w:val="0"/>
        <w:autoSpaceDN w:val="0"/>
        <w:ind w:left="567" w:hanging="567"/>
        <w:rPr>
          <w:color w:val="000000"/>
          <w:szCs w:val="22"/>
          <w:lang w:val="en-US"/>
        </w:rPr>
      </w:pPr>
      <w:r>
        <w:t>Hematomos (kraujosruvos) formavimasis.</w:t>
      </w:r>
    </w:p>
    <w:p w14:paraId="67FD806E" w14:textId="77777777" w:rsidR="00CB542F" w:rsidRDefault="00573A58">
      <w:pPr>
        <w:widowControl w:val="0"/>
        <w:numPr>
          <w:ilvl w:val="0"/>
          <w:numId w:val="5"/>
        </w:numPr>
        <w:autoSpaceDE w:val="0"/>
        <w:autoSpaceDN w:val="0"/>
        <w:ind w:left="567" w:hanging="567"/>
        <w:rPr>
          <w:color w:val="000000"/>
          <w:szCs w:val="22"/>
          <w:lang w:val="en-US"/>
        </w:rPr>
      </w:pPr>
      <w:r>
        <w:t>Kraujavimas iš nosies.</w:t>
      </w:r>
    </w:p>
    <w:p w14:paraId="0334E7C9" w14:textId="77777777" w:rsidR="00CB542F" w:rsidRDefault="00573A58">
      <w:pPr>
        <w:widowControl w:val="0"/>
        <w:numPr>
          <w:ilvl w:val="0"/>
          <w:numId w:val="5"/>
        </w:numPr>
        <w:autoSpaceDE w:val="0"/>
        <w:autoSpaceDN w:val="0"/>
        <w:ind w:left="567" w:hanging="567"/>
        <w:rPr>
          <w:color w:val="000000"/>
          <w:szCs w:val="22"/>
          <w:lang w:val="en-US"/>
        </w:rPr>
      </w:pPr>
      <w:r>
        <w:t>Grįžtamasis skrandžio sulčių tekėjimas į stemplę.</w:t>
      </w:r>
    </w:p>
    <w:p w14:paraId="1FACCC1C" w14:textId="77777777" w:rsidR="00CB542F" w:rsidRDefault="00573A58">
      <w:pPr>
        <w:widowControl w:val="0"/>
        <w:numPr>
          <w:ilvl w:val="0"/>
          <w:numId w:val="5"/>
        </w:numPr>
        <w:autoSpaceDE w:val="0"/>
        <w:autoSpaceDN w:val="0"/>
        <w:ind w:left="567" w:hanging="567"/>
        <w:rPr>
          <w:color w:val="000000"/>
          <w:szCs w:val="22"/>
          <w:lang w:val="en-US"/>
        </w:rPr>
      </w:pPr>
      <w:r>
        <w:t>Vėmimas.</w:t>
      </w:r>
    </w:p>
    <w:p w14:paraId="431F0998" w14:textId="77777777" w:rsidR="00CB542F" w:rsidRDefault="00573A58">
      <w:pPr>
        <w:widowControl w:val="0"/>
        <w:numPr>
          <w:ilvl w:val="0"/>
          <w:numId w:val="5"/>
        </w:numPr>
        <w:autoSpaceDE w:val="0"/>
        <w:autoSpaceDN w:val="0"/>
        <w:ind w:left="567" w:hanging="567"/>
        <w:rPr>
          <w:color w:val="000000"/>
          <w:szCs w:val="22"/>
          <w:lang w:val="en-US"/>
        </w:rPr>
      </w:pPr>
      <w:r>
        <w:t>Pykinimas.</w:t>
      </w:r>
    </w:p>
    <w:p w14:paraId="18BFD846" w14:textId="77777777" w:rsidR="00CB542F" w:rsidRDefault="00573A58">
      <w:pPr>
        <w:widowControl w:val="0"/>
        <w:numPr>
          <w:ilvl w:val="0"/>
          <w:numId w:val="5"/>
        </w:numPr>
        <w:autoSpaceDE w:val="0"/>
        <w:autoSpaceDN w:val="0"/>
        <w:ind w:left="567" w:hanging="567"/>
        <w:rPr>
          <w:color w:val="000000"/>
          <w:szCs w:val="22"/>
          <w:lang w:val="en-US"/>
        </w:rPr>
      </w:pPr>
      <w:r>
        <w:t>Dažnas tuštinimasis skystomis arba vandeningomis išmatomis.</w:t>
      </w:r>
    </w:p>
    <w:p w14:paraId="12D8B6EC" w14:textId="77777777" w:rsidR="00CB542F" w:rsidRDefault="00573A58">
      <w:pPr>
        <w:widowControl w:val="0"/>
        <w:numPr>
          <w:ilvl w:val="0"/>
          <w:numId w:val="5"/>
        </w:numPr>
        <w:autoSpaceDE w:val="0"/>
        <w:autoSpaceDN w:val="0"/>
        <w:ind w:left="567" w:hanging="567"/>
        <w:rPr>
          <w:color w:val="000000"/>
          <w:szCs w:val="22"/>
          <w:lang w:val="en-US"/>
        </w:rPr>
      </w:pPr>
      <w:r>
        <w:t>Nevirškinimas.</w:t>
      </w:r>
    </w:p>
    <w:p w14:paraId="1EEE25C6" w14:textId="77777777" w:rsidR="00CB542F" w:rsidRDefault="00573A58">
      <w:pPr>
        <w:widowControl w:val="0"/>
        <w:numPr>
          <w:ilvl w:val="0"/>
          <w:numId w:val="5"/>
        </w:numPr>
        <w:autoSpaceDE w:val="0"/>
        <w:autoSpaceDN w:val="0"/>
        <w:ind w:left="567" w:hanging="567"/>
        <w:rPr>
          <w:color w:val="000000"/>
          <w:szCs w:val="22"/>
          <w:lang w:val="en-US"/>
        </w:rPr>
      </w:pPr>
      <w:r>
        <w:t>Nuplikimas.</w:t>
      </w:r>
    </w:p>
    <w:p w14:paraId="312BCC96" w14:textId="77777777" w:rsidR="00CB542F" w:rsidRDefault="00573A58">
      <w:pPr>
        <w:widowControl w:val="0"/>
        <w:numPr>
          <w:ilvl w:val="0"/>
          <w:numId w:val="5"/>
        </w:numPr>
        <w:autoSpaceDE w:val="0"/>
        <w:autoSpaceDN w:val="0"/>
        <w:ind w:left="567" w:hanging="567"/>
        <w:rPr>
          <w:color w:val="000000"/>
          <w:szCs w:val="22"/>
          <w:lang w:val="en-US"/>
        </w:rPr>
      </w:pPr>
      <w:r>
        <w:t>Kepenų fermentų padaugėjimas kraujyje.</w:t>
      </w:r>
    </w:p>
    <w:p w14:paraId="78545E0C" w14:textId="77777777" w:rsidR="00CB542F" w:rsidRDefault="00CB542F">
      <w:pPr>
        <w:widowControl w:val="0"/>
        <w:autoSpaceDE w:val="0"/>
        <w:autoSpaceDN w:val="0"/>
        <w:rPr>
          <w:color w:val="000000"/>
          <w:szCs w:val="22"/>
          <w:lang w:val="en-US"/>
        </w:rPr>
      </w:pPr>
    </w:p>
    <w:p w14:paraId="57A8DE1B" w14:textId="77777777" w:rsidR="00CB542F" w:rsidRDefault="00573A58">
      <w:pPr>
        <w:numPr>
          <w:ilvl w:val="12"/>
          <w:numId w:val="0"/>
        </w:numPr>
        <w:ind w:left="567" w:right="-2" w:hanging="567"/>
        <w:rPr>
          <w:noProof/>
        </w:rPr>
      </w:pPr>
      <w:r>
        <w:rPr>
          <w:noProof/>
          <w:snapToGrid w:val="0"/>
          <w:szCs w:val="22"/>
        </w:rPr>
        <w:t>Nedažni šalutinio poveikio reiškiniai (gali pasireikšti rečiau kaip 1 iš 100 asmenų):</w:t>
      </w:r>
    </w:p>
    <w:p w14:paraId="045D9372" w14:textId="77777777" w:rsidR="00CB542F" w:rsidRDefault="00573A58">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w:t>
      </w:r>
    </w:p>
    <w:p w14:paraId="14EE2388" w14:textId="77777777" w:rsidR="00CB542F" w:rsidRDefault="00573A58">
      <w:pPr>
        <w:widowControl w:val="0"/>
        <w:numPr>
          <w:ilvl w:val="0"/>
          <w:numId w:val="5"/>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14:paraId="0ED5C4D8" w14:textId="77777777" w:rsidR="00CB542F" w:rsidRDefault="00573A58">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39ED3AEE" w14:textId="77777777" w:rsidR="00CB542F" w:rsidRDefault="00573A58">
      <w:pPr>
        <w:widowControl w:val="0"/>
        <w:numPr>
          <w:ilvl w:val="0"/>
          <w:numId w:val="5"/>
        </w:numPr>
        <w:autoSpaceDE w:val="0"/>
        <w:autoSpaceDN w:val="0"/>
        <w:ind w:left="567" w:hanging="567"/>
        <w:rPr>
          <w:color w:val="000000"/>
          <w:szCs w:val="22"/>
          <w:lang w:val="en-US"/>
        </w:rPr>
      </w:pPr>
      <w:r>
        <w:t>Kraujo ląstelių procento sumažėjimas.</w:t>
      </w:r>
    </w:p>
    <w:p w14:paraId="5CFA9998" w14:textId="77777777" w:rsidR="00CB542F" w:rsidRDefault="00573A58">
      <w:pPr>
        <w:widowControl w:val="0"/>
        <w:numPr>
          <w:ilvl w:val="0"/>
          <w:numId w:val="5"/>
        </w:numPr>
        <w:autoSpaceDE w:val="0"/>
        <w:autoSpaceDN w:val="0"/>
        <w:ind w:left="567" w:hanging="567"/>
        <w:rPr>
          <w:color w:val="000000"/>
          <w:szCs w:val="22"/>
          <w:lang w:val="en-US"/>
        </w:rPr>
      </w:pPr>
      <w:r>
        <w:t>Niežulys.</w:t>
      </w:r>
    </w:p>
    <w:p w14:paraId="14E353F5" w14:textId="77777777" w:rsidR="00CB542F" w:rsidRDefault="00573A58">
      <w:pPr>
        <w:widowControl w:val="0"/>
        <w:numPr>
          <w:ilvl w:val="0"/>
          <w:numId w:val="5"/>
        </w:numPr>
        <w:autoSpaceDE w:val="0"/>
        <w:autoSpaceDN w:val="0"/>
        <w:ind w:left="567" w:hanging="567"/>
        <w:rPr>
          <w:color w:val="000000"/>
          <w:szCs w:val="22"/>
          <w:lang w:val="en-US"/>
        </w:rPr>
      </w:pPr>
      <w:r>
        <w:t>Kraujo arba kraujingų skreplių atkosėjimas.</w:t>
      </w:r>
    </w:p>
    <w:p w14:paraId="70189B84" w14:textId="77777777" w:rsidR="00CB542F" w:rsidRDefault="00573A58">
      <w:pPr>
        <w:widowControl w:val="0"/>
        <w:numPr>
          <w:ilvl w:val="0"/>
          <w:numId w:val="5"/>
        </w:numPr>
        <w:autoSpaceDE w:val="0"/>
        <w:autoSpaceDN w:val="0"/>
        <w:ind w:left="567" w:hanging="567"/>
        <w:rPr>
          <w:color w:val="000000"/>
          <w:szCs w:val="22"/>
          <w:lang w:val="en-US"/>
        </w:rPr>
      </w:pPr>
      <w:r>
        <w:t>Pilvo arba skrandžio skausmas.</w:t>
      </w:r>
    </w:p>
    <w:p w14:paraId="7B131C06" w14:textId="77777777" w:rsidR="00CB542F" w:rsidRDefault="00573A58">
      <w:pPr>
        <w:widowControl w:val="0"/>
        <w:numPr>
          <w:ilvl w:val="0"/>
          <w:numId w:val="5"/>
        </w:numPr>
        <w:autoSpaceDE w:val="0"/>
        <w:autoSpaceDN w:val="0"/>
        <w:ind w:left="567" w:hanging="567"/>
        <w:rPr>
          <w:color w:val="000000"/>
          <w:szCs w:val="22"/>
          <w:lang w:val="en-US"/>
        </w:rPr>
      </w:pPr>
      <w:r>
        <w:t>Stemplės ir skrandžio uždegimas.</w:t>
      </w:r>
    </w:p>
    <w:p w14:paraId="272702CC" w14:textId="77777777" w:rsidR="00CB542F" w:rsidRDefault="00573A58">
      <w:pPr>
        <w:widowControl w:val="0"/>
        <w:numPr>
          <w:ilvl w:val="0"/>
          <w:numId w:val="5"/>
        </w:numPr>
        <w:autoSpaceDE w:val="0"/>
        <w:autoSpaceDN w:val="0"/>
        <w:ind w:left="567" w:hanging="567"/>
        <w:rPr>
          <w:color w:val="000000"/>
          <w:szCs w:val="22"/>
          <w:lang w:val="en-US"/>
        </w:rPr>
      </w:pPr>
      <w:r>
        <w:t>Alerginė reakcija.</w:t>
      </w:r>
    </w:p>
    <w:p w14:paraId="1EA32640" w14:textId="77777777" w:rsidR="00CB542F" w:rsidRDefault="00573A58">
      <w:pPr>
        <w:widowControl w:val="0"/>
        <w:numPr>
          <w:ilvl w:val="0"/>
          <w:numId w:val="5"/>
        </w:numPr>
        <w:autoSpaceDE w:val="0"/>
        <w:autoSpaceDN w:val="0"/>
        <w:ind w:left="567" w:hanging="567"/>
        <w:rPr>
          <w:color w:val="000000"/>
          <w:szCs w:val="22"/>
          <w:lang w:val="en-US"/>
        </w:rPr>
      </w:pPr>
      <w:r>
        <w:t>Rijimo pasunkėjimas.</w:t>
      </w:r>
    </w:p>
    <w:p w14:paraId="73FF2C6E" w14:textId="77777777" w:rsidR="00CB542F" w:rsidRDefault="00573A58">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1F58673B" w14:textId="77777777" w:rsidR="00CB542F" w:rsidRDefault="00CB542F">
      <w:pPr>
        <w:widowControl w:val="0"/>
        <w:autoSpaceDE w:val="0"/>
        <w:autoSpaceDN w:val="0"/>
        <w:rPr>
          <w:color w:val="000000"/>
          <w:szCs w:val="22"/>
          <w:lang w:val="en-US"/>
        </w:rPr>
      </w:pPr>
    </w:p>
    <w:p w14:paraId="1D7D123C" w14:textId="77777777" w:rsidR="00CB542F" w:rsidRDefault="00573A58">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62314C6E" w14:textId="77777777" w:rsidR="00CB542F" w:rsidRDefault="00573A58">
      <w:pPr>
        <w:widowControl w:val="0"/>
        <w:numPr>
          <w:ilvl w:val="0"/>
          <w:numId w:val="5"/>
        </w:numPr>
        <w:autoSpaceDE w:val="0"/>
        <w:autoSpaceDN w:val="0"/>
        <w:ind w:left="567" w:hanging="567"/>
        <w:rPr>
          <w:color w:val="000000"/>
          <w:szCs w:val="22"/>
          <w:lang w:val="en-US"/>
        </w:rPr>
      </w:pPr>
      <w:r>
        <w:t>Baltųjų kraujo ląstelių (padedančių kovoti su infekcija) trūkumas.</w:t>
      </w:r>
    </w:p>
    <w:p w14:paraId="184E007D" w14:textId="77777777" w:rsidR="00CB542F" w:rsidRDefault="00573A58">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03757DCD" w14:textId="77777777" w:rsidR="00CB542F" w:rsidRDefault="00573A58">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4D67D266" w14:textId="77777777" w:rsidR="00CB542F" w:rsidRDefault="00573A58">
      <w:pPr>
        <w:widowControl w:val="0"/>
        <w:numPr>
          <w:ilvl w:val="0"/>
          <w:numId w:val="5"/>
        </w:numPr>
        <w:autoSpaceDE w:val="0"/>
        <w:autoSpaceDN w:val="0"/>
        <w:ind w:left="567" w:hanging="567"/>
        <w:rPr>
          <w:color w:val="000000"/>
          <w:szCs w:val="22"/>
          <w:lang w:val="en-US"/>
        </w:rPr>
      </w:pPr>
      <w:r>
        <w:t>Apsunkintas kvėpavimas arba švokštimas.</w:t>
      </w:r>
    </w:p>
    <w:p w14:paraId="22FF8459" w14:textId="77777777" w:rsidR="00CB542F" w:rsidRDefault="00573A58">
      <w:pPr>
        <w:widowControl w:val="0"/>
        <w:numPr>
          <w:ilvl w:val="0"/>
          <w:numId w:val="5"/>
        </w:numPr>
        <w:autoSpaceDE w:val="0"/>
        <w:autoSpaceDN w:val="0"/>
        <w:ind w:left="567" w:hanging="567"/>
        <w:rPr>
          <w:color w:val="000000"/>
          <w:szCs w:val="22"/>
          <w:lang w:val="en-US"/>
        </w:rPr>
      </w:pPr>
      <w:r>
        <w:t>Kraujavimas.</w:t>
      </w:r>
    </w:p>
    <w:p w14:paraId="3F851662" w14:textId="77777777" w:rsidR="00CB542F" w:rsidRDefault="00573A58">
      <w:pPr>
        <w:widowControl w:val="0"/>
        <w:numPr>
          <w:ilvl w:val="0"/>
          <w:numId w:val="5"/>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14:paraId="6FB89573" w14:textId="77777777" w:rsidR="00CB542F" w:rsidRDefault="00573A58">
      <w:pPr>
        <w:widowControl w:val="0"/>
        <w:numPr>
          <w:ilvl w:val="0"/>
          <w:numId w:val="5"/>
        </w:numPr>
        <w:autoSpaceDE w:val="0"/>
        <w:autoSpaceDN w:val="0"/>
        <w:ind w:left="567" w:hanging="567"/>
        <w:rPr>
          <w:color w:val="000000"/>
          <w:szCs w:val="22"/>
          <w:lang w:val="en-US"/>
        </w:rPr>
      </w:pPr>
      <w:r>
        <w:t>Kraujavimas iš hemorojinių mazgų.</w:t>
      </w:r>
    </w:p>
    <w:p w14:paraId="174A538B" w14:textId="77777777" w:rsidR="00CB542F" w:rsidRDefault="00573A58">
      <w:pPr>
        <w:widowControl w:val="0"/>
        <w:numPr>
          <w:ilvl w:val="0"/>
          <w:numId w:val="5"/>
        </w:numPr>
        <w:autoSpaceDE w:val="0"/>
        <w:autoSpaceDN w:val="0"/>
        <w:ind w:left="567" w:hanging="567"/>
        <w:rPr>
          <w:color w:val="000000"/>
          <w:szCs w:val="22"/>
          <w:lang w:val="en-US"/>
        </w:rPr>
      </w:pPr>
      <w:r>
        <w:t>Skrandžio arba žarnų opa (įskaitant stemplės opą).</w:t>
      </w:r>
    </w:p>
    <w:p w14:paraId="1973AB3A" w14:textId="77777777" w:rsidR="00CB542F" w:rsidRDefault="00573A58">
      <w:pPr>
        <w:widowControl w:val="0"/>
        <w:numPr>
          <w:ilvl w:val="0"/>
          <w:numId w:val="5"/>
        </w:numPr>
        <w:autoSpaceDE w:val="0"/>
        <w:autoSpaceDN w:val="0"/>
        <w:ind w:left="567" w:hanging="567"/>
        <w:rPr>
          <w:color w:val="000000"/>
          <w:szCs w:val="22"/>
          <w:lang w:val="en-US"/>
        </w:rPr>
      </w:pPr>
      <w:r>
        <w:t>Neįprasti kepenų funkcijos laboratorinių tyrimų rezultatai.</w:t>
      </w:r>
    </w:p>
    <w:p w14:paraId="057C9E99" w14:textId="77777777" w:rsidR="00CB542F" w:rsidRDefault="00CB542F">
      <w:pPr>
        <w:widowControl w:val="0"/>
        <w:autoSpaceDE w:val="0"/>
        <w:autoSpaceDN w:val="0"/>
        <w:rPr>
          <w:color w:val="000000"/>
          <w:szCs w:val="22"/>
          <w:lang w:val="en-US"/>
        </w:rPr>
      </w:pPr>
    </w:p>
    <w:p w14:paraId="18DD14D9" w14:textId="77777777" w:rsidR="00CB542F" w:rsidRDefault="00573A58">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w:t>
      </w:r>
      <w:r>
        <w:rPr>
          <w:snapToGrid w:val="0"/>
          <w:szCs w:val="20"/>
        </w:rPr>
        <w:lastRenderedPageBreak/>
        <w:t xml:space="preserve">užpildant formą internetu Valstybinės vaistų kontrolės tarnybos prie Lietuvos Respublikos sveikatos apsaugos ministerijos Vaistinių preparatų informacinėje sistemoje </w:t>
      </w:r>
      <w:hyperlink r:id="rId12"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3" w:history="1">
        <w:r>
          <w:rPr>
            <w:snapToGrid w:val="0"/>
            <w:color w:val="0000FF"/>
            <w:szCs w:val="20"/>
            <w:u w:val="single"/>
          </w:rPr>
          <w:t>https://www.vvkt.lt/index.php?4004286486</w:t>
        </w:r>
      </w:hyperlink>
      <w:r>
        <w:rPr>
          <w:snapToGrid w:val="0"/>
          <w:szCs w:val="20"/>
        </w:rPr>
        <w:t xml:space="preserve">, ir atsiunčiant elektroniniu paštu (adresu </w:t>
      </w:r>
      <w:hyperlink r:id="rId14"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74758452" w14:textId="77777777" w:rsidR="00CB542F" w:rsidRDefault="00CB542F">
      <w:pPr>
        <w:widowControl w:val="0"/>
        <w:autoSpaceDE w:val="0"/>
        <w:autoSpaceDN w:val="0"/>
        <w:rPr>
          <w:color w:val="000000"/>
          <w:szCs w:val="22"/>
          <w:lang w:val="en-US"/>
        </w:rPr>
      </w:pPr>
    </w:p>
    <w:p w14:paraId="5B624688" w14:textId="77777777" w:rsidR="00CB542F" w:rsidRDefault="00CB542F">
      <w:pPr>
        <w:widowControl w:val="0"/>
        <w:autoSpaceDE w:val="0"/>
        <w:autoSpaceDN w:val="0"/>
        <w:rPr>
          <w:color w:val="000000"/>
          <w:szCs w:val="22"/>
          <w:lang w:val="en-US"/>
        </w:rPr>
      </w:pPr>
    </w:p>
    <w:p w14:paraId="6438BC46" w14:textId="77777777" w:rsidR="00CB542F" w:rsidRDefault="00573A58">
      <w:pPr>
        <w:numPr>
          <w:ilvl w:val="12"/>
          <w:numId w:val="0"/>
        </w:numPr>
        <w:ind w:left="567" w:right="-2" w:hanging="567"/>
        <w:rPr>
          <w:noProof/>
        </w:rPr>
      </w:pPr>
      <w:r>
        <w:rPr>
          <w:b/>
          <w:noProof/>
        </w:rPr>
        <w:t>5.</w:t>
      </w:r>
      <w:r>
        <w:rPr>
          <w:b/>
          <w:noProof/>
        </w:rPr>
        <w:tab/>
        <w:t>Kaip laikyti Danengo</w:t>
      </w:r>
    </w:p>
    <w:p w14:paraId="6F9BC6B5" w14:textId="77777777" w:rsidR="00CB542F" w:rsidRDefault="00CB542F">
      <w:pPr>
        <w:numPr>
          <w:ilvl w:val="12"/>
          <w:numId w:val="0"/>
        </w:numPr>
        <w:ind w:right="-2"/>
        <w:rPr>
          <w:noProof/>
        </w:rPr>
      </w:pPr>
    </w:p>
    <w:p w14:paraId="46230291" w14:textId="77777777" w:rsidR="00CB542F" w:rsidRDefault="00573A58">
      <w:pPr>
        <w:numPr>
          <w:ilvl w:val="12"/>
          <w:numId w:val="0"/>
        </w:numPr>
        <w:ind w:right="-2"/>
        <w:rPr>
          <w:noProof/>
        </w:rPr>
      </w:pPr>
      <w:r>
        <w:t>Šį vaistą laikykite</w:t>
      </w:r>
      <w:r>
        <w:rPr>
          <w:noProof/>
        </w:rPr>
        <w:t xml:space="preserve"> vaikams nepastebimoje ir nepasiekiamoje vietoje.</w:t>
      </w:r>
    </w:p>
    <w:p w14:paraId="48265568" w14:textId="77777777" w:rsidR="00CB542F" w:rsidRDefault="00CB542F">
      <w:pPr>
        <w:numPr>
          <w:ilvl w:val="12"/>
          <w:numId w:val="0"/>
        </w:numPr>
        <w:ind w:right="-2"/>
        <w:rPr>
          <w:noProof/>
        </w:rPr>
      </w:pPr>
    </w:p>
    <w:p w14:paraId="01A763BB" w14:textId="77777777" w:rsidR="00CB542F" w:rsidRDefault="00573A58">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14:paraId="0DA9B475" w14:textId="77777777" w:rsidR="00CB542F" w:rsidRDefault="00CB542F">
      <w:pPr>
        <w:numPr>
          <w:ilvl w:val="12"/>
          <w:numId w:val="0"/>
        </w:numPr>
        <w:ind w:right="-2"/>
        <w:rPr>
          <w:noProof/>
        </w:rPr>
      </w:pPr>
    </w:p>
    <w:p w14:paraId="427CB6D6" w14:textId="77777777" w:rsidR="00CB542F" w:rsidRDefault="00573A58">
      <w:pPr>
        <w:numPr>
          <w:ilvl w:val="12"/>
          <w:numId w:val="0"/>
        </w:numPr>
        <w:ind w:right="-2"/>
        <w:rPr>
          <w:noProof/>
          <w:u w:val="single"/>
        </w:rPr>
      </w:pPr>
      <w:r>
        <w:rPr>
          <w:noProof/>
          <w:u w:val="single"/>
        </w:rPr>
        <w:t>Lizdinė plokštelė:</w:t>
      </w:r>
    </w:p>
    <w:p w14:paraId="457EF5EA" w14:textId="77777777" w:rsidR="00CB542F" w:rsidRDefault="00573A58">
      <w:pPr>
        <w:numPr>
          <w:ilvl w:val="12"/>
          <w:numId w:val="0"/>
        </w:numPr>
        <w:ind w:right="-2"/>
        <w:rPr>
          <w:noProof/>
        </w:rPr>
      </w:pPr>
      <w:r>
        <w:rPr>
          <w:noProof/>
        </w:rPr>
        <w:t>Šiam vaistui specialių temperatūros laikymo sąlygų nereikia.</w:t>
      </w:r>
    </w:p>
    <w:p w14:paraId="32ACDCCA" w14:textId="77777777" w:rsidR="00CB542F" w:rsidRDefault="00573A58">
      <w:pPr>
        <w:numPr>
          <w:ilvl w:val="12"/>
          <w:numId w:val="0"/>
        </w:numPr>
        <w:ind w:right="-2"/>
        <w:rPr>
          <w:noProof/>
        </w:rPr>
      </w:pPr>
      <w:r>
        <w:rPr>
          <w:noProof/>
        </w:rPr>
        <w:t xml:space="preserve">Laikyti gamintojo pakuotėje, kad </w:t>
      </w:r>
      <w:r>
        <w:rPr>
          <w:szCs w:val="22"/>
        </w:rPr>
        <w:t xml:space="preserve">vaistas </w:t>
      </w:r>
      <w:r>
        <w:rPr>
          <w:noProof/>
        </w:rPr>
        <w:t>būtų apsaugotas nuo šviesos ir drėgmės.</w:t>
      </w:r>
    </w:p>
    <w:p w14:paraId="2C9EEF80" w14:textId="77777777" w:rsidR="00CB542F" w:rsidRDefault="00CB542F">
      <w:pPr>
        <w:numPr>
          <w:ilvl w:val="12"/>
          <w:numId w:val="0"/>
        </w:numPr>
        <w:ind w:right="-2"/>
        <w:rPr>
          <w:noProof/>
        </w:rPr>
      </w:pPr>
    </w:p>
    <w:p w14:paraId="6856CB3A" w14:textId="77777777" w:rsidR="00CB542F" w:rsidRDefault="00573A58">
      <w:pPr>
        <w:numPr>
          <w:ilvl w:val="12"/>
          <w:numId w:val="0"/>
        </w:numPr>
        <w:ind w:right="-2"/>
        <w:rPr>
          <w:noProof/>
          <w:u w:val="single"/>
        </w:rPr>
      </w:pPr>
      <w:r>
        <w:rPr>
          <w:noProof/>
          <w:u w:val="single"/>
        </w:rPr>
        <w:t>Talpyklė:</w:t>
      </w:r>
    </w:p>
    <w:p w14:paraId="64BF6615" w14:textId="77777777" w:rsidR="00CB542F" w:rsidRDefault="00573A58">
      <w:pPr>
        <w:numPr>
          <w:ilvl w:val="12"/>
          <w:numId w:val="0"/>
        </w:numPr>
        <w:ind w:right="-2"/>
        <w:rPr>
          <w:noProof/>
        </w:rPr>
      </w:pPr>
      <w:r>
        <w:rPr>
          <w:noProof/>
        </w:rPr>
        <w:t>Šiam vaistui specialių temperatūros laikymo sąlygų nereikia.</w:t>
      </w:r>
    </w:p>
    <w:p w14:paraId="1DBC10B1" w14:textId="77777777" w:rsidR="00CB542F" w:rsidRDefault="00573A58">
      <w:pPr>
        <w:numPr>
          <w:ilvl w:val="12"/>
          <w:numId w:val="0"/>
        </w:numPr>
        <w:ind w:right="-2"/>
        <w:rPr>
          <w:noProof/>
        </w:rPr>
      </w:pPr>
      <w:r>
        <w:rPr>
          <w:noProof/>
        </w:rPr>
        <w:t xml:space="preserve">Laikyti gamintojo pakuotėje, kad </w:t>
      </w:r>
      <w:r>
        <w:rPr>
          <w:szCs w:val="22"/>
        </w:rPr>
        <w:t>vaistas</w:t>
      </w:r>
      <w:r>
        <w:rPr>
          <w:sz w:val="24"/>
        </w:rPr>
        <w:t xml:space="preserve"> </w:t>
      </w:r>
      <w:r>
        <w:rPr>
          <w:noProof/>
        </w:rPr>
        <w:t>būtų apsaugotas nuo šviesos ir drėgmės.</w:t>
      </w:r>
    </w:p>
    <w:p w14:paraId="52D920B4" w14:textId="77777777" w:rsidR="00CB542F" w:rsidRDefault="00573A58">
      <w:pPr>
        <w:numPr>
          <w:ilvl w:val="12"/>
          <w:numId w:val="0"/>
        </w:numPr>
        <w:ind w:right="-2"/>
        <w:rPr>
          <w:noProof/>
        </w:rPr>
      </w:pPr>
      <w:r>
        <w:rPr>
          <w:noProof/>
        </w:rPr>
        <w:t>Talpyklę laikyti sandariai uždarytą.</w:t>
      </w:r>
    </w:p>
    <w:p w14:paraId="6EC88163" w14:textId="77777777" w:rsidR="00CB542F" w:rsidRDefault="00CB542F">
      <w:pPr>
        <w:numPr>
          <w:ilvl w:val="12"/>
          <w:numId w:val="0"/>
        </w:numPr>
        <w:ind w:right="-2"/>
        <w:rPr>
          <w:noProof/>
        </w:rPr>
      </w:pPr>
    </w:p>
    <w:p w14:paraId="1D18B7AA" w14:textId="77777777" w:rsidR="00CB542F" w:rsidRDefault="00573A58">
      <w:pPr>
        <w:numPr>
          <w:ilvl w:val="12"/>
          <w:numId w:val="0"/>
        </w:numPr>
        <w:ind w:right="-2"/>
      </w:pPr>
      <w:r>
        <w:t>Vaistų negalima išmesti į kanalizaciją. Kaip išmesti nereikalingus vaistus, klauskite vaistininko. Šios priemonės padės apsaugoti aplinką.</w:t>
      </w:r>
    </w:p>
    <w:p w14:paraId="584AC29B" w14:textId="77777777" w:rsidR="00CB542F" w:rsidRDefault="00CB542F">
      <w:pPr>
        <w:numPr>
          <w:ilvl w:val="12"/>
          <w:numId w:val="0"/>
        </w:numPr>
        <w:ind w:right="-2"/>
      </w:pPr>
    </w:p>
    <w:p w14:paraId="4718A9F2" w14:textId="77777777" w:rsidR="00CB542F" w:rsidRDefault="00CB542F">
      <w:pPr>
        <w:numPr>
          <w:ilvl w:val="12"/>
          <w:numId w:val="0"/>
        </w:numPr>
        <w:ind w:right="-2"/>
        <w:rPr>
          <w:noProof/>
        </w:rPr>
      </w:pPr>
    </w:p>
    <w:p w14:paraId="183C8980" w14:textId="77777777" w:rsidR="00CB542F" w:rsidRDefault="00573A58">
      <w:pPr>
        <w:numPr>
          <w:ilvl w:val="12"/>
          <w:numId w:val="0"/>
        </w:numPr>
        <w:ind w:right="-2"/>
        <w:rPr>
          <w:b/>
          <w:noProof/>
        </w:rPr>
      </w:pPr>
      <w:r>
        <w:rPr>
          <w:b/>
          <w:noProof/>
        </w:rPr>
        <w:t>6.</w:t>
      </w:r>
      <w:r>
        <w:rPr>
          <w:b/>
          <w:noProof/>
        </w:rPr>
        <w:tab/>
        <w:t>Pakuotės turinys ir kita informacija</w:t>
      </w:r>
    </w:p>
    <w:p w14:paraId="6573AC25" w14:textId="77777777" w:rsidR="00CB542F" w:rsidRDefault="00CB542F">
      <w:pPr>
        <w:numPr>
          <w:ilvl w:val="12"/>
          <w:numId w:val="0"/>
        </w:numPr>
        <w:ind w:right="-2"/>
        <w:rPr>
          <w:noProof/>
        </w:rPr>
      </w:pPr>
    </w:p>
    <w:p w14:paraId="219FED92" w14:textId="77777777" w:rsidR="00CB542F" w:rsidRDefault="00573A58">
      <w:pPr>
        <w:numPr>
          <w:ilvl w:val="12"/>
          <w:numId w:val="0"/>
        </w:numPr>
        <w:ind w:right="-2"/>
        <w:rPr>
          <w:noProof/>
          <w:u w:val="single"/>
        </w:rPr>
      </w:pPr>
      <w:r>
        <w:rPr>
          <w:b/>
          <w:bCs/>
          <w:noProof/>
        </w:rPr>
        <w:t>Danengo sudėtis</w:t>
      </w:r>
    </w:p>
    <w:p w14:paraId="0F69C39F" w14:textId="2922831D" w:rsidR="00CB542F" w:rsidRDefault="00573A58">
      <w:pPr>
        <w:numPr>
          <w:ilvl w:val="0"/>
          <w:numId w:val="1"/>
        </w:numPr>
        <w:ind w:left="567" w:right="-2" w:hanging="567"/>
        <w:rPr>
          <w:i/>
          <w:iCs/>
          <w:noProof/>
        </w:rPr>
      </w:pPr>
      <w:r>
        <w:rPr>
          <w:noProof/>
        </w:rPr>
        <w:t>Veiklioji medžiaga yra dabigatrano eteksilatas. Kiekvienoje kietojoje kapsulėje yra 150 mg dabigatrano eteksilato (dabigatrano eteksilato mesilato pavidalu).</w:t>
      </w:r>
    </w:p>
    <w:p w14:paraId="67826C79" w14:textId="77777777" w:rsidR="00CB542F" w:rsidRDefault="00573A58">
      <w:pPr>
        <w:numPr>
          <w:ilvl w:val="0"/>
          <w:numId w:val="1"/>
        </w:numPr>
        <w:ind w:left="567" w:right="-2" w:hanging="567"/>
        <w:rPr>
          <w:noProof/>
        </w:rPr>
      </w:pPr>
      <w:r>
        <w:rPr>
          <w:noProof/>
        </w:rPr>
        <w:t xml:space="preserve">Pagalbinės medžiagos yra vyno rūgštis, hipromeliozė, </w:t>
      </w:r>
      <w:r>
        <w:t>hidroksipropilceliuliozė ir talkas kapsulės turinyje.</w:t>
      </w:r>
    </w:p>
    <w:p w14:paraId="11884343" w14:textId="77777777" w:rsidR="00CB542F" w:rsidRDefault="00573A58">
      <w:pPr>
        <w:numPr>
          <w:ilvl w:val="0"/>
          <w:numId w:val="1"/>
        </w:numPr>
        <w:ind w:left="567" w:right="-2" w:hanging="567"/>
        <w:rPr>
          <w:noProof/>
        </w:rPr>
      </w:pPr>
      <w:bookmarkStart w:id="6" w:name="_Hlk147389003"/>
      <w:r>
        <w:rPr>
          <w:noProof/>
        </w:rPr>
        <w:t>Pagalbinės medžiagos yra t</w:t>
      </w:r>
      <w:bookmarkEnd w:id="6"/>
      <w:r>
        <w:rPr>
          <w:noProof/>
        </w:rPr>
        <w:t xml:space="preserve">itano dioksidas (E 171), </w:t>
      </w:r>
      <w:r>
        <w:t>indigokarminas (E 132), karagenanas, kalio chloridas ir hipromeliozė kapsulės apvalkale.</w:t>
      </w:r>
    </w:p>
    <w:p w14:paraId="33892AFF" w14:textId="77777777" w:rsidR="00CB542F" w:rsidRDefault="00573A58">
      <w:pPr>
        <w:numPr>
          <w:ilvl w:val="0"/>
          <w:numId w:val="1"/>
        </w:numPr>
        <w:ind w:left="567" w:right="-2" w:hanging="567"/>
        <w:rPr>
          <w:noProof/>
        </w:rPr>
      </w:pPr>
      <w:r>
        <w:rPr>
          <w:noProof/>
        </w:rPr>
        <w:t>Pagalbinės medžiagos yra</w:t>
      </w:r>
      <w:r>
        <w:t xml:space="preserve"> šelakas, juodojo geležies oksidas ir kalio hidroksidas juodame rašale.</w:t>
      </w:r>
    </w:p>
    <w:p w14:paraId="30434152" w14:textId="77777777" w:rsidR="00CB542F" w:rsidRDefault="00CB542F">
      <w:pPr>
        <w:ind w:right="-2"/>
        <w:rPr>
          <w:noProof/>
        </w:rPr>
      </w:pPr>
    </w:p>
    <w:p w14:paraId="1F2DA19C" w14:textId="77777777" w:rsidR="00CB542F" w:rsidRDefault="00573A58">
      <w:pPr>
        <w:numPr>
          <w:ilvl w:val="12"/>
          <w:numId w:val="0"/>
        </w:numPr>
        <w:ind w:right="-2"/>
        <w:rPr>
          <w:b/>
          <w:bCs/>
          <w:noProof/>
        </w:rPr>
      </w:pPr>
      <w:r>
        <w:rPr>
          <w:b/>
          <w:bCs/>
          <w:noProof/>
        </w:rPr>
        <w:t>Danengo išvaizda ir kiekis pakuotėje</w:t>
      </w:r>
    </w:p>
    <w:p w14:paraId="349DA7B4" w14:textId="77777777" w:rsidR="00CB542F" w:rsidRDefault="00573A58">
      <w:pPr>
        <w:numPr>
          <w:ilvl w:val="12"/>
          <w:numId w:val="0"/>
        </w:numPr>
        <w:ind w:right="-2"/>
        <w:rPr>
          <w:noProof/>
        </w:rPr>
      </w:pPr>
      <w:r>
        <w:rPr>
          <w:noProof/>
        </w:rPr>
        <w:t>Danengo 150 mg kietosios kapsulės (kapsulės): Kapsulės dangtelis yra mėlynas, kapsulės korpusas yra baltos iki beveik baltos su išilgine juoda žyme 150, maždaug 24 mm ilgio. Kapsulės turinį sudaro gelsvai baltos arba šviesiai geltonos spalvos granulės.</w:t>
      </w:r>
    </w:p>
    <w:p w14:paraId="1F37698D" w14:textId="77777777" w:rsidR="00CB542F" w:rsidRDefault="00CB542F">
      <w:pPr>
        <w:numPr>
          <w:ilvl w:val="12"/>
          <w:numId w:val="0"/>
        </w:numPr>
        <w:ind w:right="-2"/>
        <w:rPr>
          <w:noProof/>
        </w:rPr>
      </w:pPr>
    </w:p>
    <w:p w14:paraId="2BD912CD" w14:textId="77777777" w:rsidR="00CB542F" w:rsidRDefault="00573A58">
      <w:pPr>
        <w:numPr>
          <w:ilvl w:val="12"/>
          <w:numId w:val="0"/>
        </w:numPr>
        <w:ind w:right="-2"/>
        <w:rPr>
          <w:noProof/>
        </w:rPr>
      </w:pPr>
      <w:r>
        <w:rPr>
          <w:noProof/>
        </w:rPr>
        <w:t>Danengo 150 mg kietosios kapsulės tiekiamos dėžutėse, kuriose yra:</w:t>
      </w:r>
    </w:p>
    <w:p w14:paraId="41B30E60" w14:textId="77777777" w:rsidR="00CB542F" w:rsidRDefault="00573A58">
      <w:pPr>
        <w:widowControl w:val="0"/>
        <w:numPr>
          <w:ilvl w:val="0"/>
          <w:numId w:val="10"/>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14:paraId="0D3B52CB" w14:textId="77777777" w:rsidR="00CB542F" w:rsidRDefault="00573A58">
      <w:pPr>
        <w:widowControl w:val="0"/>
        <w:numPr>
          <w:ilvl w:val="0"/>
          <w:numId w:val="10"/>
        </w:numPr>
        <w:ind w:left="567" w:hanging="567"/>
        <w:rPr>
          <w:bCs/>
          <w:noProof/>
          <w:color w:val="000000"/>
          <w:szCs w:val="22"/>
          <w:lang w:val="en-GB" w:eastAsia="sl-SI"/>
        </w:rPr>
      </w:pPr>
      <w:r>
        <w:rPr>
          <w:noProof/>
        </w:rPr>
        <w:t>60 kietųjų kapsulių talpyklėje su vaikų sunkiai atidaromo apsaugotu, pirmąjį atidarymą rodančiu dangteliu.</w:t>
      </w:r>
    </w:p>
    <w:p w14:paraId="37E3E806" w14:textId="77777777" w:rsidR="00CB542F" w:rsidRDefault="00573A58">
      <w:pPr>
        <w:widowControl w:val="0"/>
        <w:numPr>
          <w:ilvl w:val="0"/>
          <w:numId w:val="10"/>
        </w:numPr>
        <w:ind w:left="567" w:hanging="567"/>
        <w:rPr>
          <w:bCs/>
          <w:noProof/>
          <w:color w:val="000000"/>
          <w:szCs w:val="22"/>
          <w:lang w:val="en-GB" w:eastAsia="sl-SI"/>
        </w:rPr>
      </w:pPr>
      <w:r>
        <w:rPr>
          <w:noProof/>
        </w:rPr>
        <w:t>Arba 3 talpyklės su 60 kietųjų kapsulių su vaikų sunkiai atidaromu apsaugotu, pirmąjį atidarymą rodančiu dangteliu.</w:t>
      </w:r>
    </w:p>
    <w:p w14:paraId="3D490373" w14:textId="77777777" w:rsidR="00CB542F" w:rsidRDefault="00CB542F">
      <w:pPr>
        <w:widowControl w:val="0"/>
        <w:rPr>
          <w:bCs/>
          <w:noProof/>
          <w:color w:val="000000"/>
          <w:szCs w:val="22"/>
          <w:lang w:val="en-GB" w:eastAsia="sl-SI"/>
        </w:rPr>
      </w:pPr>
    </w:p>
    <w:p w14:paraId="35162161" w14:textId="77777777" w:rsidR="00CB542F" w:rsidRDefault="00573A58">
      <w:pPr>
        <w:widowControl w:val="0"/>
        <w:rPr>
          <w:bCs/>
          <w:noProof/>
          <w:color w:val="000000"/>
          <w:szCs w:val="22"/>
          <w:lang w:val="en-GB" w:eastAsia="sl-SI"/>
        </w:rPr>
      </w:pPr>
      <w:r>
        <w:rPr>
          <w:bCs/>
          <w:noProof/>
          <w:color w:val="000000"/>
          <w:szCs w:val="22"/>
          <w:lang w:val="en-GB" w:eastAsia="sl-SI"/>
        </w:rPr>
        <w:t>Gali būti tiekiamos ne visų dydžių pakuotės.</w:t>
      </w:r>
    </w:p>
    <w:p w14:paraId="2D0B4E78" w14:textId="77777777" w:rsidR="00CB542F" w:rsidRDefault="00CB542F">
      <w:pPr>
        <w:widowControl w:val="0"/>
        <w:rPr>
          <w:bCs/>
          <w:noProof/>
          <w:color w:val="000000"/>
          <w:szCs w:val="22"/>
          <w:lang w:val="en-GB" w:eastAsia="sl-SI"/>
        </w:rPr>
      </w:pPr>
    </w:p>
    <w:p w14:paraId="25CE2F55" w14:textId="77777777" w:rsidR="00CB542F" w:rsidRDefault="00573A58">
      <w:pPr>
        <w:numPr>
          <w:ilvl w:val="12"/>
          <w:numId w:val="0"/>
        </w:numPr>
        <w:ind w:right="-2"/>
        <w:rPr>
          <w:b/>
          <w:bCs/>
          <w:noProof/>
        </w:rPr>
      </w:pPr>
      <w:r>
        <w:rPr>
          <w:b/>
          <w:bCs/>
          <w:noProof/>
        </w:rPr>
        <w:t>Registruotojas ir gamintojas</w:t>
      </w:r>
    </w:p>
    <w:p w14:paraId="71FA8C45" w14:textId="77777777" w:rsidR="00CB542F" w:rsidRDefault="00CB542F">
      <w:pPr>
        <w:numPr>
          <w:ilvl w:val="12"/>
          <w:numId w:val="0"/>
        </w:numPr>
        <w:ind w:right="-2"/>
        <w:rPr>
          <w:noProof/>
        </w:rPr>
      </w:pPr>
    </w:p>
    <w:p w14:paraId="33E41C57" w14:textId="77777777" w:rsidR="00CB542F" w:rsidRDefault="00573A58">
      <w:pPr>
        <w:widowControl w:val="0"/>
        <w:rPr>
          <w:i/>
          <w:iCs/>
          <w:noProof/>
          <w:szCs w:val="22"/>
          <w:lang w:eastAsia="sl-SI"/>
        </w:rPr>
      </w:pPr>
      <w:r>
        <w:rPr>
          <w:i/>
          <w:iCs/>
          <w:noProof/>
          <w:szCs w:val="22"/>
          <w:lang w:eastAsia="sl-SI"/>
        </w:rPr>
        <w:lastRenderedPageBreak/>
        <w:t>Registruotojas</w:t>
      </w:r>
    </w:p>
    <w:p w14:paraId="51201763" w14:textId="77777777" w:rsidR="00CB542F" w:rsidRDefault="00573A58">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572E0C60" w14:textId="77777777" w:rsidR="00CB542F" w:rsidRDefault="00573A58">
      <w:pPr>
        <w:widowControl w:val="0"/>
        <w:rPr>
          <w:noProof/>
          <w:szCs w:val="22"/>
          <w:lang w:eastAsia="sl-SI"/>
        </w:rPr>
      </w:pPr>
      <w:r>
        <w:rPr>
          <w:noProof/>
          <w:szCs w:val="22"/>
          <w:lang w:eastAsia="sl-SI"/>
        </w:rPr>
        <w:t>Heinz-Lohmann-Straße 5</w:t>
      </w:r>
    </w:p>
    <w:p w14:paraId="1C9DAFCB" w14:textId="77777777" w:rsidR="00CB542F" w:rsidRDefault="00573A58">
      <w:pPr>
        <w:widowControl w:val="0"/>
        <w:rPr>
          <w:noProof/>
          <w:szCs w:val="22"/>
          <w:lang w:eastAsia="sl-SI"/>
        </w:rPr>
      </w:pPr>
      <w:r>
        <w:rPr>
          <w:noProof/>
          <w:szCs w:val="22"/>
          <w:lang w:eastAsia="sl-SI"/>
        </w:rPr>
        <w:t>27472 Cuxhaven</w:t>
      </w:r>
    </w:p>
    <w:p w14:paraId="686DCE51" w14:textId="77777777" w:rsidR="00CB542F" w:rsidRDefault="00573A58">
      <w:pPr>
        <w:widowControl w:val="0"/>
        <w:rPr>
          <w:noProof/>
          <w:szCs w:val="22"/>
          <w:lang w:eastAsia="sl-SI"/>
        </w:rPr>
      </w:pPr>
      <w:r>
        <w:rPr>
          <w:noProof/>
          <w:szCs w:val="22"/>
          <w:lang w:eastAsia="sl-SI"/>
        </w:rPr>
        <w:t>Vokietija</w:t>
      </w:r>
    </w:p>
    <w:p w14:paraId="5790F5E1" w14:textId="77777777" w:rsidR="00CB542F" w:rsidRDefault="00CB542F">
      <w:pPr>
        <w:numPr>
          <w:ilvl w:val="12"/>
          <w:numId w:val="0"/>
        </w:numPr>
        <w:ind w:right="-2"/>
        <w:rPr>
          <w:noProof/>
        </w:rPr>
      </w:pPr>
    </w:p>
    <w:p w14:paraId="6F35ADA0" w14:textId="77777777" w:rsidR="00CB542F" w:rsidRDefault="00573A58">
      <w:pPr>
        <w:widowControl w:val="0"/>
        <w:tabs>
          <w:tab w:val="left" w:pos="567"/>
        </w:tabs>
        <w:rPr>
          <w:i/>
          <w:iCs/>
          <w:szCs w:val="20"/>
          <w:lang w:eastAsia="sl-SI"/>
        </w:rPr>
      </w:pPr>
      <w:r>
        <w:rPr>
          <w:i/>
          <w:iCs/>
          <w:szCs w:val="20"/>
          <w:lang w:eastAsia="sl-SI"/>
        </w:rPr>
        <w:t>Gamintojas</w:t>
      </w:r>
    </w:p>
    <w:p w14:paraId="7952BABF" w14:textId="77777777" w:rsidR="00CB542F" w:rsidRDefault="00573A58">
      <w:pPr>
        <w:widowControl w:val="0"/>
        <w:tabs>
          <w:tab w:val="left" w:pos="567"/>
        </w:tabs>
        <w:rPr>
          <w:szCs w:val="20"/>
          <w:lang w:eastAsia="sl-SI"/>
        </w:rPr>
      </w:pPr>
      <w:r>
        <w:rPr>
          <w:szCs w:val="20"/>
          <w:lang w:eastAsia="sl-SI"/>
        </w:rPr>
        <w:t>KRKA</w:t>
      </w:r>
      <w:r>
        <w:rPr>
          <w:snapToGrid w:val="0"/>
          <w:szCs w:val="22"/>
        </w:rPr>
        <w:t>, d.d., Novo mesto</w:t>
      </w:r>
    </w:p>
    <w:p w14:paraId="75D339AE" w14:textId="77777777" w:rsidR="00CB542F" w:rsidRDefault="00573A58">
      <w:pPr>
        <w:widowControl w:val="0"/>
        <w:tabs>
          <w:tab w:val="left" w:pos="567"/>
        </w:tabs>
        <w:rPr>
          <w:szCs w:val="20"/>
          <w:lang w:eastAsia="sl-SI"/>
        </w:rPr>
      </w:pPr>
      <w:r>
        <w:rPr>
          <w:snapToGrid w:val="0"/>
          <w:szCs w:val="22"/>
        </w:rPr>
        <w:t>Šmarješka cesta 6</w:t>
      </w:r>
    </w:p>
    <w:p w14:paraId="4358B1A3" w14:textId="77777777" w:rsidR="00CB542F" w:rsidRDefault="00573A58">
      <w:pPr>
        <w:widowControl w:val="0"/>
        <w:tabs>
          <w:tab w:val="left" w:pos="567"/>
        </w:tabs>
        <w:rPr>
          <w:szCs w:val="20"/>
          <w:lang w:eastAsia="sl-SI"/>
        </w:rPr>
      </w:pPr>
      <w:r>
        <w:rPr>
          <w:snapToGrid w:val="0"/>
          <w:szCs w:val="22"/>
        </w:rPr>
        <w:t>8501 Novo mesto</w:t>
      </w:r>
    </w:p>
    <w:p w14:paraId="3CA38392" w14:textId="77777777" w:rsidR="00CB542F" w:rsidRDefault="00573A58">
      <w:pPr>
        <w:widowControl w:val="0"/>
        <w:tabs>
          <w:tab w:val="left" w:pos="567"/>
        </w:tabs>
        <w:rPr>
          <w:snapToGrid w:val="0"/>
          <w:szCs w:val="22"/>
        </w:rPr>
      </w:pPr>
      <w:r>
        <w:rPr>
          <w:snapToGrid w:val="0"/>
          <w:szCs w:val="22"/>
        </w:rPr>
        <w:t>Slovėnija</w:t>
      </w:r>
    </w:p>
    <w:p w14:paraId="67FB4B35" w14:textId="77777777" w:rsidR="00CB542F" w:rsidRDefault="00CB542F">
      <w:pPr>
        <w:numPr>
          <w:ilvl w:val="12"/>
          <w:numId w:val="0"/>
        </w:numPr>
        <w:ind w:right="-2"/>
        <w:rPr>
          <w:noProof/>
        </w:rPr>
      </w:pPr>
    </w:p>
    <w:p w14:paraId="2E8121EC" w14:textId="77777777" w:rsidR="00CB542F" w:rsidRDefault="00CB542F">
      <w:pPr>
        <w:numPr>
          <w:ilvl w:val="12"/>
          <w:numId w:val="0"/>
        </w:numPr>
        <w:ind w:right="-2"/>
        <w:rPr>
          <w:noProof/>
        </w:rPr>
      </w:pPr>
    </w:p>
    <w:p w14:paraId="2AFF2344" w14:textId="77777777" w:rsidR="00CB542F" w:rsidRDefault="00573A58">
      <w:pPr>
        <w:numPr>
          <w:ilvl w:val="12"/>
          <w:numId w:val="0"/>
        </w:numPr>
        <w:ind w:right="-2"/>
      </w:pPr>
      <w:r>
        <w:rPr>
          <w:b/>
        </w:rPr>
        <w:t>Šis vaistas Europos ekonominės erdvės valstybėse narėse registruotas tokiais pavadinimais:</w:t>
      </w:r>
    </w:p>
    <w:p w14:paraId="18F8BAF3" w14:textId="77777777" w:rsidR="00CB542F" w:rsidRDefault="00CB542F">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CB542F" w14:paraId="1193097A" w14:textId="77777777">
        <w:tc>
          <w:tcPr>
            <w:tcW w:w="4698" w:type="dxa"/>
            <w:shd w:val="clear" w:color="auto" w:fill="auto"/>
          </w:tcPr>
          <w:p w14:paraId="1928CE8D" w14:textId="77777777" w:rsidR="00CB542F" w:rsidRDefault="00573A58">
            <w:pPr>
              <w:widowControl w:val="0"/>
              <w:tabs>
                <w:tab w:val="left" w:pos="567"/>
              </w:tabs>
              <w:rPr>
                <w:snapToGrid w:val="0"/>
                <w:szCs w:val="22"/>
              </w:rPr>
            </w:pPr>
            <w:r>
              <w:rPr>
                <w:snapToGrid w:val="0"/>
                <w:szCs w:val="22"/>
              </w:rPr>
              <w:t>Valstybės narės pavadinimas</w:t>
            </w:r>
          </w:p>
        </w:tc>
        <w:tc>
          <w:tcPr>
            <w:tcW w:w="4254" w:type="dxa"/>
            <w:shd w:val="clear" w:color="auto" w:fill="auto"/>
          </w:tcPr>
          <w:p w14:paraId="4D88BBA2" w14:textId="77777777" w:rsidR="00CB542F" w:rsidRDefault="00573A58">
            <w:pPr>
              <w:widowControl w:val="0"/>
              <w:tabs>
                <w:tab w:val="left" w:pos="567"/>
              </w:tabs>
              <w:rPr>
                <w:snapToGrid w:val="0"/>
                <w:szCs w:val="22"/>
              </w:rPr>
            </w:pPr>
            <w:r>
              <w:rPr>
                <w:snapToGrid w:val="0"/>
                <w:szCs w:val="22"/>
              </w:rPr>
              <w:t>Vaisto pavadinimas</w:t>
            </w:r>
          </w:p>
        </w:tc>
      </w:tr>
      <w:tr w:rsidR="00CB542F" w14:paraId="3B73D13A" w14:textId="77777777">
        <w:tc>
          <w:tcPr>
            <w:tcW w:w="4698" w:type="dxa"/>
            <w:shd w:val="clear" w:color="auto" w:fill="auto"/>
          </w:tcPr>
          <w:p w14:paraId="50DF35B5" w14:textId="77777777" w:rsidR="00CB542F" w:rsidRDefault="00573A58">
            <w:pPr>
              <w:widowControl w:val="0"/>
              <w:tabs>
                <w:tab w:val="left" w:pos="567"/>
              </w:tabs>
              <w:rPr>
                <w:snapToGrid w:val="0"/>
                <w:szCs w:val="22"/>
              </w:rPr>
            </w:pPr>
            <w:r>
              <w:rPr>
                <w:snapToGrid w:val="0"/>
                <w:szCs w:val="22"/>
              </w:rPr>
              <w:t>Čekija, Estija, Vengrija, Lietuva, Latvija, Lenkija, Slovakija, Slovėnija</w:t>
            </w:r>
          </w:p>
        </w:tc>
        <w:tc>
          <w:tcPr>
            <w:tcW w:w="4254" w:type="dxa"/>
            <w:shd w:val="clear" w:color="auto" w:fill="auto"/>
          </w:tcPr>
          <w:p w14:paraId="1E1C36ED" w14:textId="77777777" w:rsidR="00CB542F" w:rsidRDefault="00573A58">
            <w:pPr>
              <w:widowControl w:val="0"/>
              <w:tabs>
                <w:tab w:val="left" w:pos="567"/>
              </w:tabs>
              <w:rPr>
                <w:snapToGrid w:val="0"/>
                <w:szCs w:val="22"/>
              </w:rPr>
            </w:pPr>
            <w:r>
              <w:rPr>
                <w:snapToGrid w:val="0"/>
                <w:szCs w:val="22"/>
              </w:rPr>
              <w:t>Danengo</w:t>
            </w:r>
          </w:p>
        </w:tc>
      </w:tr>
    </w:tbl>
    <w:p w14:paraId="652E8193" w14:textId="77777777" w:rsidR="00CB542F" w:rsidRDefault="00CB542F">
      <w:pPr>
        <w:numPr>
          <w:ilvl w:val="12"/>
          <w:numId w:val="0"/>
        </w:numPr>
        <w:ind w:right="-2"/>
        <w:rPr>
          <w:noProof/>
        </w:rPr>
      </w:pPr>
    </w:p>
    <w:p w14:paraId="442DC6A2" w14:textId="2C0CAE54" w:rsidR="00CB542F" w:rsidRDefault="00573A58">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p>
    <w:p w14:paraId="2B2A13B6" w14:textId="77777777" w:rsidR="00CB542F" w:rsidRDefault="00CB542F">
      <w:pPr>
        <w:numPr>
          <w:ilvl w:val="12"/>
          <w:numId w:val="0"/>
        </w:numPr>
        <w:ind w:right="-2"/>
        <w:rPr>
          <w:noProof/>
        </w:rPr>
      </w:pPr>
    </w:p>
    <w:p w14:paraId="08430550" w14:textId="77777777" w:rsidR="00CB542F" w:rsidRDefault="00CB542F">
      <w:pPr>
        <w:widowControl w:val="0"/>
        <w:numPr>
          <w:ilvl w:val="12"/>
          <w:numId w:val="0"/>
        </w:numPr>
        <w:tabs>
          <w:tab w:val="left" w:pos="567"/>
        </w:tabs>
        <w:ind w:right="-2"/>
        <w:rPr>
          <w:i/>
          <w:szCs w:val="20"/>
          <w:lang w:eastAsia="sl-SI"/>
        </w:rPr>
      </w:pPr>
    </w:p>
    <w:p w14:paraId="0E2F7986" w14:textId="77777777" w:rsidR="00CB542F" w:rsidRDefault="00573A58">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5" w:history="1">
        <w:r>
          <w:rPr>
            <w:rFonts w:eastAsia="SimSun"/>
            <w:color w:val="0000FF"/>
            <w:szCs w:val="20"/>
            <w:u w:val="single"/>
            <w:lang w:eastAsia="sl-SI"/>
          </w:rPr>
          <w:t>http://www.vvkt.lt/</w:t>
        </w:r>
      </w:hyperlink>
      <w:r>
        <w:rPr>
          <w:szCs w:val="20"/>
          <w:lang w:eastAsia="sl-SI"/>
        </w:rPr>
        <w:t>.</w:t>
      </w:r>
    </w:p>
    <w:p w14:paraId="4E55CAA4" w14:textId="77777777" w:rsidR="00CB542F" w:rsidRDefault="00CB542F">
      <w:pPr>
        <w:ind w:left="567" w:hanging="567"/>
      </w:pPr>
    </w:p>
    <w:sectPr w:rsidR="00CB542F">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BBE8" w14:textId="77777777" w:rsidR="00EB1836" w:rsidRDefault="00EB1836">
      <w:r>
        <w:separator/>
      </w:r>
    </w:p>
  </w:endnote>
  <w:endnote w:type="continuationSeparator" w:id="0">
    <w:p w14:paraId="7965B33E" w14:textId="77777777" w:rsidR="00EB1836" w:rsidRDefault="00EB1836">
      <w:r>
        <w:continuationSeparator/>
      </w:r>
    </w:p>
  </w:endnote>
  <w:endnote w:type="continuationNotice" w:id="1">
    <w:p w14:paraId="30C5E65B" w14:textId="77777777" w:rsidR="00EB1836" w:rsidRDefault="00EB1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962C" w14:textId="77777777" w:rsidR="00CB542F" w:rsidRDefault="00573A5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F0A1057" w14:textId="77777777" w:rsidR="00CB542F" w:rsidRDefault="00CB542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2517" w14:textId="3B714D51" w:rsidR="00CB542F" w:rsidRDefault="00573A58">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6739CF">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B6D3" w14:textId="77777777" w:rsidR="00CB542F" w:rsidRDefault="00CB54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1BC9" w14:textId="77777777" w:rsidR="00EB1836" w:rsidRDefault="00EB1836">
      <w:r>
        <w:separator/>
      </w:r>
    </w:p>
  </w:footnote>
  <w:footnote w:type="continuationSeparator" w:id="0">
    <w:p w14:paraId="00B9836A" w14:textId="77777777" w:rsidR="00EB1836" w:rsidRDefault="00EB1836">
      <w:r>
        <w:continuationSeparator/>
      </w:r>
    </w:p>
  </w:footnote>
  <w:footnote w:type="continuationNotice" w:id="1">
    <w:p w14:paraId="7659997E" w14:textId="77777777" w:rsidR="00EB1836" w:rsidRDefault="00EB18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5EE5" w14:textId="77777777" w:rsidR="00CB542F" w:rsidRDefault="00CB54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EDF5" w14:textId="77777777" w:rsidR="00CB542F" w:rsidRDefault="00CB54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FCFA" w14:textId="77777777" w:rsidR="00CB542F" w:rsidRDefault="00CB54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9D0CEE"/>
    <w:multiLevelType w:val="hybridMultilevel"/>
    <w:tmpl w:val="1AB85E1E"/>
    <w:lvl w:ilvl="0" w:tplc="4B7A00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9"/>
  </w:num>
  <w:num w:numId="5">
    <w:abstractNumId w:val="4"/>
  </w:num>
  <w:num w:numId="6">
    <w:abstractNumId w:val="5"/>
  </w:num>
  <w:num w:numId="7">
    <w:abstractNumId w:val="3"/>
  </w:num>
  <w:num w:numId="8">
    <w:abstractNumId w:val="7"/>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B542F"/>
    <w:rsid w:val="0000115D"/>
    <w:rsid w:val="000015FD"/>
    <w:rsid w:val="0000204B"/>
    <w:rsid w:val="00002F63"/>
    <w:rsid w:val="00003019"/>
    <w:rsid w:val="00004D90"/>
    <w:rsid w:val="00004E26"/>
    <w:rsid w:val="00010D87"/>
    <w:rsid w:val="000125E7"/>
    <w:rsid w:val="00014650"/>
    <w:rsid w:val="00015714"/>
    <w:rsid w:val="0001634D"/>
    <w:rsid w:val="00016E21"/>
    <w:rsid w:val="00017F9E"/>
    <w:rsid w:val="000211D3"/>
    <w:rsid w:val="000226EA"/>
    <w:rsid w:val="00023910"/>
    <w:rsid w:val="00032720"/>
    <w:rsid w:val="00035B51"/>
    <w:rsid w:val="00036F18"/>
    <w:rsid w:val="00037CCB"/>
    <w:rsid w:val="00041FC5"/>
    <w:rsid w:val="000433F6"/>
    <w:rsid w:val="00045986"/>
    <w:rsid w:val="000475AA"/>
    <w:rsid w:val="00047C97"/>
    <w:rsid w:val="000529BD"/>
    <w:rsid w:val="00052EC3"/>
    <w:rsid w:val="00052FA5"/>
    <w:rsid w:val="0005309D"/>
    <w:rsid w:val="00053222"/>
    <w:rsid w:val="00053BB7"/>
    <w:rsid w:val="0006081B"/>
    <w:rsid w:val="0006223A"/>
    <w:rsid w:val="000627AF"/>
    <w:rsid w:val="0006312B"/>
    <w:rsid w:val="00065618"/>
    <w:rsid w:val="00067B16"/>
    <w:rsid w:val="00070FC3"/>
    <w:rsid w:val="000728B7"/>
    <w:rsid w:val="00074F96"/>
    <w:rsid w:val="000758CE"/>
    <w:rsid w:val="0007711D"/>
    <w:rsid w:val="00091DF1"/>
    <w:rsid w:val="00092335"/>
    <w:rsid w:val="000946D8"/>
    <w:rsid w:val="00097725"/>
    <w:rsid w:val="000A0504"/>
    <w:rsid w:val="000A2222"/>
    <w:rsid w:val="000A33E5"/>
    <w:rsid w:val="000A770E"/>
    <w:rsid w:val="000A7F88"/>
    <w:rsid w:val="000B1D93"/>
    <w:rsid w:val="000B36A3"/>
    <w:rsid w:val="000B4F2C"/>
    <w:rsid w:val="000B7739"/>
    <w:rsid w:val="000C0E02"/>
    <w:rsid w:val="000C24E1"/>
    <w:rsid w:val="000C3234"/>
    <w:rsid w:val="000C3FD5"/>
    <w:rsid w:val="000C442B"/>
    <w:rsid w:val="000C53DA"/>
    <w:rsid w:val="000C7D8A"/>
    <w:rsid w:val="000D2355"/>
    <w:rsid w:val="000D42C0"/>
    <w:rsid w:val="000D6017"/>
    <w:rsid w:val="000D7773"/>
    <w:rsid w:val="000E4BF1"/>
    <w:rsid w:val="000E5D84"/>
    <w:rsid w:val="000E5DF2"/>
    <w:rsid w:val="000F2970"/>
    <w:rsid w:val="000F4774"/>
    <w:rsid w:val="000F4CB4"/>
    <w:rsid w:val="000F62B5"/>
    <w:rsid w:val="00100742"/>
    <w:rsid w:val="00107C81"/>
    <w:rsid w:val="00116E9C"/>
    <w:rsid w:val="00124161"/>
    <w:rsid w:val="001251BD"/>
    <w:rsid w:val="00134568"/>
    <w:rsid w:val="001356ED"/>
    <w:rsid w:val="00140AAE"/>
    <w:rsid w:val="001415B7"/>
    <w:rsid w:val="00143345"/>
    <w:rsid w:val="00147273"/>
    <w:rsid w:val="00150D63"/>
    <w:rsid w:val="00150FC9"/>
    <w:rsid w:val="00161616"/>
    <w:rsid w:val="00162B47"/>
    <w:rsid w:val="00163A77"/>
    <w:rsid w:val="0016477B"/>
    <w:rsid w:val="00165C31"/>
    <w:rsid w:val="00171BC6"/>
    <w:rsid w:val="00175C56"/>
    <w:rsid w:val="00177DCD"/>
    <w:rsid w:val="0019275D"/>
    <w:rsid w:val="00192A75"/>
    <w:rsid w:val="00196B5C"/>
    <w:rsid w:val="001A412C"/>
    <w:rsid w:val="001A5D9C"/>
    <w:rsid w:val="001B1667"/>
    <w:rsid w:val="001B167F"/>
    <w:rsid w:val="001B23E8"/>
    <w:rsid w:val="001B49D9"/>
    <w:rsid w:val="001B6D7A"/>
    <w:rsid w:val="001C0645"/>
    <w:rsid w:val="001C5A10"/>
    <w:rsid w:val="001C6901"/>
    <w:rsid w:val="001C7CFA"/>
    <w:rsid w:val="001D1FFD"/>
    <w:rsid w:val="001D388C"/>
    <w:rsid w:val="001D5F3B"/>
    <w:rsid w:val="001E49C4"/>
    <w:rsid w:val="001E4AA6"/>
    <w:rsid w:val="001F3857"/>
    <w:rsid w:val="001F4088"/>
    <w:rsid w:val="002014B8"/>
    <w:rsid w:val="002016F8"/>
    <w:rsid w:val="00204B39"/>
    <w:rsid w:val="002079E3"/>
    <w:rsid w:val="00212A17"/>
    <w:rsid w:val="00213729"/>
    <w:rsid w:val="002175A6"/>
    <w:rsid w:val="00220B09"/>
    <w:rsid w:val="0022256E"/>
    <w:rsid w:val="0022282D"/>
    <w:rsid w:val="00222D8D"/>
    <w:rsid w:val="0022411F"/>
    <w:rsid w:val="00226BCE"/>
    <w:rsid w:val="00231E63"/>
    <w:rsid w:val="00232AFF"/>
    <w:rsid w:val="00236020"/>
    <w:rsid w:val="00236ED5"/>
    <w:rsid w:val="00245600"/>
    <w:rsid w:val="002503BF"/>
    <w:rsid w:val="0025349D"/>
    <w:rsid w:val="0026645A"/>
    <w:rsid w:val="00266463"/>
    <w:rsid w:val="00273EF4"/>
    <w:rsid w:val="00276380"/>
    <w:rsid w:val="00276F8E"/>
    <w:rsid w:val="00282254"/>
    <w:rsid w:val="00283E2D"/>
    <w:rsid w:val="00284E44"/>
    <w:rsid w:val="0028698D"/>
    <w:rsid w:val="00287D38"/>
    <w:rsid w:val="002A242C"/>
    <w:rsid w:val="002B5A23"/>
    <w:rsid w:val="002B64B0"/>
    <w:rsid w:val="002B7229"/>
    <w:rsid w:val="002B72AB"/>
    <w:rsid w:val="002C0072"/>
    <w:rsid w:val="002C2015"/>
    <w:rsid w:val="002C230F"/>
    <w:rsid w:val="002C6E10"/>
    <w:rsid w:val="002C70E6"/>
    <w:rsid w:val="002D5788"/>
    <w:rsid w:val="002D64BA"/>
    <w:rsid w:val="002D68A9"/>
    <w:rsid w:val="002E17FD"/>
    <w:rsid w:val="002E4F2E"/>
    <w:rsid w:val="002F3F0B"/>
    <w:rsid w:val="002F555C"/>
    <w:rsid w:val="003025F5"/>
    <w:rsid w:val="00302B51"/>
    <w:rsid w:val="003057E1"/>
    <w:rsid w:val="00305953"/>
    <w:rsid w:val="0030596D"/>
    <w:rsid w:val="00311867"/>
    <w:rsid w:val="00315291"/>
    <w:rsid w:val="0032065B"/>
    <w:rsid w:val="00324596"/>
    <w:rsid w:val="003346AC"/>
    <w:rsid w:val="00334FD1"/>
    <w:rsid w:val="0033528F"/>
    <w:rsid w:val="00335CED"/>
    <w:rsid w:val="00335D76"/>
    <w:rsid w:val="00337757"/>
    <w:rsid w:val="00342DDA"/>
    <w:rsid w:val="00343DE6"/>
    <w:rsid w:val="00344D05"/>
    <w:rsid w:val="003452D6"/>
    <w:rsid w:val="00345F79"/>
    <w:rsid w:val="00350AA3"/>
    <w:rsid w:val="00361BD9"/>
    <w:rsid w:val="0036347C"/>
    <w:rsid w:val="00363FA4"/>
    <w:rsid w:val="003649E9"/>
    <w:rsid w:val="0037036B"/>
    <w:rsid w:val="00376ED0"/>
    <w:rsid w:val="003811C4"/>
    <w:rsid w:val="003830F3"/>
    <w:rsid w:val="00391A76"/>
    <w:rsid w:val="003953FD"/>
    <w:rsid w:val="003978FF"/>
    <w:rsid w:val="003A71BE"/>
    <w:rsid w:val="003A7928"/>
    <w:rsid w:val="003B2800"/>
    <w:rsid w:val="003B37C1"/>
    <w:rsid w:val="003C01B6"/>
    <w:rsid w:val="003C3186"/>
    <w:rsid w:val="003C4965"/>
    <w:rsid w:val="003D05EA"/>
    <w:rsid w:val="003D1AAD"/>
    <w:rsid w:val="003D2582"/>
    <w:rsid w:val="003D337B"/>
    <w:rsid w:val="003D4D9A"/>
    <w:rsid w:val="003E1EAF"/>
    <w:rsid w:val="003E26F3"/>
    <w:rsid w:val="003E5F12"/>
    <w:rsid w:val="003E654B"/>
    <w:rsid w:val="003E66F4"/>
    <w:rsid w:val="003F1A29"/>
    <w:rsid w:val="003F3A5A"/>
    <w:rsid w:val="003F51C9"/>
    <w:rsid w:val="00403FE3"/>
    <w:rsid w:val="00405164"/>
    <w:rsid w:val="004070C0"/>
    <w:rsid w:val="00410C62"/>
    <w:rsid w:val="004257F9"/>
    <w:rsid w:val="00427A80"/>
    <w:rsid w:val="00441153"/>
    <w:rsid w:val="004422EC"/>
    <w:rsid w:val="00443021"/>
    <w:rsid w:val="00444E16"/>
    <w:rsid w:val="00447B74"/>
    <w:rsid w:val="0045238D"/>
    <w:rsid w:val="00452424"/>
    <w:rsid w:val="004530B6"/>
    <w:rsid w:val="004636DB"/>
    <w:rsid w:val="0046671F"/>
    <w:rsid w:val="004671AC"/>
    <w:rsid w:val="00467588"/>
    <w:rsid w:val="00471305"/>
    <w:rsid w:val="00475C3F"/>
    <w:rsid w:val="00482673"/>
    <w:rsid w:val="00482D11"/>
    <w:rsid w:val="00482EC4"/>
    <w:rsid w:val="00483D0D"/>
    <w:rsid w:val="00485F41"/>
    <w:rsid w:val="00491C04"/>
    <w:rsid w:val="00493327"/>
    <w:rsid w:val="00494C71"/>
    <w:rsid w:val="00495E57"/>
    <w:rsid w:val="004A3D09"/>
    <w:rsid w:val="004A40C0"/>
    <w:rsid w:val="004A4F5D"/>
    <w:rsid w:val="004B121D"/>
    <w:rsid w:val="004B266E"/>
    <w:rsid w:val="004B3207"/>
    <w:rsid w:val="004B35EB"/>
    <w:rsid w:val="004B3850"/>
    <w:rsid w:val="004B38F1"/>
    <w:rsid w:val="004C2354"/>
    <w:rsid w:val="004C2CA6"/>
    <w:rsid w:val="004C3C15"/>
    <w:rsid w:val="004C5BF3"/>
    <w:rsid w:val="004C6334"/>
    <w:rsid w:val="004D040A"/>
    <w:rsid w:val="004D108F"/>
    <w:rsid w:val="004D243F"/>
    <w:rsid w:val="004D2F39"/>
    <w:rsid w:val="004D32D1"/>
    <w:rsid w:val="004D751D"/>
    <w:rsid w:val="004D7A90"/>
    <w:rsid w:val="004E0801"/>
    <w:rsid w:val="004E5158"/>
    <w:rsid w:val="004E5580"/>
    <w:rsid w:val="004E791C"/>
    <w:rsid w:val="004F1E8F"/>
    <w:rsid w:val="00501A7C"/>
    <w:rsid w:val="005034D1"/>
    <w:rsid w:val="00510DE7"/>
    <w:rsid w:val="005115CD"/>
    <w:rsid w:val="00517957"/>
    <w:rsid w:val="00520FED"/>
    <w:rsid w:val="00522D26"/>
    <w:rsid w:val="00522E10"/>
    <w:rsid w:val="00525790"/>
    <w:rsid w:val="0052605D"/>
    <w:rsid w:val="00526CEC"/>
    <w:rsid w:val="0053411A"/>
    <w:rsid w:val="00535116"/>
    <w:rsid w:val="00535E71"/>
    <w:rsid w:val="0053768C"/>
    <w:rsid w:val="00537697"/>
    <w:rsid w:val="00540073"/>
    <w:rsid w:val="00540194"/>
    <w:rsid w:val="0054086A"/>
    <w:rsid w:val="00541718"/>
    <w:rsid w:val="00543721"/>
    <w:rsid w:val="00550536"/>
    <w:rsid w:val="005509C2"/>
    <w:rsid w:val="0055255F"/>
    <w:rsid w:val="0055319E"/>
    <w:rsid w:val="00553BB9"/>
    <w:rsid w:val="00564AA2"/>
    <w:rsid w:val="00565A98"/>
    <w:rsid w:val="005666F3"/>
    <w:rsid w:val="00573A58"/>
    <w:rsid w:val="00573EB7"/>
    <w:rsid w:val="00575020"/>
    <w:rsid w:val="00575337"/>
    <w:rsid w:val="0057717C"/>
    <w:rsid w:val="005836BE"/>
    <w:rsid w:val="005923F3"/>
    <w:rsid w:val="00593029"/>
    <w:rsid w:val="0059570C"/>
    <w:rsid w:val="00597DE4"/>
    <w:rsid w:val="005A1DCD"/>
    <w:rsid w:val="005A34D8"/>
    <w:rsid w:val="005A78E7"/>
    <w:rsid w:val="005B22F4"/>
    <w:rsid w:val="005D1C55"/>
    <w:rsid w:val="005E495E"/>
    <w:rsid w:val="005E6837"/>
    <w:rsid w:val="005F0450"/>
    <w:rsid w:val="005F3836"/>
    <w:rsid w:val="005F5624"/>
    <w:rsid w:val="005F634A"/>
    <w:rsid w:val="005F7106"/>
    <w:rsid w:val="005F7690"/>
    <w:rsid w:val="00601F40"/>
    <w:rsid w:val="00604574"/>
    <w:rsid w:val="00607EB1"/>
    <w:rsid w:val="00610043"/>
    <w:rsid w:val="00610C5E"/>
    <w:rsid w:val="006120BF"/>
    <w:rsid w:val="0061755A"/>
    <w:rsid w:val="0061759C"/>
    <w:rsid w:val="00624BA1"/>
    <w:rsid w:val="0062548B"/>
    <w:rsid w:val="00626C69"/>
    <w:rsid w:val="006278F5"/>
    <w:rsid w:val="0063396A"/>
    <w:rsid w:val="006430E6"/>
    <w:rsid w:val="00644137"/>
    <w:rsid w:val="006535C0"/>
    <w:rsid w:val="006550CD"/>
    <w:rsid w:val="00664295"/>
    <w:rsid w:val="00665E92"/>
    <w:rsid w:val="00667712"/>
    <w:rsid w:val="00670E6D"/>
    <w:rsid w:val="006739CF"/>
    <w:rsid w:val="00675601"/>
    <w:rsid w:val="006760D3"/>
    <w:rsid w:val="006801B2"/>
    <w:rsid w:val="006841CE"/>
    <w:rsid w:val="00690A9F"/>
    <w:rsid w:val="006A1F6C"/>
    <w:rsid w:val="006A2C3C"/>
    <w:rsid w:val="006A4DD0"/>
    <w:rsid w:val="006A7351"/>
    <w:rsid w:val="006B17B1"/>
    <w:rsid w:val="006B210D"/>
    <w:rsid w:val="006B223A"/>
    <w:rsid w:val="006C6781"/>
    <w:rsid w:val="006D6F34"/>
    <w:rsid w:val="006E0B52"/>
    <w:rsid w:val="006E5DA7"/>
    <w:rsid w:val="006E691C"/>
    <w:rsid w:val="006F1605"/>
    <w:rsid w:val="006F1725"/>
    <w:rsid w:val="006F19FC"/>
    <w:rsid w:val="006F331D"/>
    <w:rsid w:val="006F69A1"/>
    <w:rsid w:val="00700363"/>
    <w:rsid w:val="00701509"/>
    <w:rsid w:val="007025F1"/>
    <w:rsid w:val="00704EEC"/>
    <w:rsid w:val="0070561D"/>
    <w:rsid w:val="00705CCB"/>
    <w:rsid w:val="00706604"/>
    <w:rsid w:val="007077E3"/>
    <w:rsid w:val="00712FD7"/>
    <w:rsid w:val="007153D2"/>
    <w:rsid w:val="00724095"/>
    <w:rsid w:val="00730014"/>
    <w:rsid w:val="007308C6"/>
    <w:rsid w:val="007332BE"/>
    <w:rsid w:val="007333D1"/>
    <w:rsid w:val="00737CBD"/>
    <w:rsid w:val="0074030E"/>
    <w:rsid w:val="007417BE"/>
    <w:rsid w:val="00745295"/>
    <w:rsid w:val="00745E1D"/>
    <w:rsid w:val="00756BFC"/>
    <w:rsid w:val="00771259"/>
    <w:rsid w:val="007739D6"/>
    <w:rsid w:val="00777769"/>
    <w:rsid w:val="00777DA4"/>
    <w:rsid w:val="007839AF"/>
    <w:rsid w:val="007854B5"/>
    <w:rsid w:val="0078640E"/>
    <w:rsid w:val="0078649E"/>
    <w:rsid w:val="00790739"/>
    <w:rsid w:val="007919A1"/>
    <w:rsid w:val="00792AF1"/>
    <w:rsid w:val="00795830"/>
    <w:rsid w:val="007A1BEF"/>
    <w:rsid w:val="007A2ABA"/>
    <w:rsid w:val="007B6369"/>
    <w:rsid w:val="007B773A"/>
    <w:rsid w:val="007C29B8"/>
    <w:rsid w:val="007D5239"/>
    <w:rsid w:val="007E14A4"/>
    <w:rsid w:val="007E729F"/>
    <w:rsid w:val="007F0B6F"/>
    <w:rsid w:val="007F1700"/>
    <w:rsid w:val="007F2E70"/>
    <w:rsid w:val="007F34F5"/>
    <w:rsid w:val="007F4913"/>
    <w:rsid w:val="007F6DAF"/>
    <w:rsid w:val="00803E2C"/>
    <w:rsid w:val="00804C2F"/>
    <w:rsid w:val="00805745"/>
    <w:rsid w:val="00805C06"/>
    <w:rsid w:val="00806EC7"/>
    <w:rsid w:val="00807D0E"/>
    <w:rsid w:val="00807ECC"/>
    <w:rsid w:val="00810608"/>
    <w:rsid w:val="00832079"/>
    <w:rsid w:val="0083748B"/>
    <w:rsid w:val="00837F10"/>
    <w:rsid w:val="008436CE"/>
    <w:rsid w:val="00843761"/>
    <w:rsid w:val="008457A4"/>
    <w:rsid w:val="00845DEE"/>
    <w:rsid w:val="00852291"/>
    <w:rsid w:val="0085325E"/>
    <w:rsid w:val="008534DB"/>
    <w:rsid w:val="0085548A"/>
    <w:rsid w:val="00855D06"/>
    <w:rsid w:val="00857C41"/>
    <w:rsid w:val="00862708"/>
    <w:rsid w:val="008663B5"/>
    <w:rsid w:val="008716CB"/>
    <w:rsid w:val="00875DFD"/>
    <w:rsid w:val="008763C5"/>
    <w:rsid w:val="00883F98"/>
    <w:rsid w:val="00887B61"/>
    <w:rsid w:val="00892AE8"/>
    <w:rsid w:val="008932F1"/>
    <w:rsid w:val="00895610"/>
    <w:rsid w:val="008A0BD5"/>
    <w:rsid w:val="008A0CE8"/>
    <w:rsid w:val="008A2986"/>
    <w:rsid w:val="008A2C83"/>
    <w:rsid w:val="008A33CA"/>
    <w:rsid w:val="008A6B76"/>
    <w:rsid w:val="008B20AC"/>
    <w:rsid w:val="008B385E"/>
    <w:rsid w:val="008B3FC0"/>
    <w:rsid w:val="008B4ED9"/>
    <w:rsid w:val="008B63DC"/>
    <w:rsid w:val="008C0669"/>
    <w:rsid w:val="008C1892"/>
    <w:rsid w:val="008C5C27"/>
    <w:rsid w:val="008D332B"/>
    <w:rsid w:val="008D420B"/>
    <w:rsid w:val="008D489B"/>
    <w:rsid w:val="008D5519"/>
    <w:rsid w:val="008E14FC"/>
    <w:rsid w:val="008E4745"/>
    <w:rsid w:val="008E61A4"/>
    <w:rsid w:val="00904935"/>
    <w:rsid w:val="00915493"/>
    <w:rsid w:val="00915CC1"/>
    <w:rsid w:val="00922886"/>
    <w:rsid w:val="00922FAE"/>
    <w:rsid w:val="009231FC"/>
    <w:rsid w:val="0092519B"/>
    <w:rsid w:val="00926B84"/>
    <w:rsid w:val="00926DBC"/>
    <w:rsid w:val="00926EE2"/>
    <w:rsid w:val="00927614"/>
    <w:rsid w:val="00927EB9"/>
    <w:rsid w:val="00930FFA"/>
    <w:rsid w:val="00931F7C"/>
    <w:rsid w:val="009338FB"/>
    <w:rsid w:val="009411D4"/>
    <w:rsid w:val="00943582"/>
    <w:rsid w:val="00951D90"/>
    <w:rsid w:val="00951EDB"/>
    <w:rsid w:val="00952237"/>
    <w:rsid w:val="009526F5"/>
    <w:rsid w:val="0095705B"/>
    <w:rsid w:val="009614F1"/>
    <w:rsid w:val="00966AAC"/>
    <w:rsid w:val="00967989"/>
    <w:rsid w:val="00972D30"/>
    <w:rsid w:val="00974C66"/>
    <w:rsid w:val="00975855"/>
    <w:rsid w:val="00991F2F"/>
    <w:rsid w:val="009967C4"/>
    <w:rsid w:val="00997985"/>
    <w:rsid w:val="009A61C1"/>
    <w:rsid w:val="009B22B1"/>
    <w:rsid w:val="009B5DD9"/>
    <w:rsid w:val="009B712A"/>
    <w:rsid w:val="009C41B2"/>
    <w:rsid w:val="009C7E4B"/>
    <w:rsid w:val="009D1002"/>
    <w:rsid w:val="009D1170"/>
    <w:rsid w:val="009D2451"/>
    <w:rsid w:val="009D292A"/>
    <w:rsid w:val="009D7BA7"/>
    <w:rsid w:val="009E1223"/>
    <w:rsid w:val="009E131D"/>
    <w:rsid w:val="009E1ADC"/>
    <w:rsid w:val="009E2599"/>
    <w:rsid w:val="009E532E"/>
    <w:rsid w:val="009E7EBB"/>
    <w:rsid w:val="009F1CDB"/>
    <w:rsid w:val="009F1DD7"/>
    <w:rsid w:val="009F5B5E"/>
    <w:rsid w:val="009F7BB9"/>
    <w:rsid w:val="00A05BD0"/>
    <w:rsid w:val="00A070ED"/>
    <w:rsid w:val="00A11A18"/>
    <w:rsid w:val="00A1219D"/>
    <w:rsid w:val="00A121AE"/>
    <w:rsid w:val="00A12A08"/>
    <w:rsid w:val="00A15FAF"/>
    <w:rsid w:val="00A16E74"/>
    <w:rsid w:val="00A23323"/>
    <w:rsid w:val="00A26F79"/>
    <w:rsid w:val="00A27BA6"/>
    <w:rsid w:val="00A34A38"/>
    <w:rsid w:val="00A35603"/>
    <w:rsid w:val="00A35F6E"/>
    <w:rsid w:val="00A36E03"/>
    <w:rsid w:val="00A375BF"/>
    <w:rsid w:val="00A459A9"/>
    <w:rsid w:val="00A45A85"/>
    <w:rsid w:val="00A507BE"/>
    <w:rsid w:val="00A53309"/>
    <w:rsid w:val="00A54E75"/>
    <w:rsid w:val="00A5600D"/>
    <w:rsid w:val="00A6067E"/>
    <w:rsid w:val="00A633CE"/>
    <w:rsid w:val="00A7352C"/>
    <w:rsid w:val="00A73E0C"/>
    <w:rsid w:val="00A7538E"/>
    <w:rsid w:val="00A76228"/>
    <w:rsid w:val="00A762FF"/>
    <w:rsid w:val="00A76312"/>
    <w:rsid w:val="00A76BAA"/>
    <w:rsid w:val="00A81754"/>
    <w:rsid w:val="00A843CD"/>
    <w:rsid w:val="00A9369E"/>
    <w:rsid w:val="00A96CFD"/>
    <w:rsid w:val="00A97665"/>
    <w:rsid w:val="00AA19C6"/>
    <w:rsid w:val="00AB0A0B"/>
    <w:rsid w:val="00AB4A4D"/>
    <w:rsid w:val="00AB5CE5"/>
    <w:rsid w:val="00AC352D"/>
    <w:rsid w:val="00AC7770"/>
    <w:rsid w:val="00AD7A92"/>
    <w:rsid w:val="00AE5631"/>
    <w:rsid w:val="00AE5A0E"/>
    <w:rsid w:val="00AE6310"/>
    <w:rsid w:val="00AE71EB"/>
    <w:rsid w:val="00AE767F"/>
    <w:rsid w:val="00AF29D7"/>
    <w:rsid w:val="00AF5028"/>
    <w:rsid w:val="00AF5A8A"/>
    <w:rsid w:val="00B071C3"/>
    <w:rsid w:val="00B076F0"/>
    <w:rsid w:val="00B1068E"/>
    <w:rsid w:val="00B117DB"/>
    <w:rsid w:val="00B14E06"/>
    <w:rsid w:val="00B202D9"/>
    <w:rsid w:val="00B22761"/>
    <w:rsid w:val="00B25986"/>
    <w:rsid w:val="00B26896"/>
    <w:rsid w:val="00B31A72"/>
    <w:rsid w:val="00B34352"/>
    <w:rsid w:val="00B3598C"/>
    <w:rsid w:val="00B36B46"/>
    <w:rsid w:val="00B36FEC"/>
    <w:rsid w:val="00B37B93"/>
    <w:rsid w:val="00B37E9F"/>
    <w:rsid w:val="00B40B80"/>
    <w:rsid w:val="00B40BB6"/>
    <w:rsid w:val="00B41D72"/>
    <w:rsid w:val="00B436EB"/>
    <w:rsid w:val="00B4372F"/>
    <w:rsid w:val="00B46CD5"/>
    <w:rsid w:val="00B4739D"/>
    <w:rsid w:val="00B47F5C"/>
    <w:rsid w:val="00B50BC2"/>
    <w:rsid w:val="00B55350"/>
    <w:rsid w:val="00B65697"/>
    <w:rsid w:val="00B657C0"/>
    <w:rsid w:val="00B70991"/>
    <w:rsid w:val="00B7217C"/>
    <w:rsid w:val="00B75A69"/>
    <w:rsid w:val="00B76FAA"/>
    <w:rsid w:val="00B770D8"/>
    <w:rsid w:val="00B833CA"/>
    <w:rsid w:val="00B84282"/>
    <w:rsid w:val="00B86E71"/>
    <w:rsid w:val="00B90016"/>
    <w:rsid w:val="00B92F6A"/>
    <w:rsid w:val="00B95EF6"/>
    <w:rsid w:val="00BA00DB"/>
    <w:rsid w:val="00BA42FB"/>
    <w:rsid w:val="00BB1287"/>
    <w:rsid w:val="00BB238F"/>
    <w:rsid w:val="00BB4522"/>
    <w:rsid w:val="00BB71BD"/>
    <w:rsid w:val="00BB7B3C"/>
    <w:rsid w:val="00BC07E5"/>
    <w:rsid w:val="00BC6041"/>
    <w:rsid w:val="00BD04B8"/>
    <w:rsid w:val="00BD4EA3"/>
    <w:rsid w:val="00BD5011"/>
    <w:rsid w:val="00BD7834"/>
    <w:rsid w:val="00BE0510"/>
    <w:rsid w:val="00BE24AA"/>
    <w:rsid w:val="00BE6CE3"/>
    <w:rsid w:val="00BE77D3"/>
    <w:rsid w:val="00BF195B"/>
    <w:rsid w:val="00BF1BE9"/>
    <w:rsid w:val="00C06436"/>
    <w:rsid w:val="00C06E23"/>
    <w:rsid w:val="00C11423"/>
    <w:rsid w:val="00C11743"/>
    <w:rsid w:val="00C11E60"/>
    <w:rsid w:val="00C149F8"/>
    <w:rsid w:val="00C156C4"/>
    <w:rsid w:val="00C179AF"/>
    <w:rsid w:val="00C2353E"/>
    <w:rsid w:val="00C2648A"/>
    <w:rsid w:val="00C3092D"/>
    <w:rsid w:val="00C343C4"/>
    <w:rsid w:val="00C370A0"/>
    <w:rsid w:val="00C47674"/>
    <w:rsid w:val="00C503A7"/>
    <w:rsid w:val="00C51DB3"/>
    <w:rsid w:val="00C5208E"/>
    <w:rsid w:val="00C57493"/>
    <w:rsid w:val="00C6184D"/>
    <w:rsid w:val="00C64B53"/>
    <w:rsid w:val="00C6665B"/>
    <w:rsid w:val="00C679EA"/>
    <w:rsid w:val="00C721F7"/>
    <w:rsid w:val="00C728F3"/>
    <w:rsid w:val="00C751B8"/>
    <w:rsid w:val="00C76592"/>
    <w:rsid w:val="00C77458"/>
    <w:rsid w:val="00C90514"/>
    <w:rsid w:val="00C93092"/>
    <w:rsid w:val="00C937E7"/>
    <w:rsid w:val="00C96204"/>
    <w:rsid w:val="00CA008C"/>
    <w:rsid w:val="00CA0EEF"/>
    <w:rsid w:val="00CA113C"/>
    <w:rsid w:val="00CB3F19"/>
    <w:rsid w:val="00CB542F"/>
    <w:rsid w:val="00CB6908"/>
    <w:rsid w:val="00CD1A7D"/>
    <w:rsid w:val="00CD1FAE"/>
    <w:rsid w:val="00CD1FE9"/>
    <w:rsid w:val="00CD2D5D"/>
    <w:rsid w:val="00CD2E85"/>
    <w:rsid w:val="00CE0142"/>
    <w:rsid w:val="00CE534E"/>
    <w:rsid w:val="00CF608C"/>
    <w:rsid w:val="00CF6B84"/>
    <w:rsid w:val="00D02221"/>
    <w:rsid w:val="00D04112"/>
    <w:rsid w:val="00D05799"/>
    <w:rsid w:val="00D07123"/>
    <w:rsid w:val="00D07227"/>
    <w:rsid w:val="00D112CC"/>
    <w:rsid w:val="00D11DC6"/>
    <w:rsid w:val="00D17FA4"/>
    <w:rsid w:val="00D23F41"/>
    <w:rsid w:val="00D24401"/>
    <w:rsid w:val="00D31381"/>
    <w:rsid w:val="00D33AD7"/>
    <w:rsid w:val="00D401DD"/>
    <w:rsid w:val="00D42160"/>
    <w:rsid w:val="00D45FAF"/>
    <w:rsid w:val="00D52FCB"/>
    <w:rsid w:val="00D5566D"/>
    <w:rsid w:val="00D65DBE"/>
    <w:rsid w:val="00D678E5"/>
    <w:rsid w:val="00D679CB"/>
    <w:rsid w:val="00D74D15"/>
    <w:rsid w:val="00D74FAB"/>
    <w:rsid w:val="00D81C86"/>
    <w:rsid w:val="00D8427F"/>
    <w:rsid w:val="00D901B8"/>
    <w:rsid w:val="00D948E8"/>
    <w:rsid w:val="00D94ABD"/>
    <w:rsid w:val="00D94F29"/>
    <w:rsid w:val="00D9777F"/>
    <w:rsid w:val="00D97997"/>
    <w:rsid w:val="00DB3616"/>
    <w:rsid w:val="00DB3871"/>
    <w:rsid w:val="00DB4C61"/>
    <w:rsid w:val="00DB4EF5"/>
    <w:rsid w:val="00DB5A54"/>
    <w:rsid w:val="00DB76C9"/>
    <w:rsid w:val="00DC00AE"/>
    <w:rsid w:val="00DC33AD"/>
    <w:rsid w:val="00DD1C7F"/>
    <w:rsid w:val="00DD27EA"/>
    <w:rsid w:val="00DE4BC1"/>
    <w:rsid w:val="00DE4CBE"/>
    <w:rsid w:val="00DE6860"/>
    <w:rsid w:val="00DF2B6F"/>
    <w:rsid w:val="00E019F7"/>
    <w:rsid w:val="00E02BC2"/>
    <w:rsid w:val="00E041B4"/>
    <w:rsid w:val="00E16FC6"/>
    <w:rsid w:val="00E20392"/>
    <w:rsid w:val="00E21D80"/>
    <w:rsid w:val="00E24608"/>
    <w:rsid w:val="00E305E7"/>
    <w:rsid w:val="00E311E2"/>
    <w:rsid w:val="00E33EE3"/>
    <w:rsid w:val="00E42BC1"/>
    <w:rsid w:val="00E43ED8"/>
    <w:rsid w:val="00E47BC4"/>
    <w:rsid w:val="00E506FB"/>
    <w:rsid w:val="00E517B2"/>
    <w:rsid w:val="00E51CEC"/>
    <w:rsid w:val="00E5468F"/>
    <w:rsid w:val="00E55785"/>
    <w:rsid w:val="00E57F2B"/>
    <w:rsid w:val="00E60AC7"/>
    <w:rsid w:val="00E62BB0"/>
    <w:rsid w:val="00E66518"/>
    <w:rsid w:val="00E66EC6"/>
    <w:rsid w:val="00E67680"/>
    <w:rsid w:val="00E72D16"/>
    <w:rsid w:val="00E738D0"/>
    <w:rsid w:val="00E74F28"/>
    <w:rsid w:val="00E75C9B"/>
    <w:rsid w:val="00E80BEA"/>
    <w:rsid w:val="00E8169F"/>
    <w:rsid w:val="00E83237"/>
    <w:rsid w:val="00E845B3"/>
    <w:rsid w:val="00E84D4D"/>
    <w:rsid w:val="00E900B6"/>
    <w:rsid w:val="00E9015B"/>
    <w:rsid w:val="00E91ECC"/>
    <w:rsid w:val="00E942CA"/>
    <w:rsid w:val="00E94588"/>
    <w:rsid w:val="00EA0242"/>
    <w:rsid w:val="00EA2B53"/>
    <w:rsid w:val="00EA5A87"/>
    <w:rsid w:val="00EA7F11"/>
    <w:rsid w:val="00EB0E9A"/>
    <w:rsid w:val="00EB1836"/>
    <w:rsid w:val="00EB4119"/>
    <w:rsid w:val="00EC2959"/>
    <w:rsid w:val="00EC3174"/>
    <w:rsid w:val="00EC3596"/>
    <w:rsid w:val="00EC420A"/>
    <w:rsid w:val="00EC6953"/>
    <w:rsid w:val="00EE0E21"/>
    <w:rsid w:val="00EE10EB"/>
    <w:rsid w:val="00EE6D10"/>
    <w:rsid w:val="00EF2D61"/>
    <w:rsid w:val="00EF32C3"/>
    <w:rsid w:val="00EF6DDE"/>
    <w:rsid w:val="00F03003"/>
    <w:rsid w:val="00F06AA4"/>
    <w:rsid w:val="00F12063"/>
    <w:rsid w:val="00F13CA2"/>
    <w:rsid w:val="00F17226"/>
    <w:rsid w:val="00F17492"/>
    <w:rsid w:val="00F23C1A"/>
    <w:rsid w:val="00F244B7"/>
    <w:rsid w:val="00F258C1"/>
    <w:rsid w:val="00F26223"/>
    <w:rsid w:val="00F26694"/>
    <w:rsid w:val="00F27F58"/>
    <w:rsid w:val="00F32D95"/>
    <w:rsid w:val="00F34187"/>
    <w:rsid w:val="00F37CE1"/>
    <w:rsid w:val="00F4415A"/>
    <w:rsid w:val="00F44767"/>
    <w:rsid w:val="00F50EC3"/>
    <w:rsid w:val="00F53906"/>
    <w:rsid w:val="00F544F1"/>
    <w:rsid w:val="00F60339"/>
    <w:rsid w:val="00F6065C"/>
    <w:rsid w:val="00F60AAC"/>
    <w:rsid w:val="00F61D4F"/>
    <w:rsid w:val="00F66DD2"/>
    <w:rsid w:val="00F67E89"/>
    <w:rsid w:val="00F72602"/>
    <w:rsid w:val="00F726DA"/>
    <w:rsid w:val="00F755B8"/>
    <w:rsid w:val="00F76E03"/>
    <w:rsid w:val="00F77607"/>
    <w:rsid w:val="00F77B54"/>
    <w:rsid w:val="00F8451F"/>
    <w:rsid w:val="00F851EB"/>
    <w:rsid w:val="00F8583C"/>
    <w:rsid w:val="00F858CE"/>
    <w:rsid w:val="00F859BF"/>
    <w:rsid w:val="00F906A4"/>
    <w:rsid w:val="00F94160"/>
    <w:rsid w:val="00F9492B"/>
    <w:rsid w:val="00F95E3A"/>
    <w:rsid w:val="00FA29E7"/>
    <w:rsid w:val="00FA4DD1"/>
    <w:rsid w:val="00FA4EDC"/>
    <w:rsid w:val="00FA6FA3"/>
    <w:rsid w:val="00FB1F20"/>
    <w:rsid w:val="00FB33D7"/>
    <w:rsid w:val="00FB3E24"/>
    <w:rsid w:val="00FB3EB5"/>
    <w:rsid w:val="00FB5361"/>
    <w:rsid w:val="00FC1605"/>
    <w:rsid w:val="00FC357E"/>
    <w:rsid w:val="00FC35CA"/>
    <w:rsid w:val="00FC7014"/>
    <w:rsid w:val="00FD57FE"/>
    <w:rsid w:val="00FE0DF7"/>
    <w:rsid w:val="00FE2692"/>
    <w:rsid w:val="00FE5645"/>
    <w:rsid w:val="00FF082B"/>
    <w:rsid w:val="00FF5B99"/>
    <w:rsid w:val="00FF69C2"/>
    <w:rsid w:val="00FF6F32"/>
    <w:rsid w:val="00FF7777"/>
    <w:rsid w:val="00FF79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D372AC"/>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58627">
      <w:bodyDiv w:val="1"/>
      <w:marLeft w:val="0"/>
      <w:marRight w:val="0"/>
      <w:marTop w:val="0"/>
      <w:marBottom w:val="0"/>
      <w:divBdr>
        <w:top w:val="none" w:sz="0" w:space="0" w:color="auto"/>
        <w:left w:val="none" w:sz="0" w:space="0" w:color="auto"/>
        <w:bottom w:val="none" w:sz="0" w:space="0" w:color="auto"/>
        <w:right w:val="none" w:sz="0" w:space="0" w:color="auto"/>
      </w:divBdr>
    </w:div>
    <w:div w:id="206290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66B54F-0225-42B3-B5D7-7AF7EE63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20643</Words>
  <Characters>139729</Characters>
  <Application>Microsoft Office Word</Application>
  <DocSecurity>4</DocSecurity>
  <Lines>1164</Lines>
  <Paragraphs>320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vt:i4>
      </vt:variant>
      <vt:variant>
        <vt:lpstr>Naslov</vt:lpstr>
      </vt:variant>
      <vt:variant>
        <vt:i4>1</vt:i4>
      </vt:variant>
    </vt:vector>
  </HeadingPairs>
  <TitlesOfParts>
    <vt:vector size="11" baseType="lpstr">
      <vt:lpstr>mutual-recognition-decentralised-referral-pi-template-version-42_en_CLEAN_LT</vt:lpstr>
      <vt:lpstr>mutual-recognition-decentralised-referral-pi-template-version-42_en_CLEAN_LT</vt:lpstr>
      <vt:lpstr>    I PRIEDAS</vt:lpstr>
      <vt:lpstr>Rekomendacija GVT/PE gydyti 220 mg dabigatrano eteksilato doze, kuri vartojama p</vt:lpstr>
      <vt:lpstr>Pacientą reikia informuoti, kad pasireiškus dabigatrano eteksilato netoleravimui</vt:lpstr>
      <vt:lpstr/>
      <vt:lpstr>Inkstų funkcijos vertinimas prieš gydymą dabigatrano eteksilatu ir jo metu</vt:lpstr>
      <vt:lpstr/>
      <vt:lpstr>Visiems pacientams, o ypač senyviems (&gt; 75 metų), nes šioje amžiaus grupėje gali</vt:lpstr>
      <vt:lpstr>5 lentelė:	Suaugusių pacientų krešėjimo rodiklių, nustatytų tuo metu, kai koncet</vt:lpstr>
      <vt:lpstr>mutual-recognition-decentralised-referral-pi-template-version-42_en_CLEAN_LT</vt:lpstr>
    </vt:vector>
  </TitlesOfParts>
  <Company>CDT</Company>
  <LinksUpToDate>false</LinksUpToDate>
  <CharactersWithSpaces>160052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2025-05-06T08:15:00Z</dcterms:created>
  <dcterms:modified xsi:type="dcterms:W3CDTF">2025-05-06T08:15:00Z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