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AFFE" w14:textId="77777777" w:rsidR="00A86D9E" w:rsidRPr="00590EDE" w:rsidRDefault="00A86D9E" w:rsidP="00A86D9E">
      <w:pPr>
        <w:widowControl w:val="0"/>
        <w:numPr>
          <w:ilvl w:val="12"/>
          <w:numId w:val="0"/>
        </w:numPr>
        <w:overflowPunct/>
        <w:autoSpaceDE/>
        <w:autoSpaceDN/>
        <w:adjustRightInd/>
        <w:jc w:val="center"/>
        <w:textAlignment w:val="auto"/>
        <w:rPr>
          <w:b/>
          <w:bCs/>
          <w:lang w:eastAsia="en-US"/>
        </w:rPr>
      </w:pPr>
      <w:r w:rsidRPr="00590EDE">
        <w:rPr>
          <w:b/>
          <w:bCs/>
          <w:lang w:eastAsia="en-US"/>
        </w:rPr>
        <w:t>Pakuotės lapelis: informacija vartotojui</w:t>
      </w:r>
    </w:p>
    <w:p w14:paraId="35956836" w14:textId="77777777" w:rsidR="00A86D9E" w:rsidRPr="00590EDE" w:rsidRDefault="00A86D9E" w:rsidP="00A86D9E">
      <w:pPr>
        <w:widowControl w:val="0"/>
        <w:numPr>
          <w:ilvl w:val="12"/>
          <w:numId w:val="0"/>
        </w:numPr>
        <w:overflowPunct/>
        <w:autoSpaceDE/>
        <w:autoSpaceDN/>
        <w:adjustRightInd/>
        <w:jc w:val="center"/>
        <w:textAlignment w:val="auto"/>
        <w:rPr>
          <w:b/>
          <w:bCs/>
          <w:lang w:eastAsia="en-US"/>
        </w:rPr>
      </w:pPr>
    </w:p>
    <w:p w14:paraId="3FCBA4F2" w14:textId="77777777" w:rsidR="00A86D9E" w:rsidRPr="00590EDE" w:rsidRDefault="00A86D9E" w:rsidP="00A86D9E">
      <w:pPr>
        <w:widowControl w:val="0"/>
        <w:numPr>
          <w:ilvl w:val="12"/>
          <w:numId w:val="0"/>
        </w:numPr>
        <w:overflowPunct/>
        <w:autoSpaceDE/>
        <w:autoSpaceDN/>
        <w:adjustRightInd/>
        <w:jc w:val="center"/>
        <w:textAlignment w:val="auto"/>
        <w:rPr>
          <w:b/>
          <w:bCs/>
          <w:lang w:eastAsia="en-US"/>
        </w:rPr>
      </w:pPr>
      <w:proofErr w:type="spellStart"/>
      <w:r w:rsidRPr="004814B7">
        <w:rPr>
          <w:b/>
        </w:rPr>
        <w:t>Hepetra</w:t>
      </w:r>
      <w:proofErr w:type="spellEnd"/>
      <w:r w:rsidRPr="00590EDE">
        <w:rPr>
          <w:b/>
          <w:bCs/>
          <w:lang w:eastAsia="en-US"/>
        </w:rPr>
        <w:t xml:space="preserve"> 50 TV/ml infuzinis tirpalas</w:t>
      </w:r>
    </w:p>
    <w:p w14:paraId="0283AA90" w14:textId="77777777" w:rsidR="00A86D9E" w:rsidRDefault="00A86D9E" w:rsidP="00A86D9E">
      <w:pPr>
        <w:widowControl w:val="0"/>
        <w:numPr>
          <w:ilvl w:val="12"/>
          <w:numId w:val="0"/>
        </w:numPr>
        <w:overflowPunct/>
        <w:autoSpaceDE/>
        <w:autoSpaceDN/>
        <w:adjustRightInd/>
        <w:jc w:val="center"/>
        <w:textAlignment w:val="auto"/>
        <w:rPr>
          <w:lang w:eastAsia="en-US"/>
        </w:rPr>
      </w:pPr>
      <w:r w:rsidRPr="00590EDE">
        <w:rPr>
          <w:lang w:eastAsia="en-US"/>
        </w:rPr>
        <w:t>žmogaus hepatito B imunoglobulinas, skirtas leisti į veną</w:t>
      </w:r>
    </w:p>
    <w:p w14:paraId="10331734" w14:textId="77777777" w:rsidR="00A86D9E" w:rsidRDefault="00A86D9E" w:rsidP="00A86D9E">
      <w:pPr>
        <w:widowControl w:val="0"/>
        <w:numPr>
          <w:ilvl w:val="12"/>
          <w:numId w:val="0"/>
        </w:numPr>
        <w:overflowPunct/>
        <w:autoSpaceDE/>
        <w:autoSpaceDN/>
        <w:adjustRightInd/>
        <w:jc w:val="center"/>
        <w:textAlignment w:val="auto"/>
        <w:rPr>
          <w:lang w:eastAsia="en-US"/>
        </w:rPr>
      </w:pPr>
    </w:p>
    <w:p w14:paraId="130DE4E9" w14:textId="77777777" w:rsidR="00A86D9E" w:rsidRPr="00590EDE" w:rsidRDefault="00A86D9E" w:rsidP="00A86D9E">
      <w:pPr>
        <w:widowControl w:val="0"/>
        <w:numPr>
          <w:ilvl w:val="12"/>
          <w:numId w:val="0"/>
        </w:numPr>
        <w:overflowPunct/>
        <w:autoSpaceDE/>
        <w:autoSpaceDN/>
        <w:adjustRightInd/>
        <w:jc w:val="center"/>
        <w:textAlignment w:val="auto"/>
        <w:rPr>
          <w:lang w:eastAsia="en-US"/>
        </w:rPr>
      </w:pPr>
    </w:p>
    <w:p w14:paraId="17137FE9" w14:textId="77777777" w:rsidR="00A86D9E" w:rsidRPr="00396A96" w:rsidRDefault="00A86D9E" w:rsidP="00A86D9E">
      <w:pPr>
        <w:widowControl w:val="0"/>
        <w:overflowPunct/>
        <w:autoSpaceDE/>
        <w:autoSpaceDN/>
        <w:adjustRightInd/>
        <w:jc w:val="both"/>
        <w:textAlignment w:val="auto"/>
        <w:rPr>
          <w:iCs/>
          <w:lang w:eastAsia="en-US"/>
        </w:rPr>
      </w:pPr>
      <w:r w:rsidRPr="00396A96">
        <w:rPr>
          <w:b/>
          <w:iCs/>
          <w:lang w:eastAsia="en-US"/>
        </w:rPr>
        <w:t>Atidžiai perskaitykite visą šį lapelį, prieš pradėdami vartoti vaistą, nes jame pateikiama Jums svarbi informacija.</w:t>
      </w:r>
    </w:p>
    <w:p w14:paraId="621EC923" w14:textId="77777777" w:rsidR="00A86D9E" w:rsidRPr="00396A96" w:rsidRDefault="00A86D9E" w:rsidP="00A86D9E">
      <w:pPr>
        <w:widowControl w:val="0"/>
        <w:numPr>
          <w:ilvl w:val="0"/>
          <w:numId w:val="2"/>
        </w:numPr>
        <w:overflowPunct/>
        <w:autoSpaceDE/>
        <w:autoSpaceDN/>
        <w:adjustRightInd/>
        <w:jc w:val="both"/>
        <w:textAlignment w:val="auto"/>
        <w:rPr>
          <w:iCs/>
          <w:lang w:eastAsia="en-US"/>
        </w:rPr>
      </w:pPr>
      <w:r w:rsidRPr="00396A96">
        <w:rPr>
          <w:iCs/>
          <w:lang w:eastAsia="en-US"/>
        </w:rPr>
        <w:t>Neišmeskite šio lapelio, nes vėl gali prireikti jį perskaityti.</w:t>
      </w:r>
    </w:p>
    <w:p w14:paraId="52172618" w14:textId="77777777" w:rsidR="00A86D9E" w:rsidRPr="00396A96" w:rsidRDefault="00A86D9E" w:rsidP="00A86D9E">
      <w:pPr>
        <w:widowControl w:val="0"/>
        <w:numPr>
          <w:ilvl w:val="0"/>
          <w:numId w:val="2"/>
        </w:numPr>
        <w:overflowPunct/>
        <w:autoSpaceDE/>
        <w:autoSpaceDN/>
        <w:adjustRightInd/>
        <w:jc w:val="both"/>
        <w:textAlignment w:val="auto"/>
        <w:rPr>
          <w:iCs/>
          <w:lang w:eastAsia="en-US"/>
        </w:rPr>
      </w:pPr>
      <w:r w:rsidRPr="00396A96">
        <w:rPr>
          <w:iCs/>
          <w:lang w:eastAsia="en-US"/>
        </w:rPr>
        <w:t>Jeigu kiltų daugiau klausimų, kreipkitės į gydytoją, vaistininką arba slaugytoją.</w:t>
      </w:r>
    </w:p>
    <w:p w14:paraId="5D1D5383" w14:textId="77777777" w:rsidR="00A86D9E" w:rsidRPr="00396A96" w:rsidRDefault="00A86D9E" w:rsidP="00A86D9E">
      <w:pPr>
        <w:widowControl w:val="0"/>
        <w:numPr>
          <w:ilvl w:val="0"/>
          <w:numId w:val="2"/>
        </w:numPr>
        <w:overflowPunct/>
        <w:autoSpaceDE/>
        <w:autoSpaceDN/>
        <w:adjustRightInd/>
        <w:jc w:val="both"/>
        <w:textAlignment w:val="auto"/>
        <w:rPr>
          <w:iCs/>
          <w:lang w:eastAsia="en-US"/>
        </w:rPr>
      </w:pPr>
      <w:r w:rsidRPr="00396A96">
        <w:rPr>
          <w:iCs/>
          <w:lang w:eastAsia="en-US"/>
        </w:rPr>
        <w:t>Šis vaistas skirtas tik Jums, todėl kitiems žmonėms jo duoti negalima. Vaistas gali jiems pakenkti (net tiems, kurių ligos požymiai yra tokie patys kaip Jūsų).</w:t>
      </w:r>
    </w:p>
    <w:p w14:paraId="4919BEE7" w14:textId="77777777" w:rsidR="00A86D9E" w:rsidRPr="00396A96" w:rsidRDefault="00A86D9E" w:rsidP="00A86D9E">
      <w:pPr>
        <w:widowControl w:val="0"/>
        <w:numPr>
          <w:ilvl w:val="0"/>
          <w:numId w:val="2"/>
        </w:numPr>
        <w:overflowPunct/>
        <w:autoSpaceDE/>
        <w:autoSpaceDN/>
        <w:adjustRightInd/>
        <w:jc w:val="both"/>
        <w:textAlignment w:val="auto"/>
        <w:rPr>
          <w:iCs/>
          <w:lang w:eastAsia="en-US"/>
        </w:rPr>
      </w:pPr>
      <w:r w:rsidRPr="00396A96">
        <w:rPr>
          <w:iCs/>
          <w:lang w:eastAsia="en-US"/>
        </w:rPr>
        <w:t>Jeigu pasireiškė šalutinis poveikis (net jeigu jis šiame lapelyje nenurodytas), kreipkitės į gydytoją, vaistininką arba slaugytoją. Žr. 4 skyrių.</w:t>
      </w:r>
    </w:p>
    <w:p w14:paraId="7BBD767C" w14:textId="77777777" w:rsidR="00A86D9E" w:rsidRPr="00590EDE" w:rsidRDefault="00A86D9E" w:rsidP="00A86D9E">
      <w:pPr>
        <w:widowControl w:val="0"/>
        <w:overflowPunct/>
        <w:autoSpaceDE/>
        <w:autoSpaceDN/>
        <w:adjustRightInd/>
        <w:jc w:val="both"/>
        <w:textAlignment w:val="auto"/>
        <w:rPr>
          <w:iCs/>
          <w:lang w:val="en-GB" w:eastAsia="en-US"/>
        </w:rPr>
      </w:pPr>
    </w:p>
    <w:p w14:paraId="2E7779B2" w14:textId="77777777" w:rsidR="00A86D9E" w:rsidRPr="00590EDE" w:rsidRDefault="00A86D9E" w:rsidP="00A86D9E">
      <w:pPr>
        <w:widowControl w:val="0"/>
        <w:numPr>
          <w:ilvl w:val="12"/>
          <w:numId w:val="0"/>
        </w:numPr>
        <w:overflowPunct/>
        <w:autoSpaceDE/>
        <w:autoSpaceDN/>
        <w:adjustRightInd/>
        <w:ind w:right="-2"/>
        <w:textAlignment w:val="auto"/>
        <w:rPr>
          <w:lang w:val="en-GB" w:eastAsia="en-US"/>
        </w:rPr>
      </w:pPr>
    </w:p>
    <w:p w14:paraId="388464E0" w14:textId="77777777" w:rsidR="00A86D9E" w:rsidRPr="00590EDE" w:rsidRDefault="00A86D9E" w:rsidP="00A86D9E">
      <w:pPr>
        <w:widowControl w:val="0"/>
        <w:numPr>
          <w:ilvl w:val="12"/>
          <w:numId w:val="0"/>
        </w:numPr>
        <w:overflowPunct/>
        <w:autoSpaceDE/>
        <w:autoSpaceDN/>
        <w:adjustRightInd/>
        <w:ind w:right="-2"/>
        <w:textAlignment w:val="auto"/>
        <w:rPr>
          <w:b/>
          <w:lang w:eastAsia="en-US"/>
        </w:rPr>
      </w:pPr>
      <w:r w:rsidRPr="00590EDE">
        <w:rPr>
          <w:b/>
          <w:lang w:eastAsia="en-US"/>
        </w:rPr>
        <w:t>Apie ką rašoma šiame lapelyje?</w:t>
      </w:r>
    </w:p>
    <w:p w14:paraId="4A1EBC97" w14:textId="77777777" w:rsidR="00A86D9E" w:rsidRPr="00590EDE" w:rsidRDefault="00A86D9E" w:rsidP="00A86D9E">
      <w:pPr>
        <w:widowControl w:val="0"/>
        <w:numPr>
          <w:ilvl w:val="12"/>
          <w:numId w:val="0"/>
        </w:numPr>
        <w:overflowPunct/>
        <w:autoSpaceDE/>
        <w:autoSpaceDN/>
        <w:adjustRightInd/>
        <w:ind w:left="567" w:right="-29" w:hanging="567"/>
        <w:textAlignment w:val="auto"/>
        <w:rPr>
          <w:lang w:eastAsia="en-US"/>
        </w:rPr>
      </w:pPr>
      <w:r w:rsidRPr="00590EDE">
        <w:rPr>
          <w:lang w:eastAsia="en-US"/>
        </w:rPr>
        <w:t>1.</w:t>
      </w:r>
      <w:r w:rsidRPr="00590EDE">
        <w:rPr>
          <w:lang w:eastAsia="en-US"/>
        </w:rPr>
        <w:tab/>
        <w:t xml:space="preserve">Kas yra </w:t>
      </w:r>
      <w:proofErr w:type="spellStart"/>
      <w:r>
        <w:t>Hepetra</w:t>
      </w:r>
      <w:proofErr w:type="spellEnd"/>
      <w:r w:rsidRPr="00590EDE">
        <w:rPr>
          <w:lang w:eastAsia="en-US"/>
        </w:rPr>
        <w:t xml:space="preserve"> ir kam jis vartojamas</w:t>
      </w:r>
    </w:p>
    <w:p w14:paraId="1835D72E" w14:textId="77777777" w:rsidR="00A86D9E" w:rsidRPr="00590EDE" w:rsidRDefault="00A86D9E" w:rsidP="00A86D9E">
      <w:pPr>
        <w:widowControl w:val="0"/>
        <w:numPr>
          <w:ilvl w:val="12"/>
          <w:numId w:val="0"/>
        </w:numPr>
        <w:overflowPunct/>
        <w:autoSpaceDE/>
        <w:autoSpaceDN/>
        <w:adjustRightInd/>
        <w:ind w:left="567" w:right="-29" w:hanging="567"/>
        <w:textAlignment w:val="auto"/>
        <w:rPr>
          <w:lang w:eastAsia="en-US"/>
        </w:rPr>
      </w:pPr>
      <w:r w:rsidRPr="00590EDE">
        <w:rPr>
          <w:lang w:eastAsia="en-US"/>
        </w:rPr>
        <w:t>2.</w:t>
      </w:r>
      <w:r w:rsidRPr="00590EDE">
        <w:rPr>
          <w:lang w:eastAsia="en-US"/>
        </w:rPr>
        <w:tab/>
        <w:t xml:space="preserve">Kas žinotina prieš vartojant </w:t>
      </w:r>
      <w:proofErr w:type="spellStart"/>
      <w:r>
        <w:t>Hepetra</w:t>
      </w:r>
      <w:proofErr w:type="spellEnd"/>
    </w:p>
    <w:p w14:paraId="648CCFE2" w14:textId="77777777" w:rsidR="00A86D9E" w:rsidRPr="00590EDE" w:rsidRDefault="00A86D9E" w:rsidP="00A86D9E">
      <w:pPr>
        <w:widowControl w:val="0"/>
        <w:numPr>
          <w:ilvl w:val="12"/>
          <w:numId w:val="0"/>
        </w:numPr>
        <w:overflowPunct/>
        <w:autoSpaceDE/>
        <w:autoSpaceDN/>
        <w:adjustRightInd/>
        <w:ind w:left="567" w:right="-29" w:hanging="567"/>
        <w:textAlignment w:val="auto"/>
        <w:rPr>
          <w:lang w:eastAsia="en-US"/>
        </w:rPr>
      </w:pPr>
      <w:r w:rsidRPr="00590EDE">
        <w:rPr>
          <w:lang w:eastAsia="en-US"/>
        </w:rPr>
        <w:t>3.</w:t>
      </w:r>
      <w:r w:rsidRPr="00590EDE">
        <w:rPr>
          <w:lang w:eastAsia="en-US"/>
        </w:rPr>
        <w:tab/>
        <w:t xml:space="preserve">Kaip vartoti </w:t>
      </w:r>
      <w:proofErr w:type="spellStart"/>
      <w:r>
        <w:t>Hepetra</w:t>
      </w:r>
      <w:proofErr w:type="spellEnd"/>
    </w:p>
    <w:p w14:paraId="090FF895" w14:textId="77777777" w:rsidR="00A86D9E" w:rsidRPr="00590EDE" w:rsidRDefault="00A86D9E" w:rsidP="00A86D9E">
      <w:pPr>
        <w:widowControl w:val="0"/>
        <w:numPr>
          <w:ilvl w:val="12"/>
          <w:numId w:val="0"/>
        </w:numPr>
        <w:overflowPunct/>
        <w:autoSpaceDE/>
        <w:autoSpaceDN/>
        <w:adjustRightInd/>
        <w:ind w:left="567" w:right="-29" w:hanging="567"/>
        <w:textAlignment w:val="auto"/>
        <w:rPr>
          <w:lang w:eastAsia="en-US"/>
        </w:rPr>
      </w:pPr>
      <w:r w:rsidRPr="00590EDE">
        <w:rPr>
          <w:lang w:eastAsia="en-US"/>
        </w:rPr>
        <w:t>4.</w:t>
      </w:r>
      <w:r w:rsidRPr="00590EDE">
        <w:rPr>
          <w:lang w:eastAsia="en-US"/>
        </w:rPr>
        <w:tab/>
        <w:t>Galimas šalutinis poveikis</w:t>
      </w:r>
    </w:p>
    <w:p w14:paraId="44C019AF" w14:textId="77777777" w:rsidR="00A86D9E" w:rsidRPr="00590EDE" w:rsidRDefault="00A86D9E" w:rsidP="00A86D9E">
      <w:pPr>
        <w:widowControl w:val="0"/>
        <w:numPr>
          <w:ilvl w:val="12"/>
          <w:numId w:val="0"/>
        </w:numPr>
        <w:overflowPunct/>
        <w:autoSpaceDE/>
        <w:autoSpaceDN/>
        <w:adjustRightInd/>
        <w:ind w:left="567" w:right="-29" w:hanging="567"/>
        <w:textAlignment w:val="auto"/>
        <w:rPr>
          <w:lang w:eastAsia="en-US"/>
        </w:rPr>
      </w:pPr>
      <w:r w:rsidRPr="00590EDE">
        <w:rPr>
          <w:lang w:eastAsia="en-US"/>
        </w:rPr>
        <w:t>5.</w:t>
      </w:r>
      <w:r w:rsidRPr="00590EDE">
        <w:rPr>
          <w:lang w:eastAsia="en-US"/>
        </w:rPr>
        <w:tab/>
        <w:t xml:space="preserve">Kaip vartoti </w:t>
      </w:r>
      <w:proofErr w:type="spellStart"/>
      <w:r>
        <w:t>Hepetra</w:t>
      </w:r>
      <w:proofErr w:type="spellEnd"/>
    </w:p>
    <w:p w14:paraId="18A63933" w14:textId="77777777" w:rsidR="00A86D9E" w:rsidRPr="00590EDE" w:rsidRDefault="00A86D9E" w:rsidP="00A86D9E">
      <w:pPr>
        <w:widowControl w:val="0"/>
        <w:numPr>
          <w:ilvl w:val="12"/>
          <w:numId w:val="0"/>
        </w:numPr>
        <w:overflowPunct/>
        <w:autoSpaceDE/>
        <w:autoSpaceDN/>
        <w:adjustRightInd/>
        <w:ind w:left="567" w:right="-29" w:hanging="567"/>
        <w:textAlignment w:val="auto"/>
        <w:rPr>
          <w:lang w:eastAsia="en-US"/>
        </w:rPr>
      </w:pPr>
      <w:r w:rsidRPr="00590EDE">
        <w:rPr>
          <w:lang w:eastAsia="en-US"/>
        </w:rPr>
        <w:t>6.</w:t>
      </w:r>
      <w:r w:rsidRPr="00590EDE">
        <w:rPr>
          <w:lang w:eastAsia="en-US"/>
        </w:rPr>
        <w:tab/>
        <w:t>Pakuotės turinys ir kita informacija</w:t>
      </w:r>
    </w:p>
    <w:p w14:paraId="3BED1F36" w14:textId="77777777" w:rsidR="00A86D9E" w:rsidRPr="00590EDE" w:rsidRDefault="00A86D9E" w:rsidP="00A86D9E">
      <w:pPr>
        <w:widowControl w:val="0"/>
        <w:numPr>
          <w:ilvl w:val="12"/>
          <w:numId w:val="0"/>
        </w:numPr>
        <w:overflowPunct/>
        <w:autoSpaceDE/>
        <w:autoSpaceDN/>
        <w:adjustRightInd/>
        <w:ind w:right="-2"/>
        <w:textAlignment w:val="auto"/>
        <w:rPr>
          <w:lang w:eastAsia="en-US"/>
        </w:rPr>
      </w:pPr>
    </w:p>
    <w:p w14:paraId="12D3319D" w14:textId="77777777" w:rsidR="00A86D9E" w:rsidRDefault="00A86D9E" w:rsidP="00A86D9E">
      <w:pPr>
        <w:widowControl w:val="0"/>
        <w:numPr>
          <w:ilvl w:val="12"/>
          <w:numId w:val="0"/>
        </w:numPr>
        <w:overflowPunct/>
        <w:autoSpaceDE/>
        <w:autoSpaceDN/>
        <w:adjustRightInd/>
        <w:textAlignment w:val="auto"/>
        <w:rPr>
          <w:b/>
          <w:lang w:eastAsia="en-US"/>
        </w:rPr>
      </w:pPr>
    </w:p>
    <w:p w14:paraId="4B230317" w14:textId="77777777" w:rsidR="00A86D9E" w:rsidRPr="00396A96" w:rsidRDefault="00A86D9E" w:rsidP="00A86D9E">
      <w:pPr>
        <w:widowControl w:val="0"/>
        <w:numPr>
          <w:ilvl w:val="12"/>
          <w:numId w:val="0"/>
        </w:numPr>
        <w:overflowPunct/>
        <w:autoSpaceDE/>
        <w:autoSpaceDN/>
        <w:adjustRightInd/>
        <w:ind w:left="567" w:hanging="567"/>
        <w:textAlignment w:val="auto"/>
        <w:rPr>
          <w:b/>
          <w:lang w:eastAsia="en-US"/>
        </w:rPr>
      </w:pPr>
      <w:r w:rsidRPr="00396A96">
        <w:rPr>
          <w:b/>
          <w:lang w:eastAsia="en-US"/>
        </w:rPr>
        <w:t xml:space="preserve">1. </w:t>
      </w:r>
      <w:r>
        <w:rPr>
          <w:b/>
          <w:lang w:eastAsia="en-US"/>
        </w:rPr>
        <w:tab/>
      </w:r>
      <w:r w:rsidRPr="00396A96">
        <w:rPr>
          <w:b/>
          <w:lang w:eastAsia="en-US"/>
        </w:rPr>
        <w:t xml:space="preserve">Kas yra </w:t>
      </w:r>
      <w:proofErr w:type="spellStart"/>
      <w:r w:rsidRPr="00B03389">
        <w:rPr>
          <w:b/>
        </w:rPr>
        <w:t>Hepetra</w:t>
      </w:r>
      <w:proofErr w:type="spellEnd"/>
      <w:r w:rsidRPr="00396A96">
        <w:rPr>
          <w:b/>
          <w:lang w:eastAsia="en-US"/>
        </w:rPr>
        <w:t xml:space="preserve"> ir kam jis vartojamas</w:t>
      </w:r>
    </w:p>
    <w:p w14:paraId="193A65E5" w14:textId="77777777" w:rsidR="00A86D9E" w:rsidRDefault="00A86D9E" w:rsidP="00A86D9E">
      <w:pPr>
        <w:widowControl w:val="0"/>
        <w:numPr>
          <w:ilvl w:val="12"/>
          <w:numId w:val="0"/>
        </w:numPr>
        <w:overflowPunct/>
        <w:autoSpaceDE/>
        <w:autoSpaceDN/>
        <w:adjustRightInd/>
        <w:textAlignment w:val="auto"/>
        <w:rPr>
          <w:lang w:eastAsia="en-US"/>
        </w:rPr>
      </w:pPr>
    </w:p>
    <w:p w14:paraId="7063C22D" w14:textId="77777777" w:rsidR="00A86D9E" w:rsidRPr="00590EDE" w:rsidRDefault="00A86D9E" w:rsidP="00A86D9E">
      <w:pPr>
        <w:overflowPunct/>
        <w:textAlignment w:val="auto"/>
        <w:rPr>
          <w:lang w:eastAsia="en-US"/>
        </w:rPr>
      </w:pPr>
      <w:proofErr w:type="spellStart"/>
      <w:r>
        <w:t>Hepetra</w:t>
      </w:r>
      <w:proofErr w:type="spellEnd"/>
      <w:r w:rsidRPr="00590EDE">
        <w:rPr>
          <w:lang w:eastAsia="en-US"/>
        </w:rPr>
        <w:t xml:space="preserve"> sudėtyje yra veikliosios medžiagos žmogaus hepatito B imunoglobulino, kuri gali apsaugoti Jus nuo hepatito B. Hepatitas B yra kepenų uždegimas, kurį sukelia hepatito B virusas. </w:t>
      </w:r>
      <w:proofErr w:type="spellStart"/>
      <w:r>
        <w:t>Hepetra</w:t>
      </w:r>
      <w:proofErr w:type="spellEnd"/>
      <w:r w:rsidRPr="00590EDE">
        <w:rPr>
          <w:lang w:eastAsia="en-US"/>
        </w:rPr>
        <w:t xml:space="preserve"> yra infuzinis tirpalas (leidžiamas į veną), tiekiamas flakonuose po 2 ml (100 tarptautinių vienetų [TV]), 10 ml (500 TV), 40 ml (2 000 TV) ir 100 ml (5 000 TV). </w:t>
      </w:r>
    </w:p>
    <w:p w14:paraId="3E1D3D32" w14:textId="77777777" w:rsidR="00A86D9E" w:rsidRPr="00590EDE" w:rsidRDefault="00A86D9E" w:rsidP="00A86D9E">
      <w:pPr>
        <w:overflowPunct/>
        <w:textAlignment w:val="auto"/>
        <w:rPr>
          <w:highlight w:val="yellow"/>
          <w:lang w:eastAsia="en-US"/>
        </w:rPr>
      </w:pPr>
    </w:p>
    <w:p w14:paraId="02C182F5" w14:textId="77777777" w:rsidR="00A86D9E" w:rsidRPr="00590EDE" w:rsidRDefault="00A86D9E" w:rsidP="00A86D9E">
      <w:pPr>
        <w:overflowPunct/>
        <w:textAlignment w:val="auto"/>
        <w:rPr>
          <w:lang w:eastAsia="en-US"/>
        </w:rPr>
      </w:pPr>
      <w:proofErr w:type="spellStart"/>
      <w:r>
        <w:t>Hepetra</w:t>
      </w:r>
      <w:proofErr w:type="spellEnd"/>
      <w:r w:rsidRPr="00590EDE">
        <w:rPr>
          <w:lang w:eastAsia="en-US"/>
        </w:rPr>
        <w:t xml:space="preserve"> skiriamas nedelsiamam ir ilgalaikiam imunitetui (apsaugai) užtikrinti, kai reikia:</w:t>
      </w:r>
    </w:p>
    <w:p w14:paraId="54C991AC"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 xml:space="preserve">apsaugoti nuo hepatito B pacientus, kurie nebuvo vakcinuoti arba visiškai vakcinuoti nuo hepatito B ir kuriems yra užsikrėtimo hepatitu B rizika; </w:t>
      </w:r>
    </w:p>
    <w:p w14:paraId="53E654D1"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apsaugoti nuo persodintų kepenų infekcijos pacientus, kurių hepatito B tyrimo rezultatas yra teigiamas;</w:t>
      </w:r>
    </w:p>
    <w:p w14:paraId="4650C4E5"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apsaugoti naujagimius, kurių motinos yra užsikrėtusios hepatito B virusu;</w:t>
      </w:r>
    </w:p>
    <w:p w14:paraId="239E5F68"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apsaugoti pacientus, kurių vakcinacija nuo hepatito B neužtikrino pakankamos apsaugos.</w:t>
      </w:r>
    </w:p>
    <w:p w14:paraId="0DBEE6EF" w14:textId="77777777" w:rsidR="00A86D9E" w:rsidRDefault="00A86D9E" w:rsidP="00A86D9E">
      <w:pPr>
        <w:overflowPunct/>
        <w:textAlignment w:val="auto"/>
        <w:rPr>
          <w:lang w:eastAsia="en-US"/>
        </w:rPr>
      </w:pPr>
    </w:p>
    <w:p w14:paraId="6FAE239B" w14:textId="77777777" w:rsidR="00A86D9E" w:rsidRDefault="00A86D9E" w:rsidP="00A86D9E">
      <w:pPr>
        <w:overflowPunct/>
        <w:textAlignment w:val="auto"/>
        <w:rPr>
          <w:b/>
          <w:lang w:eastAsia="en-US"/>
        </w:rPr>
      </w:pPr>
    </w:p>
    <w:p w14:paraId="0698E7C6" w14:textId="77777777" w:rsidR="00A86D9E" w:rsidRPr="00396A96" w:rsidRDefault="00A86D9E" w:rsidP="00A86D9E">
      <w:pPr>
        <w:overflowPunct/>
        <w:ind w:left="567" w:hanging="567"/>
        <w:textAlignment w:val="auto"/>
        <w:rPr>
          <w:b/>
          <w:lang w:eastAsia="en-US"/>
        </w:rPr>
      </w:pPr>
      <w:r w:rsidRPr="00396A96">
        <w:rPr>
          <w:b/>
          <w:lang w:eastAsia="en-US"/>
        </w:rPr>
        <w:t xml:space="preserve">2. </w:t>
      </w:r>
      <w:r>
        <w:rPr>
          <w:b/>
          <w:lang w:eastAsia="en-US"/>
        </w:rPr>
        <w:tab/>
      </w:r>
      <w:r w:rsidRPr="00396A96">
        <w:rPr>
          <w:b/>
          <w:lang w:eastAsia="en-US"/>
        </w:rPr>
        <w:t xml:space="preserve">Kas žinotina prieš vartojant </w:t>
      </w:r>
      <w:proofErr w:type="spellStart"/>
      <w:r w:rsidRPr="00B03389">
        <w:rPr>
          <w:b/>
        </w:rPr>
        <w:t>Hepetra</w:t>
      </w:r>
      <w:proofErr w:type="spellEnd"/>
    </w:p>
    <w:p w14:paraId="33005126" w14:textId="77777777" w:rsidR="00A86D9E" w:rsidRPr="00590EDE" w:rsidRDefault="00A86D9E" w:rsidP="00A86D9E">
      <w:pPr>
        <w:overflowPunct/>
        <w:textAlignment w:val="auto"/>
        <w:rPr>
          <w:lang w:eastAsia="en-US"/>
        </w:rPr>
      </w:pPr>
    </w:p>
    <w:p w14:paraId="2E35FDD1" w14:textId="77777777" w:rsidR="00A86D9E" w:rsidRPr="00590EDE" w:rsidRDefault="00A86D9E" w:rsidP="00A86D9E">
      <w:pPr>
        <w:widowControl w:val="0"/>
        <w:numPr>
          <w:ilvl w:val="12"/>
          <w:numId w:val="0"/>
        </w:numPr>
        <w:overflowPunct/>
        <w:autoSpaceDE/>
        <w:autoSpaceDN/>
        <w:adjustRightInd/>
        <w:ind w:right="-2"/>
        <w:textAlignment w:val="auto"/>
        <w:rPr>
          <w:b/>
          <w:bCs/>
          <w:lang w:eastAsia="en-US"/>
        </w:rPr>
      </w:pPr>
      <w:proofErr w:type="spellStart"/>
      <w:r w:rsidRPr="00BA0676">
        <w:rPr>
          <w:b/>
        </w:rPr>
        <w:t>Hepetra</w:t>
      </w:r>
      <w:proofErr w:type="spellEnd"/>
      <w:r w:rsidRPr="00590EDE">
        <w:rPr>
          <w:b/>
          <w:lang w:eastAsia="en-US"/>
        </w:rPr>
        <w:t xml:space="preserve"> vartoti </w:t>
      </w:r>
      <w:r>
        <w:rPr>
          <w:b/>
          <w:lang w:eastAsia="en-US"/>
        </w:rPr>
        <w:t>draudžiama</w:t>
      </w:r>
      <w:r w:rsidRPr="00590EDE">
        <w:rPr>
          <w:b/>
          <w:lang w:eastAsia="en-US"/>
        </w:rPr>
        <w:t>:</w:t>
      </w:r>
    </w:p>
    <w:p w14:paraId="6856FAB0" w14:textId="77777777" w:rsidR="00A86D9E" w:rsidRPr="00590EDE" w:rsidRDefault="00A86D9E" w:rsidP="00A86D9E">
      <w:pPr>
        <w:numPr>
          <w:ilvl w:val="0"/>
          <w:numId w:val="3"/>
        </w:numPr>
        <w:overflowPunct/>
        <w:autoSpaceDE/>
        <w:autoSpaceDN/>
        <w:adjustRightInd/>
        <w:ind w:left="360"/>
        <w:textAlignment w:val="auto"/>
        <w:rPr>
          <w:szCs w:val="22"/>
          <w:lang w:eastAsia="en-US"/>
        </w:rPr>
      </w:pPr>
      <w:r w:rsidRPr="00590EDE">
        <w:rPr>
          <w:lang w:eastAsia="en-US"/>
        </w:rPr>
        <w:t xml:space="preserve">jeigu yra alergija žmogaus imunoglobulinui arba bet kuriai pagalbinei šio vaisto medžiagai (jos išvardytos 6 skyriuje); </w:t>
      </w:r>
    </w:p>
    <w:p w14:paraId="6BDC21E1" w14:textId="77777777" w:rsidR="00A86D9E" w:rsidRPr="00590EDE" w:rsidRDefault="00A86D9E" w:rsidP="00A86D9E">
      <w:pPr>
        <w:numPr>
          <w:ilvl w:val="0"/>
          <w:numId w:val="3"/>
        </w:numPr>
        <w:overflowPunct/>
        <w:autoSpaceDE/>
        <w:autoSpaceDN/>
        <w:adjustRightInd/>
        <w:ind w:left="360"/>
        <w:textAlignment w:val="auto"/>
        <w:rPr>
          <w:szCs w:val="22"/>
          <w:lang w:eastAsia="en-US"/>
        </w:rPr>
      </w:pPr>
      <w:r w:rsidRPr="00590EDE">
        <w:rPr>
          <w:lang w:eastAsia="en-US"/>
        </w:rPr>
        <w:t>jeigu Jums yra imunoglobulino A (</w:t>
      </w:r>
      <w:proofErr w:type="spellStart"/>
      <w:r w:rsidRPr="00590EDE">
        <w:rPr>
          <w:lang w:eastAsia="en-US"/>
        </w:rPr>
        <w:t>IgA</w:t>
      </w:r>
      <w:proofErr w:type="spellEnd"/>
      <w:r w:rsidRPr="00590EDE">
        <w:rPr>
          <w:lang w:eastAsia="en-US"/>
        </w:rPr>
        <w:t xml:space="preserve">) stoka, ypač jeigu Jūsų kraujyje yra antikūnų prieš </w:t>
      </w:r>
      <w:proofErr w:type="spellStart"/>
      <w:r w:rsidRPr="00590EDE">
        <w:rPr>
          <w:lang w:eastAsia="en-US"/>
        </w:rPr>
        <w:t>IgA</w:t>
      </w:r>
      <w:proofErr w:type="spellEnd"/>
      <w:r w:rsidRPr="00590EDE">
        <w:rPr>
          <w:lang w:eastAsia="en-US"/>
        </w:rPr>
        <w:t xml:space="preserve">, nes tai gali sukelti </w:t>
      </w:r>
      <w:proofErr w:type="spellStart"/>
      <w:r w:rsidRPr="00590EDE">
        <w:rPr>
          <w:lang w:eastAsia="en-US"/>
        </w:rPr>
        <w:t>anafilaksiją</w:t>
      </w:r>
      <w:proofErr w:type="spellEnd"/>
      <w:r w:rsidRPr="00590EDE">
        <w:rPr>
          <w:lang w:eastAsia="en-US"/>
        </w:rPr>
        <w:t>.</w:t>
      </w:r>
    </w:p>
    <w:p w14:paraId="770C9CD0" w14:textId="77777777" w:rsidR="00A86D9E" w:rsidRPr="00590EDE" w:rsidRDefault="00A86D9E" w:rsidP="00A86D9E">
      <w:pPr>
        <w:overflowPunct/>
        <w:autoSpaceDE/>
        <w:autoSpaceDN/>
        <w:adjustRightInd/>
        <w:textAlignment w:val="auto"/>
        <w:rPr>
          <w:lang w:eastAsia="en-US"/>
        </w:rPr>
      </w:pPr>
    </w:p>
    <w:p w14:paraId="39E8BCF1" w14:textId="77777777" w:rsidR="00A86D9E" w:rsidRPr="00590EDE" w:rsidRDefault="00A86D9E" w:rsidP="00A86D9E">
      <w:pPr>
        <w:widowControl w:val="0"/>
        <w:numPr>
          <w:ilvl w:val="12"/>
          <w:numId w:val="0"/>
        </w:numPr>
        <w:overflowPunct/>
        <w:autoSpaceDE/>
        <w:autoSpaceDN/>
        <w:adjustRightInd/>
        <w:ind w:right="-2"/>
        <w:textAlignment w:val="auto"/>
        <w:rPr>
          <w:b/>
          <w:szCs w:val="22"/>
          <w:lang w:eastAsia="en-US"/>
        </w:rPr>
      </w:pPr>
      <w:r w:rsidRPr="00590EDE">
        <w:rPr>
          <w:b/>
          <w:lang w:eastAsia="en-US"/>
        </w:rPr>
        <w:t>Įspėjimai ir atsargumo priemonės</w:t>
      </w:r>
    </w:p>
    <w:p w14:paraId="30A53A40" w14:textId="77777777" w:rsidR="00A86D9E" w:rsidRPr="00590EDE" w:rsidRDefault="00A86D9E" w:rsidP="00A86D9E">
      <w:pPr>
        <w:widowControl w:val="0"/>
        <w:numPr>
          <w:ilvl w:val="12"/>
          <w:numId w:val="0"/>
        </w:numPr>
        <w:overflowPunct/>
        <w:autoSpaceDE/>
        <w:autoSpaceDN/>
        <w:adjustRightInd/>
        <w:ind w:right="-2"/>
        <w:textAlignment w:val="auto"/>
        <w:rPr>
          <w:b/>
          <w:lang w:eastAsia="en-US"/>
        </w:rPr>
      </w:pPr>
      <w:r w:rsidRPr="00590EDE">
        <w:rPr>
          <w:b/>
          <w:lang w:eastAsia="en-US"/>
        </w:rPr>
        <w:t xml:space="preserve">Pasitarkite su gydytoju, vaistininku arba slaugytoju, prieš pradėdami vartoti </w:t>
      </w:r>
      <w:proofErr w:type="spellStart"/>
      <w:r w:rsidRPr="00BA0676">
        <w:rPr>
          <w:b/>
        </w:rPr>
        <w:t>Hepetra</w:t>
      </w:r>
      <w:proofErr w:type="spellEnd"/>
      <w:r w:rsidRPr="00590EDE">
        <w:rPr>
          <w:b/>
          <w:lang w:eastAsia="en-US"/>
        </w:rPr>
        <w:t xml:space="preserve">, jeigu Jums </w:t>
      </w:r>
    </w:p>
    <w:p w14:paraId="4DB874C7" w14:textId="77777777" w:rsidR="00A86D9E" w:rsidRPr="00590EDE" w:rsidRDefault="00A86D9E" w:rsidP="00A86D9E">
      <w:pPr>
        <w:numPr>
          <w:ilvl w:val="0"/>
          <w:numId w:val="4"/>
        </w:numPr>
        <w:overflowPunct/>
        <w:autoSpaceDE/>
        <w:autoSpaceDN/>
        <w:adjustRightInd/>
        <w:ind w:left="357" w:hanging="357"/>
        <w:textAlignment w:val="auto"/>
        <w:rPr>
          <w:color w:val="000000"/>
          <w:lang w:eastAsia="en-US"/>
        </w:rPr>
      </w:pPr>
      <w:r w:rsidRPr="00590EDE">
        <w:rPr>
          <w:color w:val="000000"/>
          <w:lang w:eastAsia="en-US"/>
        </w:rPr>
        <w:t>šis vaistas nebuvo skirtas anksčiau arba jeigu praėjo daug laiko (pvz., kelios savaitės) nuo paskutinio jo skyrimo (turėsite būti atidžiai stebimi infuzijos metu ir valandą po infuzijos nutraukimo);</w:t>
      </w:r>
    </w:p>
    <w:p w14:paraId="3864D3BB" w14:textId="77777777" w:rsidR="00A86D9E" w:rsidRPr="00590EDE" w:rsidRDefault="00A86D9E" w:rsidP="00A86D9E">
      <w:pPr>
        <w:numPr>
          <w:ilvl w:val="0"/>
          <w:numId w:val="4"/>
        </w:numPr>
        <w:overflowPunct/>
        <w:autoSpaceDE/>
        <w:autoSpaceDN/>
        <w:adjustRightInd/>
        <w:ind w:left="357" w:hanging="357"/>
        <w:textAlignment w:val="auto"/>
        <w:rPr>
          <w:color w:val="000000"/>
          <w:lang w:eastAsia="en-US"/>
        </w:rPr>
      </w:pPr>
      <w:r w:rsidRPr="00590EDE">
        <w:rPr>
          <w:color w:val="000000"/>
          <w:lang w:eastAsia="en-US"/>
        </w:rPr>
        <w:lastRenderedPageBreak/>
        <w:t xml:space="preserve">neseniai buvo skirtas </w:t>
      </w:r>
      <w:proofErr w:type="spellStart"/>
      <w:r>
        <w:t>Hepetra</w:t>
      </w:r>
      <w:proofErr w:type="spellEnd"/>
      <w:r w:rsidRPr="00590EDE">
        <w:rPr>
          <w:color w:val="000000"/>
          <w:lang w:eastAsia="en-US"/>
        </w:rPr>
        <w:t xml:space="preserve"> (turėsite būti atidžiai stebimi infuzijos metu ir bent 20 minučių po infuzijos);</w:t>
      </w:r>
    </w:p>
    <w:p w14:paraId="0F1B73D2" w14:textId="77777777" w:rsidR="00A86D9E" w:rsidRPr="00590EDE" w:rsidRDefault="00A86D9E" w:rsidP="00A86D9E">
      <w:pPr>
        <w:numPr>
          <w:ilvl w:val="0"/>
          <w:numId w:val="4"/>
        </w:numPr>
        <w:overflowPunct/>
        <w:autoSpaceDE/>
        <w:autoSpaceDN/>
        <w:adjustRightInd/>
        <w:ind w:left="357" w:hanging="357"/>
        <w:textAlignment w:val="auto"/>
        <w:rPr>
          <w:color w:val="000000"/>
          <w:lang w:eastAsia="en-US"/>
        </w:rPr>
      </w:pPr>
      <w:r w:rsidRPr="00590EDE">
        <w:rPr>
          <w:color w:val="000000"/>
          <w:lang w:eastAsia="en-US"/>
        </w:rPr>
        <w:t>pacientams, kuriems yra neišgydyta infekcija arba pagrindinis lėtinis uždegimas;</w:t>
      </w:r>
    </w:p>
    <w:p w14:paraId="2B36EC53" w14:textId="77777777" w:rsidR="00A86D9E" w:rsidRPr="00590EDE" w:rsidRDefault="00A86D9E" w:rsidP="00A86D9E">
      <w:pPr>
        <w:numPr>
          <w:ilvl w:val="0"/>
          <w:numId w:val="4"/>
        </w:numPr>
        <w:overflowPunct/>
        <w:autoSpaceDE/>
        <w:autoSpaceDN/>
        <w:adjustRightInd/>
        <w:ind w:left="357" w:hanging="357"/>
        <w:textAlignment w:val="auto"/>
        <w:rPr>
          <w:color w:val="000000"/>
          <w:lang w:eastAsia="en-US"/>
        </w:rPr>
      </w:pPr>
      <w:r w:rsidRPr="00590EDE">
        <w:rPr>
          <w:color w:val="000000"/>
          <w:lang w:eastAsia="en-US"/>
        </w:rPr>
        <w:t>anksčiau buvo pasireiškusi reakcija į kitus antikūnus (retais atvejais Jums gali būti alerginių reakcijų rizika);</w:t>
      </w:r>
    </w:p>
    <w:p w14:paraId="7514E5FE" w14:textId="77777777" w:rsidR="00A86D9E" w:rsidRPr="00590EDE" w:rsidRDefault="00A86D9E" w:rsidP="00A86D9E">
      <w:pPr>
        <w:numPr>
          <w:ilvl w:val="0"/>
          <w:numId w:val="4"/>
        </w:numPr>
        <w:overflowPunct/>
        <w:autoSpaceDE/>
        <w:autoSpaceDN/>
        <w:adjustRightInd/>
        <w:ind w:left="357" w:hanging="357"/>
        <w:textAlignment w:val="auto"/>
        <w:rPr>
          <w:color w:val="000000"/>
          <w:lang w:eastAsia="en-US"/>
        </w:rPr>
      </w:pPr>
      <w:r w:rsidRPr="00590EDE">
        <w:rPr>
          <w:color w:val="000000"/>
          <w:lang w:eastAsia="en-US"/>
        </w:rPr>
        <w:t>yra arba anksčiau buvo inkstų funkcijos sutrikimas;</w:t>
      </w:r>
    </w:p>
    <w:p w14:paraId="3DC84A2B" w14:textId="77777777" w:rsidR="00A86D9E" w:rsidRPr="00590EDE" w:rsidRDefault="00A86D9E" w:rsidP="00A86D9E">
      <w:pPr>
        <w:numPr>
          <w:ilvl w:val="0"/>
          <w:numId w:val="4"/>
        </w:numPr>
        <w:overflowPunct/>
        <w:autoSpaceDE/>
        <w:autoSpaceDN/>
        <w:adjustRightInd/>
        <w:ind w:left="357" w:hanging="357"/>
        <w:textAlignment w:val="auto"/>
        <w:rPr>
          <w:color w:val="000000"/>
          <w:lang w:eastAsia="en-US"/>
        </w:rPr>
      </w:pPr>
      <w:r w:rsidRPr="00590EDE">
        <w:rPr>
          <w:color w:val="000000"/>
          <w:lang w:eastAsia="en-US"/>
        </w:rPr>
        <w:t xml:space="preserve">buvo skiriami vaistai, galintys pakenkti Jūsų inkstams (jei Jūsų inkstų funkcija pablogės, gali reikėti sustabdyti gydymą </w:t>
      </w:r>
      <w:proofErr w:type="spellStart"/>
      <w:r>
        <w:t>Hepetra</w:t>
      </w:r>
      <w:proofErr w:type="spellEnd"/>
      <w:r w:rsidRPr="00590EDE">
        <w:rPr>
          <w:color w:val="000000"/>
          <w:lang w:eastAsia="en-US"/>
        </w:rPr>
        <w:t>).</w:t>
      </w:r>
    </w:p>
    <w:p w14:paraId="47D22811" w14:textId="77777777" w:rsidR="00A86D9E" w:rsidRPr="00590EDE" w:rsidRDefault="00A86D9E" w:rsidP="00A86D9E">
      <w:pPr>
        <w:overflowPunct/>
        <w:autoSpaceDE/>
        <w:autoSpaceDN/>
        <w:adjustRightInd/>
        <w:textAlignment w:val="auto"/>
        <w:rPr>
          <w:lang w:eastAsia="en-US"/>
        </w:rPr>
      </w:pPr>
      <w:r w:rsidRPr="00590EDE">
        <w:rPr>
          <w:lang w:eastAsia="en-US"/>
        </w:rPr>
        <w:t>Gydytojas imsis specialių atsargumo priemonių, jeigu turite antsvorio, esate vyresnio amžiaus, sergate diabetu, Jums yra didelis kraujo spaudimas, sumažėjęs kraujo tūris (</w:t>
      </w:r>
      <w:proofErr w:type="spellStart"/>
      <w:r w:rsidRPr="00590EDE">
        <w:rPr>
          <w:lang w:eastAsia="en-US"/>
        </w:rPr>
        <w:t>hipovolemija</w:t>
      </w:r>
      <w:proofErr w:type="spellEnd"/>
      <w:r w:rsidRPr="00590EDE">
        <w:rPr>
          <w:lang w:eastAsia="en-US"/>
        </w:rPr>
        <w:t>), jeigu Jūsų kraujas yra tirštesnis nei įprastai (didelis kraujo klampumas), jeigu kurį laiką buvote prikaustyti prie patalo arba negalėjote judėti (</w:t>
      </w:r>
      <w:proofErr w:type="spellStart"/>
      <w:r w:rsidRPr="00590EDE">
        <w:rPr>
          <w:lang w:eastAsia="en-US"/>
        </w:rPr>
        <w:t>imobilizacija</w:t>
      </w:r>
      <w:proofErr w:type="spellEnd"/>
      <w:r w:rsidRPr="00590EDE">
        <w:rPr>
          <w:lang w:eastAsia="en-US"/>
        </w:rPr>
        <w:t>) arba Jums yra kraujagyslių sutrikimų (kraujagyslių ligų) arba kitų trombozės reiškinių (kraujo krešulių) rizikos veiksnių.</w:t>
      </w:r>
    </w:p>
    <w:p w14:paraId="6457E2D9" w14:textId="77777777" w:rsidR="00A86D9E" w:rsidRPr="00590EDE" w:rsidRDefault="00A86D9E" w:rsidP="00A86D9E">
      <w:pPr>
        <w:widowControl w:val="0"/>
        <w:overflowPunct/>
        <w:autoSpaceDE/>
        <w:autoSpaceDN/>
        <w:adjustRightInd/>
        <w:textAlignment w:val="auto"/>
        <w:rPr>
          <w:b/>
          <w:bCs/>
          <w:lang w:eastAsia="en-US"/>
        </w:rPr>
      </w:pPr>
    </w:p>
    <w:p w14:paraId="1AA69466" w14:textId="77777777" w:rsidR="00A86D9E" w:rsidRPr="00590EDE" w:rsidRDefault="00A86D9E" w:rsidP="00A86D9E">
      <w:pPr>
        <w:widowControl w:val="0"/>
        <w:overflowPunct/>
        <w:autoSpaceDE/>
        <w:autoSpaceDN/>
        <w:adjustRightInd/>
        <w:textAlignment w:val="auto"/>
        <w:rPr>
          <w:b/>
          <w:bCs/>
          <w:lang w:eastAsia="en-US"/>
        </w:rPr>
      </w:pPr>
      <w:r w:rsidRPr="00590EDE">
        <w:rPr>
          <w:b/>
          <w:lang w:eastAsia="en-US"/>
        </w:rPr>
        <w:t>Atkreipkite dėmesį: reakcijos</w:t>
      </w:r>
    </w:p>
    <w:p w14:paraId="0397C04F" w14:textId="77777777" w:rsidR="00A86D9E" w:rsidRPr="00590EDE" w:rsidRDefault="00A86D9E" w:rsidP="00A86D9E">
      <w:pPr>
        <w:widowControl w:val="0"/>
        <w:overflowPunct/>
        <w:autoSpaceDE/>
        <w:autoSpaceDN/>
        <w:adjustRightInd/>
        <w:textAlignment w:val="auto"/>
        <w:rPr>
          <w:lang w:eastAsia="en-US"/>
        </w:rPr>
      </w:pPr>
      <w:proofErr w:type="spellStart"/>
      <w:r>
        <w:t>Hepetra</w:t>
      </w:r>
      <w:proofErr w:type="spellEnd"/>
      <w:r w:rsidRPr="00590EDE">
        <w:rPr>
          <w:lang w:eastAsia="en-US"/>
        </w:rPr>
        <w:t xml:space="preserve"> laikotarpiu būsite atidžiai stebimi, siekiant įsitikinti, kad Jums nepasireiškia reakcija (pvz., </w:t>
      </w:r>
      <w:proofErr w:type="spellStart"/>
      <w:r w:rsidRPr="00590EDE">
        <w:rPr>
          <w:lang w:eastAsia="en-US"/>
        </w:rPr>
        <w:t>anafilaksija</w:t>
      </w:r>
      <w:proofErr w:type="spellEnd"/>
      <w:r w:rsidRPr="00590EDE">
        <w:rPr>
          <w:lang w:eastAsia="en-US"/>
        </w:rPr>
        <w:t xml:space="preserve">). Gydytojas užtikrins, kad </w:t>
      </w:r>
      <w:proofErr w:type="spellStart"/>
      <w:r>
        <w:t>Hepetra</w:t>
      </w:r>
      <w:proofErr w:type="spellEnd"/>
      <w:r w:rsidRPr="00590EDE">
        <w:rPr>
          <w:lang w:eastAsia="en-US"/>
        </w:rPr>
        <w:t xml:space="preserve"> infuzijos greitis Jums tiktų.</w:t>
      </w:r>
    </w:p>
    <w:p w14:paraId="6FB95377" w14:textId="77777777" w:rsidR="00A86D9E" w:rsidRPr="00590EDE" w:rsidRDefault="00A86D9E" w:rsidP="00A86D9E">
      <w:pPr>
        <w:widowControl w:val="0"/>
        <w:overflowPunct/>
        <w:autoSpaceDE/>
        <w:autoSpaceDN/>
        <w:adjustRightInd/>
        <w:textAlignment w:val="auto"/>
        <w:rPr>
          <w:bCs/>
          <w:lang w:eastAsia="en-US"/>
        </w:rPr>
      </w:pPr>
    </w:p>
    <w:p w14:paraId="33C3E1FC" w14:textId="77777777" w:rsidR="00A86D9E" w:rsidRPr="00590EDE" w:rsidDel="00475772" w:rsidRDefault="00A86D9E" w:rsidP="00A86D9E">
      <w:pPr>
        <w:overflowPunct/>
        <w:autoSpaceDE/>
        <w:autoSpaceDN/>
        <w:adjustRightInd/>
        <w:textAlignment w:val="auto"/>
        <w:rPr>
          <w:bCs/>
          <w:lang w:eastAsia="en-US"/>
        </w:rPr>
      </w:pPr>
      <w:r w:rsidRPr="00590EDE">
        <w:rPr>
          <w:lang w:eastAsia="en-US"/>
        </w:rPr>
        <w:t xml:space="preserve">Jeigu </w:t>
      </w:r>
      <w:proofErr w:type="spellStart"/>
      <w:r>
        <w:t>Hepetra</w:t>
      </w:r>
      <w:proofErr w:type="spellEnd"/>
      <w:r w:rsidRPr="00590EDE">
        <w:rPr>
          <w:lang w:eastAsia="en-US"/>
        </w:rPr>
        <w:t xml:space="preserve"> infuzijos metu pastebėsite reakcijos požymių, t. y., galvos skausmą, veido paraudimą, </w:t>
      </w:r>
      <w:proofErr w:type="spellStart"/>
      <w:r w:rsidRPr="00590EDE">
        <w:rPr>
          <w:lang w:eastAsia="en-US"/>
        </w:rPr>
        <w:t>šaltkrėtį</w:t>
      </w:r>
      <w:proofErr w:type="spellEnd"/>
      <w:r w:rsidRPr="00590EDE">
        <w:rPr>
          <w:lang w:eastAsia="en-US"/>
        </w:rPr>
        <w:t>, raumenų skausmą, švokštimą, greitą širdies plakimą, apatinės nugaros dalies skausmą, pykinimą, mažą kraujospūdį, apie tai nedelsdami pasakykite gydytojui. Galima sumažinti infuzijos greitį arba visiškai sustabdyti infuziją.</w:t>
      </w:r>
    </w:p>
    <w:p w14:paraId="7CC14DCB" w14:textId="77777777" w:rsidR="00A86D9E" w:rsidRPr="00590EDE" w:rsidRDefault="00A86D9E" w:rsidP="00A86D9E">
      <w:pPr>
        <w:widowControl w:val="0"/>
        <w:overflowPunct/>
        <w:autoSpaceDE/>
        <w:autoSpaceDN/>
        <w:adjustRightInd/>
        <w:textAlignment w:val="auto"/>
        <w:rPr>
          <w:bCs/>
          <w:lang w:eastAsia="en-US"/>
        </w:rPr>
      </w:pPr>
    </w:p>
    <w:p w14:paraId="1ED26F5E" w14:textId="77777777" w:rsidR="00A86D9E" w:rsidRPr="00590EDE" w:rsidRDefault="00A86D9E" w:rsidP="00A86D9E">
      <w:pPr>
        <w:widowControl w:val="0"/>
        <w:overflowPunct/>
        <w:textAlignment w:val="auto"/>
        <w:rPr>
          <w:b/>
          <w:iCs/>
          <w:color w:val="000000"/>
          <w:szCs w:val="21"/>
          <w:lang w:eastAsia="en-US"/>
        </w:rPr>
      </w:pPr>
      <w:r w:rsidRPr="00590EDE">
        <w:rPr>
          <w:b/>
          <w:color w:val="000000"/>
          <w:lang w:eastAsia="en-US"/>
        </w:rPr>
        <w:t xml:space="preserve">Informacija apie infekcijų sukėlėjus </w:t>
      </w:r>
    </w:p>
    <w:p w14:paraId="0A071E20" w14:textId="77777777" w:rsidR="00A86D9E" w:rsidRPr="00590EDE" w:rsidRDefault="00A86D9E" w:rsidP="00A86D9E">
      <w:pPr>
        <w:overflowPunct/>
        <w:textAlignment w:val="auto"/>
        <w:rPr>
          <w:bCs/>
          <w:lang w:eastAsia="en-US"/>
        </w:rPr>
      </w:pPr>
      <w:proofErr w:type="spellStart"/>
      <w:r>
        <w:t>Hepetra</w:t>
      </w:r>
      <w:proofErr w:type="spellEnd"/>
      <w:r w:rsidRPr="00590EDE">
        <w:rPr>
          <w:lang w:eastAsia="en-US"/>
        </w:rPr>
        <w:t xml:space="preserve"> pagamintas iš žmogaus plazmos (skystosios kraujo dalies). Kai vaistai yra pagaminti iš žmogaus kraujo ar plazmos, reikia imtis tam tikrų priemonių, kad būtų išvengta infekcijų pernešimo pacientams. Tarp tokių priemonių yra:</w:t>
      </w:r>
    </w:p>
    <w:p w14:paraId="4E1B7536"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atidi kraujo ir plazmos donorų atranka, siekiant užtikrinti, kad nebūtų įtraukti donorai, galintys pernešti infekcijas;</w:t>
      </w:r>
    </w:p>
    <w:p w14:paraId="0E6C6C51"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kiekvieno donoro plazmos ir plazmos kaupinių patikra dėl virusų ir (arba) infekcijų požymių;</w:t>
      </w:r>
    </w:p>
    <w:p w14:paraId="70840EC7"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 xml:space="preserve">kraujo arba plazmos apdorojimo etapų, kuriais galima </w:t>
      </w:r>
      <w:proofErr w:type="spellStart"/>
      <w:r w:rsidRPr="00590EDE">
        <w:rPr>
          <w:lang w:eastAsia="en-US"/>
        </w:rPr>
        <w:t>inaktyvinti</w:t>
      </w:r>
      <w:proofErr w:type="spellEnd"/>
      <w:r w:rsidRPr="00590EDE">
        <w:rPr>
          <w:lang w:eastAsia="en-US"/>
        </w:rPr>
        <w:t xml:space="preserve"> arba pašalinti virusus, įtraukimas.</w:t>
      </w:r>
    </w:p>
    <w:p w14:paraId="1537E0B5" w14:textId="77777777" w:rsidR="00A86D9E" w:rsidRPr="00590EDE" w:rsidRDefault="00A86D9E" w:rsidP="00A86D9E">
      <w:pPr>
        <w:overflowPunct/>
        <w:textAlignment w:val="auto"/>
        <w:rPr>
          <w:bCs/>
          <w:lang w:eastAsia="en-US"/>
        </w:rPr>
      </w:pPr>
    </w:p>
    <w:p w14:paraId="1BB42F56" w14:textId="77777777" w:rsidR="00A86D9E" w:rsidRPr="00590EDE" w:rsidRDefault="00A86D9E" w:rsidP="00A86D9E">
      <w:pPr>
        <w:overflowPunct/>
        <w:textAlignment w:val="auto"/>
        <w:rPr>
          <w:lang w:eastAsia="en-US"/>
        </w:rPr>
      </w:pPr>
      <w:r w:rsidRPr="00590EDE">
        <w:rPr>
          <w:lang w:eastAsia="en-US"/>
        </w:rPr>
        <w:t>Nepaisant šių priemonių, kai skiriami vaistai, pagaminti iš žmogaus kraujo ar plazmos, negalima visiškai atmesti infekcijos pernešimo galimybės. Tai taikoma ir visiems nežinomiems ar naujai atsiradusiems virusams ar kitų tipų infekcijoms.</w:t>
      </w:r>
    </w:p>
    <w:p w14:paraId="6A88B6D4" w14:textId="77777777" w:rsidR="00A86D9E" w:rsidRPr="00590EDE" w:rsidRDefault="00A86D9E" w:rsidP="00A86D9E">
      <w:pPr>
        <w:overflowPunct/>
        <w:textAlignment w:val="auto"/>
        <w:rPr>
          <w:lang w:eastAsia="en-US"/>
        </w:rPr>
      </w:pPr>
    </w:p>
    <w:p w14:paraId="19DAD2E3" w14:textId="77777777" w:rsidR="00A86D9E" w:rsidRPr="00590EDE" w:rsidRDefault="00A86D9E" w:rsidP="00A86D9E">
      <w:pPr>
        <w:overflowPunct/>
        <w:autoSpaceDE/>
        <w:autoSpaceDN/>
        <w:adjustRightInd/>
        <w:textAlignment w:val="auto"/>
        <w:rPr>
          <w:lang w:eastAsia="en-US"/>
        </w:rPr>
      </w:pPr>
      <w:r w:rsidRPr="00590EDE">
        <w:rPr>
          <w:lang w:eastAsia="en-US"/>
        </w:rPr>
        <w:t>Taikomos priemonės laikomos veiksmingomis tokiems apvalkalą turintiems virusams kaip žmogaus imunodeficito virusas (ŽIV), hepatito B virusas ir hepatito C virusas.</w:t>
      </w:r>
    </w:p>
    <w:p w14:paraId="7AD90935" w14:textId="77777777" w:rsidR="00A86D9E" w:rsidRPr="00590EDE" w:rsidRDefault="00A86D9E" w:rsidP="00A86D9E">
      <w:pPr>
        <w:overflowPunct/>
        <w:autoSpaceDE/>
        <w:autoSpaceDN/>
        <w:adjustRightInd/>
        <w:textAlignment w:val="auto"/>
        <w:rPr>
          <w:lang w:eastAsia="en-US"/>
        </w:rPr>
      </w:pPr>
    </w:p>
    <w:p w14:paraId="73431FAD" w14:textId="77777777" w:rsidR="00A86D9E" w:rsidRPr="00590EDE" w:rsidRDefault="00A86D9E" w:rsidP="00A86D9E">
      <w:pPr>
        <w:overflowPunct/>
        <w:autoSpaceDE/>
        <w:autoSpaceDN/>
        <w:adjustRightInd/>
        <w:textAlignment w:val="auto"/>
        <w:rPr>
          <w:lang w:eastAsia="en-US"/>
        </w:rPr>
      </w:pPr>
      <w:r w:rsidRPr="00590EDE">
        <w:rPr>
          <w:lang w:eastAsia="en-US"/>
        </w:rPr>
        <w:t xml:space="preserve">Taikomos priemonės gali būti nepakankamai veiksmingos prieš tokius apvalkalo neturinčius virusus kaip hepatito A virusas ir </w:t>
      </w:r>
      <w:proofErr w:type="spellStart"/>
      <w:r w:rsidRPr="00590EDE">
        <w:rPr>
          <w:lang w:eastAsia="en-US"/>
        </w:rPr>
        <w:t>parvovirusas</w:t>
      </w:r>
      <w:proofErr w:type="spellEnd"/>
      <w:r w:rsidRPr="00590EDE">
        <w:rPr>
          <w:lang w:eastAsia="en-US"/>
        </w:rPr>
        <w:t xml:space="preserve"> B19.</w:t>
      </w:r>
    </w:p>
    <w:p w14:paraId="71231F90" w14:textId="77777777" w:rsidR="00A86D9E" w:rsidRPr="00590EDE" w:rsidRDefault="00A86D9E" w:rsidP="00A86D9E">
      <w:pPr>
        <w:overflowPunct/>
        <w:textAlignment w:val="auto"/>
        <w:rPr>
          <w:lang w:eastAsia="en-US"/>
        </w:rPr>
      </w:pPr>
    </w:p>
    <w:p w14:paraId="6B7ED0EB" w14:textId="77777777" w:rsidR="00A86D9E" w:rsidRPr="00590EDE" w:rsidRDefault="00A86D9E" w:rsidP="00A86D9E">
      <w:pPr>
        <w:overflowPunct/>
        <w:textAlignment w:val="auto"/>
        <w:rPr>
          <w:lang w:eastAsia="en-US"/>
        </w:rPr>
      </w:pPr>
      <w:r w:rsidRPr="00590EDE">
        <w:rPr>
          <w:lang w:eastAsia="en-US"/>
        </w:rPr>
        <w:t xml:space="preserve">Imunoglobulinai nebuvo susiję su hepatito A arba </w:t>
      </w:r>
      <w:proofErr w:type="spellStart"/>
      <w:r w:rsidRPr="00590EDE">
        <w:rPr>
          <w:lang w:eastAsia="en-US"/>
        </w:rPr>
        <w:t>parvoviruso</w:t>
      </w:r>
      <w:proofErr w:type="spellEnd"/>
      <w:r w:rsidRPr="00590EDE">
        <w:rPr>
          <w:lang w:eastAsia="en-US"/>
        </w:rPr>
        <w:t> B19 infekcijomis, galbūt dėl to, kad apsaugo šio vaisto sudėtyje esantys antikūnai prieš šias infekcijas.</w:t>
      </w:r>
    </w:p>
    <w:p w14:paraId="7B21C014" w14:textId="77777777" w:rsidR="00A86D9E" w:rsidRPr="00590EDE" w:rsidRDefault="00A86D9E" w:rsidP="00A86D9E">
      <w:pPr>
        <w:overflowPunct/>
        <w:textAlignment w:val="auto"/>
        <w:rPr>
          <w:lang w:eastAsia="en-US"/>
        </w:rPr>
      </w:pPr>
    </w:p>
    <w:p w14:paraId="58D2B115" w14:textId="77777777" w:rsidR="00A86D9E" w:rsidRPr="00590EDE" w:rsidRDefault="00A86D9E" w:rsidP="00A86D9E">
      <w:pPr>
        <w:overflowPunct/>
        <w:textAlignment w:val="auto"/>
        <w:rPr>
          <w:lang w:eastAsia="en-US"/>
        </w:rPr>
      </w:pPr>
      <w:r w:rsidRPr="00590EDE">
        <w:rPr>
          <w:lang w:eastAsia="en-US"/>
        </w:rPr>
        <w:t xml:space="preserve">Primygtinai rekomenduojama kiekvieną kartą, kai Jums suleidžiama </w:t>
      </w:r>
      <w:proofErr w:type="spellStart"/>
      <w:r>
        <w:t>Hepetra</w:t>
      </w:r>
      <w:proofErr w:type="spellEnd"/>
      <w:r w:rsidRPr="00590EDE">
        <w:rPr>
          <w:lang w:eastAsia="en-US"/>
        </w:rPr>
        <w:t xml:space="preserve"> dozė, užrašyti vaisto pavadinimą ir serijos numerį, kad būtų atsekamos paskirto vaisto serijos.</w:t>
      </w:r>
    </w:p>
    <w:p w14:paraId="25E0492C" w14:textId="77777777" w:rsidR="00A86D9E" w:rsidRPr="00590EDE" w:rsidRDefault="00A86D9E" w:rsidP="00A86D9E">
      <w:pPr>
        <w:widowControl w:val="0"/>
        <w:overflowPunct/>
        <w:autoSpaceDE/>
        <w:autoSpaceDN/>
        <w:adjustRightInd/>
        <w:textAlignment w:val="auto"/>
        <w:rPr>
          <w:lang w:eastAsia="en-US"/>
        </w:rPr>
      </w:pPr>
    </w:p>
    <w:p w14:paraId="2863EEF5" w14:textId="77777777" w:rsidR="00A86D9E" w:rsidRPr="00590EDE" w:rsidRDefault="00A86D9E" w:rsidP="00A86D9E">
      <w:pPr>
        <w:widowControl w:val="0"/>
        <w:overflowPunct/>
        <w:autoSpaceDE/>
        <w:autoSpaceDN/>
        <w:adjustRightInd/>
        <w:ind w:right="-2"/>
        <w:textAlignment w:val="auto"/>
        <w:rPr>
          <w:lang w:eastAsia="en-US"/>
        </w:rPr>
      </w:pPr>
      <w:r w:rsidRPr="00590EDE">
        <w:rPr>
          <w:b/>
          <w:lang w:eastAsia="en-US"/>
        </w:rPr>
        <w:t xml:space="preserve">Kiti vaistai ir </w:t>
      </w:r>
      <w:proofErr w:type="spellStart"/>
      <w:r w:rsidRPr="00272FAD">
        <w:rPr>
          <w:b/>
        </w:rPr>
        <w:t>Hepetra</w:t>
      </w:r>
      <w:proofErr w:type="spellEnd"/>
    </w:p>
    <w:p w14:paraId="1CD2FBE8" w14:textId="77777777" w:rsidR="00A86D9E" w:rsidRPr="00590EDE" w:rsidRDefault="00A86D9E" w:rsidP="00A86D9E">
      <w:pPr>
        <w:widowControl w:val="0"/>
        <w:overflowPunct/>
        <w:autoSpaceDE/>
        <w:autoSpaceDN/>
        <w:adjustRightInd/>
        <w:textAlignment w:val="auto"/>
        <w:rPr>
          <w:lang w:eastAsia="en-US"/>
        </w:rPr>
      </w:pPr>
      <w:r w:rsidRPr="00590EDE">
        <w:rPr>
          <w:lang w:eastAsia="en-US"/>
        </w:rPr>
        <w:t>Jeigu vartojate ar neseniai vartojote kitų vaistų arba dėl to nesate tikri, apie tai pasakykite gydytojui arba vaistininkui.</w:t>
      </w:r>
    </w:p>
    <w:p w14:paraId="6516B105" w14:textId="77777777" w:rsidR="00A86D9E" w:rsidRPr="00590EDE" w:rsidRDefault="00A86D9E" w:rsidP="00A86D9E">
      <w:pPr>
        <w:widowControl w:val="0"/>
        <w:overflowPunct/>
        <w:autoSpaceDE/>
        <w:autoSpaceDN/>
        <w:adjustRightInd/>
        <w:textAlignment w:val="auto"/>
        <w:rPr>
          <w:lang w:eastAsia="en-US"/>
        </w:rPr>
      </w:pPr>
      <w:proofErr w:type="spellStart"/>
      <w:r>
        <w:t>Hepetra</w:t>
      </w:r>
      <w:proofErr w:type="spellEnd"/>
      <w:r w:rsidRPr="00590EDE">
        <w:rPr>
          <w:lang w:eastAsia="en-US"/>
        </w:rPr>
        <w:t xml:space="preserve"> gali sumažinti kai kurių vakcinų veiksmingumą, pvz., vakcinų nuo: </w:t>
      </w:r>
    </w:p>
    <w:p w14:paraId="3292006F"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tymų;</w:t>
      </w:r>
    </w:p>
    <w:p w14:paraId="26276038"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raudonukės;</w:t>
      </w:r>
    </w:p>
    <w:p w14:paraId="4FA2F92B"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 xml:space="preserve">kiaulytės; </w:t>
      </w:r>
    </w:p>
    <w:p w14:paraId="3A3DC2A2"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lastRenderedPageBreak/>
        <w:t xml:space="preserve">vėjaraupių. </w:t>
      </w:r>
    </w:p>
    <w:p w14:paraId="6E609CC9" w14:textId="77777777" w:rsidR="00A86D9E" w:rsidRPr="00590EDE" w:rsidRDefault="00A86D9E" w:rsidP="00A86D9E">
      <w:pPr>
        <w:widowControl w:val="0"/>
        <w:overflowPunct/>
        <w:autoSpaceDE/>
        <w:autoSpaceDN/>
        <w:adjustRightInd/>
        <w:textAlignment w:val="auto"/>
        <w:rPr>
          <w:lang w:eastAsia="en-US"/>
        </w:rPr>
      </w:pPr>
      <w:r w:rsidRPr="00590EDE">
        <w:rPr>
          <w:lang w:eastAsia="en-US"/>
        </w:rPr>
        <w:t>Gali reikėti palaukti ne mažiau kaip 3 mėnesius, kol bus galima skiepyti kitomis vakcinomis ir ne mažiau kaip metus, kol bus galima skiepyti nuo raudonukės.</w:t>
      </w:r>
    </w:p>
    <w:p w14:paraId="0B6BC65B" w14:textId="77777777" w:rsidR="00A86D9E" w:rsidRPr="00590EDE" w:rsidRDefault="00A86D9E" w:rsidP="00A86D9E">
      <w:pPr>
        <w:widowControl w:val="0"/>
        <w:overflowPunct/>
        <w:autoSpaceDE/>
        <w:autoSpaceDN/>
        <w:adjustRightInd/>
        <w:textAlignment w:val="auto"/>
        <w:rPr>
          <w:lang w:eastAsia="en-US"/>
        </w:rPr>
      </w:pPr>
    </w:p>
    <w:p w14:paraId="40A543EF" w14:textId="77777777" w:rsidR="00A86D9E" w:rsidRPr="00590EDE" w:rsidRDefault="00A86D9E" w:rsidP="00A86D9E">
      <w:pPr>
        <w:widowControl w:val="0"/>
        <w:overflowPunct/>
        <w:autoSpaceDE/>
        <w:autoSpaceDN/>
        <w:adjustRightInd/>
        <w:textAlignment w:val="auto"/>
        <w:rPr>
          <w:lang w:eastAsia="en-US"/>
        </w:rPr>
      </w:pPr>
      <w:r w:rsidRPr="00590EDE">
        <w:rPr>
          <w:lang w:eastAsia="en-US"/>
        </w:rPr>
        <w:t xml:space="preserve">Venkite vartoti kilpinius diuretikus kartu su </w:t>
      </w:r>
      <w:proofErr w:type="spellStart"/>
      <w:r>
        <w:t>Hepetra</w:t>
      </w:r>
      <w:proofErr w:type="spellEnd"/>
      <w:r w:rsidRPr="00590EDE">
        <w:rPr>
          <w:lang w:eastAsia="en-US"/>
        </w:rPr>
        <w:t>.</w:t>
      </w:r>
    </w:p>
    <w:p w14:paraId="1F2C0E7A" w14:textId="77777777" w:rsidR="00A86D9E" w:rsidRPr="00590EDE" w:rsidRDefault="00A86D9E" w:rsidP="00A86D9E">
      <w:pPr>
        <w:widowControl w:val="0"/>
        <w:overflowPunct/>
        <w:autoSpaceDE/>
        <w:autoSpaceDN/>
        <w:adjustRightInd/>
        <w:textAlignment w:val="auto"/>
        <w:rPr>
          <w:lang w:eastAsia="en-US"/>
        </w:rPr>
      </w:pPr>
    </w:p>
    <w:p w14:paraId="78343250" w14:textId="77777777" w:rsidR="00A86D9E" w:rsidRPr="00590EDE" w:rsidRDefault="00A86D9E" w:rsidP="00A86D9E">
      <w:pPr>
        <w:widowControl w:val="0"/>
        <w:overflowPunct/>
        <w:autoSpaceDE/>
        <w:autoSpaceDN/>
        <w:adjustRightInd/>
        <w:ind w:right="-2"/>
        <w:textAlignment w:val="auto"/>
        <w:rPr>
          <w:lang w:eastAsia="en-US"/>
        </w:rPr>
      </w:pPr>
      <w:r w:rsidRPr="00590EDE">
        <w:rPr>
          <w:b/>
          <w:lang w:eastAsia="en-US"/>
        </w:rPr>
        <w:t>Nėštumas, žindymo laikotarpis ir vaisingumas</w:t>
      </w:r>
    </w:p>
    <w:p w14:paraId="057B18A8" w14:textId="77777777" w:rsidR="00A86D9E" w:rsidRPr="00590EDE" w:rsidRDefault="00A86D9E" w:rsidP="00A86D9E">
      <w:pPr>
        <w:widowControl w:val="0"/>
        <w:overflowPunct/>
        <w:autoSpaceDE/>
        <w:autoSpaceDN/>
        <w:adjustRightInd/>
        <w:textAlignment w:val="auto"/>
        <w:rPr>
          <w:lang w:eastAsia="en-US"/>
        </w:rPr>
      </w:pPr>
      <w:r w:rsidRPr="00590EDE">
        <w:rPr>
          <w:lang w:eastAsia="en-US"/>
        </w:rPr>
        <w:t>Jeigu esate nėščia, žindote kūdikį, manote, kad galbūt esate nėščia arba planuojate pastoti, tai prieš vartodama šį vaistą pasitarkite su gydytoju arba vaistininku.</w:t>
      </w:r>
    </w:p>
    <w:p w14:paraId="5E6DA698" w14:textId="77777777" w:rsidR="00A86D9E" w:rsidRPr="00590EDE" w:rsidRDefault="00A86D9E" w:rsidP="00A86D9E">
      <w:pPr>
        <w:widowControl w:val="0"/>
        <w:overflowPunct/>
        <w:autoSpaceDE/>
        <w:autoSpaceDN/>
        <w:adjustRightInd/>
        <w:textAlignment w:val="auto"/>
        <w:rPr>
          <w:lang w:eastAsia="en-US"/>
        </w:rPr>
      </w:pPr>
      <w:r w:rsidRPr="00590EDE">
        <w:rPr>
          <w:lang w:eastAsia="en-US"/>
        </w:rPr>
        <w:t xml:space="preserve">Gydytojas nuspręs, ar </w:t>
      </w:r>
      <w:proofErr w:type="spellStart"/>
      <w:r>
        <w:t>Hepetra</w:t>
      </w:r>
      <w:proofErr w:type="spellEnd"/>
      <w:r w:rsidRPr="00590EDE">
        <w:rPr>
          <w:lang w:eastAsia="en-US"/>
        </w:rPr>
        <w:t xml:space="preserve"> galima vartoti nėštumo ir žindymo metu.</w:t>
      </w:r>
    </w:p>
    <w:p w14:paraId="2F9CEC96" w14:textId="77777777" w:rsidR="00A86D9E" w:rsidRPr="00590EDE" w:rsidRDefault="00A86D9E" w:rsidP="00A86D9E">
      <w:pPr>
        <w:widowControl w:val="0"/>
        <w:overflowPunct/>
        <w:autoSpaceDE/>
        <w:autoSpaceDN/>
        <w:adjustRightInd/>
        <w:textAlignment w:val="auto"/>
        <w:rPr>
          <w:lang w:eastAsia="en-US"/>
        </w:rPr>
      </w:pPr>
    </w:p>
    <w:p w14:paraId="322D0864" w14:textId="77777777" w:rsidR="00A86D9E" w:rsidRPr="00590EDE" w:rsidRDefault="00A86D9E" w:rsidP="00A86D9E">
      <w:pPr>
        <w:widowControl w:val="0"/>
        <w:overflowPunct/>
        <w:autoSpaceDE/>
        <w:autoSpaceDN/>
        <w:adjustRightInd/>
        <w:ind w:right="-2"/>
        <w:textAlignment w:val="auto"/>
        <w:rPr>
          <w:lang w:eastAsia="en-US"/>
        </w:rPr>
      </w:pPr>
      <w:r w:rsidRPr="00590EDE">
        <w:rPr>
          <w:b/>
          <w:lang w:eastAsia="en-US"/>
        </w:rPr>
        <w:t>Vairavimas ir mechanizmų valdymas</w:t>
      </w:r>
    </w:p>
    <w:p w14:paraId="04A7AC43" w14:textId="77777777" w:rsidR="00A86D9E" w:rsidRPr="00590EDE" w:rsidRDefault="00A86D9E" w:rsidP="00A86D9E">
      <w:pPr>
        <w:widowControl w:val="0"/>
        <w:overflowPunct/>
        <w:autoSpaceDE/>
        <w:autoSpaceDN/>
        <w:adjustRightInd/>
        <w:textAlignment w:val="auto"/>
        <w:rPr>
          <w:lang w:eastAsia="en-US"/>
        </w:rPr>
      </w:pPr>
      <w:proofErr w:type="spellStart"/>
      <w:r>
        <w:t>Hepetra</w:t>
      </w:r>
      <w:proofErr w:type="spellEnd"/>
      <w:r w:rsidRPr="00590EDE">
        <w:rPr>
          <w:lang w:eastAsia="en-US"/>
        </w:rPr>
        <w:t xml:space="preserve"> gebėjimą vairuoti ir valdyti mechanizmus veikia silpnai. Jeigu gydymo metu Jums pasireiškia nepageidaujamos reakcijos, prieš vairuodami ar valdydami mechanizmus turite palaukti, kol jos išnyks.</w:t>
      </w:r>
    </w:p>
    <w:p w14:paraId="2F884834" w14:textId="77777777" w:rsidR="00A86D9E" w:rsidRDefault="00A86D9E" w:rsidP="00A86D9E">
      <w:pPr>
        <w:numPr>
          <w:ilvl w:val="12"/>
          <w:numId w:val="0"/>
        </w:numPr>
        <w:overflowPunct/>
        <w:autoSpaceDE/>
        <w:autoSpaceDN/>
        <w:adjustRightInd/>
        <w:ind w:right="-2"/>
        <w:textAlignment w:val="auto"/>
        <w:rPr>
          <w:noProof/>
          <w:szCs w:val="22"/>
          <w:lang w:eastAsia="en-US"/>
        </w:rPr>
      </w:pPr>
    </w:p>
    <w:p w14:paraId="1A46BFC5" w14:textId="77777777" w:rsidR="00A86D9E" w:rsidRPr="00590EDE" w:rsidRDefault="00A86D9E" w:rsidP="00A86D9E">
      <w:pPr>
        <w:numPr>
          <w:ilvl w:val="12"/>
          <w:numId w:val="0"/>
        </w:numPr>
        <w:overflowPunct/>
        <w:autoSpaceDE/>
        <w:autoSpaceDN/>
        <w:adjustRightInd/>
        <w:ind w:right="-2"/>
        <w:textAlignment w:val="auto"/>
        <w:rPr>
          <w:noProof/>
          <w:szCs w:val="22"/>
          <w:lang w:eastAsia="en-US"/>
        </w:rPr>
      </w:pPr>
    </w:p>
    <w:p w14:paraId="2737A9FB" w14:textId="77777777" w:rsidR="00A86D9E" w:rsidRPr="00396A96" w:rsidRDefault="00A86D9E" w:rsidP="00A86D9E">
      <w:pPr>
        <w:numPr>
          <w:ilvl w:val="12"/>
          <w:numId w:val="0"/>
        </w:numPr>
        <w:overflowPunct/>
        <w:autoSpaceDE/>
        <w:autoSpaceDN/>
        <w:adjustRightInd/>
        <w:ind w:left="567" w:right="-2" w:hanging="567"/>
        <w:textAlignment w:val="auto"/>
        <w:rPr>
          <w:b/>
          <w:noProof/>
          <w:szCs w:val="22"/>
          <w:lang w:eastAsia="en-US"/>
        </w:rPr>
      </w:pPr>
      <w:r w:rsidRPr="00396A96">
        <w:rPr>
          <w:b/>
          <w:noProof/>
          <w:szCs w:val="22"/>
          <w:lang w:eastAsia="en-US"/>
        </w:rPr>
        <w:t xml:space="preserve">3. </w:t>
      </w:r>
      <w:r>
        <w:rPr>
          <w:b/>
          <w:noProof/>
          <w:szCs w:val="22"/>
          <w:lang w:eastAsia="en-US"/>
        </w:rPr>
        <w:tab/>
      </w:r>
      <w:r w:rsidRPr="00396A96">
        <w:rPr>
          <w:b/>
          <w:noProof/>
          <w:szCs w:val="22"/>
          <w:lang w:eastAsia="en-US"/>
        </w:rPr>
        <w:t xml:space="preserve">Kaip vartoti </w:t>
      </w:r>
      <w:proofErr w:type="spellStart"/>
      <w:r w:rsidRPr="00B03389">
        <w:rPr>
          <w:b/>
        </w:rPr>
        <w:t>Hepetra</w:t>
      </w:r>
      <w:proofErr w:type="spellEnd"/>
    </w:p>
    <w:p w14:paraId="1D80CB9E" w14:textId="77777777" w:rsidR="00A86D9E" w:rsidRPr="00590EDE" w:rsidRDefault="00A86D9E" w:rsidP="00A86D9E">
      <w:pPr>
        <w:widowControl w:val="0"/>
        <w:overflowPunct/>
        <w:autoSpaceDE/>
        <w:autoSpaceDN/>
        <w:adjustRightInd/>
        <w:textAlignment w:val="auto"/>
        <w:rPr>
          <w:lang w:eastAsia="en-US"/>
        </w:rPr>
      </w:pPr>
    </w:p>
    <w:p w14:paraId="7110202C" w14:textId="77777777" w:rsidR="00A86D9E" w:rsidRPr="00590EDE" w:rsidRDefault="00A86D9E" w:rsidP="00A86D9E">
      <w:pPr>
        <w:widowControl w:val="0"/>
        <w:overflowPunct/>
        <w:autoSpaceDE/>
        <w:autoSpaceDN/>
        <w:adjustRightInd/>
        <w:textAlignment w:val="auto"/>
        <w:rPr>
          <w:lang w:eastAsia="en-US"/>
        </w:rPr>
      </w:pPr>
      <w:proofErr w:type="spellStart"/>
      <w:r>
        <w:t>Hepetra</w:t>
      </w:r>
      <w:proofErr w:type="spellEnd"/>
      <w:r w:rsidRPr="00590EDE">
        <w:rPr>
          <w:lang w:eastAsia="en-US"/>
        </w:rPr>
        <w:t xml:space="preserve"> skirtas leisti į veną (infuzija į veną). Vaistą Jums suleis gydytojas arba slaugytojas. Rekomenduojama dozė priklausys nuo Jūsų būklės ir kūno svorio. Gydytojas žinos, kokį kiekį Jums reikia skirti.</w:t>
      </w:r>
    </w:p>
    <w:p w14:paraId="12AF2588" w14:textId="77777777" w:rsidR="00A86D9E" w:rsidRPr="00590EDE" w:rsidRDefault="00A86D9E" w:rsidP="00A86D9E">
      <w:pPr>
        <w:widowControl w:val="0"/>
        <w:overflowPunct/>
        <w:autoSpaceDE/>
        <w:autoSpaceDN/>
        <w:adjustRightInd/>
        <w:textAlignment w:val="auto"/>
        <w:rPr>
          <w:lang w:eastAsia="en-US"/>
        </w:rPr>
      </w:pPr>
    </w:p>
    <w:p w14:paraId="643F9B76" w14:textId="77777777" w:rsidR="00A86D9E" w:rsidRPr="00590EDE" w:rsidRDefault="00A86D9E" w:rsidP="00A86D9E">
      <w:pPr>
        <w:widowControl w:val="0"/>
        <w:overflowPunct/>
        <w:autoSpaceDE/>
        <w:autoSpaceDN/>
        <w:adjustRightInd/>
        <w:textAlignment w:val="auto"/>
        <w:rPr>
          <w:lang w:eastAsia="en-US"/>
        </w:rPr>
      </w:pPr>
      <w:r w:rsidRPr="00590EDE">
        <w:rPr>
          <w:lang w:eastAsia="en-US"/>
        </w:rPr>
        <w:t xml:space="preserve">Infuzijos pradžioje </w:t>
      </w:r>
      <w:proofErr w:type="spellStart"/>
      <w:r>
        <w:t>Hepetra</w:t>
      </w:r>
      <w:proofErr w:type="spellEnd"/>
      <w:r w:rsidRPr="00590EDE">
        <w:rPr>
          <w:lang w:eastAsia="en-US"/>
        </w:rPr>
        <w:t xml:space="preserve"> bus leidžiamas mažu greičiu. Po to gydytojas infuzijos greitį pamažu didins.</w:t>
      </w:r>
    </w:p>
    <w:p w14:paraId="773BDB86" w14:textId="77777777" w:rsidR="00A86D9E" w:rsidRPr="00590EDE" w:rsidRDefault="00A86D9E" w:rsidP="00A86D9E">
      <w:pPr>
        <w:widowControl w:val="0"/>
        <w:overflowPunct/>
        <w:autoSpaceDE/>
        <w:autoSpaceDN/>
        <w:adjustRightInd/>
        <w:textAlignment w:val="auto"/>
        <w:rPr>
          <w:lang w:eastAsia="en-US"/>
        </w:rPr>
      </w:pPr>
    </w:p>
    <w:p w14:paraId="4E61A5D4" w14:textId="77777777" w:rsidR="00A86D9E" w:rsidRPr="00590EDE" w:rsidRDefault="00A86D9E" w:rsidP="00A86D9E">
      <w:pPr>
        <w:widowControl w:val="0"/>
        <w:overflowPunct/>
        <w:autoSpaceDE/>
        <w:autoSpaceDN/>
        <w:adjustRightInd/>
        <w:textAlignment w:val="auto"/>
        <w:rPr>
          <w:lang w:eastAsia="en-US"/>
        </w:rPr>
      </w:pPr>
      <w:r w:rsidRPr="00590EDE">
        <w:rPr>
          <w:lang w:eastAsia="en-US"/>
        </w:rPr>
        <w:t>Jeigu kiltų daugiau klausimų dėl šio vaisto vartojimo, kreipkitės į gydytoją arba slaugytoją.</w:t>
      </w:r>
    </w:p>
    <w:p w14:paraId="1323A37D" w14:textId="77777777" w:rsidR="00A86D9E" w:rsidRPr="00590EDE" w:rsidRDefault="00A86D9E" w:rsidP="00A86D9E">
      <w:pPr>
        <w:widowControl w:val="0"/>
        <w:overflowPunct/>
        <w:autoSpaceDE/>
        <w:autoSpaceDN/>
        <w:adjustRightInd/>
        <w:textAlignment w:val="auto"/>
        <w:rPr>
          <w:lang w:eastAsia="en-US"/>
        </w:rPr>
      </w:pPr>
    </w:p>
    <w:p w14:paraId="5943B459" w14:textId="77777777" w:rsidR="00A86D9E" w:rsidRDefault="00A86D9E" w:rsidP="00A86D9E">
      <w:pPr>
        <w:numPr>
          <w:ilvl w:val="12"/>
          <w:numId w:val="0"/>
        </w:numPr>
        <w:overflowPunct/>
        <w:autoSpaceDE/>
        <w:autoSpaceDN/>
        <w:adjustRightInd/>
        <w:ind w:right="-2"/>
        <w:textAlignment w:val="auto"/>
        <w:rPr>
          <w:b/>
          <w:noProof/>
          <w:szCs w:val="22"/>
          <w:lang w:eastAsia="en-US"/>
        </w:rPr>
      </w:pPr>
    </w:p>
    <w:p w14:paraId="156A8E2E" w14:textId="77777777" w:rsidR="00A86D9E" w:rsidRDefault="00A86D9E" w:rsidP="00A86D9E">
      <w:pPr>
        <w:numPr>
          <w:ilvl w:val="12"/>
          <w:numId w:val="0"/>
        </w:numPr>
        <w:overflowPunct/>
        <w:autoSpaceDE/>
        <w:autoSpaceDN/>
        <w:adjustRightInd/>
        <w:ind w:left="567" w:right="-2" w:hanging="567"/>
        <w:textAlignment w:val="auto"/>
        <w:rPr>
          <w:b/>
          <w:noProof/>
          <w:szCs w:val="22"/>
          <w:lang w:eastAsia="en-US"/>
        </w:rPr>
      </w:pPr>
      <w:r w:rsidRPr="00396A96">
        <w:rPr>
          <w:b/>
          <w:noProof/>
          <w:szCs w:val="22"/>
          <w:lang w:eastAsia="en-US"/>
        </w:rPr>
        <w:t xml:space="preserve">4. </w:t>
      </w:r>
      <w:r>
        <w:rPr>
          <w:b/>
          <w:noProof/>
          <w:szCs w:val="22"/>
          <w:lang w:eastAsia="en-US"/>
        </w:rPr>
        <w:tab/>
      </w:r>
      <w:r w:rsidRPr="00396A96">
        <w:rPr>
          <w:b/>
          <w:noProof/>
          <w:szCs w:val="22"/>
          <w:lang w:eastAsia="en-US"/>
        </w:rPr>
        <w:t>Galimas šalutinis poveikis</w:t>
      </w:r>
    </w:p>
    <w:p w14:paraId="33DD3801" w14:textId="77777777" w:rsidR="00A86D9E" w:rsidRPr="00396A96" w:rsidRDefault="00A86D9E" w:rsidP="00A86D9E">
      <w:pPr>
        <w:numPr>
          <w:ilvl w:val="12"/>
          <w:numId w:val="0"/>
        </w:numPr>
        <w:overflowPunct/>
        <w:autoSpaceDE/>
        <w:autoSpaceDN/>
        <w:adjustRightInd/>
        <w:ind w:right="-2"/>
        <w:textAlignment w:val="auto"/>
        <w:rPr>
          <w:noProof/>
          <w:szCs w:val="22"/>
          <w:lang w:eastAsia="en-US"/>
        </w:rPr>
      </w:pPr>
    </w:p>
    <w:p w14:paraId="48BA482B" w14:textId="77777777" w:rsidR="00A86D9E" w:rsidRPr="00590EDE" w:rsidRDefault="00A86D9E" w:rsidP="00A86D9E">
      <w:pPr>
        <w:widowControl w:val="0"/>
        <w:overflowPunct/>
        <w:autoSpaceDE/>
        <w:autoSpaceDN/>
        <w:adjustRightInd/>
        <w:ind w:right="-29"/>
        <w:textAlignment w:val="auto"/>
        <w:rPr>
          <w:lang w:eastAsia="en-US"/>
        </w:rPr>
      </w:pPr>
      <w:r w:rsidRPr="00590EDE">
        <w:rPr>
          <w:lang w:eastAsia="en-US"/>
        </w:rPr>
        <w:t>Šis vaistas, kaip ir visi kiti, gali sukelti šalutinį poveikį, nors jis pasireiškia ne visiems žmonėms.</w:t>
      </w:r>
    </w:p>
    <w:p w14:paraId="2D6F703D" w14:textId="77777777" w:rsidR="00A86D9E" w:rsidRPr="00590EDE" w:rsidRDefault="00A86D9E" w:rsidP="00A86D9E">
      <w:pPr>
        <w:tabs>
          <w:tab w:val="left" w:pos="284"/>
        </w:tabs>
        <w:overflowPunct/>
        <w:autoSpaceDE/>
        <w:autoSpaceDN/>
        <w:adjustRightInd/>
        <w:spacing w:line="280" w:lineRule="atLeast"/>
        <w:textAlignment w:val="auto"/>
        <w:rPr>
          <w:lang w:eastAsia="en-US"/>
        </w:rPr>
      </w:pPr>
    </w:p>
    <w:p w14:paraId="2731AD1A" w14:textId="77777777" w:rsidR="00A86D9E" w:rsidRPr="00590EDE" w:rsidRDefault="00A86D9E" w:rsidP="00A86D9E">
      <w:pPr>
        <w:overflowPunct/>
        <w:autoSpaceDE/>
        <w:autoSpaceDN/>
        <w:adjustRightInd/>
        <w:textAlignment w:val="auto"/>
        <w:rPr>
          <w:b/>
          <w:lang w:eastAsia="en-US"/>
        </w:rPr>
      </w:pPr>
      <w:r w:rsidRPr="00590EDE">
        <w:rPr>
          <w:b/>
          <w:lang w:eastAsia="en-US"/>
        </w:rPr>
        <w:t xml:space="preserve">Gauta savanoriškų pranešimų apie toliau nurodytą </w:t>
      </w:r>
      <w:proofErr w:type="spellStart"/>
      <w:r w:rsidRPr="00B03389">
        <w:rPr>
          <w:b/>
        </w:rPr>
        <w:t>Hepetra</w:t>
      </w:r>
      <w:proofErr w:type="spellEnd"/>
      <w:r w:rsidRPr="00590EDE">
        <w:rPr>
          <w:b/>
          <w:lang w:eastAsia="en-US"/>
        </w:rPr>
        <w:t xml:space="preserve"> šalutinį poveikį. </w:t>
      </w:r>
    </w:p>
    <w:p w14:paraId="37CA8939" w14:textId="77777777" w:rsidR="00A86D9E" w:rsidRPr="00590EDE" w:rsidRDefault="00A86D9E" w:rsidP="00A86D9E">
      <w:pPr>
        <w:overflowPunct/>
        <w:autoSpaceDE/>
        <w:autoSpaceDN/>
        <w:adjustRightInd/>
        <w:textAlignment w:val="auto"/>
        <w:rPr>
          <w:b/>
          <w:lang w:eastAsia="en-US"/>
        </w:rPr>
      </w:pPr>
      <w:r w:rsidRPr="00590EDE">
        <w:rPr>
          <w:b/>
          <w:lang w:eastAsia="en-US"/>
        </w:rPr>
        <w:t>Dažnis nežinomas: negali būti apskaičiuotas pagal turimus duomenis</w:t>
      </w:r>
    </w:p>
    <w:p w14:paraId="6FFF342F"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sunki alerginė reakcija (anafilaksinis šokas);</w:t>
      </w:r>
    </w:p>
    <w:p w14:paraId="2C81DF2B"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padidėjusio jautrumo reakcijos;</w:t>
      </w:r>
    </w:p>
    <w:p w14:paraId="0D5B4446"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galvos skausmas;</w:t>
      </w:r>
    </w:p>
    <w:p w14:paraId="0156E822" w14:textId="77777777" w:rsidR="00A86D9E" w:rsidRPr="00590EDE" w:rsidRDefault="00A86D9E" w:rsidP="00A86D9E">
      <w:pPr>
        <w:numPr>
          <w:ilvl w:val="0"/>
          <w:numId w:val="3"/>
        </w:numPr>
        <w:overflowPunct/>
        <w:autoSpaceDE/>
        <w:autoSpaceDN/>
        <w:adjustRightInd/>
        <w:ind w:left="360"/>
        <w:textAlignment w:val="auto"/>
        <w:rPr>
          <w:lang w:eastAsia="en-US"/>
        </w:rPr>
      </w:pPr>
      <w:r>
        <w:rPr>
          <w:lang w:eastAsia="en-US"/>
        </w:rPr>
        <w:t>svaigulys</w:t>
      </w:r>
      <w:r w:rsidRPr="00590EDE">
        <w:rPr>
          <w:lang w:eastAsia="en-US"/>
        </w:rPr>
        <w:t>;</w:t>
      </w:r>
    </w:p>
    <w:p w14:paraId="7E140463"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greitas širdies plakimas (tachikardija);</w:t>
      </w:r>
    </w:p>
    <w:p w14:paraId="60F95854"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mažas kraujospūdis (</w:t>
      </w:r>
      <w:proofErr w:type="spellStart"/>
      <w:r w:rsidRPr="00590EDE">
        <w:rPr>
          <w:lang w:eastAsia="en-US"/>
        </w:rPr>
        <w:t>hipotenzija</w:t>
      </w:r>
      <w:proofErr w:type="spellEnd"/>
      <w:r w:rsidRPr="00590EDE">
        <w:rPr>
          <w:lang w:eastAsia="en-US"/>
        </w:rPr>
        <w:t>);</w:t>
      </w:r>
    </w:p>
    <w:p w14:paraId="58BE7863"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pykinimas;</w:t>
      </w:r>
    </w:p>
    <w:p w14:paraId="1E1D610F"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odos reakcijos, pvz., išbėrimas, niežėjimas;</w:t>
      </w:r>
    </w:p>
    <w:p w14:paraId="68212FEC"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karščiavimas;</w:t>
      </w:r>
    </w:p>
    <w:p w14:paraId="5C3868C5"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negalavimas (pykinimo pojūtis).</w:t>
      </w:r>
    </w:p>
    <w:p w14:paraId="7B1826F4" w14:textId="77777777" w:rsidR="00A86D9E" w:rsidRPr="00590EDE" w:rsidRDefault="00A86D9E" w:rsidP="00A86D9E">
      <w:pPr>
        <w:overflowPunct/>
        <w:autoSpaceDE/>
        <w:autoSpaceDN/>
        <w:adjustRightInd/>
        <w:spacing w:line="280" w:lineRule="atLeast"/>
        <w:textAlignment w:val="auto"/>
        <w:rPr>
          <w:lang w:val="en-GB" w:eastAsia="en-US"/>
        </w:rPr>
      </w:pPr>
    </w:p>
    <w:p w14:paraId="689B533A" w14:textId="77777777" w:rsidR="00A86D9E" w:rsidRPr="00590EDE" w:rsidRDefault="00A86D9E" w:rsidP="00A86D9E">
      <w:pPr>
        <w:overflowPunct/>
        <w:autoSpaceDE/>
        <w:autoSpaceDN/>
        <w:adjustRightInd/>
        <w:textAlignment w:val="auto"/>
        <w:rPr>
          <w:b/>
          <w:lang w:eastAsia="en-US"/>
        </w:rPr>
      </w:pPr>
      <w:r w:rsidRPr="00590EDE">
        <w:rPr>
          <w:b/>
          <w:lang w:eastAsia="en-US"/>
        </w:rPr>
        <w:t xml:space="preserve">Vartojant normaliuosius žmogaus imunoglobulinus, gali pasireikšti toliau nurodytas šalutinis poveikis (mažėjančio dažnio tvarka): </w:t>
      </w:r>
    </w:p>
    <w:p w14:paraId="29D4CA30" w14:textId="77777777" w:rsidR="00A86D9E" w:rsidRPr="00590EDE" w:rsidRDefault="00A86D9E" w:rsidP="00A86D9E">
      <w:pPr>
        <w:numPr>
          <w:ilvl w:val="0"/>
          <w:numId w:val="5"/>
        </w:numPr>
        <w:shd w:val="clear" w:color="auto" w:fill="FFFFFF"/>
        <w:overflowPunct/>
        <w:autoSpaceDE/>
        <w:autoSpaceDN/>
        <w:adjustRightInd/>
        <w:ind w:left="426"/>
        <w:contextualSpacing/>
        <w:textAlignment w:val="auto"/>
        <w:rPr>
          <w:lang w:eastAsia="en-US"/>
        </w:rPr>
      </w:pPr>
      <w:proofErr w:type="spellStart"/>
      <w:r w:rsidRPr="00590EDE">
        <w:rPr>
          <w:lang w:eastAsia="en-US"/>
        </w:rPr>
        <w:t>šaltkrėtis</w:t>
      </w:r>
      <w:proofErr w:type="spellEnd"/>
      <w:r w:rsidRPr="00590EDE">
        <w:rPr>
          <w:lang w:eastAsia="en-US"/>
        </w:rPr>
        <w:t>, galvos skausmas, svaigulys, karščiavimas, vėmimas, alerginės reakcijos, pykinimas, sąnarių skausmas, mažas kraujospūdis ir vidutinio stiprumo apatinės nugaros dalies skausmas;</w:t>
      </w:r>
    </w:p>
    <w:p w14:paraId="635D5F6A" w14:textId="77777777" w:rsidR="00A86D9E" w:rsidRPr="00590EDE" w:rsidRDefault="00A86D9E" w:rsidP="00A86D9E">
      <w:pPr>
        <w:numPr>
          <w:ilvl w:val="0"/>
          <w:numId w:val="5"/>
        </w:numPr>
        <w:overflowPunct/>
        <w:autoSpaceDE/>
        <w:autoSpaceDN/>
        <w:adjustRightInd/>
        <w:ind w:left="426" w:right="-29"/>
        <w:contextualSpacing/>
        <w:textAlignment w:val="auto"/>
        <w:rPr>
          <w:noProof/>
          <w:szCs w:val="22"/>
          <w:lang w:eastAsia="en-US"/>
        </w:rPr>
      </w:pPr>
      <w:r w:rsidRPr="00590EDE">
        <w:rPr>
          <w:lang w:eastAsia="en-US"/>
        </w:rPr>
        <w:t xml:space="preserve">sumažėjęs raudonųjų kraujo ląstelių </w:t>
      </w:r>
      <w:r>
        <w:rPr>
          <w:lang w:eastAsia="en-US"/>
        </w:rPr>
        <w:t>skaičius</w:t>
      </w:r>
      <w:r w:rsidRPr="00590EDE">
        <w:rPr>
          <w:lang w:eastAsia="en-US"/>
        </w:rPr>
        <w:t xml:space="preserve"> dėl šių ląstelių irimo kraujagyslėse ((grįžtamosios) hemolizinės reakcijos) ir (retai) hemolizinė anemija, kuriai gydyti gali prireikti kraujo perpylimo;</w:t>
      </w:r>
    </w:p>
    <w:p w14:paraId="10224665" w14:textId="77777777" w:rsidR="00A86D9E" w:rsidRPr="00590EDE" w:rsidRDefault="00A86D9E" w:rsidP="00A86D9E">
      <w:pPr>
        <w:numPr>
          <w:ilvl w:val="0"/>
          <w:numId w:val="5"/>
        </w:numPr>
        <w:shd w:val="clear" w:color="auto" w:fill="FFFFFF"/>
        <w:overflowPunct/>
        <w:autoSpaceDE/>
        <w:autoSpaceDN/>
        <w:adjustRightInd/>
        <w:ind w:left="426"/>
        <w:contextualSpacing/>
        <w:textAlignment w:val="auto"/>
        <w:rPr>
          <w:lang w:eastAsia="en-US"/>
        </w:rPr>
      </w:pPr>
      <w:r w:rsidRPr="00590EDE">
        <w:rPr>
          <w:lang w:eastAsia="en-US"/>
        </w:rPr>
        <w:t>(retai) staigus kraujospūdžio sumažėjimas ir pavieniais atvejais anafilaksinis šokas;</w:t>
      </w:r>
    </w:p>
    <w:p w14:paraId="0DF33EDA" w14:textId="77777777" w:rsidR="00A86D9E" w:rsidRPr="00590EDE" w:rsidRDefault="00A86D9E" w:rsidP="00A86D9E">
      <w:pPr>
        <w:numPr>
          <w:ilvl w:val="0"/>
          <w:numId w:val="5"/>
        </w:numPr>
        <w:shd w:val="clear" w:color="auto" w:fill="FFFFFF"/>
        <w:overflowPunct/>
        <w:autoSpaceDE/>
        <w:autoSpaceDN/>
        <w:adjustRightInd/>
        <w:ind w:left="426"/>
        <w:contextualSpacing/>
        <w:textAlignment w:val="auto"/>
        <w:rPr>
          <w:lang w:eastAsia="en-US"/>
        </w:rPr>
      </w:pPr>
      <w:r w:rsidRPr="00590EDE">
        <w:rPr>
          <w:lang w:eastAsia="en-US"/>
        </w:rPr>
        <w:t>(retai) trumpalaikės odos reakcijos (įskaitant odos raudonąją vilkligę, dažnis nežinomas);</w:t>
      </w:r>
    </w:p>
    <w:p w14:paraId="47BEE07A" w14:textId="77777777" w:rsidR="00A86D9E" w:rsidRPr="00590EDE" w:rsidRDefault="00A86D9E" w:rsidP="00A86D9E">
      <w:pPr>
        <w:numPr>
          <w:ilvl w:val="0"/>
          <w:numId w:val="5"/>
        </w:numPr>
        <w:shd w:val="clear" w:color="auto" w:fill="FFFFFF"/>
        <w:overflowPunct/>
        <w:autoSpaceDE/>
        <w:autoSpaceDN/>
        <w:adjustRightInd/>
        <w:ind w:left="426"/>
        <w:contextualSpacing/>
        <w:textAlignment w:val="auto"/>
        <w:rPr>
          <w:lang w:eastAsia="en-US"/>
        </w:rPr>
      </w:pPr>
      <w:r w:rsidRPr="00590EDE">
        <w:rPr>
          <w:lang w:eastAsia="en-US"/>
        </w:rPr>
        <w:lastRenderedPageBreak/>
        <w:t xml:space="preserve">(labai retai) </w:t>
      </w:r>
      <w:proofErr w:type="spellStart"/>
      <w:r w:rsidRPr="00590EDE">
        <w:rPr>
          <w:lang w:eastAsia="en-US"/>
        </w:rPr>
        <w:t>tromboembolinės</w:t>
      </w:r>
      <w:proofErr w:type="spellEnd"/>
      <w:r w:rsidRPr="00590EDE">
        <w:rPr>
          <w:lang w:eastAsia="en-US"/>
        </w:rPr>
        <w:t xml:space="preserve"> reakcijos, pvz., širdies smūgis (miokardo infarktas), insultas, kraujo krešuliai plaučių kraujagyslėse (plaučių embolija), kraujo krešuliai venoje (giliųjų venų trombozės);</w:t>
      </w:r>
    </w:p>
    <w:p w14:paraId="00B67367" w14:textId="77777777" w:rsidR="00A86D9E" w:rsidRPr="00590EDE" w:rsidRDefault="00A86D9E" w:rsidP="00A86D9E">
      <w:pPr>
        <w:numPr>
          <w:ilvl w:val="0"/>
          <w:numId w:val="5"/>
        </w:numPr>
        <w:shd w:val="clear" w:color="auto" w:fill="FFFFFF"/>
        <w:overflowPunct/>
        <w:autoSpaceDE/>
        <w:autoSpaceDN/>
        <w:adjustRightInd/>
        <w:ind w:left="426"/>
        <w:contextualSpacing/>
        <w:textAlignment w:val="auto"/>
        <w:rPr>
          <w:lang w:eastAsia="en-US"/>
        </w:rPr>
      </w:pPr>
      <w:r w:rsidRPr="00590EDE">
        <w:rPr>
          <w:lang w:eastAsia="en-US"/>
        </w:rPr>
        <w:t xml:space="preserve">apsauginių membranų, dengiančių galvos ir stuburo smegenis, laikinas ūminis uždegimas (grįžtamasis </w:t>
      </w:r>
      <w:proofErr w:type="spellStart"/>
      <w:r w:rsidRPr="00590EDE">
        <w:rPr>
          <w:lang w:eastAsia="en-US"/>
        </w:rPr>
        <w:t>aseptinis</w:t>
      </w:r>
      <w:proofErr w:type="spellEnd"/>
      <w:r w:rsidRPr="00590EDE">
        <w:rPr>
          <w:lang w:eastAsia="en-US"/>
        </w:rPr>
        <w:t xml:space="preserve"> meningitas);</w:t>
      </w:r>
    </w:p>
    <w:p w14:paraId="7275EA0A" w14:textId="77777777" w:rsidR="00A86D9E" w:rsidRPr="00590EDE" w:rsidRDefault="00A86D9E" w:rsidP="00A86D9E">
      <w:pPr>
        <w:numPr>
          <w:ilvl w:val="0"/>
          <w:numId w:val="5"/>
        </w:numPr>
        <w:shd w:val="clear" w:color="auto" w:fill="FFFFFF"/>
        <w:overflowPunct/>
        <w:autoSpaceDE/>
        <w:autoSpaceDN/>
        <w:adjustRightInd/>
        <w:ind w:left="426"/>
        <w:contextualSpacing/>
        <w:textAlignment w:val="auto"/>
        <w:rPr>
          <w:lang w:eastAsia="en-US"/>
        </w:rPr>
      </w:pPr>
      <w:r w:rsidRPr="00590EDE">
        <w:rPr>
          <w:color w:val="000000"/>
          <w:lang w:eastAsia="en-US"/>
        </w:rPr>
        <w:t>kraujo tyrimų rezultatų, rodančių pablogėjusią inkstų funkciją ir (arba) staigų inkstų nepakankamumą, atvejai;</w:t>
      </w:r>
    </w:p>
    <w:p w14:paraId="30A0879B" w14:textId="77777777" w:rsidR="00A86D9E" w:rsidRPr="00590EDE" w:rsidRDefault="00A86D9E" w:rsidP="00A86D9E">
      <w:pPr>
        <w:numPr>
          <w:ilvl w:val="0"/>
          <w:numId w:val="5"/>
        </w:numPr>
        <w:overflowPunct/>
        <w:autoSpaceDE/>
        <w:autoSpaceDN/>
        <w:adjustRightInd/>
        <w:ind w:left="426" w:right="-29"/>
        <w:contextualSpacing/>
        <w:textAlignment w:val="auto"/>
        <w:rPr>
          <w:noProof/>
          <w:szCs w:val="22"/>
          <w:lang w:eastAsia="en-US"/>
        </w:rPr>
      </w:pPr>
      <w:r w:rsidRPr="00590EDE">
        <w:rPr>
          <w:lang w:eastAsia="en-US"/>
        </w:rPr>
        <w:t xml:space="preserve">su kraujo perpylimu susijusio ūminio plaučių pažeidimo (angl. </w:t>
      </w:r>
      <w:proofErr w:type="spellStart"/>
      <w:r w:rsidRPr="00590EDE">
        <w:rPr>
          <w:i/>
          <w:iCs/>
          <w:lang w:eastAsia="en-US"/>
        </w:rPr>
        <w:t>Transfusion</w:t>
      </w:r>
      <w:proofErr w:type="spellEnd"/>
      <w:r w:rsidRPr="00590EDE">
        <w:rPr>
          <w:i/>
          <w:iCs/>
          <w:lang w:eastAsia="en-US"/>
        </w:rPr>
        <w:t xml:space="preserve"> </w:t>
      </w:r>
      <w:proofErr w:type="spellStart"/>
      <w:r w:rsidRPr="00590EDE">
        <w:rPr>
          <w:i/>
          <w:iCs/>
          <w:lang w:eastAsia="en-US"/>
        </w:rPr>
        <w:t>Related</w:t>
      </w:r>
      <w:proofErr w:type="spellEnd"/>
      <w:r w:rsidRPr="00590EDE">
        <w:rPr>
          <w:i/>
          <w:iCs/>
          <w:lang w:eastAsia="en-US"/>
        </w:rPr>
        <w:t xml:space="preserve"> </w:t>
      </w:r>
      <w:proofErr w:type="spellStart"/>
      <w:r w:rsidRPr="00590EDE">
        <w:rPr>
          <w:i/>
          <w:iCs/>
          <w:lang w:eastAsia="en-US"/>
        </w:rPr>
        <w:t>Acute</w:t>
      </w:r>
      <w:proofErr w:type="spellEnd"/>
      <w:r w:rsidRPr="00590EDE">
        <w:rPr>
          <w:i/>
          <w:iCs/>
          <w:lang w:eastAsia="en-US"/>
        </w:rPr>
        <w:t xml:space="preserve"> </w:t>
      </w:r>
      <w:proofErr w:type="spellStart"/>
      <w:r w:rsidRPr="00590EDE">
        <w:rPr>
          <w:i/>
          <w:iCs/>
          <w:lang w:eastAsia="en-US"/>
        </w:rPr>
        <w:t>Lung</w:t>
      </w:r>
      <w:proofErr w:type="spellEnd"/>
      <w:r w:rsidRPr="00590EDE">
        <w:rPr>
          <w:i/>
          <w:iCs/>
          <w:lang w:eastAsia="en-US"/>
        </w:rPr>
        <w:t xml:space="preserve"> </w:t>
      </w:r>
      <w:proofErr w:type="spellStart"/>
      <w:r w:rsidRPr="00590EDE">
        <w:rPr>
          <w:i/>
          <w:iCs/>
          <w:lang w:eastAsia="en-US"/>
        </w:rPr>
        <w:t>Injury</w:t>
      </w:r>
      <w:proofErr w:type="spellEnd"/>
      <w:r w:rsidRPr="00590EDE">
        <w:rPr>
          <w:lang w:eastAsia="en-US"/>
        </w:rPr>
        <w:t xml:space="preserve">, TRALI) atvejai. </w:t>
      </w:r>
      <w:r w:rsidRPr="00590EDE">
        <w:rPr>
          <w:color w:val="000000"/>
          <w:lang w:eastAsia="en-US"/>
        </w:rPr>
        <w:t>Tai sukels su širdimi nesusijusį skysčio kaupimąsi plaučių oro tarpuose (</w:t>
      </w:r>
      <w:proofErr w:type="spellStart"/>
      <w:r w:rsidRPr="00590EDE">
        <w:rPr>
          <w:color w:val="000000"/>
          <w:lang w:eastAsia="en-US"/>
        </w:rPr>
        <w:t>nekardiogeninę</w:t>
      </w:r>
      <w:proofErr w:type="spellEnd"/>
      <w:r w:rsidRPr="00590EDE">
        <w:rPr>
          <w:color w:val="000000"/>
          <w:lang w:eastAsia="en-US"/>
        </w:rPr>
        <w:t xml:space="preserve"> plaučių edemą). Jums pasireikš sunkus kvėpavimo pasunkėjimas (kvėpavimo </w:t>
      </w:r>
      <w:proofErr w:type="spellStart"/>
      <w:r w:rsidRPr="00590EDE">
        <w:rPr>
          <w:color w:val="000000"/>
          <w:lang w:eastAsia="en-US"/>
        </w:rPr>
        <w:t>distresas</w:t>
      </w:r>
      <w:proofErr w:type="spellEnd"/>
      <w:r w:rsidRPr="00590EDE">
        <w:rPr>
          <w:color w:val="000000"/>
          <w:lang w:eastAsia="en-US"/>
        </w:rPr>
        <w:t>), greitas kvėpavimas (</w:t>
      </w:r>
      <w:proofErr w:type="spellStart"/>
      <w:r w:rsidRPr="00590EDE">
        <w:rPr>
          <w:color w:val="000000"/>
          <w:lang w:eastAsia="en-US"/>
        </w:rPr>
        <w:t>tachipnėja</w:t>
      </w:r>
      <w:proofErr w:type="spellEnd"/>
      <w:r w:rsidRPr="00590EDE">
        <w:rPr>
          <w:color w:val="000000"/>
          <w:lang w:eastAsia="en-US"/>
        </w:rPr>
        <w:t>), nenormaliai maža deguonies koncentracija kraujyje (hipoksija) ir padidėjusi kūno temperatūra (karščiavimas).</w:t>
      </w:r>
      <w:r w:rsidRPr="00590EDE">
        <w:rPr>
          <w:lang w:eastAsia="en-US"/>
        </w:rPr>
        <w:t xml:space="preserve"> </w:t>
      </w:r>
    </w:p>
    <w:p w14:paraId="197F21FF" w14:textId="77777777" w:rsidR="00A86D9E" w:rsidRPr="00590EDE" w:rsidRDefault="00A86D9E" w:rsidP="00A86D9E">
      <w:pPr>
        <w:overflowPunct/>
        <w:autoSpaceDE/>
        <w:autoSpaceDN/>
        <w:adjustRightInd/>
        <w:textAlignment w:val="auto"/>
        <w:rPr>
          <w:lang w:eastAsia="en-US"/>
        </w:rPr>
      </w:pPr>
    </w:p>
    <w:p w14:paraId="3D480190" w14:textId="77777777" w:rsidR="00A86D9E" w:rsidRPr="00590EDE" w:rsidRDefault="00A86D9E" w:rsidP="00A86D9E">
      <w:pPr>
        <w:overflowPunct/>
        <w:autoSpaceDE/>
        <w:autoSpaceDN/>
        <w:adjustRightInd/>
        <w:textAlignment w:val="auto"/>
        <w:rPr>
          <w:lang w:eastAsia="en-US"/>
        </w:rPr>
      </w:pPr>
      <w:r w:rsidRPr="00590EDE">
        <w:rPr>
          <w:lang w:eastAsia="en-US"/>
        </w:rPr>
        <w:t>Jeigu pasireiškia šalutinis poveikis, bus sumažintas infuzijos greitis arba bus sustabdyta infuzija.</w:t>
      </w:r>
    </w:p>
    <w:p w14:paraId="0E70C78F" w14:textId="77777777" w:rsidR="00A86D9E" w:rsidRPr="00590EDE" w:rsidRDefault="00A86D9E" w:rsidP="00A86D9E">
      <w:pPr>
        <w:widowControl w:val="0"/>
        <w:overflowPunct/>
        <w:autoSpaceDE/>
        <w:autoSpaceDN/>
        <w:adjustRightInd/>
        <w:ind w:right="-2"/>
        <w:textAlignment w:val="auto"/>
        <w:rPr>
          <w:lang w:eastAsia="en-US"/>
        </w:rPr>
      </w:pPr>
    </w:p>
    <w:p w14:paraId="17A46F0D" w14:textId="77777777" w:rsidR="00A86D9E" w:rsidRPr="00590EDE" w:rsidRDefault="00A86D9E" w:rsidP="00A86D9E">
      <w:pPr>
        <w:numPr>
          <w:ilvl w:val="12"/>
          <w:numId w:val="0"/>
        </w:numPr>
        <w:overflowPunct/>
        <w:autoSpaceDE/>
        <w:autoSpaceDN/>
        <w:adjustRightInd/>
        <w:textAlignment w:val="auto"/>
        <w:outlineLvl w:val="0"/>
        <w:rPr>
          <w:b/>
          <w:noProof/>
          <w:szCs w:val="22"/>
          <w:lang w:eastAsia="en-US"/>
        </w:rPr>
      </w:pPr>
      <w:r w:rsidRPr="00590EDE">
        <w:rPr>
          <w:b/>
          <w:lang w:eastAsia="en-US"/>
        </w:rPr>
        <w:t>Pranešimas apie šalutinį poveikį</w:t>
      </w:r>
    </w:p>
    <w:p w14:paraId="1A44FEBF" w14:textId="77777777" w:rsidR="00A86D9E" w:rsidRDefault="00A86D9E" w:rsidP="00A86D9E">
      <w:pPr>
        <w:ind w:right="-449"/>
        <w:rPr>
          <w:snapToGrid w:val="0"/>
        </w:rPr>
      </w:pPr>
      <w:r w:rsidRPr="005D554B">
        <w:rPr>
          <w:snapToGrid w:val="0"/>
        </w:rPr>
        <w:t>Jeigu pasireiškė šalutinis poveikis, įskaitant šiame l</w:t>
      </w:r>
      <w:r>
        <w:rPr>
          <w:snapToGrid w:val="0"/>
        </w:rPr>
        <w:t xml:space="preserve">apelyje nenurodytą, pasakykite gydytojui </w:t>
      </w:r>
      <w:r w:rsidRPr="005D554B">
        <w:rPr>
          <w:snapToGrid w:val="0"/>
        </w:rPr>
        <w:t>arba</w:t>
      </w:r>
      <w:r>
        <w:rPr>
          <w:snapToGrid w:val="0"/>
        </w:rPr>
        <w:t xml:space="preserve"> </w:t>
      </w:r>
      <w:r w:rsidRPr="005D554B">
        <w:rPr>
          <w:snapToGrid w:val="0"/>
        </w:rPr>
        <w:t>vaistininkui. Pranešimą apie šalutinį poveikį galite pateikti šiais būdais: tiesiogiai užpildant formą internetu Valstybinė vaistų kontrolės tarnybos prie Lietuvos Respublikos sveikatos apsaugos ministerijos</w:t>
      </w:r>
      <w:r>
        <w:rPr>
          <w:snapToGrid w:val="0"/>
        </w:rPr>
        <w:t xml:space="preserve"> </w:t>
      </w:r>
    </w:p>
    <w:p w14:paraId="63EDA1A1" w14:textId="77777777" w:rsidR="00A86D9E" w:rsidRDefault="00A86D9E" w:rsidP="00A86D9E">
      <w:pPr>
        <w:ind w:right="-449"/>
        <w:rPr>
          <w:rFonts w:eastAsia="Calibri"/>
          <w:noProof/>
          <w:szCs w:val="22"/>
          <w:lang w:val="es-ES_tradnl" w:eastAsia="zh-CN"/>
        </w:rPr>
      </w:pPr>
      <w:r>
        <w:rPr>
          <w:rFonts w:eastAsia="Calibri"/>
          <w:noProof/>
          <w:szCs w:val="22"/>
          <w:lang w:val="es-ES_tradnl" w:eastAsia="zh-CN"/>
        </w:rPr>
        <w:t>Tel.: +370 800 73 568.</w:t>
      </w:r>
    </w:p>
    <w:p w14:paraId="2E5E78D4" w14:textId="77777777" w:rsidR="00A86D9E" w:rsidRDefault="00A86D9E" w:rsidP="00A86D9E">
      <w:pPr>
        <w:rPr>
          <w:rFonts w:eastAsia="Calibri"/>
          <w:color w:val="000000"/>
          <w:szCs w:val="22"/>
        </w:rPr>
      </w:pPr>
      <w:r w:rsidRPr="00C673CB">
        <w:rPr>
          <w:rFonts w:eastAsia="Calibri"/>
          <w:color w:val="000000"/>
          <w:szCs w:val="22"/>
        </w:rPr>
        <w:t>Informacija pranešimo formos pildymui ir pateikimui:</w:t>
      </w:r>
      <w:r>
        <w:rPr>
          <w:rFonts w:eastAsia="Calibri"/>
          <w:color w:val="000000"/>
          <w:szCs w:val="22"/>
        </w:rPr>
        <w:t xml:space="preserve"> </w:t>
      </w:r>
      <w:hyperlink r:id="rId5" w:history="1">
        <w:r w:rsidRPr="006F756F">
          <w:rPr>
            <w:rStyle w:val="Hipersaitas"/>
            <w:rFonts w:eastAsia="Calibri"/>
            <w:szCs w:val="22"/>
          </w:rPr>
          <w:t>https://vvkt.lrv.lt/lt/</w:t>
        </w:r>
      </w:hyperlink>
    </w:p>
    <w:p w14:paraId="794E2099" w14:textId="77777777" w:rsidR="00A86D9E" w:rsidRDefault="00A86D9E" w:rsidP="00A86D9E">
      <w:pPr>
        <w:tabs>
          <w:tab w:val="left" w:pos="567"/>
        </w:tabs>
        <w:spacing w:line="260" w:lineRule="exact"/>
        <w:ind w:right="-1"/>
        <w:rPr>
          <w:lang w:eastAsia="en-US"/>
        </w:rPr>
      </w:pPr>
    </w:p>
    <w:p w14:paraId="454587A4" w14:textId="77777777" w:rsidR="00A86D9E" w:rsidRPr="00590EDE" w:rsidRDefault="00A86D9E" w:rsidP="00A86D9E">
      <w:pPr>
        <w:widowControl w:val="0"/>
        <w:overflowPunct/>
        <w:autoSpaceDE/>
        <w:autoSpaceDN/>
        <w:adjustRightInd/>
        <w:textAlignment w:val="auto"/>
        <w:rPr>
          <w:lang w:eastAsia="en-US"/>
        </w:rPr>
      </w:pPr>
    </w:p>
    <w:p w14:paraId="17717460" w14:textId="77777777" w:rsidR="00A86D9E" w:rsidRPr="00396A96" w:rsidRDefault="00A86D9E" w:rsidP="00A86D9E">
      <w:pPr>
        <w:numPr>
          <w:ilvl w:val="12"/>
          <w:numId w:val="0"/>
        </w:numPr>
        <w:overflowPunct/>
        <w:autoSpaceDE/>
        <w:autoSpaceDN/>
        <w:adjustRightInd/>
        <w:ind w:left="567" w:right="-2" w:hanging="567"/>
        <w:textAlignment w:val="auto"/>
        <w:rPr>
          <w:noProof/>
          <w:szCs w:val="22"/>
          <w:lang w:eastAsia="en-US"/>
        </w:rPr>
      </w:pPr>
      <w:r w:rsidRPr="00396A96">
        <w:rPr>
          <w:b/>
          <w:noProof/>
          <w:szCs w:val="22"/>
          <w:lang w:eastAsia="en-US"/>
        </w:rPr>
        <w:t xml:space="preserve">5. </w:t>
      </w:r>
      <w:r>
        <w:rPr>
          <w:b/>
          <w:noProof/>
          <w:szCs w:val="22"/>
          <w:lang w:eastAsia="en-US"/>
        </w:rPr>
        <w:tab/>
      </w:r>
      <w:r w:rsidRPr="00396A96">
        <w:rPr>
          <w:b/>
          <w:noProof/>
          <w:szCs w:val="22"/>
          <w:lang w:eastAsia="en-US"/>
        </w:rPr>
        <w:t xml:space="preserve">Kaip laikyti </w:t>
      </w:r>
      <w:proofErr w:type="spellStart"/>
      <w:r w:rsidRPr="00B03389">
        <w:rPr>
          <w:b/>
        </w:rPr>
        <w:t>Hepetra</w:t>
      </w:r>
      <w:proofErr w:type="spellEnd"/>
    </w:p>
    <w:p w14:paraId="768A3986" w14:textId="77777777" w:rsidR="00A86D9E" w:rsidRDefault="00A86D9E" w:rsidP="00A86D9E">
      <w:pPr>
        <w:widowControl w:val="0"/>
        <w:overflowPunct/>
        <w:autoSpaceDE/>
        <w:autoSpaceDN/>
        <w:adjustRightInd/>
        <w:ind w:right="-2"/>
        <w:textAlignment w:val="auto"/>
        <w:rPr>
          <w:lang w:eastAsia="en-US"/>
        </w:rPr>
      </w:pPr>
    </w:p>
    <w:p w14:paraId="2FCDC1CB" w14:textId="77777777" w:rsidR="00A86D9E" w:rsidRPr="00590EDE" w:rsidRDefault="00A86D9E" w:rsidP="00A86D9E">
      <w:pPr>
        <w:widowControl w:val="0"/>
        <w:overflowPunct/>
        <w:autoSpaceDE/>
        <w:autoSpaceDN/>
        <w:adjustRightInd/>
        <w:ind w:right="-2"/>
        <w:textAlignment w:val="auto"/>
        <w:rPr>
          <w:lang w:eastAsia="en-US"/>
        </w:rPr>
      </w:pPr>
      <w:r w:rsidRPr="00590EDE">
        <w:rPr>
          <w:lang w:eastAsia="en-US"/>
        </w:rPr>
        <w:t>Šį vaistą laikykite vaikams nepastebimoje ir nepasiekiamoje vietoje.</w:t>
      </w:r>
    </w:p>
    <w:p w14:paraId="039042D2" w14:textId="77777777" w:rsidR="00A86D9E" w:rsidRPr="00590EDE" w:rsidRDefault="00A86D9E" w:rsidP="00A86D9E">
      <w:pPr>
        <w:widowControl w:val="0"/>
        <w:overflowPunct/>
        <w:autoSpaceDE/>
        <w:autoSpaceDN/>
        <w:adjustRightInd/>
        <w:ind w:right="-2"/>
        <w:textAlignment w:val="auto"/>
        <w:rPr>
          <w:lang w:eastAsia="en-US"/>
        </w:rPr>
      </w:pPr>
    </w:p>
    <w:p w14:paraId="50601CFF" w14:textId="77777777" w:rsidR="00A86D9E" w:rsidRPr="00590EDE" w:rsidRDefault="00A86D9E" w:rsidP="00A86D9E">
      <w:pPr>
        <w:widowControl w:val="0"/>
        <w:overflowPunct/>
        <w:autoSpaceDE/>
        <w:autoSpaceDN/>
        <w:adjustRightInd/>
        <w:ind w:right="-2"/>
        <w:textAlignment w:val="auto"/>
        <w:rPr>
          <w:noProof/>
          <w:lang w:eastAsia="en-US"/>
        </w:rPr>
      </w:pPr>
      <w:r w:rsidRPr="00590EDE">
        <w:rPr>
          <w:lang w:eastAsia="en-US"/>
        </w:rPr>
        <w:t xml:space="preserve">Ant išorinės dėžutės </w:t>
      </w:r>
      <w:r>
        <w:rPr>
          <w:lang w:eastAsia="en-US"/>
        </w:rPr>
        <w:t xml:space="preserve">po „Tinka iki“ </w:t>
      </w:r>
      <w:r w:rsidRPr="00590EDE">
        <w:rPr>
          <w:lang w:eastAsia="en-US"/>
        </w:rPr>
        <w:t xml:space="preserve">ir flakono </w:t>
      </w:r>
      <w:r>
        <w:rPr>
          <w:lang w:eastAsia="en-US"/>
        </w:rPr>
        <w:t xml:space="preserve">etiketės po „EXP“ ar „Tinka iki“ </w:t>
      </w:r>
      <w:r w:rsidRPr="00590EDE">
        <w:rPr>
          <w:lang w:eastAsia="en-US"/>
        </w:rPr>
        <w:t xml:space="preserve">nurodytam tinkamumo laikui pasibaigus, šio vaisto vartoti negalima. </w:t>
      </w:r>
    </w:p>
    <w:p w14:paraId="12455102" w14:textId="77777777" w:rsidR="00A86D9E" w:rsidRPr="00590EDE" w:rsidRDefault="00A86D9E" w:rsidP="00A86D9E">
      <w:pPr>
        <w:widowControl w:val="0"/>
        <w:overflowPunct/>
        <w:autoSpaceDE/>
        <w:autoSpaceDN/>
        <w:adjustRightInd/>
        <w:ind w:right="-2"/>
        <w:textAlignment w:val="auto"/>
        <w:rPr>
          <w:lang w:eastAsia="en-US"/>
        </w:rPr>
      </w:pPr>
    </w:p>
    <w:p w14:paraId="08418290" w14:textId="77777777" w:rsidR="00A86D9E" w:rsidRPr="00590EDE" w:rsidRDefault="00A86D9E" w:rsidP="00A86D9E">
      <w:pPr>
        <w:widowControl w:val="0"/>
        <w:overflowPunct/>
        <w:autoSpaceDE/>
        <w:autoSpaceDN/>
        <w:adjustRightInd/>
        <w:ind w:right="-2"/>
        <w:textAlignment w:val="auto"/>
        <w:rPr>
          <w:lang w:eastAsia="en-US"/>
        </w:rPr>
      </w:pPr>
      <w:r w:rsidRPr="00590EDE">
        <w:rPr>
          <w:lang w:eastAsia="en-US"/>
        </w:rPr>
        <w:t>Flakoną laikyti išorinėje dėžutėje, kad vaistas būtų apsaugotas nuo šviesos. Laikyti šaldytuve (2°C – 8°C). Negalima užšaldyti.</w:t>
      </w:r>
    </w:p>
    <w:p w14:paraId="543A70B4" w14:textId="77777777" w:rsidR="00A86D9E" w:rsidRPr="00590EDE" w:rsidRDefault="00A86D9E" w:rsidP="00A86D9E">
      <w:pPr>
        <w:widowControl w:val="0"/>
        <w:overflowPunct/>
        <w:autoSpaceDE/>
        <w:autoSpaceDN/>
        <w:adjustRightInd/>
        <w:ind w:right="-2"/>
        <w:textAlignment w:val="auto"/>
        <w:rPr>
          <w:lang w:eastAsia="en-US"/>
        </w:rPr>
      </w:pPr>
    </w:p>
    <w:p w14:paraId="6102918A" w14:textId="77777777" w:rsidR="00A86D9E" w:rsidRPr="00590EDE" w:rsidRDefault="00A86D9E" w:rsidP="00A86D9E">
      <w:pPr>
        <w:overflowPunct/>
        <w:autoSpaceDE/>
        <w:autoSpaceDN/>
        <w:adjustRightInd/>
        <w:textAlignment w:val="auto"/>
        <w:rPr>
          <w:lang w:eastAsia="en-US"/>
        </w:rPr>
      </w:pPr>
      <w:r w:rsidRPr="00590EDE">
        <w:rPr>
          <w:lang w:eastAsia="en-US"/>
        </w:rPr>
        <w:t>Tirpalas turi būti skaidrus arba šiek tiek opalinis ir bespalvis arba šviesiai geltonas. Tirpalų, kurie yra drumsti arba su nuosėdomis, vartoti negalima.</w:t>
      </w:r>
    </w:p>
    <w:p w14:paraId="3A964768" w14:textId="77777777" w:rsidR="00A86D9E" w:rsidRPr="00590EDE" w:rsidRDefault="00A86D9E" w:rsidP="00A86D9E">
      <w:pPr>
        <w:widowControl w:val="0"/>
        <w:overflowPunct/>
        <w:autoSpaceDE/>
        <w:autoSpaceDN/>
        <w:adjustRightInd/>
        <w:ind w:right="-2"/>
        <w:textAlignment w:val="auto"/>
        <w:rPr>
          <w:lang w:eastAsia="en-US"/>
        </w:rPr>
      </w:pPr>
    </w:p>
    <w:p w14:paraId="323E2651" w14:textId="77777777" w:rsidR="00A86D9E" w:rsidRPr="00590EDE" w:rsidRDefault="00A86D9E" w:rsidP="00A86D9E">
      <w:pPr>
        <w:overflowPunct/>
        <w:autoSpaceDE/>
        <w:autoSpaceDN/>
        <w:adjustRightInd/>
        <w:textAlignment w:val="auto"/>
        <w:rPr>
          <w:lang w:eastAsia="en-US"/>
        </w:rPr>
      </w:pPr>
      <w:r w:rsidRPr="00590EDE">
        <w:rPr>
          <w:lang w:eastAsia="en-US"/>
        </w:rPr>
        <w:t xml:space="preserve">Atidarius </w:t>
      </w:r>
      <w:proofErr w:type="spellStart"/>
      <w:r w:rsidRPr="00590EDE">
        <w:rPr>
          <w:lang w:eastAsia="en-US"/>
        </w:rPr>
        <w:t>talpyklę</w:t>
      </w:r>
      <w:proofErr w:type="spellEnd"/>
      <w:r w:rsidRPr="00590EDE">
        <w:rPr>
          <w:lang w:eastAsia="en-US"/>
        </w:rPr>
        <w:t>, tirpalą reikia nedelsiant suleisti. Prieš vartojant vaist</w:t>
      </w:r>
      <w:r>
        <w:rPr>
          <w:lang w:eastAsia="en-US"/>
        </w:rPr>
        <w:t>as</w:t>
      </w:r>
      <w:r w:rsidRPr="00590EDE">
        <w:rPr>
          <w:lang w:eastAsia="en-US"/>
        </w:rPr>
        <w:t xml:space="preserve"> turi pasiekti kambario arba kūno temperatūrą. </w:t>
      </w:r>
    </w:p>
    <w:p w14:paraId="1550BA7C" w14:textId="77777777" w:rsidR="00A86D9E" w:rsidRPr="00590EDE" w:rsidRDefault="00A86D9E" w:rsidP="00A86D9E">
      <w:pPr>
        <w:widowControl w:val="0"/>
        <w:overflowPunct/>
        <w:autoSpaceDE/>
        <w:autoSpaceDN/>
        <w:adjustRightInd/>
        <w:ind w:right="-2"/>
        <w:textAlignment w:val="auto"/>
        <w:rPr>
          <w:lang w:eastAsia="en-US"/>
        </w:rPr>
      </w:pPr>
    </w:p>
    <w:p w14:paraId="550EDE58" w14:textId="77777777" w:rsidR="00A86D9E" w:rsidRPr="00590EDE" w:rsidRDefault="00A86D9E" w:rsidP="00A86D9E">
      <w:pPr>
        <w:widowControl w:val="0"/>
        <w:overflowPunct/>
        <w:autoSpaceDE/>
        <w:autoSpaceDN/>
        <w:adjustRightInd/>
        <w:ind w:right="-2"/>
        <w:textAlignment w:val="auto"/>
        <w:rPr>
          <w:lang w:eastAsia="en-US"/>
        </w:rPr>
      </w:pPr>
      <w:r w:rsidRPr="00590EDE">
        <w:rPr>
          <w:lang w:eastAsia="en-US"/>
        </w:rPr>
        <w:t>Vaistų negalima išmesti kanalizaciją arba su buitinėmis atliekomis. Kaip išmesti nereikalingus vaistus, klauskite vaistininko. Šios priemonės padės apsaugoti aplinką.</w:t>
      </w:r>
    </w:p>
    <w:p w14:paraId="3674B1C2" w14:textId="77777777" w:rsidR="00A86D9E" w:rsidRDefault="00A86D9E" w:rsidP="00A86D9E">
      <w:pPr>
        <w:widowControl w:val="0"/>
        <w:overflowPunct/>
        <w:autoSpaceDE/>
        <w:autoSpaceDN/>
        <w:adjustRightInd/>
        <w:ind w:left="567" w:right="-2" w:hanging="567"/>
        <w:textAlignment w:val="auto"/>
        <w:rPr>
          <w:b/>
          <w:lang w:eastAsia="en-US"/>
        </w:rPr>
      </w:pPr>
    </w:p>
    <w:p w14:paraId="35D42682" w14:textId="77777777" w:rsidR="00A86D9E" w:rsidRDefault="00A86D9E" w:rsidP="00A86D9E">
      <w:pPr>
        <w:widowControl w:val="0"/>
        <w:overflowPunct/>
        <w:autoSpaceDE/>
        <w:autoSpaceDN/>
        <w:adjustRightInd/>
        <w:ind w:left="567" w:right="-2" w:hanging="567"/>
        <w:textAlignment w:val="auto"/>
        <w:rPr>
          <w:b/>
          <w:lang w:eastAsia="en-US"/>
        </w:rPr>
      </w:pPr>
    </w:p>
    <w:p w14:paraId="26D62A8F" w14:textId="77777777" w:rsidR="00A86D9E" w:rsidRPr="00B632D7" w:rsidRDefault="00A86D9E" w:rsidP="00A86D9E">
      <w:pPr>
        <w:widowControl w:val="0"/>
        <w:overflowPunct/>
        <w:autoSpaceDE/>
        <w:autoSpaceDN/>
        <w:adjustRightInd/>
        <w:ind w:left="567" w:right="-2" w:hanging="567"/>
        <w:textAlignment w:val="auto"/>
        <w:rPr>
          <w:b/>
          <w:lang w:eastAsia="en-US"/>
        </w:rPr>
      </w:pPr>
      <w:r w:rsidRPr="00B632D7">
        <w:rPr>
          <w:b/>
          <w:lang w:eastAsia="en-US"/>
        </w:rPr>
        <w:t xml:space="preserve">6. </w:t>
      </w:r>
      <w:r>
        <w:rPr>
          <w:b/>
          <w:lang w:eastAsia="en-US"/>
        </w:rPr>
        <w:tab/>
      </w:r>
      <w:r w:rsidRPr="00B632D7">
        <w:rPr>
          <w:b/>
          <w:lang w:eastAsia="en-US"/>
        </w:rPr>
        <w:t>Pakuotės turinys ir kita informacija</w:t>
      </w:r>
    </w:p>
    <w:p w14:paraId="012B87EB" w14:textId="77777777" w:rsidR="00A86D9E" w:rsidRPr="00590EDE" w:rsidRDefault="00A86D9E" w:rsidP="00A86D9E">
      <w:pPr>
        <w:widowControl w:val="0"/>
        <w:overflowPunct/>
        <w:autoSpaceDE/>
        <w:autoSpaceDN/>
        <w:adjustRightInd/>
        <w:ind w:left="567" w:right="-2" w:hanging="567"/>
        <w:textAlignment w:val="auto"/>
        <w:rPr>
          <w:b/>
          <w:lang w:eastAsia="en-US"/>
        </w:rPr>
      </w:pPr>
    </w:p>
    <w:p w14:paraId="7E09FF49" w14:textId="77777777" w:rsidR="00A86D9E" w:rsidRPr="00590EDE" w:rsidRDefault="00A86D9E" w:rsidP="00A86D9E">
      <w:pPr>
        <w:widowControl w:val="0"/>
        <w:overflowPunct/>
        <w:autoSpaceDE/>
        <w:autoSpaceDN/>
        <w:adjustRightInd/>
        <w:ind w:right="-2"/>
        <w:textAlignment w:val="auto"/>
        <w:rPr>
          <w:b/>
          <w:lang w:eastAsia="en-US"/>
        </w:rPr>
      </w:pPr>
      <w:proofErr w:type="spellStart"/>
      <w:r w:rsidRPr="00B03389">
        <w:rPr>
          <w:b/>
        </w:rPr>
        <w:t>Hepetra</w:t>
      </w:r>
      <w:proofErr w:type="spellEnd"/>
      <w:r w:rsidRPr="00590EDE">
        <w:rPr>
          <w:b/>
          <w:lang w:eastAsia="en-US"/>
        </w:rPr>
        <w:t xml:space="preserve"> sudėtis</w:t>
      </w:r>
    </w:p>
    <w:p w14:paraId="60938735" w14:textId="77777777" w:rsidR="00A86D9E" w:rsidRPr="00590EDE" w:rsidRDefault="00A86D9E" w:rsidP="00A86D9E">
      <w:pPr>
        <w:numPr>
          <w:ilvl w:val="0"/>
          <w:numId w:val="3"/>
        </w:numPr>
        <w:overflowPunct/>
        <w:autoSpaceDE/>
        <w:autoSpaceDN/>
        <w:adjustRightInd/>
        <w:ind w:left="360"/>
        <w:textAlignment w:val="auto"/>
        <w:rPr>
          <w:lang w:eastAsia="en-US"/>
        </w:rPr>
      </w:pPr>
      <w:proofErr w:type="spellStart"/>
      <w:r>
        <w:t>Hepetra</w:t>
      </w:r>
      <w:proofErr w:type="spellEnd"/>
      <w:r w:rsidRPr="00590EDE">
        <w:rPr>
          <w:lang w:eastAsia="en-US"/>
        </w:rPr>
        <w:t xml:space="preserve"> veiklioji medžiaga yra žmogaus hepatito B imunoglobulinas, skirtas leisti į veną.</w:t>
      </w:r>
    </w:p>
    <w:p w14:paraId="16B6F305" w14:textId="77777777" w:rsidR="00A86D9E" w:rsidRPr="00590EDE" w:rsidRDefault="00A86D9E" w:rsidP="00A86D9E">
      <w:pPr>
        <w:overflowPunct/>
        <w:autoSpaceDE/>
        <w:autoSpaceDN/>
        <w:adjustRightInd/>
        <w:ind w:left="360"/>
        <w:textAlignment w:val="auto"/>
        <w:rPr>
          <w:lang w:eastAsia="en-US"/>
        </w:rPr>
      </w:pPr>
      <w:proofErr w:type="spellStart"/>
      <w:r>
        <w:t>Hepetra</w:t>
      </w:r>
      <w:proofErr w:type="spellEnd"/>
      <w:r w:rsidRPr="00590EDE">
        <w:rPr>
          <w:lang w:eastAsia="en-US"/>
        </w:rPr>
        <w:t xml:space="preserve"> sudėtyje yra 50 mg/ml žmogaus plazmos baltymo, kurio ne mažiau kaip 96 % sudaro imunoglobulinas G (</w:t>
      </w:r>
      <w:proofErr w:type="spellStart"/>
      <w:r w:rsidRPr="00590EDE">
        <w:rPr>
          <w:lang w:eastAsia="en-US"/>
        </w:rPr>
        <w:t>IgG</w:t>
      </w:r>
      <w:proofErr w:type="spellEnd"/>
      <w:r w:rsidRPr="00590EDE">
        <w:rPr>
          <w:lang w:eastAsia="en-US"/>
        </w:rPr>
        <w:t>). Hepatito B antikūno kiekis yra ne mažiau kaip 50 TV/ml. Didžiausias imunoglobulino A (</w:t>
      </w:r>
      <w:proofErr w:type="spellStart"/>
      <w:r w:rsidRPr="00590EDE">
        <w:rPr>
          <w:lang w:eastAsia="en-US"/>
        </w:rPr>
        <w:t>IgA</w:t>
      </w:r>
      <w:proofErr w:type="spellEnd"/>
      <w:r w:rsidRPr="00590EDE">
        <w:rPr>
          <w:lang w:eastAsia="en-US"/>
        </w:rPr>
        <w:t xml:space="preserve"> ) kiekis yra 2 000 </w:t>
      </w:r>
      <w:proofErr w:type="spellStart"/>
      <w:r w:rsidRPr="00590EDE">
        <w:rPr>
          <w:lang w:eastAsia="en-US"/>
        </w:rPr>
        <w:t>mikrogramų</w:t>
      </w:r>
      <w:proofErr w:type="spellEnd"/>
      <w:r w:rsidRPr="00590EDE">
        <w:rPr>
          <w:lang w:eastAsia="en-US"/>
        </w:rPr>
        <w:t xml:space="preserve">/ml. </w:t>
      </w:r>
      <w:proofErr w:type="spellStart"/>
      <w:r w:rsidRPr="00590EDE">
        <w:rPr>
          <w:lang w:eastAsia="en-US"/>
        </w:rPr>
        <w:t>IgG</w:t>
      </w:r>
      <w:proofErr w:type="spellEnd"/>
      <w:r w:rsidRPr="00590EDE">
        <w:rPr>
          <w:lang w:eastAsia="en-US"/>
        </w:rPr>
        <w:t xml:space="preserve"> poklasių pasiskirstymas yra maždaug 59 % IgG1, 35 % IgG2, 3 % IgG3 ir 3 % IgG4.</w:t>
      </w:r>
    </w:p>
    <w:p w14:paraId="0395B67A"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Pagalbinės medžiagos yra glicinas ir injekcinis vanduo.</w:t>
      </w:r>
    </w:p>
    <w:p w14:paraId="21860784" w14:textId="77777777" w:rsidR="00A86D9E" w:rsidRPr="00590EDE" w:rsidRDefault="00A86D9E" w:rsidP="00A86D9E">
      <w:pPr>
        <w:widowControl w:val="0"/>
        <w:overflowPunct/>
        <w:autoSpaceDE/>
        <w:autoSpaceDN/>
        <w:adjustRightInd/>
        <w:ind w:right="-2"/>
        <w:textAlignment w:val="auto"/>
        <w:rPr>
          <w:lang w:val="pt-PT" w:eastAsia="en-US"/>
        </w:rPr>
      </w:pPr>
    </w:p>
    <w:p w14:paraId="2DDB1857" w14:textId="77777777" w:rsidR="00A86D9E" w:rsidRPr="00590EDE" w:rsidRDefault="00A86D9E" w:rsidP="00A86D9E">
      <w:pPr>
        <w:widowControl w:val="0"/>
        <w:overflowPunct/>
        <w:autoSpaceDE/>
        <w:autoSpaceDN/>
        <w:adjustRightInd/>
        <w:ind w:right="-2"/>
        <w:textAlignment w:val="auto"/>
        <w:rPr>
          <w:b/>
          <w:lang w:eastAsia="en-US"/>
        </w:rPr>
      </w:pPr>
      <w:proofErr w:type="spellStart"/>
      <w:r w:rsidRPr="00B03389">
        <w:rPr>
          <w:b/>
        </w:rPr>
        <w:t>Hepetra</w:t>
      </w:r>
      <w:proofErr w:type="spellEnd"/>
      <w:r w:rsidRPr="00590EDE">
        <w:rPr>
          <w:b/>
          <w:lang w:eastAsia="en-US"/>
        </w:rPr>
        <w:t xml:space="preserve"> išvaizda ir kiekis pakuotėje</w:t>
      </w:r>
    </w:p>
    <w:p w14:paraId="49417CB9" w14:textId="77777777" w:rsidR="00A86D9E" w:rsidRPr="00590EDE" w:rsidRDefault="00A86D9E" w:rsidP="00A86D9E">
      <w:pPr>
        <w:widowControl w:val="0"/>
        <w:overflowPunct/>
        <w:autoSpaceDE/>
        <w:autoSpaceDN/>
        <w:adjustRightInd/>
        <w:ind w:right="-2"/>
        <w:textAlignment w:val="auto"/>
        <w:rPr>
          <w:lang w:eastAsia="en-US"/>
        </w:rPr>
      </w:pPr>
      <w:proofErr w:type="spellStart"/>
      <w:r>
        <w:t>Hepetra</w:t>
      </w:r>
      <w:proofErr w:type="spellEnd"/>
      <w:r w:rsidRPr="00590EDE">
        <w:rPr>
          <w:lang w:eastAsia="en-US"/>
        </w:rPr>
        <w:t xml:space="preserve"> yra infuzinis tirpalas. Tirpalas yra skaidrus arba šiek tiek opalinis (pieno spalvos, pvz., opalinės) ir bespalvis arba šviesiai geltonas.</w:t>
      </w:r>
    </w:p>
    <w:p w14:paraId="705AAB1B" w14:textId="77777777" w:rsidR="00A86D9E" w:rsidRPr="00590EDE" w:rsidRDefault="00A86D9E" w:rsidP="00A86D9E">
      <w:pPr>
        <w:widowControl w:val="0"/>
        <w:overflowPunct/>
        <w:autoSpaceDE/>
        <w:autoSpaceDN/>
        <w:adjustRightInd/>
        <w:ind w:right="-2"/>
        <w:textAlignment w:val="auto"/>
        <w:rPr>
          <w:lang w:eastAsia="en-US"/>
        </w:rPr>
      </w:pPr>
    </w:p>
    <w:p w14:paraId="61632C35" w14:textId="77777777" w:rsidR="00A86D9E" w:rsidRPr="00590EDE" w:rsidRDefault="00A86D9E" w:rsidP="00A86D9E">
      <w:pPr>
        <w:overflowPunct/>
        <w:autoSpaceDE/>
        <w:autoSpaceDN/>
        <w:adjustRightInd/>
        <w:textAlignment w:val="auto"/>
        <w:rPr>
          <w:lang w:eastAsia="en-US"/>
        </w:rPr>
      </w:pPr>
      <w:r w:rsidRPr="00590EDE">
        <w:rPr>
          <w:lang w:eastAsia="en-US"/>
        </w:rPr>
        <w:lastRenderedPageBreak/>
        <w:t xml:space="preserve">Pakuotėje yra 1 flakonas su 2 ml, 10 ml, 40 ml arba 100 ml tirpalo. </w:t>
      </w:r>
    </w:p>
    <w:p w14:paraId="34A3E1C5" w14:textId="77777777" w:rsidR="00A86D9E" w:rsidRPr="00590EDE" w:rsidRDefault="00A86D9E" w:rsidP="00A86D9E">
      <w:pPr>
        <w:widowControl w:val="0"/>
        <w:overflowPunct/>
        <w:autoSpaceDE/>
        <w:autoSpaceDN/>
        <w:adjustRightInd/>
        <w:ind w:right="-2"/>
        <w:textAlignment w:val="auto"/>
        <w:rPr>
          <w:lang w:eastAsia="en-US"/>
        </w:rPr>
      </w:pPr>
    </w:p>
    <w:p w14:paraId="0E19075B" w14:textId="77777777" w:rsidR="00A86D9E" w:rsidRPr="00590EDE" w:rsidRDefault="00A86D9E" w:rsidP="00A86D9E">
      <w:pPr>
        <w:widowControl w:val="0"/>
        <w:overflowPunct/>
        <w:autoSpaceDE/>
        <w:autoSpaceDN/>
        <w:adjustRightInd/>
        <w:ind w:left="567" w:hanging="567"/>
        <w:textAlignment w:val="auto"/>
        <w:rPr>
          <w:b/>
          <w:lang w:eastAsia="en-US"/>
        </w:rPr>
      </w:pPr>
      <w:r w:rsidRPr="00590EDE">
        <w:rPr>
          <w:b/>
          <w:lang w:eastAsia="en-US"/>
        </w:rPr>
        <w:t>Registruotojas ir gamintojas</w:t>
      </w:r>
    </w:p>
    <w:p w14:paraId="713BD7CA" w14:textId="77777777" w:rsidR="00A86D9E" w:rsidRPr="00590EDE" w:rsidRDefault="00A86D9E" w:rsidP="00A86D9E">
      <w:pPr>
        <w:widowControl w:val="0"/>
        <w:overflowPunct/>
        <w:autoSpaceDE/>
        <w:autoSpaceDN/>
        <w:adjustRightInd/>
        <w:ind w:right="-2"/>
        <w:textAlignment w:val="auto"/>
        <w:rPr>
          <w:lang w:eastAsia="en-US"/>
        </w:rPr>
      </w:pPr>
      <w:proofErr w:type="spellStart"/>
      <w:r w:rsidRPr="00590EDE">
        <w:rPr>
          <w:lang w:eastAsia="en-US"/>
        </w:rPr>
        <w:t>Biotest</w:t>
      </w:r>
      <w:proofErr w:type="spellEnd"/>
      <w:r w:rsidRPr="00590EDE">
        <w:rPr>
          <w:lang w:eastAsia="en-US"/>
        </w:rPr>
        <w:t xml:space="preserve"> Pharma </w:t>
      </w:r>
      <w:proofErr w:type="spellStart"/>
      <w:r w:rsidRPr="00590EDE">
        <w:rPr>
          <w:lang w:eastAsia="en-US"/>
        </w:rPr>
        <w:t>GmbH</w:t>
      </w:r>
      <w:proofErr w:type="spellEnd"/>
    </w:p>
    <w:p w14:paraId="1FD26742" w14:textId="77777777" w:rsidR="00A86D9E" w:rsidRPr="00590EDE" w:rsidRDefault="00A86D9E" w:rsidP="00A86D9E">
      <w:pPr>
        <w:widowControl w:val="0"/>
        <w:overflowPunct/>
        <w:autoSpaceDE/>
        <w:autoSpaceDN/>
        <w:adjustRightInd/>
        <w:ind w:right="-2"/>
        <w:textAlignment w:val="auto"/>
        <w:rPr>
          <w:lang w:eastAsia="en-US"/>
        </w:rPr>
      </w:pPr>
      <w:proofErr w:type="spellStart"/>
      <w:r w:rsidRPr="00590EDE">
        <w:rPr>
          <w:lang w:eastAsia="en-US"/>
        </w:rPr>
        <w:t>Landsteinerstrasse</w:t>
      </w:r>
      <w:proofErr w:type="spellEnd"/>
      <w:r w:rsidRPr="00590EDE">
        <w:rPr>
          <w:lang w:eastAsia="en-US"/>
        </w:rPr>
        <w:t xml:space="preserve"> 5</w:t>
      </w:r>
    </w:p>
    <w:p w14:paraId="65D000A7" w14:textId="77777777" w:rsidR="00A86D9E" w:rsidRPr="00590EDE" w:rsidRDefault="00A86D9E" w:rsidP="00A86D9E">
      <w:pPr>
        <w:widowControl w:val="0"/>
        <w:overflowPunct/>
        <w:autoSpaceDE/>
        <w:autoSpaceDN/>
        <w:adjustRightInd/>
        <w:ind w:right="-2"/>
        <w:textAlignment w:val="auto"/>
        <w:rPr>
          <w:lang w:eastAsia="en-US"/>
        </w:rPr>
      </w:pPr>
      <w:r w:rsidRPr="00590EDE">
        <w:rPr>
          <w:lang w:eastAsia="en-US"/>
        </w:rPr>
        <w:t xml:space="preserve">63303 </w:t>
      </w:r>
      <w:proofErr w:type="spellStart"/>
      <w:r w:rsidRPr="00590EDE">
        <w:rPr>
          <w:lang w:eastAsia="en-US"/>
        </w:rPr>
        <w:t>Dreieich</w:t>
      </w:r>
      <w:proofErr w:type="spellEnd"/>
    </w:p>
    <w:p w14:paraId="77B5F0EA" w14:textId="77777777" w:rsidR="00A86D9E" w:rsidRPr="00590EDE" w:rsidRDefault="00A86D9E" w:rsidP="00A86D9E">
      <w:pPr>
        <w:widowControl w:val="0"/>
        <w:overflowPunct/>
        <w:autoSpaceDE/>
        <w:autoSpaceDN/>
        <w:adjustRightInd/>
        <w:ind w:right="-2"/>
        <w:textAlignment w:val="auto"/>
        <w:rPr>
          <w:lang w:eastAsia="en-US"/>
        </w:rPr>
      </w:pPr>
      <w:r w:rsidRPr="00590EDE">
        <w:rPr>
          <w:lang w:eastAsia="en-US"/>
        </w:rPr>
        <w:t>Vokietija</w:t>
      </w:r>
    </w:p>
    <w:p w14:paraId="19E83094" w14:textId="77777777" w:rsidR="00A86D9E" w:rsidRPr="00590EDE" w:rsidRDefault="00A86D9E" w:rsidP="00A86D9E">
      <w:pPr>
        <w:widowControl w:val="0"/>
        <w:overflowPunct/>
        <w:autoSpaceDE/>
        <w:autoSpaceDN/>
        <w:adjustRightInd/>
        <w:ind w:right="-2"/>
        <w:textAlignment w:val="auto"/>
        <w:rPr>
          <w:lang w:eastAsia="en-US"/>
        </w:rPr>
      </w:pPr>
      <w:r w:rsidRPr="00590EDE">
        <w:rPr>
          <w:lang w:eastAsia="en-US"/>
        </w:rPr>
        <w:t>Tel.</w:t>
      </w:r>
      <w:r>
        <w:rPr>
          <w:lang w:eastAsia="en-US"/>
        </w:rPr>
        <w:t>:</w:t>
      </w:r>
      <w:r w:rsidRPr="00590EDE">
        <w:rPr>
          <w:lang w:eastAsia="en-US"/>
        </w:rPr>
        <w:t xml:space="preserve"> + 49 6103 801-0</w:t>
      </w:r>
    </w:p>
    <w:p w14:paraId="7B9C6312" w14:textId="77777777" w:rsidR="00A86D9E" w:rsidRPr="00590EDE" w:rsidRDefault="00A86D9E" w:rsidP="00A86D9E">
      <w:pPr>
        <w:widowControl w:val="0"/>
        <w:overflowPunct/>
        <w:autoSpaceDE/>
        <w:autoSpaceDN/>
        <w:adjustRightInd/>
        <w:ind w:right="-2"/>
        <w:textAlignment w:val="auto"/>
        <w:rPr>
          <w:lang w:eastAsia="en-US"/>
        </w:rPr>
      </w:pPr>
      <w:r w:rsidRPr="00590EDE">
        <w:rPr>
          <w:lang w:eastAsia="en-US"/>
        </w:rPr>
        <w:t>Faksas</w:t>
      </w:r>
      <w:r>
        <w:rPr>
          <w:lang w:eastAsia="en-US"/>
        </w:rPr>
        <w:t>:</w:t>
      </w:r>
      <w:r w:rsidRPr="00590EDE">
        <w:rPr>
          <w:lang w:eastAsia="en-US"/>
        </w:rPr>
        <w:t xml:space="preserve"> + 49 6103 801- 150</w:t>
      </w:r>
    </w:p>
    <w:p w14:paraId="3991AA6B" w14:textId="77777777" w:rsidR="00A86D9E" w:rsidRDefault="00A86D9E" w:rsidP="00A86D9E">
      <w:pPr>
        <w:numPr>
          <w:ilvl w:val="12"/>
          <w:numId w:val="0"/>
        </w:numPr>
        <w:overflowPunct/>
        <w:autoSpaceDE/>
        <w:autoSpaceDN/>
        <w:adjustRightInd/>
        <w:ind w:right="-2"/>
        <w:textAlignment w:val="auto"/>
        <w:rPr>
          <w:lang w:eastAsia="en-US"/>
        </w:rPr>
      </w:pPr>
      <w:r w:rsidRPr="00590EDE">
        <w:rPr>
          <w:lang w:eastAsia="en-US"/>
        </w:rPr>
        <w:t>El. paštas</w:t>
      </w:r>
      <w:r>
        <w:rPr>
          <w:lang w:eastAsia="en-US"/>
        </w:rPr>
        <w:t>:</w:t>
      </w:r>
      <w:r w:rsidRPr="00590EDE">
        <w:rPr>
          <w:lang w:eastAsia="en-US"/>
        </w:rPr>
        <w:t xml:space="preserve"> </w:t>
      </w:r>
      <w:hyperlink r:id="rId6" w:history="1">
        <w:r w:rsidRPr="003D3314">
          <w:rPr>
            <w:rStyle w:val="Hipersaitas"/>
            <w:lang w:eastAsia="en-US"/>
          </w:rPr>
          <w:t>mail@biotest.com</w:t>
        </w:r>
      </w:hyperlink>
    </w:p>
    <w:p w14:paraId="24438E89" w14:textId="77777777" w:rsidR="00A86D9E" w:rsidRDefault="00A86D9E" w:rsidP="00A86D9E">
      <w:pPr>
        <w:numPr>
          <w:ilvl w:val="12"/>
          <w:numId w:val="0"/>
        </w:numPr>
        <w:tabs>
          <w:tab w:val="left" w:pos="567"/>
        </w:tabs>
        <w:spacing w:line="260" w:lineRule="exact"/>
        <w:ind w:right="-2"/>
        <w:rPr>
          <w:snapToGrid w:val="0"/>
        </w:rPr>
      </w:pPr>
    </w:p>
    <w:p w14:paraId="4EBFD212" w14:textId="77777777" w:rsidR="00A86D9E" w:rsidRPr="00561601" w:rsidRDefault="00A86D9E" w:rsidP="00A86D9E">
      <w:pPr>
        <w:numPr>
          <w:ilvl w:val="12"/>
          <w:numId w:val="0"/>
        </w:numPr>
        <w:ind w:right="-2"/>
      </w:pPr>
      <w:r w:rsidRPr="00561601">
        <w:rPr>
          <w:b/>
        </w:rPr>
        <w:t>Šis vaistas E</w:t>
      </w:r>
      <w:r>
        <w:rPr>
          <w:b/>
        </w:rPr>
        <w:t>uropos ekonominės erdvės</w:t>
      </w:r>
      <w:r w:rsidRPr="00561601">
        <w:rPr>
          <w:b/>
        </w:rPr>
        <w:t xml:space="preserve"> valstybėse narėse</w:t>
      </w:r>
      <w:r>
        <w:rPr>
          <w:b/>
        </w:rPr>
        <w:t xml:space="preserve"> ir Jungtinėje Karalystėje (Šiaurės Airijoje) </w:t>
      </w:r>
      <w:r w:rsidRPr="00561601">
        <w:rPr>
          <w:b/>
        </w:rPr>
        <w:t>registruotas tokiais pavadinimais</w:t>
      </w:r>
      <w:r w:rsidRPr="00561601">
        <w:t>:</w:t>
      </w:r>
    </w:p>
    <w:p w14:paraId="2FEACE23" w14:textId="77777777" w:rsidR="00A86D9E" w:rsidRDefault="00A86D9E" w:rsidP="00A86D9E">
      <w:pPr>
        <w:widowControl w:val="0"/>
        <w:numPr>
          <w:ilvl w:val="12"/>
          <w:numId w:val="0"/>
        </w:numPr>
        <w:overflowPunct/>
        <w:autoSpaceDE/>
        <w:autoSpaceDN/>
        <w:adjustRightInd/>
        <w:ind w:right="-2"/>
        <w:textAlignment w:val="auto"/>
        <w:rPr>
          <w:b/>
          <w:bCs/>
          <w:lang w:eastAsia="en-US"/>
        </w:rPr>
      </w:pPr>
    </w:p>
    <w:p w14:paraId="5DF2E722" w14:textId="77777777" w:rsidR="00A86D9E" w:rsidRPr="00F16ABB" w:rsidRDefault="00A86D9E" w:rsidP="00A86D9E">
      <w:pPr>
        <w:tabs>
          <w:tab w:val="left" w:pos="3686"/>
          <w:tab w:val="left" w:pos="6804"/>
        </w:tabs>
        <w:rPr>
          <w:rFonts w:cs="Arial"/>
          <w:szCs w:val="22"/>
        </w:rPr>
      </w:pPr>
      <w:r w:rsidRPr="00F16ABB">
        <w:rPr>
          <w:rFonts w:cs="Arial"/>
          <w:szCs w:val="22"/>
        </w:rPr>
        <w:t>Airija, Austrija, Bulgarija,</w:t>
      </w:r>
      <w:r w:rsidRPr="00F16ABB">
        <w:t xml:space="preserve"> </w:t>
      </w:r>
      <w:r w:rsidRPr="00F16ABB">
        <w:rPr>
          <w:rFonts w:cs="Arial"/>
          <w:szCs w:val="22"/>
        </w:rPr>
        <w:t xml:space="preserve">Danija, Graikija, Jungtinė Karalystė (Šiaurės Airija), Kroatija, </w:t>
      </w:r>
    </w:p>
    <w:p w14:paraId="4A99FC10" w14:textId="77777777" w:rsidR="00A86D9E" w:rsidRPr="00F16ABB" w:rsidRDefault="00A86D9E" w:rsidP="00A86D9E">
      <w:pPr>
        <w:tabs>
          <w:tab w:val="left" w:pos="3686"/>
          <w:tab w:val="left" w:pos="6663"/>
        </w:tabs>
        <w:rPr>
          <w:rFonts w:cs="Arial"/>
          <w:bCs/>
          <w:szCs w:val="22"/>
        </w:rPr>
      </w:pPr>
      <w:r w:rsidRPr="00F16ABB">
        <w:rPr>
          <w:rFonts w:cs="Arial"/>
          <w:szCs w:val="22"/>
        </w:rPr>
        <w:t>Lenkija, Nyderlandai, Portugalija, Rumunija, Slovėnija,</w:t>
      </w:r>
      <w:r w:rsidRPr="00F16ABB">
        <w:t xml:space="preserve"> </w:t>
      </w:r>
      <w:r w:rsidRPr="00F16ABB">
        <w:rPr>
          <w:rFonts w:cs="Arial"/>
          <w:szCs w:val="22"/>
        </w:rPr>
        <w:t>Vokietija:</w:t>
      </w:r>
      <w:r w:rsidRPr="00F16ABB">
        <w:rPr>
          <w:rFonts w:cs="Arial"/>
          <w:szCs w:val="22"/>
        </w:rPr>
        <w:tab/>
      </w:r>
      <w:proofErr w:type="spellStart"/>
      <w:r w:rsidRPr="00F16ABB">
        <w:rPr>
          <w:rFonts w:cs="Arial"/>
          <w:szCs w:val="22"/>
        </w:rPr>
        <w:t>Hepatect</w:t>
      </w:r>
      <w:proofErr w:type="spellEnd"/>
      <w:r w:rsidRPr="00F16ABB">
        <w:rPr>
          <w:rFonts w:cs="Arial"/>
          <w:szCs w:val="22"/>
        </w:rPr>
        <w:t xml:space="preserve"> CP </w:t>
      </w:r>
    </w:p>
    <w:p w14:paraId="1067BD32" w14:textId="77777777" w:rsidR="00A86D9E" w:rsidRPr="00F16ABB" w:rsidRDefault="00A86D9E" w:rsidP="00A86D9E">
      <w:pPr>
        <w:tabs>
          <w:tab w:val="left" w:pos="6663"/>
          <w:tab w:val="left" w:pos="6804"/>
        </w:tabs>
        <w:rPr>
          <w:bCs/>
          <w:szCs w:val="22"/>
        </w:rPr>
      </w:pPr>
      <w:r w:rsidRPr="00F16ABB">
        <w:rPr>
          <w:rFonts w:cs="Arial"/>
          <w:szCs w:val="22"/>
        </w:rPr>
        <w:t>Ispanija, Norvegija,</w:t>
      </w:r>
      <w:r w:rsidRPr="00F16ABB">
        <w:t xml:space="preserve"> S</w:t>
      </w:r>
      <w:r w:rsidRPr="00F16ABB">
        <w:rPr>
          <w:rFonts w:cs="Arial"/>
          <w:szCs w:val="22"/>
        </w:rPr>
        <w:t>uomija:</w:t>
      </w:r>
      <w:r w:rsidRPr="00F16ABB">
        <w:tab/>
      </w:r>
      <w:proofErr w:type="spellStart"/>
      <w:r w:rsidRPr="00F16ABB">
        <w:rPr>
          <w:rFonts w:cs="Arial"/>
          <w:szCs w:val="22"/>
        </w:rPr>
        <w:t>Hepatect</w:t>
      </w:r>
      <w:proofErr w:type="spellEnd"/>
    </w:p>
    <w:p w14:paraId="76D1D04C" w14:textId="77777777" w:rsidR="00A86D9E" w:rsidRPr="00F16ABB" w:rsidRDefault="00A86D9E" w:rsidP="00A86D9E">
      <w:pPr>
        <w:pStyle w:val="Antrat5"/>
        <w:tabs>
          <w:tab w:val="left" w:pos="6663"/>
          <w:tab w:val="left" w:pos="6804"/>
        </w:tabs>
      </w:pPr>
      <w:r w:rsidRPr="00F16ABB">
        <w:t>Lietuva:</w:t>
      </w:r>
      <w:r w:rsidRPr="00F16ABB">
        <w:tab/>
      </w:r>
      <w:proofErr w:type="spellStart"/>
      <w:r w:rsidRPr="00F16ABB">
        <w:t>Hepetra</w:t>
      </w:r>
      <w:proofErr w:type="spellEnd"/>
      <w:r w:rsidRPr="00F16ABB">
        <w:t xml:space="preserve"> </w:t>
      </w:r>
    </w:p>
    <w:p w14:paraId="6A30E918" w14:textId="77777777" w:rsidR="00A86D9E" w:rsidRPr="00F16ABB" w:rsidRDefault="00A86D9E" w:rsidP="00A86D9E">
      <w:pPr>
        <w:pStyle w:val="Antrat5"/>
        <w:tabs>
          <w:tab w:val="left" w:pos="6663"/>
        </w:tabs>
        <w:rPr>
          <w:rFonts w:cs="Arial"/>
          <w:b/>
          <w:bCs/>
          <w:szCs w:val="22"/>
        </w:rPr>
      </w:pPr>
      <w:r w:rsidRPr="00F16ABB">
        <w:rPr>
          <w:rFonts w:cs="Arial"/>
          <w:szCs w:val="22"/>
        </w:rPr>
        <w:t>Belgija, Čekija, Italija:</w:t>
      </w:r>
      <w:r w:rsidRPr="00F16ABB">
        <w:rPr>
          <w:rFonts w:cs="Arial"/>
          <w:szCs w:val="22"/>
        </w:rPr>
        <w:tab/>
      </w:r>
      <w:proofErr w:type="spellStart"/>
      <w:r w:rsidRPr="00F16ABB">
        <w:rPr>
          <w:rFonts w:cs="Arial"/>
          <w:szCs w:val="22"/>
        </w:rPr>
        <w:t>neoHepatect</w:t>
      </w:r>
      <w:proofErr w:type="spellEnd"/>
    </w:p>
    <w:p w14:paraId="716B36BA" w14:textId="77777777" w:rsidR="00A86D9E" w:rsidRPr="00F16ABB" w:rsidRDefault="00A86D9E" w:rsidP="00A86D9E">
      <w:pPr>
        <w:pStyle w:val="Antrat7"/>
        <w:rPr>
          <w:b/>
          <w:bCs/>
          <w:color w:val="auto"/>
          <w:lang w:eastAsia="en-US"/>
        </w:rPr>
      </w:pPr>
      <w:r w:rsidRPr="00F16ABB">
        <w:rPr>
          <w:color w:val="auto"/>
        </w:rPr>
        <w:t>Švedija:</w:t>
      </w:r>
      <w:r w:rsidRPr="00F16ABB">
        <w:rPr>
          <w:color w:val="auto"/>
        </w:rPr>
        <w:tab/>
      </w:r>
      <w:proofErr w:type="spellStart"/>
      <w:r w:rsidRPr="00F16ABB">
        <w:rPr>
          <w:color w:val="auto"/>
        </w:rPr>
        <w:t>Neohepatect</w:t>
      </w:r>
      <w:proofErr w:type="spellEnd"/>
    </w:p>
    <w:p w14:paraId="391F64D2" w14:textId="77777777" w:rsidR="00A86D9E" w:rsidRPr="00F16ABB" w:rsidRDefault="00A86D9E" w:rsidP="00A86D9E">
      <w:pPr>
        <w:widowControl w:val="0"/>
        <w:numPr>
          <w:ilvl w:val="12"/>
          <w:numId w:val="0"/>
        </w:numPr>
        <w:overflowPunct/>
        <w:autoSpaceDE/>
        <w:autoSpaceDN/>
        <w:adjustRightInd/>
        <w:ind w:right="-2"/>
        <w:textAlignment w:val="auto"/>
        <w:rPr>
          <w:b/>
          <w:bCs/>
          <w:lang w:eastAsia="en-US"/>
        </w:rPr>
      </w:pPr>
    </w:p>
    <w:p w14:paraId="046BB1D2" w14:textId="77777777" w:rsidR="00A86D9E" w:rsidRPr="00F16ABB" w:rsidRDefault="00A86D9E" w:rsidP="00A86D9E">
      <w:pPr>
        <w:widowControl w:val="0"/>
        <w:numPr>
          <w:ilvl w:val="12"/>
          <w:numId w:val="0"/>
        </w:numPr>
        <w:overflowPunct/>
        <w:autoSpaceDE/>
        <w:autoSpaceDN/>
        <w:adjustRightInd/>
        <w:ind w:right="-2"/>
        <w:textAlignment w:val="auto"/>
      </w:pPr>
      <w:r w:rsidRPr="00F16ABB">
        <w:rPr>
          <w:b/>
        </w:rPr>
        <w:t xml:space="preserve">Šis pakuotės lapelis paskutinį kartą peržiūrėtas </w:t>
      </w:r>
      <w:r>
        <w:rPr>
          <w:b/>
        </w:rPr>
        <w:t>2025-08-29.</w:t>
      </w:r>
    </w:p>
    <w:p w14:paraId="32917D7D" w14:textId="77777777" w:rsidR="00A86D9E" w:rsidRPr="00590EDE" w:rsidRDefault="00A86D9E" w:rsidP="00A86D9E">
      <w:pPr>
        <w:widowControl w:val="0"/>
        <w:overflowPunct/>
        <w:autoSpaceDE/>
        <w:autoSpaceDN/>
        <w:adjustRightInd/>
        <w:ind w:right="-1"/>
        <w:textAlignment w:val="auto"/>
        <w:rPr>
          <w:lang w:eastAsia="en-US"/>
        </w:rPr>
      </w:pPr>
    </w:p>
    <w:p w14:paraId="1287E0BB" w14:textId="77777777" w:rsidR="00A86D9E" w:rsidRPr="00590EDE" w:rsidRDefault="00A86D9E" w:rsidP="00A86D9E">
      <w:pPr>
        <w:widowControl w:val="0"/>
        <w:overflowPunct/>
        <w:autoSpaceDE/>
        <w:autoSpaceDN/>
        <w:adjustRightInd/>
        <w:ind w:right="-1"/>
        <w:textAlignment w:val="auto"/>
        <w:rPr>
          <w:lang w:eastAsia="en-US"/>
        </w:rPr>
      </w:pPr>
      <w:r w:rsidRPr="00590EDE">
        <w:rPr>
          <w:lang w:eastAsia="en-US"/>
        </w:rPr>
        <w:t xml:space="preserve">Išsami informacija apie šį vaistą pateikiama Valstybinės vaistų kontrolės tarnybos prie Lietuvos Respublikos sveikatos apsaugos ministerijos tinklapyje http://www.vvkt.lt/. </w:t>
      </w:r>
    </w:p>
    <w:p w14:paraId="01C521E1" w14:textId="77777777" w:rsidR="00A86D9E" w:rsidRPr="00590EDE" w:rsidRDefault="00A86D9E" w:rsidP="00A86D9E">
      <w:pPr>
        <w:widowControl w:val="0"/>
        <w:overflowPunct/>
        <w:autoSpaceDE/>
        <w:autoSpaceDN/>
        <w:adjustRightInd/>
        <w:ind w:right="-1"/>
        <w:textAlignment w:val="auto"/>
        <w:rPr>
          <w:lang w:eastAsia="en-US"/>
        </w:rPr>
      </w:pPr>
    </w:p>
    <w:p w14:paraId="02B17435" w14:textId="77777777" w:rsidR="00A86D9E" w:rsidRPr="00590EDE" w:rsidRDefault="00A86D9E" w:rsidP="00A86D9E">
      <w:pPr>
        <w:widowControl w:val="0"/>
        <w:overflowPunct/>
        <w:autoSpaceDE/>
        <w:autoSpaceDN/>
        <w:adjustRightInd/>
        <w:ind w:right="-1"/>
        <w:textAlignment w:val="auto"/>
        <w:rPr>
          <w:lang w:eastAsia="en-US"/>
        </w:rPr>
      </w:pPr>
      <w:r w:rsidRPr="00590EDE">
        <w:rPr>
          <w:lang w:eastAsia="en-US"/>
        </w:rPr>
        <w:t>---------------------------------------------------------------------------------------------------------------------------</w:t>
      </w:r>
    </w:p>
    <w:p w14:paraId="6CC3C2F6" w14:textId="77777777" w:rsidR="00A86D9E" w:rsidRPr="00590EDE" w:rsidRDefault="00A86D9E" w:rsidP="00A86D9E">
      <w:pPr>
        <w:widowControl w:val="0"/>
        <w:overflowPunct/>
        <w:autoSpaceDE/>
        <w:autoSpaceDN/>
        <w:adjustRightInd/>
        <w:ind w:right="-1"/>
        <w:textAlignment w:val="auto"/>
        <w:rPr>
          <w:b/>
          <w:bCs/>
          <w:lang w:eastAsia="en-US"/>
        </w:rPr>
      </w:pPr>
      <w:r w:rsidRPr="00735A93">
        <w:rPr>
          <w:b/>
          <w:lang w:eastAsia="en-US"/>
        </w:rPr>
        <w:t>Toliau pateikta informacija skirta tik sveikatos priežiūros specialistams</w:t>
      </w:r>
      <w:r>
        <w:rPr>
          <w:b/>
          <w:lang w:eastAsia="en-US"/>
        </w:rPr>
        <w:t>.</w:t>
      </w:r>
    </w:p>
    <w:p w14:paraId="2D1B4090" w14:textId="77777777" w:rsidR="00A86D9E" w:rsidRPr="00590EDE" w:rsidRDefault="00A86D9E" w:rsidP="00A86D9E">
      <w:pPr>
        <w:widowControl w:val="0"/>
        <w:overflowPunct/>
        <w:autoSpaceDE/>
        <w:autoSpaceDN/>
        <w:adjustRightInd/>
        <w:ind w:right="-1"/>
        <w:textAlignment w:val="auto"/>
        <w:rPr>
          <w:lang w:eastAsia="en-US"/>
        </w:rPr>
      </w:pPr>
    </w:p>
    <w:p w14:paraId="0988A790" w14:textId="77777777" w:rsidR="00A86D9E" w:rsidRPr="00590EDE" w:rsidRDefault="00A86D9E" w:rsidP="00A86D9E">
      <w:pPr>
        <w:widowControl w:val="0"/>
        <w:overflowPunct/>
        <w:autoSpaceDE/>
        <w:autoSpaceDN/>
        <w:adjustRightInd/>
        <w:ind w:right="-2"/>
        <w:textAlignment w:val="auto"/>
        <w:rPr>
          <w:b/>
          <w:bCs/>
          <w:lang w:eastAsia="en-US"/>
        </w:rPr>
      </w:pPr>
      <w:r w:rsidRPr="00590EDE">
        <w:rPr>
          <w:b/>
          <w:lang w:eastAsia="en-US"/>
        </w:rPr>
        <w:t xml:space="preserve">Vartojimo metodas </w:t>
      </w:r>
    </w:p>
    <w:p w14:paraId="5A90EB38" w14:textId="77777777" w:rsidR="00A86D9E" w:rsidRPr="00590EDE" w:rsidRDefault="00A86D9E" w:rsidP="00A86D9E">
      <w:pPr>
        <w:overflowPunct/>
        <w:autoSpaceDE/>
        <w:autoSpaceDN/>
        <w:adjustRightInd/>
        <w:textAlignment w:val="auto"/>
        <w:rPr>
          <w:iCs/>
          <w:szCs w:val="22"/>
          <w:lang w:eastAsia="en-US"/>
        </w:rPr>
      </w:pPr>
      <w:r w:rsidRPr="00590EDE">
        <w:rPr>
          <w:lang w:eastAsia="en-US"/>
        </w:rPr>
        <w:t>Leisti į veną</w:t>
      </w:r>
      <w:r>
        <w:rPr>
          <w:lang w:eastAsia="en-US"/>
        </w:rPr>
        <w:t>.</w:t>
      </w:r>
    </w:p>
    <w:p w14:paraId="049CAE1F" w14:textId="77777777" w:rsidR="00A86D9E" w:rsidRPr="00590EDE" w:rsidRDefault="00A86D9E" w:rsidP="00A86D9E">
      <w:pPr>
        <w:overflowPunct/>
        <w:autoSpaceDE/>
        <w:autoSpaceDN/>
        <w:adjustRightInd/>
        <w:textAlignment w:val="auto"/>
        <w:rPr>
          <w:lang w:eastAsia="en-US"/>
        </w:rPr>
      </w:pPr>
      <w:proofErr w:type="spellStart"/>
      <w:r>
        <w:t>Hepetra</w:t>
      </w:r>
      <w:proofErr w:type="spellEnd"/>
      <w:r w:rsidRPr="00590EDE">
        <w:rPr>
          <w:lang w:eastAsia="en-US"/>
        </w:rPr>
        <w:t xml:space="preserve"> infuzija turi būti atliekama į veną, pradiniu 0,1 ml/kg kūno svorio per valandą greičiu 10 minučių. Pasireiškus nepageidaujamai reakcijai, reikia sumažinti infuzijos greitį arba sustabdyti infuziją. Jeigu toleruojama gerai, infuzijos greitį galima pamažu didinti iki ne daugiau kaip 1 ml/kg kūno svorio per valandą.</w:t>
      </w:r>
    </w:p>
    <w:p w14:paraId="09D08886" w14:textId="77777777" w:rsidR="00A86D9E" w:rsidRPr="00590EDE" w:rsidRDefault="00A86D9E" w:rsidP="00A86D9E">
      <w:pPr>
        <w:overflowPunct/>
        <w:autoSpaceDE/>
        <w:autoSpaceDN/>
        <w:adjustRightInd/>
        <w:textAlignment w:val="auto"/>
        <w:rPr>
          <w:lang w:eastAsia="en-US"/>
        </w:rPr>
      </w:pPr>
    </w:p>
    <w:p w14:paraId="20122511" w14:textId="77777777" w:rsidR="00A86D9E" w:rsidRPr="00590EDE" w:rsidRDefault="00A86D9E" w:rsidP="00A86D9E">
      <w:pPr>
        <w:overflowPunct/>
        <w:autoSpaceDE/>
        <w:autoSpaceDN/>
        <w:adjustRightInd/>
        <w:textAlignment w:val="auto"/>
        <w:rPr>
          <w:lang w:eastAsia="en-US"/>
        </w:rPr>
      </w:pPr>
      <w:r w:rsidRPr="00590EDE">
        <w:rPr>
          <w:lang w:eastAsia="en-US"/>
        </w:rPr>
        <w:t>Klinikinė patirtis skiriant naujagimiams, kurių motinos yra hepatito B viruso nešiotojos, parodė, kad į veną 2 ml greičiu 5</w:t>
      </w:r>
      <w:r w:rsidRPr="00590EDE">
        <w:rPr>
          <w:lang w:eastAsia="en-US"/>
        </w:rPr>
        <w:noBreakHyphen/>
        <w:t xml:space="preserve">15 minučių atliekama </w:t>
      </w:r>
      <w:proofErr w:type="spellStart"/>
      <w:r w:rsidRPr="00590EDE">
        <w:rPr>
          <w:lang w:eastAsia="en-US"/>
        </w:rPr>
        <w:t>Hep</w:t>
      </w:r>
      <w:r>
        <w:rPr>
          <w:lang w:eastAsia="en-US"/>
        </w:rPr>
        <w:t>etra</w:t>
      </w:r>
      <w:proofErr w:type="spellEnd"/>
      <w:r w:rsidRPr="00590EDE">
        <w:rPr>
          <w:lang w:eastAsia="en-US"/>
        </w:rPr>
        <w:t xml:space="preserve"> infuzija buvo toleruojama gerai.</w:t>
      </w:r>
    </w:p>
    <w:p w14:paraId="7324D357" w14:textId="77777777" w:rsidR="00A86D9E" w:rsidRPr="00590EDE" w:rsidRDefault="00A86D9E" w:rsidP="00A86D9E">
      <w:pPr>
        <w:widowControl w:val="0"/>
        <w:overflowPunct/>
        <w:autoSpaceDE/>
        <w:autoSpaceDN/>
        <w:adjustRightInd/>
        <w:ind w:right="-2"/>
        <w:textAlignment w:val="auto"/>
        <w:rPr>
          <w:lang w:eastAsia="en-US"/>
        </w:rPr>
      </w:pPr>
    </w:p>
    <w:p w14:paraId="66CCAC76" w14:textId="77777777" w:rsidR="00A86D9E" w:rsidRPr="00590EDE" w:rsidRDefault="00A86D9E" w:rsidP="00A86D9E">
      <w:pPr>
        <w:widowControl w:val="0"/>
        <w:overflowPunct/>
        <w:autoSpaceDE/>
        <w:autoSpaceDN/>
        <w:adjustRightInd/>
        <w:ind w:right="-2"/>
        <w:textAlignment w:val="auto"/>
        <w:rPr>
          <w:b/>
          <w:bCs/>
          <w:lang w:eastAsia="en-US"/>
        </w:rPr>
      </w:pPr>
      <w:r w:rsidRPr="00590EDE">
        <w:rPr>
          <w:b/>
          <w:lang w:eastAsia="en-US"/>
        </w:rPr>
        <w:t>Specialios atsargumo priemonės</w:t>
      </w:r>
    </w:p>
    <w:p w14:paraId="55010E72" w14:textId="77777777" w:rsidR="00A86D9E" w:rsidRPr="00590EDE" w:rsidRDefault="00A86D9E" w:rsidP="00A86D9E">
      <w:pPr>
        <w:overflowPunct/>
        <w:autoSpaceDE/>
        <w:autoSpaceDN/>
        <w:adjustRightInd/>
        <w:textAlignment w:val="auto"/>
        <w:rPr>
          <w:lang w:eastAsia="en-US"/>
        </w:rPr>
      </w:pPr>
    </w:p>
    <w:p w14:paraId="2494149E" w14:textId="77777777" w:rsidR="00A86D9E" w:rsidRPr="00590EDE" w:rsidRDefault="00A86D9E" w:rsidP="00A86D9E">
      <w:pPr>
        <w:overflowPunct/>
        <w:autoSpaceDE/>
        <w:autoSpaceDN/>
        <w:adjustRightInd/>
        <w:textAlignment w:val="auto"/>
        <w:rPr>
          <w:lang w:eastAsia="en-US"/>
        </w:rPr>
      </w:pPr>
      <w:r w:rsidRPr="00590EDE">
        <w:rPr>
          <w:u w:val="single"/>
          <w:lang w:eastAsia="en-US"/>
        </w:rPr>
        <w:t xml:space="preserve">Antikūnų prieš </w:t>
      </w:r>
      <w:proofErr w:type="spellStart"/>
      <w:r w:rsidRPr="00590EDE">
        <w:rPr>
          <w:u w:val="single"/>
          <w:lang w:eastAsia="en-US"/>
        </w:rPr>
        <w:t>HBs</w:t>
      </w:r>
      <w:proofErr w:type="spellEnd"/>
      <w:r w:rsidRPr="00590EDE">
        <w:rPr>
          <w:u w:val="single"/>
          <w:lang w:eastAsia="en-US"/>
        </w:rPr>
        <w:t xml:space="preserve"> kiekio stebėjimas</w:t>
      </w:r>
    </w:p>
    <w:p w14:paraId="5FE7A5C6" w14:textId="77777777" w:rsidR="00A86D9E" w:rsidRPr="00590EDE" w:rsidRDefault="00A86D9E" w:rsidP="00A86D9E">
      <w:pPr>
        <w:overflowPunct/>
        <w:autoSpaceDE/>
        <w:autoSpaceDN/>
        <w:adjustRightInd/>
        <w:textAlignment w:val="auto"/>
        <w:rPr>
          <w:lang w:eastAsia="en-US"/>
        </w:rPr>
      </w:pPr>
      <w:r w:rsidRPr="00590EDE">
        <w:rPr>
          <w:lang w:eastAsia="en-US"/>
        </w:rPr>
        <w:t xml:space="preserve">Reikia reguliariai stebėti antikūnų prieš </w:t>
      </w:r>
      <w:proofErr w:type="spellStart"/>
      <w:r w:rsidRPr="00590EDE">
        <w:rPr>
          <w:lang w:eastAsia="en-US"/>
        </w:rPr>
        <w:t>HBs</w:t>
      </w:r>
      <w:proofErr w:type="spellEnd"/>
      <w:r w:rsidRPr="00590EDE">
        <w:rPr>
          <w:lang w:eastAsia="en-US"/>
        </w:rPr>
        <w:t xml:space="preserve"> kiekį pacientų organizme. Dozes reikia koreguoti, kad būtų išlaikomas gydymui reikalingas antikūnų kiekis ir būtų išvengta perdozavimo (žr. skirsnį „Dozavimas“).</w:t>
      </w:r>
    </w:p>
    <w:p w14:paraId="54CF757E" w14:textId="77777777" w:rsidR="00A86D9E" w:rsidRPr="00590EDE" w:rsidRDefault="00A86D9E" w:rsidP="00A86D9E">
      <w:pPr>
        <w:overflowPunct/>
        <w:autoSpaceDE/>
        <w:autoSpaceDN/>
        <w:adjustRightInd/>
        <w:textAlignment w:val="auto"/>
        <w:rPr>
          <w:lang w:eastAsia="en-US"/>
        </w:rPr>
      </w:pPr>
    </w:p>
    <w:p w14:paraId="35DB5770" w14:textId="77777777" w:rsidR="00A86D9E" w:rsidRPr="00590EDE" w:rsidRDefault="00A86D9E" w:rsidP="00A86D9E">
      <w:pPr>
        <w:overflowPunct/>
        <w:autoSpaceDE/>
        <w:autoSpaceDN/>
        <w:adjustRightInd/>
        <w:textAlignment w:val="auto"/>
        <w:rPr>
          <w:lang w:eastAsia="en-US"/>
        </w:rPr>
      </w:pPr>
      <w:r w:rsidRPr="00590EDE">
        <w:rPr>
          <w:lang w:eastAsia="en-US"/>
        </w:rPr>
        <w:t xml:space="preserve">Skiriant intraveninį žmogaus imunoglobuliną, ypač didesnėmis dozėmis, reikia: </w:t>
      </w:r>
    </w:p>
    <w:p w14:paraId="3AB63669" w14:textId="77777777" w:rsidR="00A86D9E" w:rsidRPr="00590EDE" w:rsidRDefault="00A86D9E" w:rsidP="00A86D9E">
      <w:pPr>
        <w:numPr>
          <w:ilvl w:val="0"/>
          <w:numId w:val="1"/>
        </w:numPr>
        <w:overflowPunct/>
        <w:autoSpaceDE/>
        <w:autoSpaceDN/>
        <w:adjustRightInd/>
        <w:ind w:left="426"/>
        <w:contextualSpacing/>
        <w:textAlignment w:val="auto"/>
        <w:rPr>
          <w:lang w:eastAsia="en-US"/>
        </w:rPr>
      </w:pPr>
      <w:r w:rsidRPr="00590EDE">
        <w:rPr>
          <w:lang w:eastAsia="en-US"/>
        </w:rPr>
        <w:t xml:space="preserve">užtikrinti tinkamą hidrataciją, prieš pradedant žmogaus imunoglobulinų infuziją; </w:t>
      </w:r>
    </w:p>
    <w:p w14:paraId="7B5221FF" w14:textId="77777777" w:rsidR="00A86D9E" w:rsidRPr="00590EDE" w:rsidRDefault="00A86D9E" w:rsidP="00A86D9E">
      <w:pPr>
        <w:numPr>
          <w:ilvl w:val="0"/>
          <w:numId w:val="1"/>
        </w:numPr>
        <w:overflowPunct/>
        <w:autoSpaceDE/>
        <w:autoSpaceDN/>
        <w:adjustRightInd/>
        <w:ind w:left="426"/>
        <w:contextualSpacing/>
        <w:textAlignment w:val="auto"/>
        <w:rPr>
          <w:lang w:eastAsia="en-US"/>
        </w:rPr>
      </w:pPr>
      <w:r w:rsidRPr="00590EDE">
        <w:rPr>
          <w:lang w:eastAsia="en-US"/>
        </w:rPr>
        <w:t xml:space="preserve">stebėti šlapimo išsiskyrimą; </w:t>
      </w:r>
    </w:p>
    <w:p w14:paraId="18EF3B42" w14:textId="77777777" w:rsidR="00A86D9E" w:rsidRPr="00590EDE" w:rsidRDefault="00A86D9E" w:rsidP="00A86D9E">
      <w:pPr>
        <w:numPr>
          <w:ilvl w:val="0"/>
          <w:numId w:val="1"/>
        </w:numPr>
        <w:overflowPunct/>
        <w:autoSpaceDE/>
        <w:autoSpaceDN/>
        <w:adjustRightInd/>
        <w:ind w:left="426"/>
        <w:contextualSpacing/>
        <w:textAlignment w:val="auto"/>
        <w:rPr>
          <w:lang w:eastAsia="en-US"/>
        </w:rPr>
      </w:pPr>
      <w:r w:rsidRPr="00590EDE">
        <w:rPr>
          <w:lang w:eastAsia="en-US"/>
        </w:rPr>
        <w:t xml:space="preserve">stebėti kreatinino koncentraciją serume; </w:t>
      </w:r>
    </w:p>
    <w:p w14:paraId="2CC12420" w14:textId="77777777" w:rsidR="00A86D9E" w:rsidRPr="00590EDE" w:rsidRDefault="00A86D9E" w:rsidP="00A86D9E">
      <w:pPr>
        <w:numPr>
          <w:ilvl w:val="0"/>
          <w:numId w:val="1"/>
        </w:numPr>
        <w:overflowPunct/>
        <w:autoSpaceDE/>
        <w:autoSpaceDN/>
        <w:adjustRightInd/>
        <w:ind w:left="426"/>
        <w:contextualSpacing/>
        <w:textAlignment w:val="auto"/>
        <w:rPr>
          <w:lang w:eastAsia="en-US"/>
        </w:rPr>
      </w:pPr>
      <w:r w:rsidRPr="00590EDE">
        <w:rPr>
          <w:lang w:eastAsia="en-US"/>
        </w:rPr>
        <w:t xml:space="preserve">vengti kartu vartoti kilpinius diuretikus. </w:t>
      </w:r>
    </w:p>
    <w:p w14:paraId="0893AE9A" w14:textId="77777777" w:rsidR="00A86D9E" w:rsidRPr="00590EDE" w:rsidRDefault="00A86D9E" w:rsidP="00A86D9E">
      <w:pPr>
        <w:overflowPunct/>
        <w:autoSpaceDE/>
        <w:autoSpaceDN/>
        <w:adjustRightInd/>
        <w:textAlignment w:val="auto"/>
        <w:rPr>
          <w:lang w:eastAsia="en-US"/>
        </w:rPr>
      </w:pPr>
    </w:p>
    <w:p w14:paraId="249E0EA8" w14:textId="77777777" w:rsidR="00A86D9E" w:rsidRPr="00590EDE" w:rsidRDefault="00A86D9E" w:rsidP="00A86D9E">
      <w:pPr>
        <w:overflowPunct/>
        <w:autoSpaceDE/>
        <w:autoSpaceDN/>
        <w:adjustRightInd/>
        <w:textAlignment w:val="auto"/>
        <w:rPr>
          <w:lang w:eastAsia="en-US"/>
        </w:rPr>
      </w:pPr>
      <w:r w:rsidRPr="00590EDE">
        <w:rPr>
          <w:lang w:eastAsia="en-US"/>
        </w:rPr>
        <w:t xml:space="preserve">Pasireiškus nepageidaujamai reakcijai, reikia sumažinti infuzijos greitį arba sustabdyti infuziją. Skiriamas gydymas priklauso nuo nepageidaujamos reakcijos pobūdžio ir sunkumo. </w:t>
      </w:r>
    </w:p>
    <w:p w14:paraId="5EA50C29" w14:textId="77777777" w:rsidR="00A86D9E" w:rsidRPr="00590EDE" w:rsidRDefault="00A86D9E" w:rsidP="00A86D9E">
      <w:pPr>
        <w:overflowPunct/>
        <w:autoSpaceDE/>
        <w:autoSpaceDN/>
        <w:adjustRightInd/>
        <w:textAlignment w:val="auto"/>
        <w:rPr>
          <w:lang w:eastAsia="en-US"/>
        </w:rPr>
      </w:pPr>
    </w:p>
    <w:p w14:paraId="7CD06585" w14:textId="77777777" w:rsidR="00A86D9E" w:rsidRPr="00590EDE" w:rsidRDefault="00A86D9E" w:rsidP="00A86D9E">
      <w:pPr>
        <w:overflowPunct/>
        <w:autoSpaceDE/>
        <w:autoSpaceDN/>
        <w:adjustRightInd/>
        <w:textAlignment w:val="auto"/>
        <w:rPr>
          <w:u w:val="single"/>
          <w:lang w:eastAsia="en-US"/>
        </w:rPr>
      </w:pPr>
      <w:r w:rsidRPr="00590EDE">
        <w:rPr>
          <w:u w:val="single"/>
          <w:lang w:eastAsia="en-US"/>
        </w:rPr>
        <w:t>Padidėjęs jautrumas</w:t>
      </w:r>
    </w:p>
    <w:p w14:paraId="61D39D58" w14:textId="77777777" w:rsidR="00A86D9E" w:rsidRPr="00590EDE" w:rsidRDefault="00A86D9E" w:rsidP="00A86D9E">
      <w:pPr>
        <w:overflowPunct/>
        <w:autoSpaceDE/>
        <w:autoSpaceDN/>
        <w:adjustRightInd/>
        <w:textAlignment w:val="auto"/>
        <w:rPr>
          <w:lang w:eastAsia="en-US"/>
        </w:rPr>
      </w:pPr>
      <w:r w:rsidRPr="00590EDE">
        <w:rPr>
          <w:lang w:eastAsia="en-US"/>
        </w:rPr>
        <w:lastRenderedPageBreak/>
        <w:t>Padidėjusio jautrumo reakcijų pasitaiko retai. Žmogaus hepatito B imunoglobulinas retai gali sumažinti kraujospūdį ir kartu sukelti anafilaksinę reakciją, net tiems pacientams, kurie anksčiau toleravo gydymą žmogaus imunoglobulinu.</w:t>
      </w:r>
    </w:p>
    <w:p w14:paraId="0E4826E4" w14:textId="77777777" w:rsidR="00A86D9E" w:rsidRPr="00590EDE" w:rsidRDefault="00A86D9E" w:rsidP="00A86D9E">
      <w:pPr>
        <w:overflowPunct/>
        <w:autoSpaceDE/>
        <w:autoSpaceDN/>
        <w:adjustRightInd/>
        <w:textAlignment w:val="auto"/>
        <w:rPr>
          <w:lang w:eastAsia="en-US"/>
        </w:rPr>
      </w:pPr>
    </w:p>
    <w:p w14:paraId="0108BE37" w14:textId="77777777" w:rsidR="00A86D9E" w:rsidRPr="00590EDE" w:rsidRDefault="00A86D9E" w:rsidP="00A86D9E">
      <w:pPr>
        <w:overflowPunct/>
        <w:autoSpaceDE/>
        <w:autoSpaceDN/>
        <w:adjustRightInd/>
        <w:textAlignment w:val="auto"/>
        <w:rPr>
          <w:lang w:eastAsia="en-US"/>
        </w:rPr>
      </w:pPr>
      <w:r w:rsidRPr="00590EDE">
        <w:rPr>
          <w:lang w:eastAsia="en-US"/>
        </w:rPr>
        <w:t>Įtarus alerginio ar anafilaksinio tipo reakcijas, infuziją reikia nedelsiant nutraukti. Šoko atveju reikia taikyti standartinį medicininį šoko gydymą.</w:t>
      </w:r>
    </w:p>
    <w:p w14:paraId="4775FF19" w14:textId="77777777" w:rsidR="00A86D9E" w:rsidRPr="00590EDE" w:rsidRDefault="00A86D9E" w:rsidP="00A86D9E">
      <w:pPr>
        <w:overflowPunct/>
        <w:autoSpaceDE/>
        <w:autoSpaceDN/>
        <w:adjustRightInd/>
        <w:textAlignment w:val="auto"/>
        <w:rPr>
          <w:lang w:eastAsia="en-US"/>
        </w:rPr>
      </w:pPr>
    </w:p>
    <w:p w14:paraId="14C847FD" w14:textId="77777777" w:rsidR="00A86D9E" w:rsidRPr="00590EDE" w:rsidRDefault="00A86D9E" w:rsidP="00A86D9E">
      <w:pPr>
        <w:rPr>
          <w:i/>
          <w:szCs w:val="22"/>
        </w:rPr>
      </w:pPr>
      <w:r w:rsidRPr="00590EDE">
        <w:rPr>
          <w:rFonts w:cs="Arial"/>
          <w:i/>
          <w:szCs w:val="24"/>
        </w:rPr>
        <w:t>Toliau nurodytos nepageidaujamos reakcijos buvo susijusios su į veną leidžiamo žmogaus normaliojo imunoglobulino (</w:t>
      </w:r>
      <w:proofErr w:type="spellStart"/>
      <w:r w:rsidRPr="00590EDE">
        <w:rPr>
          <w:rFonts w:cs="Arial"/>
          <w:i/>
          <w:szCs w:val="24"/>
        </w:rPr>
        <w:t>IVIg</w:t>
      </w:r>
      <w:proofErr w:type="spellEnd"/>
      <w:r w:rsidRPr="00590EDE">
        <w:rPr>
          <w:rFonts w:cs="Arial"/>
          <w:i/>
          <w:szCs w:val="24"/>
        </w:rPr>
        <w:t>) vartojimu.</w:t>
      </w:r>
    </w:p>
    <w:p w14:paraId="627E750C" w14:textId="77777777" w:rsidR="00A86D9E" w:rsidRPr="00590EDE" w:rsidRDefault="00A86D9E" w:rsidP="00A86D9E">
      <w:pPr>
        <w:overflowPunct/>
        <w:autoSpaceDE/>
        <w:autoSpaceDN/>
        <w:adjustRightInd/>
        <w:textAlignment w:val="auto"/>
        <w:rPr>
          <w:lang w:eastAsia="en-US"/>
        </w:rPr>
      </w:pPr>
    </w:p>
    <w:p w14:paraId="285D39C8" w14:textId="77777777" w:rsidR="00A86D9E" w:rsidRPr="00590EDE" w:rsidRDefault="00A86D9E" w:rsidP="00A86D9E">
      <w:pPr>
        <w:keepNext/>
        <w:tabs>
          <w:tab w:val="left" w:pos="567"/>
        </w:tabs>
        <w:overflowPunct/>
        <w:autoSpaceDE/>
        <w:autoSpaceDN/>
        <w:adjustRightInd/>
        <w:spacing w:line="260" w:lineRule="exact"/>
        <w:textAlignment w:val="auto"/>
        <w:outlineLvl w:val="3"/>
        <w:rPr>
          <w:noProof/>
          <w:u w:val="single"/>
          <w:lang w:eastAsia="en-US"/>
        </w:rPr>
      </w:pPr>
      <w:r w:rsidRPr="00590EDE">
        <w:rPr>
          <w:noProof/>
          <w:u w:val="single"/>
          <w:lang w:eastAsia="en-US"/>
        </w:rPr>
        <w:t xml:space="preserve">Tromboembolija </w:t>
      </w:r>
    </w:p>
    <w:p w14:paraId="1B7E8121" w14:textId="77777777" w:rsidR="00A86D9E" w:rsidRPr="00590EDE" w:rsidRDefault="00A86D9E" w:rsidP="00A86D9E">
      <w:pPr>
        <w:overflowPunct/>
        <w:autoSpaceDE/>
        <w:autoSpaceDN/>
        <w:adjustRightInd/>
        <w:textAlignment w:val="auto"/>
        <w:rPr>
          <w:lang w:eastAsia="en-US"/>
        </w:rPr>
      </w:pPr>
      <w:r w:rsidRPr="00590EDE">
        <w:rPr>
          <w:lang w:eastAsia="en-US"/>
        </w:rPr>
        <w:t xml:space="preserve">Yra klinikinių duomenų, patvirtinančių ryšį tarp </w:t>
      </w:r>
      <w:proofErr w:type="spellStart"/>
      <w:r w:rsidRPr="00590EDE">
        <w:rPr>
          <w:lang w:eastAsia="en-US"/>
        </w:rPr>
        <w:t>IVIg</w:t>
      </w:r>
      <w:proofErr w:type="spellEnd"/>
      <w:r w:rsidRPr="00590EDE">
        <w:rPr>
          <w:lang w:eastAsia="en-US"/>
        </w:rPr>
        <w:t xml:space="preserve"> vartojimo ir </w:t>
      </w:r>
      <w:proofErr w:type="spellStart"/>
      <w:r w:rsidRPr="00590EDE">
        <w:rPr>
          <w:lang w:eastAsia="en-US"/>
        </w:rPr>
        <w:t>tromboembolinių</w:t>
      </w:r>
      <w:proofErr w:type="spellEnd"/>
      <w:r w:rsidRPr="00590EDE">
        <w:rPr>
          <w:lang w:eastAsia="en-US"/>
        </w:rPr>
        <w:t xml:space="preserve"> reiškinių, pvz., miokardo infarkto, smegenų kraujagyslių sutrikimo (įskaitant insultą), plaučių embolijos ir giliųjų venų trombozių, kurie gali būti susiję su santykiniu kraujo klampumo padidėjimu dėl didelio imunoglobulino antplūdžio rizikos grupės pacientams. Reikia imtis atsargumo priemonių skiriant ir lašinant </w:t>
      </w:r>
      <w:proofErr w:type="spellStart"/>
      <w:r w:rsidRPr="00590EDE">
        <w:rPr>
          <w:lang w:eastAsia="en-US"/>
        </w:rPr>
        <w:t>IVIg</w:t>
      </w:r>
      <w:proofErr w:type="spellEnd"/>
      <w:r w:rsidRPr="00590EDE">
        <w:rPr>
          <w:lang w:eastAsia="en-US"/>
        </w:rPr>
        <w:t xml:space="preserve"> nutukusiems pacientams ir pacientams, turintiems trombozės reiškinių rizikos veiksnių (pvz., vyresnis amžius, hipertenzija, cukrinis diabetas ir buvusi kraujagyslių liga ar trombozės epizodai, pacientams, kuriems yra įgytų ar paveldėtų </w:t>
      </w:r>
      <w:proofErr w:type="spellStart"/>
      <w:r w:rsidRPr="00590EDE">
        <w:rPr>
          <w:lang w:eastAsia="en-US"/>
        </w:rPr>
        <w:t>trombofilinių</w:t>
      </w:r>
      <w:proofErr w:type="spellEnd"/>
      <w:r w:rsidRPr="00590EDE">
        <w:rPr>
          <w:lang w:eastAsia="en-US"/>
        </w:rPr>
        <w:t xml:space="preserve"> sutrikimų, ilgesnį laiką </w:t>
      </w:r>
      <w:proofErr w:type="spellStart"/>
      <w:r w:rsidRPr="00590EDE">
        <w:rPr>
          <w:lang w:eastAsia="en-US"/>
        </w:rPr>
        <w:t>imobilizuotiems</w:t>
      </w:r>
      <w:proofErr w:type="spellEnd"/>
      <w:r w:rsidRPr="00590EDE">
        <w:rPr>
          <w:lang w:eastAsia="en-US"/>
        </w:rPr>
        <w:t xml:space="preserve">, labai </w:t>
      </w:r>
      <w:proofErr w:type="spellStart"/>
      <w:r w:rsidRPr="00590EDE">
        <w:rPr>
          <w:lang w:eastAsia="en-US"/>
        </w:rPr>
        <w:t>hipovolemiškiems</w:t>
      </w:r>
      <w:proofErr w:type="spellEnd"/>
      <w:r w:rsidRPr="00590EDE">
        <w:rPr>
          <w:lang w:eastAsia="en-US"/>
        </w:rPr>
        <w:t xml:space="preserve"> pacientams ir pacientams, sergantiems ligomis, dėl kurių padidėja kraujo klampumas). </w:t>
      </w:r>
    </w:p>
    <w:p w14:paraId="5F2C8FCD" w14:textId="77777777" w:rsidR="00A86D9E" w:rsidRPr="00590EDE" w:rsidRDefault="00A86D9E" w:rsidP="00A86D9E">
      <w:pPr>
        <w:overflowPunct/>
        <w:autoSpaceDE/>
        <w:autoSpaceDN/>
        <w:adjustRightInd/>
        <w:textAlignment w:val="auto"/>
        <w:rPr>
          <w:lang w:eastAsia="en-US"/>
        </w:rPr>
      </w:pPr>
    </w:p>
    <w:p w14:paraId="4B9589E2" w14:textId="77777777" w:rsidR="00A86D9E" w:rsidRPr="00590EDE" w:rsidRDefault="00A86D9E" w:rsidP="00A86D9E">
      <w:pPr>
        <w:overflowPunct/>
        <w:autoSpaceDE/>
        <w:autoSpaceDN/>
        <w:adjustRightInd/>
        <w:textAlignment w:val="auto"/>
        <w:rPr>
          <w:lang w:eastAsia="en-US"/>
        </w:rPr>
      </w:pPr>
      <w:r w:rsidRPr="00590EDE">
        <w:rPr>
          <w:lang w:eastAsia="en-US"/>
        </w:rPr>
        <w:t xml:space="preserve">Pacientams, kuriems yra nepageidaujamų </w:t>
      </w:r>
      <w:proofErr w:type="spellStart"/>
      <w:r w:rsidRPr="00590EDE">
        <w:rPr>
          <w:lang w:eastAsia="en-US"/>
        </w:rPr>
        <w:t>tromboembolinių</w:t>
      </w:r>
      <w:proofErr w:type="spellEnd"/>
      <w:r w:rsidRPr="00590EDE">
        <w:rPr>
          <w:lang w:eastAsia="en-US"/>
        </w:rPr>
        <w:t xml:space="preserve"> reakcijų rizika, </w:t>
      </w:r>
      <w:proofErr w:type="spellStart"/>
      <w:r w:rsidRPr="00590EDE">
        <w:rPr>
          <w:lang w:eastAsia="en-US"/>
        </w:rPr>
        <w:t>IVIg</w:t>
      </w:r>
      <w:proofErr w:type="spellEnd"/>
      <w:r w:rsidRPr="00590EDE">
        <w:rPr>
          <w:lang w:eastAsia="en-US"/>
        </w:rPr>
        <w:t xml:space="preserve"> vaistiniai preparatai turi būti skiriami mažiausiu infuzijos greičiu ir mažiausia veiksminga doze. </w:t>
      </w:r>
    </w:p>
    <w:p w14:paraId="42D777D8" w14:textId="77777777" w:rsidR="00A86D9E" w:rsidRPr="00590EDE" w:rsidRDefault="00A86D9E" w:rsidP="00A86D9E">
      <w:pPr>
        <w:overflowPunct/>
        <w:autoSpaceDE/>
        <w:autoSpaceDN/>
        <w:adjustRightInd/>
        <w:textAlignment w:val="auto"/>
        <w:rPr>
          <w:lang w:eastAsia="en-US"/>
        </w:rPr>
      </w:pPr>
    </w:p>
    <w:p w14:paraId="5F1D8404" w14:textId="77777777" w:rsidR="00A86D9E" w:rsidRPr="00590EDE" w:rsidRDefault="00A86D9E" w:rsidP="00A86D9E">
      <w:pPr>
        <w:keepNext/>
        <w:tabs>
          <w:tab w:val="left" w:pos="567"/>
        </w:tabs>
        <w:overflowPunct/>
        <w:autoSpaceDE/>
        <w:autoSpaceDN/>
        <w:adjustRightInd/>
        <w:spacing w:line="260" w:lineRule="exact"/>
        <w:textAlignment w:val="auto"/>
        <w:outlineLvl w:val="3"/>
        <w:rPr>
          <w:noProof/>
          <w:u w:val="single"/>
          <w:lang w:eastAsia="en-US"/>
        </w:rPr>
      </w:pPr>
      <w:r w:rsidRPr="00590EDE">
        <w:rPr>
          <w:noProof/>
          <w:u w:val="single"/>
          <w:lang w:eastAsia="en-US"/>
        </w:rPr>
        <w:t xml:space="preserve">Ūminis inkstų nepakankamumas </w:t>
      </w:r>
    </w:p>
    <w:p w14:paraId="0A5E7289" w14:textId="77777777" w:rsidR="00A86D9E" w:rsidRPr="00590EDE" w:rsidRDefault="00A86D9E" w:rsidP="00A86D9E">
      <w:pPr>
        <w:overflowPunct/>
        <w:autoSpaceDE/>
        <w:autoSpaceDN/>
        <w:adjustRightInd/>
        <w:textAlignment w:val="auto"/>
        <w:rPr>
          <w:lang w:eastAsia="en-US"/>
        </w:rPr>
      </w:pPr>
      <w:r w:rsidRPr="00590EDE">
        <w:rPr>
          <w:lang w:eastAsia="en-US"/>
        </w:rPr>
        <w:t xml:space="preserve">Gauta pranešimų apie ūminio inkstų nepakankamumo atvejus </w:t>
      </w:r>
      <w:proofErr w:type="spellStart"/>
      <w:r w:rsidRPr="00590EDE">
        <w:rPr>
          <w:lang w:eastAsia="en-US"/>
        </w:rPr>
        <w:t>IVIg</w:t>
      </w:r>
      <w:proofErr w:type="spellEnd"/>
      <w:r w:rsidRPr="00590EDE">
        <w:rPr>
          <w:lang w:eastAsia="en-US"/>
        </w:rPr>
        <w:t xml:space="preserve"> gydomiems pacientams. Daugumoje atvejų buvo nustatyta rizikos veiksnių, pvz., esamas inkstų nepakankamumas, cukrinis diabetas, </w:t>
      </w:r>
      <w:proofErr w:type="spellStart"/>
      <w:r w:rsidRPr="00590EDE">
        <w:rPr>
          <w:lang w:eastAsia="en-US"/>
        </w:rPr>
        <w:t>hipovolemija</w:t>
      </w:r>
      <w:proofErr w:type="spellEnd"/>
      <w:r w:rsidRPr="00590EDE">
        <w:rPr>
          <w:lang w:eastAsia="en-US"/>
        </w:rPr>
        <w:t xml:space="preserve">, viršsvoris, kartu vartoti </w:t>
      </w:r>
      <w:proofErr w:type="spellStart"/>
      <w:r w:rsidRPr="00590EDE">
        <w:rPr>
          <w:lang w:eastAsia="en-US"/>
        </w:rPr>
        <w:t>nefrotoksiniai</w:t>
      </w:r>
      <w:proofErr w:type="spellEnd"/>
      <w:r w:rsidRPr="00590EDE">
        <w:rPr>
          <w:lang w:eastAsia="en-US"/>
        </w:rPr>
        <w:t xml:space="preserve"> vaistiniai preparatai arba vyresni nei 65 metų. </w:t>
      </w:r>
    </w:p>
    <w:p w14:paraId="645CA684" w14:textId="77777777" w:rsidR="00A86D9E" w:rsidRPr="00590EDE" w:rsidRDefault="00A86D9E" w:rsidP="00A86D9E">
      <w:pPr>
        <w:overflowPunct/>
        <w:autoSpaceDE/>
        <w:autoSpaceDN/>
        <w:adjustRightInd/>
        <w:textAlignment w:val="auto"/>
        <w:rPr>
          <w:lang w:eastAsia="en-US"/>
        </w:rPr>
      </w:pPr>
    </w:p>
    <w:p w14:paraId="516D115C" w14:textId="77777777" w:rsidR="00A86D9E" w:rsidRPr="00590EDE" w:rsidRDefault="00A86D9E" w:rsidP="00A86D9E">
      <w:pPr>
        <w:overflowPunct/>
        <w:autoSpaceDE/>
        <w:autoSpaceDN/>
        <w:adjustRightInd/>
        <w:textAlignment w:val="auto"/>
        <w:rPr>
          <w:lang w:eastAsia="en-US"/>
        </w:rPr>
      </w:pPr>
      <w:r w:rsidRPr="00590EDE">
        <w:rPr>
          <w:lang w:eastAsia="en-US"/>
        </w:rPr>
        <w:t xml:space="preserve">Prieš IVIG infuziją reikia įvertinti inkstų rodiklius, ypač pacientams, kuriems nustatoma galima padidėjusi ūminio inkstų nepakankamumo išsivystymo rizika, juos reikia pakartotinai vertinti atitinkamais intervalais. Pacientams, kuriems yra ūminio inkstų nepakankamumo rizika, </w:t>
      </w:r>
      <w:proofErr w:type="spellStart"/>
      <w:r w:rsidRPr="00590EDE">
        <w:rPr>
          <w:lang w:eastAsia="en-US"/>
        </w:rPr>
        <w:t>IVIg</w:t>
      </w:r>
      <w:proofErr w:type="spellEnd"/>
      <w:r w:rsidRPr="00590EDE">
        <w:rPr>
          <w:lang w:eastAsia="en-US"/>
        </w:rPr>
        <w:t xml:space="preserve"> vaistiniai preparatai turi būti skiriami mažiausiu infuzijos greičiu ir mažiausia veiksminga doze. Inkstų funkcijos sutrikimo atveju reikia apsvarstyti galimybę nutraukti gydymą </w:t>
      </w:r>
      <w:proofErr w:type="spellStart"/>
      <w:r w:rsidRPr="00590EDE">
        <w:rPr>
          <w:lang w:eastAsia="en-US"/>
        </w:rPr>
        <w:t>IVIg</w:t>
      </w:r>
      <w:proofErr w:type="spellEnd"/>
      <w:r w:rsidRPr="00590EDE">
        <w:rPr>
          <w:lang w:eastAsia="en-US"/>
        </w:rPr>
        <w:t>.</w:t>
      </w:r>
    </w:p>
    <w:p w14:paraId="603FD67A" w14:textId="77777777" w:rsidR="00A86D9E" w:rsidRPr="00590EDE" w:rsidRDefault="00A86D9E" w:rsidP="00A86D9E">
      <w:pPr>
        <w:overflowPunct/>
        <w:autoSpaceDE/>
        <w:autoSpaceDN/>
        <w:adjustRightInd/>
        <w:textAlignment w:val="auto"/>
        <w:rPr>
          <w:lang w:eastAsia="en-US"/>
        </w:rPr>
      </w:pPr>
      <w:r w:rsidRPr="00590EDE">
        <w:rPr>
          <w:lang w:eastAsia="en-US"/>
        </w:rPr>
        <w:t xml:space="preserve"> </w:t>
      </w:r>
    </w:p>
    <w:p w14:paraId="0C140148" w14:textId="77777777" w:rsidR="00A86D9E" w:rsidRPr="00590EDE" w:rsidRDefault="00A86D9E" w:rsidP="00A86D9E">
      <w:pPr>
        <w:overflowPunct/>
        <w:autoSpaceDE/>
        <w:autoSpaceDN/>
        <w:adjustRightInd/>
        <w:textAlignment w:val="auto"/>
        <w:rPr>
          <w:lang w:eastAsia="en-US"/>
        </w:rPr>
      </w:pPr>
      <w:r w:rsidRPr="00590EDE">
        <w:rPr>
          <w:lang w:eastAsia="en-US"/>
        </w:rPr>
        <w:t xml:space="preserve">Nors pranešimai apie inkstų funkcijos sutrikimą ir ūminį inkstų nepakankamumą buvo susiję su daugelio užregistruotų </w:t>
      </w:r>
      <w:proofErr w:type="spellStart"/>
      <w:r w:rsidRPr="00590EDE">
        <w:rPr>
          <w:lang w:eastAsia="en-US"/>
        </w:rPr>
        <w:t>IVIg</w:t>
      </w:r>
      <w:proofErr w:type="spellEnd"/>
      <w:r w:rsidRPr="00590EDE">
        <w:rPr>
          <w:lang w:eastAsia="en-US"/>
        </w:rPr>
        <w:t xml:space="preserve"> vaistinių preparatų, kurių sudėtyje yra įvairių pagalbinių medžiagų, pvz., cukraus (sacharozės), gliukozės ir </w:t>
      </w:r>
      <w:proofErr w:type="spellStart"/>
      <w:r w:rsidRPr="00590EDE">
        <w:rPr>
          <w:lang w:eastAsia="en-US"/>
        </w:rPr>
        <w:t>maltozės</w:t>
      </w:r>
      <w:proofErr w:type="spellEnd"/>
      <w:r w:rsidRPr="00590EDE">
        <w:rPr>
          <w:lang w:eastAsia="en-US"/>
        </w:rPr>
        <w:t xml:space="preserve">, vartojimu, daugiausiai pranešimų gauta apie vaistinius preparatus, kurių sudėtyje yra stabilizatoriaus cukraus (sacharozės). </w:t>
      </w:r>
    </w:p>
    <w:p w14:paraId="7681DD67" w14:textId="77777777" w:rsidR="00A86D9E" w:rsidRPr="00590EDE" w:rsidRDefault="00A86D9E" w:rsidP="00A86D9E">
      <w:pPr>
        <w:overflowPunct/>
        <w:autoSpaceDE/>
        <w:autoSpaceDN/>
        <w:adjustRightInd/>
        <w:textAlignment w:val="auto"/>
        <w:rPr>
          <w:lang w:eastAsia="en-US"/>
        </w:rPr>
      </w:pPr>
      <w:r w:rsidRPr="00590EDE">
        <w:rPr>
          <w:lang w:eastAsia="en-US"/>
        </w:rPr>
        <w:t xml:space="preserve">Pacientams, kuriems yra rizika, reikia apsvarstyti galimybę vartoti žmogaus imunoglobulinų vaistinius preparatus, kurių sudėtyje nėra šių pagalbinių medžiagų </w:t>
      </w:r>
      <w:proofErr w:type="spellStart"/>
      <w:r>
        <w:t>Hepetra</w:t>
      </w:r>
      <w:proofErr w:type="spellEnd"/>
      <w:r w:rsidRPr="00590EDE">
        <w:rPr>
          <w:lang w:eastAsia="en-US"/>
        </w:rPr>
        <w:t xml:space="preserve"> sudėtyje nėra cukraus (sacharozės), </w:t>
      </w:r>
      <w:proofErr w:type="spellStart"/>
      <w:r w:rsidRPr="00590EDE">
        <w:rPr>
          <w:lang w:eastAsia="en-US"/>
        </w:rPr>
        <w:t>maltozės</w:t>
      </w:r>
      <w:proofErr w:type="spellEnd"/>
      <w:r w:rsidRPr="00590EDE">
        <w:rPr>
          <w:lang w:eastAsia="en-US"/>
        </w:rPr>
        <w:t xml:space="preserve"> arba gliukozės.</w:t>
      </w:r>
    </w:p>
    <w:p w14:paraId="6F17A5BC" w14:textId="77777777" w:rsidR="00A86D9E" w:rsidRPr="00590EDE" w:rsidRDefault="00A86D9E" w:rsidP="00A86D9E">
      <w:pPr>
        <w:overflowPunct/>
        <w:autoSpaceDE/>
        <w:autoSpaceDN/>
        <w:adjustRightInd/>
        <w:textAlignment w:val="auto"/>
        <w:rPr>
          <w:lang w:eastAsia="en-US"/>
        </w:rPr>
      </w:pPr>
    </w:p>
    <w:p w14:paraId="793E1E18" w14:textId="77777777" w:rsidR="00A86D9E" w:rsidRPr="00590EDE" w:rsidRDefault="00A86D9E" w:rsidP="00A86D9E">
      <w:pPr>
        <w:shd w:val="clear" w:color="auto" w:fill="FFFFFF"/>
        <w:overflowPunct/>
        <w:autoSpaceDE/>
        <w:autoSpaceDN/>
        <w:adjustRightInd/>
        <w:textAlignment w:val="auto"/>
        <w:rPr>
          <w:u w:val="single"/>
          <w:lang w:eastAsia="en-US"/>
        </w:rPr>
      </w:pPr>
      <w:proofErr w:type="spellStart"/>
      <w:r w:rsidRPr="00590EDE">
        <w:rPr>
          <w:u w:val="single"/>
          <w:lang w:eastAsia="en-US"/>
        </w:rPr>
        <w:t>Aseptinio</w:t>
      </w:r>
      <w:proofErr w:type="spellEnd"/>
      <w:r w:rsidRPr="00590EDE">
        <w:rPr>
          <w:u w:val="single"/>
          <w:lang w:eastAsia="en-US"/>
        </w:rPr>
        <w:t xml:space="preserve"> meningito sindromas (AMS)</w:t>
      </w:r>
    </w:p>
    <w:p w14:paraId="5F158836" w14:textId="77777777" w:rsidR="00A86D9E" w:rsidRPr="00590EDE" w:rsidRDefault="00A86D9E" w:rsidP="00A86D9E">
      <w:pPr>
        <w:shd w:val="clear" w:color="auto" w:fill="FFFFFF"/>
        <w:overflowPunct/>
        <w:autoSpaceDE/>
        <w:autoSpaceDN/>
        <w:adjustRightInd/>
        <w:textAlignment w:val="auto"/>
        <w:rPr>
          <w:lang w:eastAsia="en-US"/>
        </w:rPr>
      </w:pPr>
      <w:r w:rsidRPr="00590EDE">
        <w:rPr>
          <w:lang w:eastAsia="en-US"/>
        </w:rPr>
        <w:t xml:space="preserve">Gauta pranešimų apie </w:t>
      </w:r>
      <w:proofErr w:type="spellStart"/>
      <w:r w:rsidRPr="00590EDE">
        <w:rPr>
          <w:lang w:eastAsia="en-US"/>
        </w:rPr>
        <w:t>aseptinio</w:t>
      </w:r>
      <w:proofErr w:type="spellEnd"/>
      <w:r w:rsidRPr="00590EDE">
        <w:rPr>
          <w:lang w:eastAsia="en-US"/>
        </w:rPr>
        <w:t xml:space="preserve"> meningito sindromo atvejus, susijusius su gydymu </w:t>
      </w:r>
      <w:proofErr w:type="spellStart"/>
      <w:r w:rsidRPr="00590EDE">
        <w:rPr>
          <w:lang w:eastAsia="en-US"/>
        </w:rPr>
        <w:t>IVIg</w:t>
      </w:r>
      <w:proofErr w:type="spellEnd"/>
      <w:r w:rsidRPr="00590EDE">
        <w:rPr>
          <w:lang w:eastAsia="en-US"/>
        </w:rPr>
        <w:t>.</w:t>
      </w:r>
    </w:p>
    <w:p w14:paraId="58176572" w14:textId="77777777" w:rsidR="00A86D9E" w:rsidRPr="00590EDE" w:rsidRDefault="00A86D9E" w:rsidP="00A86D9E">
      <w:pPr>
        <w:shd w:val="clear" w:color="auto" w:fill="FFFFFF"/>
        <w:overflowPunct/>
        <w:autoSpaceDE/>
        <w:autoSpaceDN/>
        <w:adjustRightInd/>
        <w:textAlignment w:val="auto"/>
        <w:rPr>
          <w:lang w:eastAsia="en-US"/>
        </w:rPr>
      </w:pPr>
      <w:r w:rsidRPr="00590EDE">
        <w:rPr>
          <w:lang w:eastAsia="en-US"/>
        </w:rPr>
        <w:t xml:space="preserve">Sindromas paprastai prasideda praėjus nuo kelių valandų iki 2 parų po gydymo </w:t>
      </w:r>
      <w:proofErr w:type="spellStart"/>
      <w:r w:rsidRPr="00590EDE">
        <w:rPr>
          <w:lang w:eastAsia="en-US"/>
        </w:rPr>
        <w:t>IVIg</w:t>
      </w:r>
      <w:proofErr w:type="spellEnd"/>
      <w:r w:rsidRPr="00590EDE">
        <w:rPr>
          <w:lang w:eastAsia="en-US"/>
        </w:rPr>
        <w:t xml:space="preserve">. Atlikus nugaros smegenų skysčio tyrimus, dažnai diagnozuojama </w:t>
      </w:r>
      <w:proofErr w:type="spellStart"/>
      <w:r w:rsidRPr="00590EDE">
        <w:rPr>
          <w:lang w:eastAsia="en-US"/>
        </w:rPr>
        <w:t>pleocitozė</w:t>
      </w:r>
      <w:proofErr w:type="spellEnd"/>
      <w:r w:rsidRPr="00590EDE">
        <w:rPr>
          <w:lang w:eastAsia="en-US"/>
        </w:rPr>
        <w:t>, iki kelių tūkstančių ląstelių viename mm</w:t>
      </w:r>
      <w:r w:rsidRPr="00590EDE">
        <w:rPr>
          <w:vertAlign w:val="superscript"/>
          <w:lang w:eastAsia="en-US"/>
        </w:rPr>
        <w:t>3</w:t>
      </w:r>
      <w:r w:rsidRPr="00590EDE">
        <w:rPr>
          <w:lang w:eastAsia="en-US"/>
        </w:rPr>
        <w:t xml:space="preserve">, daugiausia </w:t>
      </w:r>
      <w:proofErr w:type="spellStart"/>
      <w:r w:rsidRPr="00590EDE">
        <w:rPr>
          <w:lang w:eastAsia="en-US"/>
        </w:rPr>
        <w:t>granulocitų</w:t>
      </w:r>
      <w:proofErr w:type="spellEnd"/>
      <w:r w:rsidRPr="00590EDE">
        <w:rPr>
          <w:lang w:eastAsia="en-US"/>
        </w:rPr>
        <w:t>, ir iki kelių šimtų mg/dl padidėj</w:t>
      </w:r>
      <w:r>
        <w:rPr>
          <w:lang w:eastAsia="en-US"/>
        </w:rPr>
        <w:t>u</w:t>
      </w:r>
      <w:r w:rsidRPr="00590EDE">
        <w:rPr>
          <w:lang w:eastAsia="en-US"/>
        </w:rPr>
        <w:t>s</w:t>
      </w:r>
      <w:r>
        <w:rPr>
          <w:lang w:eastAsia="en-US"/>
        </w:rPr>
        <w:t>i</w:t>
      </w:r>
      <w:r w:rsidRPr="00590EDE">
        <w:rPr>
          <w:lang w:eastAsia="en-US"/>
        </w:rPr>
        <w:t xml:space="preserve"> baltymo k</w:t>
      </w:r>
      <w:r>
        <w:rPr>
          <w:lang w:eastAsia="en-US"/>
        </w:rPr>
        <w:t>oncentracija</w:t>
      </w:r>
      <w:r w:rsidRPr="00590EDE">
        <w:rPr>
          <w:lang w:eastAsia="en-US"/>
        </w:rPr>
        <w:t>.</w:t>
      </w:r>
    </w:p>
    <w:p w14:paraId="149B9A7D" w14:textId="77777777" w:rsidR="00A86D9E" w:rsidRPr="00590EDE" w:rsidRDefault="00A86D9E" w:rsidP="00A86D9E">
      <w:pPr>
        <w:shd w:val="clear" w:color="auto" w:fill="FFFFFF"/>
        <w:overflowPunct/>
        <w:autoSpaceDE/>
        <w:autoSpaceDN/>
        <w:adjustRightInd/>
        <w:textAlignment w:val="auto"/>
        <w:rPr>
          <w:lang w:eastAsia="en-US"/>
        </w:rPr>
      </w:pPr>
      <w:r w:rsidRPr="00590EDE">
        <w:rPr>
          <w:lang w:eastAsia="en-US"/>
        </w:rPr>
        <w:t xml:space="preserve">AMS dažniau gali pasireikšti, kai gydoma didelėmis </w:t>
      </w:r>
      <w:proofErr w:type="spellStart"/>
      <w:r w:rsidRPr="00590EDE">
        <w:rPr>
          <w:lang w:eastAsia="en-US"/>
        </w:rPr>
        <w:t>IVIg</w:t>
      </w:r>
      <w:proofErr w:type="spellEnd"/>
      <w:r w:rsidRPr="00590EDE">
        <w:rPr>
          <w:lang w:eastAsia="en-US"/>
        </w:rPr>
        <w:t xml:space="preserve"> dozėmis (2 g/kg).</w:t>
      </w:r>
    </w:p>
    <w:p w14:paraId="3082593F" w14:textId="77777777" w:rsidR="00A86D9E" w:rsidRPr="00590EDE" w:rsidRDefault="00A86D9E" w:rsidP="00A86D9E">
      <w:pPr>
        <w:shd w:val="clear" w:color="auto" w:fill="FFFFFF"/>
        <w:overflowPunct/>
        <w:autoSpaceDE/>
        <w:autoSpaceDN/>
        <w:adjustRightInd/>
        <w:textAlignment w:val="auto"/>
        <w:rPr>
          <w:lang w:eastAsia="en-US"/>
        </w:rPr>
      </w:pPr>
    </w:p>
    <w:p w14:paraId="13A68355" w14:textId="77777777" w:rsidR="00A86D9E" w:rsidRPr="00590EDE" w:rsidRDefault="00A86D9E" w:rsidP="00A86D9E">
      <w:pPr>
        <w:overflowPunct/>
        <w:textAlignment w:val="auto"/>
        <w:rPr>
          <w:rFonts w:ascii="KELNIG+TimesNewRoman" w:hAnsi="KELNIG+TimesNewRoman" w:cs="KELNIG+TimesNewRoman"/>
          <w:color w:val="000000"/>
          <w:szCs w:val="22"/>
          <w:lang w:eastAsia="cs-CZ"/>
        </w:rPr>
      </w:pPr>
      <w:r w:rsidRPr="00590EDE">
        <w:rPr>
          <w:rFonts w:ascii="KELNIG+TimesNewRoman" w:hAnsi="KELNIG+TimesNewRoman" w:cs="KELNIG+TimesNewRoman"/>
          <w:color w:val="000000"/>
          <w:szCs w:val="24"/>
          <w:lang w:eastAsia="cs-CZ"/>
        </w:rPr>
        <w:t xml:space="preserve">Pacientams, kuriems pasireiškia tokių požymių ir simptomų, reikia atlikti išsamų neurologinį tyrimą, įskaitant nugaros smegenų skysčio tyrimus, kad būtų atmestos kitos meningito priežastys. </w:t>
      </w:r>
    </w:p>
    <w:p w14:paraId="76090541" w14:textId="77777777" w:rsidR="00A86D9E" w:rsidRPr="00590EDE" w:rsidRDefault="00A86D9E" w:rsidP="00A86D9E">
      <w:pPr>
        <w:overflowPunct/>
        <w:textAlignment w:val="auto"/>
        <w:rPr>
          <w:rFonts w:ascii="KELNIG+TimesNewRoman" w:hAnsi="KELNIG+TimesNewRoman" w:cs="KELNIG+TimesNewRoman"/>
          <w:color w:val="000000"/>
          <w:szCs w:val="22"/>
          <w:lang w:eastAsia="cs-CZ"/>
        </w:rPr>
      </w:pPr>
    </w:p>
    <w:p w14:paraId="531B835A" w14:textId="77777777" w:rsidR="00A86D9E" w:rsidRPr="00590EDE" w:rsidRDefault="00A86D9E" w:rsidP="00A86D9E">
      <w:pPr>
        <w:shd w:val="clear" w:color="auto" w:fill="FFFFFF"/>
        <w:overflowPunct/>
        <w:autoSpaceDE/>
        <w:autoSpaceDN/>
        <w:adjustRightInd/>
        <w:textAlignment w:val="auto"/>
        <w:rPr>
          <w:lang w:eastAsia="en-US"/>
        </w:rPr>
      </w:pPr>
      <w:r w:rsidRPr="00590EDE">
        <w:rPr>
          <w:lang w:eastAsia="en-US"/>
        </w:rPr>
        <w:t xml:space="preserve">Nutraukus gydymą </w:t>
      </w:r>
      <w:proofErr w:type="spellStart"/>
      <w:r w:rsidRPr="00590EDE">
        <w:rPr>
          <w:lang w:eastAsia="en-US"/>
        </w:rPr>
        <w:t>IVIg</w:t>
      </w:r>
      <w:proofErr w:type="spellEnd"/>
      <w:r w:rsidRPr="00590EDE">
        <w:rPr>
          <w:lang w:eastAsia="en-US"/>
        </w:rPr>
        <w:t>, AMS simptomai be pasekmių išnyko per kelias dienas.</w:t>
      </w:r>
    </w:p>
    <w:p w14:paraId="618AED88" w14:textId="77777777" w:rsidR="00A86D9E" w:rsidRPr="00590EDE" w:rsidRDefault="00A86D9E" w:rsidP="00A86D9E">
      <w:pPr>
        <w:shd w:val="clear" w:color="auto" w:fill="FFFFFF"/>
        <w:overflowPunct/>
        <w:autoSpaceDE/>
        <w:autoSpaceDN/>
        <w:adjustRightInd/>
        <w:textAlignment w:val="auto"/>
        <w:rPr>
          <w:lang w:eastAsia="en-US"/>
        </w:rPr>
      </w:pPr>
    </w:p>
    <w:p w14:paraId="29C77271" w14:textId="77777777" w:rsidR="00A86D9E" w:rsidRPr="00590EDE" w:rsidRDefault="00A86D9E" w:rsidP="00A86D9E">
      <w:pPr>
        <w:overflowPunct/>
        <w:autoSpaceDE/>
        <w:autoSpaceDN/>
        <w:adjustRightInd/>
        <w:textAlignment w:val="auto"/>
        <w:rPr>
          <w:u w:val="single"/>
          <w:lang w:eastAsia="en-US"/>
        </w:rPr>
      </w:pPr>
      <w:r w:rsidRPr="00590EDE">
        <w:rPr>
          <w:u w:val="single"/>
          <w:lang w:eastAsia="en-US"/>
        </w:rPr>
        <w:t>Hemolizinė anemija</w:t>
      </w:r>
    </w:p>
    <w:p w14:paraId="637E3270" w14:textId="77777777" w:rsidR="00A86D9E" w:rsidRPr="00590EDE" w:rsidRDefault="00A86D9E" w:rsidP="00A86D9E">
      <w:pPr>
        <w:shd w:val="clear" w:color="auto" w:fill="FFFFFF"/>
        <w:overflowPunct/>
        <w:autoSpaceDE/>
        <w:autoSpaceDN/>
        <w:adjustRightInd/>
        <w:textAlignment w:val="auto"/>
        <w:rPr>
          <w:lang w:eastAsia="en-US"/>
        </w:rPr>
      </w:pPr>
      <w:proofErr w:type="spellStart"/>
      <w:r w:rsidRPr="00590EDE">
        <w:rPr>
          <w:lang w:eastAsia="en-US"/>
        </w:rPr>
        <w:lastRenderedPageBreak/>
        <w:t>IVIg</w:t>
      </w:r>
      <w:proofErr w:type="spellEnd"/>
      <w:r w:rsidRPr="00590EDE">
        <w:rPr>
          <w:lang w:eastAsia="en-US"/>
        </w:rPr>
        <w:t xml:space="preserve"> vaistinių preparatų sudėtyje gali būti kraujo grupės antikūnų, kurie gali veikti kaip </w:t>
      </w:r>
      <w:proofErr w:type="spellStart"/>
      <w:r w:rsidRPr="00590EDE">
        <w:rPr>
          <w:lang w:eastAsia="en-US"/>
        </w:rPr>
        <w:t>hemolizinai</w:t>
      </w:r>
      <w:proofErr w:type="spellEnd"/>
      <w:r w:rsidRPr="00590EDE">
        <w:rPr>
          <w:lang w:eastAsia="en-US"/>
        </w:rPr>
        <w:t xml:space="preserve"> ir gali </w:t>
      </w:r>
      <w:proofErr w:type="spellStart"/>
      <w:r w:rsidRPr="00590EDE">
        <w:rPr>
          <w:i/>
          <w:iCs/>
          <w:lang w:eastAsia="en-US"/>
        </w:rPr>
        <w:t>in</w:t>
      </w:r>
      <w:proofErr w:type="spellEnd"/>
      <w:r w:rsidRPr="00590EDE">
        <w:rPr>
          <w:i/>
          <w:iCs/>
          <w:lang w:eastAsia="en-US"/>
        </w:rPr>
        <w:t> </w:t>
      </w:r>
      <w:proofErr w:type="spellStart"/>
      <w:r w:rsidRPr="00590EDE">
        <w:rPr>
          <w:i/>
          <w:iCs/>
          <w:lang w:eastAsia="en-US"/>
        </w:rPr>
        <w:t>vivo</w:t>
      </w:r>
      <w:proofErr w:type="spellEnd"/>
      <w:r w:rsidRPr="00590EDE">
        <w:rPr>
          <w:lang w:eastAsia="en-US"/>
        </w:rPr>
        <w:t xml:space="preserve"> skatinti raudonųjų kraujo ląstelių pasidengimą imunoglobulinu, sukeldami teigiamą tiesioginę </w:t>
      </w:r>
      <w:proofErr w:type="spellStart"/>
      <w:r w:rsidRPr="00590EDE">
        <w:rPr>
          <w:lang w:eastAsia="en-US"/>
        </w:rPr>
        <w:t>antiglobulino</w:t>
      </w:r>
      <w:proofErr w:type="spellEnd"/>
      <w:r w:rsidRPr="00590EDE">
        <w:rPr>
          <w:lang w:eastAsia="en-US"/>
        </w:rPr>
        <w:t xml:space="preserve"> reakciją (</w:t>
      </w:r>
      <w:proofErr w:type="spellStart"/>
      <w:r w:rsidRPr="00590EDE">
        <w:rPr>
          <w:lang w:eastAsia="en-US"/>
        </w:rPr>
        <w:t>Kumbso</w:t>
      </w:r>
      <w:proofErr w:type="spellEnd"/>
      <w:r w:rsidRPr="00590EDE">
        <w:rPr>
          <w:lang w:eastAsia="en-US"/>
        </w:rPr>
        <w:t xml:space="preserve"> testas) ir retai </w:t>
      </w:r>
      <w:proofErr w:type="spellStart"/>
      <w:r w:rsidRPr="00590EDE">
        <w:rPr>
          <w:lang w:eastAsia="en-US"/>
        </w:rPr>
        <w:t>hemolizę</w:t>
      </w:r>
      <w:proofErr w:type="spellEnd"/>
      <w:r w:rsidRPr="00590EDE">
        <w:rPr>
          <w:lang w:eastAsia="en-US"/>
        </w:rPr>
        <w:t xml:space="preserve">. Hemolizinė anemija gali išsivystyti po gydymo </w:t>
      </w:r>
      <w:proofErr w:type="spellStart"/>
      <w:r w:rsidRPr="00590EDE">
        <w:rPr>
          <w:lang w:eastAsia="en-US"/>
        </w:rPr>
        <w:t>IVIg</w:t>
      </w:r>
      <w:proofErr w:type="spellEnd"/>
      <w:r w:rsidRPr="00590EDE">
        <w:rPr>
          <w:lang w:eastAsia="en-US"/>
        </w:rPr>
        <w:t xml:space="preserve"> dėl padidėjusio raudonųjų kraujo ląstelių (RBC) irimo. Reikia stebėti, ar </w:t>
      </w:r>
      <w:proofErr w:type="spellStart"/>
      <w:r w:rsidRPr="00590EDE">
        <w:rPr>
          <w:lang w:eastAsia="en-US"/>
        </w:rPr>
        <w:t>IVIg</w:t>
      </w:r>
      <w:proofErr w:type="spellEnd"/>
      <w:r w:rsidRPr="00590EDE">
        <w:rPr>
          <w:lang w:eastAsia="en-US"/>
        </w:rPr>
        <w:t xml:space="preserve"> gydomiems pacientams nepasireiškia </w:t>
      </w:r>
      <w:proofErr w:type="spellStart"/>
      <w:r w:rsidRPr="00590EDE">
        <w:rPr>
          <w:lang w:eastAsia="en-US"/>
        </w:rPr>
        <w:t>hemolizės</w:t>
      </w:r>
      <w:proofErr w:type="spellEnd"/>
      <w:r w:rsidRPr="00590EDE">
        <w:rPr>
          <w:lang w:eastAsia="en-US"/>
        </w:rPr>
        <w:t xml:space="preserve"> klinikinių požymių ir simptomų.</w:t>
      </w:r>
    </w:p>
    <w:p w14:paraId="7B61E746" w14:textId="77777777" w:rsidR="00A86D9E" w:rsidRPr="00590EDE" w:rsidDel="00475772" w:rsidRDefault="00A86D9E" w:rsidP="00A86D9E">
      <w:pPr>
        <w:overflowPunct/>
        <w:autoSpaceDE/>
        <w:autoSpaceDN/>
        <w:adjustRightInd/>
        <w:textAlignment w:val="auto"/>
        <w:rPr>
          <w:szCs w:val="22"/>
          <w:lang w:eastAsia="en-US"/>
        </w:rPr>
      </w:pPr>
    </w:p>
    <w:p w14:paraId="75F25A8B" w14:textId="77777777" w:rsidR="00A86D9E" w:rsidRPr="00590EDE" w:rsidRDefault="00A86D9E" w:rsidP="00A86D9E">
      <w:pPr>
        <w:keepNext/>
        <w:tabs>
          <w:tab w:val="left" w:pos="567"/>
        </w:tabs>
        <w:overflowPunct/>
        <w:autoSpaceDE/>
        <w:autoSpaceDN/>
        <w:adjustRightInd/>
        <w:spacing w:line="260" w:lineRule="exact"/>
        <w:textAlignment w:val="auto"/>
        <w:outlineLvl w:val="3"/>
        <w:rPr>
          <w:noProof/>
          <w:u w:val="single"/>
          <w:lang w:eastAsia="en-US"/>
        </w:rPr>
      </w:pPr>
      <w:r w:rsidRPr="00590EDE">
        <w:rPr>
          <w:noProof/>
          <w:u w:val="single"/>
          <w:lang w:eastAsia="en-US"/>
        </w:rPr>
        <w:t xml:space="preserve">Neutropenija / leukopenija </w:t>
      </w:r>
    </w:p>
    <w:p w14:paraId="6D8878E9" w14:textId="77777777" w:rsidR="00A86D9E" w:rsidRPr="00590EDE" w:rsidRDefault="00A86D9E" w:rsidP="00A86D9E">
      <w:pPr>
        <w:overflowPunct/>
        <w:autoSpaceDE/>
        <w:autoSpaceDN/>
        <w:adjustRightInd/>
        <w:textAlignment w:val="auto"/>
        <w:rPr>
          <w:lang w:eastAsia="en-US"/>
        </w:rPr>
      </w:pPr>
      <w:r w:rsidRPr="00590EDE">
        <w:rPr>
          <w:lang w:eastAsia="en-US"/>
        </w:rPr>
        <w:t xml:space="preserve">Po gydymo </w:t>
      </w:r>
      <w:proofErr w:type="spellStart"/>
      <w:r w:rsidRPr="00590EDE">
        <w:rPr>
          <w:lang w:eastAsia="en-US"/>
        </w:rPr>
        <w:t>IVIg</w:t>
      </w:r>
      <w:proofErr w:type="spellEnd"/>
      <w:r w:rsidRPr="00590EDE">
        <w:rPr>
          <w:lang w:eastAsia="en-US"/>
        </w:rPr>
        <w:t xml:space="preserve"> gauta pranešimų apie laikiną </w:t>
      </w:r>
      <w:proofErr w:type="spellStart"/>
      <w:r w:rsidRPr="00590EDE">
        <w:rPr>
          <w:lang w:eastAsia="en-US"/>
        </w:rPr>
        <w:t>neutrofilų</w:t>
      </w:r>
      <w:proofErr w:type="spellEnd"/>
      <w:r w:rsidRPr="00590EDE">
        <w:rPr>
          <w:lang w:eastAsia="en-US"/>
        </w:rPr>
        <w:t xml:space="preserve"> skaičiaus sumažėjimą ir (arba) </w:t>
      </w:r>
      <w:proofErr w:type="spellStart"/>
      <w:r w:rsidRPr="00590EDE">
        <w:rPr>
          <w:lang w:eastAsia="en-US"/>
        </w:rPr>
        <w:t>neutropenijos</w:t>
      </w:r>
      <w:proofErr w:type="spellEnd"/>
      <w:r w:rsidRPr="00590EDE">
        <w:rPr>
          <w:lang w:eastAsia="en-US"/>
        </w:rPr>
        <w:t xml:space="preserve"> epizodus, kartais sunkius. Tai paprastai pasireiškia per kelias valandas ar paras po </w:t>
      </w:r>
      <w:proofErr w:type="spellStart"/>
      <w:r w:rsidRPr="00590EDE">
        <w:rPr>
          <w:lang w:eastAsia="en-US"/>
        </w:rPr>
        <w:t>IVIg</w:t>
      </w:r>
      <w:proofErr w:type="spellEnd"/>
      <w:r w:rsidRPr="00590EDE">
        <w:rPr>
          <w:lang w:eastAsia="en-US"/>
        </w:rPr>
        <w:t xml:space="preserve"> skyrimo ir savaime praeina per 7–14 parų. </w:t>
      </w:r>
    </w:p>
    <w:p w14:paraId="27936A92" w14:textId="77777777" w:rsidR="00A86D9E" w:rsidRPr="00590EDE" w:rsidRDefault="00A86D9E" w:rsidP="00A86D9E">
      <w:pPr>
        <w:overflowPunct/>
        <w:autoSpaceDE/>
        <w:autoSpaceDN/>
        <w:adjustRightInd/>
        <w:textAlignment w:val="auto"/>
        <w:rPr>
          <w:lang w:val="pt-PT" w:eastAsia="en-US"/>
        </w:rPr>
      </w:pPr>
    </w:p>
    <w:p w14:paraId="5D6C3A7B" w14:textId="77777777" w:rsidR="00A86D9E" w:rsidRPr="00590EDE" w:rsidRDefault="00A86D9E" w:rsidP="00A86D9E">
      <w:pPr>
        <w:overflowPunct/>
        <w:autoSpaceDE/>
        <w:autoSpaceDN/>
        <w:adjustRightInd/>
        <w:textAlignment w:val="auto"/>
        <w:rPr>
          <w:u w:val="single"/>
          <w:lang w:eastAsia="en-US"/>
        </w:rPr>
      </w:pPr>
      <w:r w:rsidRPr="00590EDE">
        <w:rPr>
          <w:u w:val="single"/>
          <w:lang w:eastAsia="en-US"/>
        </w:rPr>
        <w:t xml:space="preserve">Su transfuzija susijęs ūminis plaučių pažeidimas (angl. </w:t>
      </w:r>
      <w:proofErr w:type="spellStart"/>
      <w:r w:rsidRPr="00590EDE">
        <w:rPr>
          <w:i/>
          <w:iCs/>
          <w:u w:val="single"/>
          <w:lang w:eastAsia="en-US"/>
        </w:rPr>
        <w:t>transfusion-related</w:t>
      </w:r>
      <w:proofErr w:type="spellEnd"/>
      <w:r w:rsidRPr="00590EDE">
        <w:rPr>
          <w:i/>
          <w:iCs/>
          <w:u w:val="single"/>
          <w:lang w:eastAsia="en-US"/>
        </w:rPr>
        <w:t xml:space="preserve"> </w:t>
      </w:r>
      <w:proofErr w:type="spellStart"/>
      <w:r w:rsidRPr="00590EDE">
        <w:rPr>
          <w:i/>
          <w:iCs/>
          <w:u w:val="single"/>
          <w:lang w:eastAsia="en-US"/>
        </w:rPr>
        <w:t>acute</w:t>
      </w:r>
      <w:proofErr w:type="spellEnd"/>
      <w:r w:rsidRPr="00590EDE">
        <w:rPr>
          <w:i/>
          <w:iCs/>
          <w:u w:val="single"/>
          <w:lang w:eastAsia="en-US"/>
        </w:rPr>
        <w:t xml:space="preserve"> </w:t>
      </w:r>
      <w:proofErr w:type="spellStart"/>
      <w:r w:rsidRPr="00590EDE">
        <w:rPr>
          <w:i/>
          <w:iCs/>
          <w:u w:val="single"/>
          <w:lang w:eastAsia="en-US"/>
        </w:rPr>
        <w:t>lung</w:t>
      </w:r>
      <w:proofErr w:type="spellEnd"/>
      <w:r w:rsidRPr="00590EDE">
        <w:rPr>
          <w:i/>
          <w:iCs/>
          <w:u w:val="single"/>
          <w:lang w:eastAsia="en-US"/>
        </w:rPr>
        <w:t xml:space="preserve"> </w:t>
      </w:r>
      <w:proofErr w:type="spellStart"/>
      <w:r w:rsidRPr="00590EDE">
        <w:rPr>
          <w:i/>
          <w:iCs/>
          <w:u w:val="single"/>
          <w:lang w:eastAsia="en-US"/>
        </w:rPr>
        <w:t>injury</w:t>
      </w:r>
      <w:proofErr w:type="spellEnd"/>
      <w:r w:rsidRPr="00590EDE">
        <w:rPr>
          <w:u w:val="single"/>
          <w:lang w:eastAsia="en-US"/>
        </w:rPr>
        <w:t>, TRALI)</w:t>
      </w:r>
    </w:p>
    <w:p w14:paraId="1C0C598D" w14:textId="77777777" w:rsidR="00A86D9E" w:rsidRPr="00590EDE" w:rsidDel="00475772" w:rsidRDefault="00A86D9E" w:rsidP="00A86D9E">
      <w:pPr>
        <w:overflowPunct/>
        <w:autoSpaceDE/>
        <w:autoSpaceDN/>
        <w:adjustRightInd/>
        <w:textAlignment w:val="auto"/>
        <w:rPr>
          <w:szCs w:val="22"/>
          <w:lang w:eastAsia="en-US"/>
        </w:rPr>
      </w:pPr>
      <w:r w:rsidRPr="00590EDE">
        <w:rPr>
          <w:lang w:eastAsia="en-US"/>
        </w:rPr>
        <w:t xml:space="preserve">Pacientams, kuriems buvo skiriama </w:t>
      </w:r>
      <w:proofErr w:type="spellStart"/>
      <w:r w:rsidRPr="00590EDE">
        <w:rPr>
          <w:lang w:eastAsia="en-US"/>
        </w:rPr>
        <w:t>IVIg</w:t>
      </w:r>
      <w:proofErr w:type="spellEnd"/>
      <w:r w:rsidRPr="00590EDE">
        <w:rPr>
          <w:lang w:eastAsia="en-US"/>
        </w:rPr>
        <w:t xml:space="preserve"> vaistinių preparatų, buvo nustatyta ūminės </w:t>
      </w:r>
      <w:proofErr w:type="spellStart"/>
      <w:r w:rsidRPr="00590EDE">
        <w:rPr>
          <w:lang w:eastAsia="en-US"/>
        </w:rPr>
        <w:t>nekardiogeninės</w:t>
      </w:r>
      <w:proofErr w:type="spellEnd"/>
      <w:r w:rsidRPr="00590EDE">
        <w:rPr>
          <w:lang w:eastAsia="en-US"/>
        </w:rPr>
        <w:t xml:space="preserve"> plaučių edemos [su transfuzija susijusio ūminio plaučių pažeidimo (TRALI)] atvejų. TRALI būdinga sunki hipoksija, </w:t>
      </w:r>
      <w:proofErr w:type="spellStart"/>
      <w:r w:rsidRPr="00590EDE">
        <w:rPr>
          <w:lang w:eastAsia="en-US"/>
        </w:rPr>
        <w:t>dispnėja</w:t>
      </w:r>
      <w:proofErr w:type="spellEnd"/>
      <w:r w:rsidRPr="00590EDE">
        <w:rPr>
          <w:lang w:eastAsia="en-US"/>
        </w:rPr>
        <w:t xml:space="preserve">, </w:t>
      </w:r>
      <w:proofErr w:type="spellStart"/>
      <w:r w:rsidRPr="00590EDE">
        <w:rPr>
          <w:lang w:eastAsia="en-US"/>
        </w:rPr>
        <w:t>tachipnėja</w:t>
      </w:r>
      <w:proofErr w:type="spellEnd"/>
      <w:r w:rsidRPr="00590EDE">
        <w:rPr>
          <w:lang w:eastAsia="en-US"/>
        </w:rPr>
        <w:t xml:space="preserve">, cianozė, karščiavimas ir </w:t>
      </w:r>
      <w:proofErr w:type="spellStart"/>
      <w:r w:rsidRPr="00590EDE">
        <w:rPr>
          <w:lang w:eastAsia="en-US"/>
        </w:rPr>
        <w:t>hipotenzija</w:t>
      </w:r>
      <w:proofErr w:type="spellEnd"/>
      <w:r w:rsidRPr="00590EDE">
        <w:rPr>
          <w:lang w:eastAsia="en-US"/>
        </w:rPr>
        <w:t>. TRALI simptomai paprastai pasireiškia kraujo perpylimo metu arba per 6 valandas po jo, dažnai per 1</w:t>
      </w:r>
      <w:r w:rsidRPr="00590EDE">
        <w:rPr>
          <w:lang w:eastAsia="en-US"/>
        </w:rPr>
        <w:noBreakHyphen/>
        <w:t xml:space="preserve">2 valandas. Todėl reikia stebėti, ar </w:t>
      </w:r>
      <w:proofErr w:type="spellStart"/>
      <w:r w:rsidRPr="00590EDE">
        <w:rPr>
          <w:lang w:eastAsia="en-US"/>
        </w:rPr>
        <w:t>IVIg</w:t>
      </w:r>
      <w:proofErr w:type="spellEnd"/>
      <w:r w:rsidRPr="00590EDE">
        <w:rPr>
          <w:lang w:eastAsia="en-US"/>
        </w:rPr>
        <w:t xml:space="preserve"> recipientams nepasireiškia su plaučiais susijusių nepageidaujamų reakcijų; joms pasireiškus </w:t>
      </w:r>
      <w:proofErr w:type="spellStart"/>
      <w:r w:rsidRPr="00590EDE">
        <w:rPr>
          <w:lang w:eastAsia="en-US"/>
        </w:rPr>
        <w:t>IVIg</w:t>
      </w:r>
      <w:proofErr w:type="spellEnd"/>
      <w:r w:rsidRPr="00590EDE">
        <w:rPr>
          <w:lang w:eastAsia="en-US"/>
        </w:rPr>
        <w:t xml:space="preserve"> infuziją reikia nedelsiant sustabdyti. TRALI yra galimai gyvybei pavojinga būklė, kuriai esant pacientą būtina nedelsiant gydyti reanimacijos ir intensyvios terapijos skyriuje.</w:t>
      </w:r>
    </w:p>
    <w:p w14:paraId="20D43A09" w14:textId="77777777" w:rsidR="00A86D9E" w:rsidRPr="00590EDE" w:rsidRDefault="00A86D9E" w:rsidP="00A86D9E">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overflowPunct/>
        <w:autoSpaceDE/>
        <w:autoSpaceDN/>
        <w:adjustRightInd/>
        <w:spacing w:line="280" w:lineRule="atLeast"/>
        <w:textAlignment w:val="auto"/>
        <w:rPr>
          <w:lang w:eastAsia="en-US"/>
        </w:rPr>
      </w:pPr>
    </w:p>
    <w:p w14:paraId="08C32D83" w14:textId="77777777" w:rsidR="00A86D9E" w:rsidRPr="00590EDE" w:rsidRDefault="00A86D9E" w:rsidP="00A86D9E">
      <w:pPr>
        <w:overflowPunct/>
        <w:autoSpaceDE/>
        <w:autoSpaceDN/>
        <w:adjustRightInd/>
        <w:textAlignment w:val="auto"/>
        <w:rPr>
          <w:szCs w:val="22"/>
          <w:u w:val="single"/>
          <w:lang w:eastAsia="en-US"/>
        </w:rPr>
      </w:pPr>
      <w:r w:rsidRPr="00590EDE">
        <w:rPr>
          <w:u w:val="single"/>
          <w:lang w:eastAsia="en-US"/>
        </w:rPr>
        <w:t>Poveikis serologiniams tyrimams</w:t>
      </w:r>
    </w:p>
    <w:p w14:paraId="42B59D95" w14:textId="77777777" w:rsidR="00A86D9E" w:rsidRPr="00590EDE" w:rsidRDefault="00A86D9E" w:rsidP="00A86D9E">
      <w:pPr>
        <w:overflowPunct/>
        <w:autoSpaceDE/>
        <w:autoSpaceDN/>
        <w:adjustRightInd/>
        <w:textAlignment w:val="auto"/>
        <w:rPr>
          <w:szCs w:val="22"/>
          <w:lang w:eastAsia="en-US"/>
        </w:rPr>
      </w:pPr>
      <w:r w:rsidRPr="00590EDE">
        <w:rPr>
          <w:lang w:eastAsia="en-US"/>
        </w:rPr>
        <w:t>Skyrus imunoglobulino, paciento kraujyje gali laikinai padaugėti įvairių pasyviai perduodamų antikūnų, todėl serologinių tyrimų rezultatai gali būti klaidingai teigiami.</w:t>
      </w:r>
    </w:p>
    <w:p w14:paraId="4C6B304D" w14:textId="77777777" w:rsidR="00A86D9E" w:rsidRPr="00590EDE" w:rsidRDefault="00A86D9E" w:rsidP="00A86D9E">
      <w:pPr>
        <w:widowControl w:val="0"/>
        <w:overflowPunct/>
        <w:autoSpaceDE/>
        <w:autoSpaceDN/>
        <w:adjustRightInd/>
        <w:ind w:left="567" w:hanging="567"/>
        <w:textAlignment w:val="auto"/>
        <w:rPr>
          <w:b/>
          <w:lang w:eastAsia="en-US"/>
        </w:rPr>
      </w:pPr>
    </w:p>
    <w:p w14:paraId="4728C547" w14:textId="77777777" w:rsidR="00A86D9E" w:rsidRPr="00590EDE" w:rsidRDefault="00A86D9E" w:rsidP="00A86D9E">
      <w:pPr>
        <w:widowControl w:val="0"/>
        <w:overflowPunct/>
        <w:autoSpaceDE/>
        <w:autoSpaceDN/>
        <w:adjustRightInd/>
        <w:ind w:left="567" w:hanging="567"/>
        <w:textAlignment w:val="auto"/>
        <w:rPr>
          <w:b/>
          <w:lang w:eastAsia="en-US"/>
        </w:rPr>
      </w:pPr>
      <w:r w:rsidRPr="00590EDE">
        <w:rPr>
          <w:b/>
          <w:lang w:eastAsia="en-US"/>
        </w:rPr>
        <w:t>Dozavimas</w:t>
      </w:r>
    </w:p>
    <w:p w14:paraId="0224FD54" w14:textId="77777777" w:rsidR="00A86D9E" w:rsidRPr="00590EDE" w:rsidRDefault="00A86D9E" w:rsidP="00A86D9E">
      <w:pPr>
        <w:overflowPunct/>
        <w:autoSpaceDE/>
        <w:autoSpaceDN/>
        <w:adjustRightInd/>
        <w:spacing w:line="280" w:lineRule="atLeast"/>
        <w:textAlignment w:val="auto"/>
        <w:rPr>
          <w:lang w:eastAsia="en-US"/>
        </w:rPr>
      </w:pPr>
      <w:r w:rsidRPr="00590EDE">
        <w:rPr>
          <w:lang w:eastAsia="en-US"/>
        </w:rPr>
        <w:t>Jeigu nenurodyta kitaip, taikomos toliau nurodytos rekomendacijos.</w:t>
      </w:r>
    </w:p>
    <w:p w14:paraId="60172C65" w14:textId="77777777" w:rsidR="00A86D9E" w:rsidRPr="00590EDE" w:rsidRDefault="00A86D9E" w:rsidP="00A86D9E">
      <w:pPr>
        <w:overflowPunct/>
        <w:autoSpaceDE/>
        <w:autoSpaceDN/>
        <w:adjustRightInd/>
        <w:spacing w:line="280" w:lineRule="atLeast"/>
        <w:textAlignment w:val="auto"/>
        <w:rPr>
          <w:lang w:eastAsia="en-US"/>
        </w:rPr>
      </w:pPr>
    </w:p>
    <w:p w14:paraId="740F1753" w14:textId="77777777" w:rsidR="00A86D9E" w:rsidRPr="00590EDE" w:rsidRDefault="00A86D9E" w:rsidP="00A86D9E">
      <w:pPr>
        <w:widowControl w:val="0"/>
        <w:overflowPunct/>
        <w:autoSpaceDE/>
        <w:autoSpaceDN/>
        <w:adjustRightInd/>
        <w:ind w:right="-2"/>
        <w:textAlignment w:val="auto"/>
        <w:rPr>
          <w:bCs/>
          <w:lang w:eastAsia="en-US"/>
        </w:rPr>
      </w:pPr>
      <w:r w:rsidRPr="00590EDE">
        <w:rPr>
          <w:b/>
          <w:lang w:eastAsia="en-US"/>
        </w:rPr>
        <w:t>Hepatito B viruso infekcijos pasikartojimo profilaktika po kepenų transplantacijos, atliktos dėl hepatito B sukelto kepenų nepakankamumo</w:t>
      </w:r>
    </w:p>
    <w:p w14:paraId="01FECCEF" w14:textId="77777777" w:rsidR="00A86D9E" w:rsidRPr="00590EDE" w:rsidRDefault="00A86D9E" w:rsidP="00A86D9E">
      <w:pPr>
        <w:overflowPunct/>
        <w:autoSpaceDE/>
        <w:autoSpaceDN/>
        <w:adjustRightInd/>
        <w:textAlignment w:val="auto"/>
        <w:rPr>
          <w:szCs w:val="22"/>
          <w:lang w:eastAsia="en-US"/>
        </w:rPr>
      </w:pPr>
      <w:r w:rsidRPr="00590EDE">
        <w:rPr>
          <w:lang w:eastAsia="en-US"/>
        </w:rPr>
        <w:t>Suaugusiesiems:</w:t>
      </w:r>
    </w:p>
    <w:p w14:paraId="27089104" w14:textId="77777777" w:rsidR="00A86D9E" w:rsidRPr="00590EDE" w:rsidRDefault="00A86D9E" w:rsidP="00A86D9E">
      <w:pPr>
        <w:overflowPunct/>
        <w:autoSpaceDE/>
        <w:autoSpaceDN/>
        <w:adjustRightInd/>
        <w:textAlignment w:val="auto"/>
        <w:rPr>
          <w:szCs w:val="22"/>
          <w:lang w:eastAsia="en-US"/>
        </w:rPr>
      </w:pPr>
      <w:r w:rsidRPr="00590EDE">
        <w:rPr>
          <w:lang w:eastAsia="en-US"/>
        </w:rPr>
        <w:t xml:space="preserve">10 000 TV transplantacijos dieną, operaciniu laikotarpiu, </w:t>
      </w:r>
    </w:p>
    <w:p w14:paraId="0EB01608" w14:textId="77777777" w:rsidR="00A86D9E" w:rsidRPr="00590EDE" w:rsidRDefault="00A86D9E" w:rsidP="00A86D9E">
      <w:pPr>
        <w:overflowPunct/>
        <w:autoSpaceDE/>
        <w:autoSpaceDN/>
        <w:adjustRightInd/>
        <w:textAlignment w:val="auto"/>
        <w:rPr>
          <w:szCs w:val="22"/>
          <w:lang w:eastAsia="en-US"/>
        </w:rPr>
      </w:pPr>
      <w:r w:rsidRPr="00590EDE">
        <w:rPr>
          <w:lang w:eastAsia="en-US"/>
        </w:rPr>
        <w:t>po to 2 000</w:t>
      </w:r>
      <w:r w:rsidRPr="00590EDE">
        <w:rPr>
          <w:lang w:eastAsia="en-US"/>
        </w:rPr>
        <w:noBreakHyphen/>
        <w:t>10 000 TV (40</w:t>
      </w:r>
      <w:r w:rsidRPr="00590EDE">
        <w:rPr>
          <w:lang w:eastAsia="en-US"/>
        </w:rPr>
        <w:noBreakHyphen/>
        <w:t xml:space="preserve">200 ml) per parą 7 dienas </w:t>
      </w:r>
    </w:p>
    <w:p w14:paraId="1449F7A4" w14:textId="77777777" w:rsidR="00A86D9E" w:rsidRPr="00590EDE" w:rsidRDefault="00A86D9E" w:rsidP="00A86D9E">
      <w:pPr>
        <w:overflowPunct/>
        <w:autoSpaceDE/>
        <w:autoSpaceDN/>
        <w:adjustRightInd/>
        <w:textAlignment w:val="auto"/>
        <w:rPr>
          <w:szCs w:val="22"/>
          <w:lang w:eastAsia="en-US"/>
        </w:rPr>
      </w:pPr>
      <w:r w:rsidRPr="00590EDE">
        <w:rPr>
          <w:lang w:eastAsia="en-US"/>
        </w:rPr>
        <w:t>ir pagal poreikį, kad būtų išlaikomas antikūnų kiekis, didesnis nei 100</w:t>
      </w:r>
      <w:r w:rsidRPr="00590EDE">
        <w:rPr>
          <w:lang w:eastAsia="en-US"/>
        </w:rPr>
        <w:noBreakHyphen/>
        <w:t>150 TV/l pacientams, kurių HBV</w:t>
      </w:r>
      <w:r w:rsidRPr="00590EDE">
        <w:rPr>
          <w:lang w:eastAsia="en-US"/>
        </w:rPr>
        <w:noBreakHyphen/>
        <w:t>DNR tyrimo rezultatas yra neigiamas, ir didesnis nei 500 TV/l pacientams, kurių HBV</w:t>
      </w:r>
      <w:r w:rsidRPr="00590EDE">
        <w:rPr>
          <w:lang w:eastAsia="en-US"/>
        </w:rPr>
        <w:noBreakHyphen/>
        <w:t>DNR tyrimo rezultatas yra teigiamas.</w:t>
      </w:r>
    </w:p>
    <w:p w14:paraId="74AE1409" w14:textId="77777777" w:rsidR="00A86D9E" w:rsidRPr="00590EDE" w:rsidRDefault="00A86D9E" w:rsidP="00A86D9E">
      <w:pPr>
        <w:overflowPunct/>
        <w:autoSpaceDE/>
        <w:autoSpaceDN/>
        <w:adjustRightInd/>
        <w:textAlignment w:val="auto"/>
        <w:rPr>
          <w:szCs w:val="22"/>
          <w:lang w:eastAsia="en-US"/>
        </w:rPr>
      </w:pPr>
    </w:p>
    <w:p w14:paraId="554385B8" w14:textId="77777777" w:rsidR="00A86D9E" w:rsidRPr="00590EDE" w:rsidRDefault="00A86D9E" w:rsidP="00A86D9E">
      <w:pPr>
        <w:overflowPunct/>
        <w:autoSpaceDE/>
        <w:autoSpaceDN/>
        <w:adjustRightInd/>
        <w:textAlignment w:val="auto"/>
        <w:rPr>
          <w:szCs w:val="22"/>
          <w:lang w:eastAsia="en-US"/>
        </w:rPr>
      </w:pPr>
      <w:r w:rsidRPr="00590EDE">
        <w:rPr>
          <w:lang w:eastAsia="en-US"/>
        </w:rPr>
        <w:t>Vaikams:</w:t>
      </w:r>
    </w:p>
    <w:p w14:paraId="1A6DC5C7" w14:textId="77777777" w:rsidR="00A86D9E" w:rsidRPr="00590EDE" w:rsidRDefault="00A86D9E" w:rsidP="00A86D9E">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overflowPunct/>
        <w:autoSpaceDE/>
        <w:autoSpaceDN/>
        <w:adjustRightInd/>
        <w:spacing w:line="280" w:lineRule="atLeast"/>
        <w:textAlignment w:val="auto"/>
        <w:rPr>
          <w:lang w:eastAsia="en-US"/>
        </w:rPr>
      </w:pPr>
      <w:r w:rsidRPr="00590EDE">
        <w:rPr>
          <w:lang w:eastAsia="en-US"/>
        </w:rPr>
        <w:t>dozes reikia koreguoti pagal kūno paviršiaus plotą, remiantis 10 000 TV/1,73 m</w:t>
      </w:r>
      <w:r w:rsidRPr="00590EDE">
        <w:rPr>
          <w:vertAlign w:val="superscript"/>
          <w:lang w:eastAsia="en-US"/>
        </w:rPr>
        <w:t>2</w:t>
      </w:r>
      <w:r w:rsidRPr="00590EDE">
        <w:rPr>
          <w:lang w:eastAsia="en-US"/>
        </w:rPr>
        <w:t>.</w:t>
      </w:r>
    </w:p>
    <w:p w14:paraId="00492648" w14:textId="77777777" w:rsidR="00A86D9E" w:rsidRPr="00590EDE" w:rsidRDefault="00A86D9E" w:rsidP="00A86D9E">
      <w:pPr>
        <w:widowControl w:val="0"/>
        <w:overflowPunct/>
        <w:autoSpaceDE/>
        <w:autoSpaceDN/>
        <w:adjustRightInd/>
        <w:ind w:right="-2"/>
        <w:textAlignment w:val="auto"/>
        <w:rPr>
          <w:lang w:eastAsia="en-US"/>
        </w:rPr>
      </w:pPr>
    </w:p>
    <w:p w14:paraId="114E5A79" w14:textId="77777777" w:rsidR="00A86D9E" w:rsidRPr="00590EDE" w:rsidRDefault="00A86D9E" w:rsidP="00A86D9E">
      <w:pPr>
        <w:overflowPunct/>
        <w:autoSpaceDE/>
        <w:autoSpaceDN/>
        <w:adjustRightInd/>
        <w:textAlignment w:val="auto"/>
        <w:rPr>
          <w:b/>
          <w:bCs/>
          <w:szCs w:val="22"/>
          <w:lang w:eastAsia="en-US"/>
        </w:rPr>
      </w:pPr>
      <w:r w:rsidRPr="00590EDE">
        <w:rPr>
          <w:b/>
          <w:lang w:eastAsia="en-US"/>
        </w:rPr>
        <w:t>Hepatito B imunoprofilaktika</w:t>
      </w:r>
    </w:p>
    <w:p w14:paraId="05F17DEC"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 xml:space="preserve">Hepatito B profilaktika </w:t>
      </w:r>
      <w:proofErr w:type="spellStart"/>
      <w:r w:rsidRPr="00590EDE">
        <w:rPr>
          <w:lang w:eastAsia="en-US"/>
        </w:rPr>
        <w:t>neimunizuotų</w:t>
      </w:r>
      <w:proofErr w:type="spellEnd"/>
      <w:r w:rsidRPr="00590EDE">
        <w:rPr>
          <w:lang w:eastAsia="en-US"/>
        </w:rPr>
        <w:t xml:space="preserve"> tiriamųjų atsitiktinio kontakto su užkratu atveju:</w:t>
      </w:r>
    </w:p>
    <w:p w14:paraId="1C787DCA" w14:textId="77777777" w:rsidR="00A86D9E" w:rsidRPr="00590EDE" w:rsidRDefault="00A86D9E" w:rsidP="00A86D9E">
      <w:pPr>
        <w:overflowPunct/>
        <w:autoSpaceDE/>
        <w:autoSpaceDN/>
        <w:adjustRightInd/>
        <w:textAlignment w:val="auto"/>
        <w:rPr>
          <w:szCs w:val="22"/>
          <w:lang w:eastAsia="en-US"/>
        </w:rPr>
      </w:pPr>
      <w:r w:rsidRPr="00590EDE">
        <w:rPr>
          <w:lang w:eastAsia="en-US"/>
        </w:rPr>
        <w:t>ne mažiau kaip 500 TV (10 ml), priklausomai nuo ekspozicijos intensyvumo, kiek galima greičiau po ekspozicijos ir pageidautina per 24</w:t>
      </w:r>
      <w:r w:rsidRPr="00590EDE">
        <w:rPr>
          <w:lang w:eastAsia="en-US"/>
        </w:rPr>
        <w:noBreakHyphen/>
        <w:t>72 valandas.</w:t>
      </w:r>
    </w:p>
    <w:p w14:paraId="557E7D1D" w14:textId="77777777" w:rsidR="00A86D9E" w:rsidRPr="00590EDE" w:rsidRDefault="00A86D9E" w:rsidP="00A86D9E">
      <w:pPr>
        <w:overflowPunct/>
        <w:autoSpaceDE/>
        <w:autoSpaceDN/>
        <w:adjustRightInd/>
        <w:textAlignment w:val="auto"/>
        <w:rPr>
          <w:szCs w:val="22"/>
          <w:lang w:eastAsia="en-US"/>
        </w:rPr>
      </w:pPr>
    </w:p>
    <w:p w14:paraId="70929F91" w14:textId="77777777" w:rsidR="00A86D9E" w:rsidRPr="00590EDE" w:rsidRDefault="00A86D9E" w:rsidP="00A86D9E">
      <w:pPr>
        <w:numPr>
          <w:ilvl w:val="0"/>
          <w:numId w:val="3"/>
        </w:numPr>
        <w:overflowPunct/>
        <w:autoSpaceDE/>
        <w:autoSpaceDN/>
        <w:adjustRightInd/>
        <w:ind w:left="360"/>
        <w:textAlignment w:val="auto"/>
        <w:rPr>
          <w:lang w:eastAsia="en-US"/>
        </w:rPr>
      </w:pPr>
      <w:r w:rsidRPr="00590EDE">
        <w:rPr>
          <w:lang w:eastAsia="en-US"/>
        </w:rPr>
        <w:t>Hepatito B imunoprofilaktika pacientams, kuriems taikoma hemodializė:</w:t>
      </w:r>
    </w:p>
    <w:p w14:paraId="44007C4E" w14:textId="77777777" w:rsidR="00A86D9E" w:rsidRPr="00590EDE" w:rsidRDefault="00A86D9E" w:rsidP="00A86D9E">
      <w:pPr>
        <w:overflowPunct/>
        <w:autoSpaceDE/>
        <w:autoSpaceDN/>
        <w:adjustRightInd/>
        <w:textAlignment w:val="auto"/>
        <w:rPr>
          <w:szCs w:val="22"/>
          <w:lang w:eastAsia="en-US"/>
        </w:rPr>
      </w:pPr>
      <w:r w:rsidRPr="00590EDE">
        <w:rPr>
          <w:lang w:eastAsia="en-US"/>
        </w:rPr>
        <w:t>8</w:t>
      </w:r>
      <w:r w:rsidRPr="00590EDE">
        <w:rPr>
          <w:lang w:eastAsia="en-US"/>
        </w:rPr>
        <w:noBreakHyphen/>
        <w:t>12 TV (0,16</w:t>
      </w:r>
      <w:r w:rsidRPr="00590EDE">
        <w:rPr>
          <w:lang w:eastAsia="en-US"/>
        </w:rPr>
        <w:noBreakHyphen/>
        <w:t xml:space="preserve">0,24 ml)/kg, ne daugiau kaip 500 TV (10 ml), kas 2 mėnesius iki </w:t>
      </w:r>
      <w:proofErr w:type="spellStart"/>
      <w:r w:rsidRPr="00590EDE">
        <w:rPr>
          <w:lang w:eastAsia="en-US"/>
        </w:rPr>
        <w:t>serokonversijos</w:t>
      </w:r>
      <w:proofErr w:type="spellEnd"/>
      <w:r w:rsidRPr="00590EDE">
        <w:rPr>
          <w:lang w:eastAsia="en-US"/>
        </w:rPr>
        <w:t>, kuri įvyksta po vakcinacijos.</w:t>
      </w:r>
    </w:p>
    <w:p w14:paraId="61AD9546" w14:textId="77777777" w:rsidR="00A86D9E" w:rsidRPr="00590EDE" w:rsidRDefault="00A86D9E" w:rsidP="00A86D9E">
      <w:pPr>
        <w:overflowPunct/>
        <w:autoSpaceDE/>
        <w:autoSpaceDN/>
        <w:adjustRightInd/>
        <w:textAlignment w:val="auto"/>
        <w:rPr>
          <w:szCs w:val="22"/>
          <w:lang w:eastAsia="en-US"/>
        </w:rPr>
      </w:pPr>
    </w:p>
    <w:p w14:paraId="5B448F92" w14:textId="77777777" w:rsidR="00A86D9E" w:rsidRPr="00590EDE" w:rsidRDefault="00A86D9E" w:rsidP="00A86D9E">
      <w:pPr>
        <w:numPr>
          <w:ilvl w:val="0"/>
          <w:numId w:val="3"/>
        </w:numPr>
        <w:overflowPunct/>
        <w:autoSpaceDE/>
        <w:autoSpaceDN/>
        <w:adjustRightInd/>
        <w:ind w:left="360"/>
        <w:textAlignment w:val="auto"/>
        <w:rPr>
          <w:szCs w:val="22"/>
          <w:lang w:eastAsia="en-US"/>
        </w:rPr>
      </w:pPr>
      <w:r w:rsidRPr="00590EDE">
        <w:rPr>
          <w:lang w:eastAsia="en-US"/>
        </w:rPr>
        <w:t xml:space="preserve">Hepatito B profilaktika naujagimiams, kurių motinos yra hepatito B viruso nešiotojos, gimimo metu arba kiek galima greičiau po gimimo: </w:t>
      </w:r>
    </w:p>
    <w:p w14:paraId="7044B884" w14:textId="77777777" w:rsidR="00A86D9E" w:rsidRPr="00590EDE" w:rsidRDefault="00A86D9E" w:rsidP="00A86D9E">
      <w:pPr>
        <w:overflowPunct/>
        <w:autoSpaceDE/>
        <w:autoSpaceDN/>
        <w:adjustRightInd/>
        <w:textAlignment w:val="auto"/>
        <w:rPr>
          <w:szCs w:val="22"/>
          <w:lang w:eastAsia="en-US"/>
        </w:rPr>
      </w:pPr>
      <w:r w:rsidRPr="00590EDE">
        <w:rPr>
          <w:lang w:eastAsia="en-US"/>
        </w:rPr>
        <w:t>30</w:t>
      </w:r>
      <w:r w:rsidRPr="00590EDE">
        <w:rPr>
          <w:lang w:eastAsia="en-US"/>
        </w:rPr>
        <w:noBreakHyphen/>
        <w:t xml:space="preserve">100 TV (0,6-2 ml)/kg. Hepatito B imunoglobulino galima vartoti pakartotinai iki </w:t>
      </w:r>
      <w:proofErr w:type="spellStart"/>
      <w:r w:rsidRPr="00590EDE">
        <w:rPr>
          <w:lang w:eastAsia="en-US"/>
        </w:rPr>
        <w:t>serokonversijos</w:t>
      </w:r>
      <w:proofErr w:type="spellEnd"/>
      <w:r w:rsidRPr="00590EDE">
        <w:rPr>
          <w:lang w:eastAsia="en-US"/>
        </w:rPr>
        <w:t>, kuri įvyksta po vakcinacijos.</w:t>
      </w:r>
    </w:p>
    <w:p w14:paraId="1767900C" w14:textId="77777777" w:rsidR="00A86D9E" w:rsidRPr="00590EDE" w:rsidRDefault="00A86D9E" w:rsidP="00A86D9E">
      <w:pPr>
        <w:overflowPunct/>
        <w:autoSpaceDE/>
        <w:autoSpaceDN/>
        <w:adjustRightInd/>
        <w:textAlignment w:val="auto"/>
        <w:rPr>
          <w:szCs w:val="22"/>
          <w:lang w:eastAsia="en-US"/>
        </w:rPr>
      </w:pPr>
    </w:p>
    <w:p w14:paraId="7B0DEC01" w14:textId="77777777" w:rsidR="00A86D9E" w:rsidRPr="00590EDE" w:rsidRDefault="00A86D9E" w:rsidP="00A86D9E">
      <w:pPr>
        <w:overflowPunct/>
        <w:autoSpaceDE/>
        <w:autoSpaceDN/>
        <w:adjustRightInd/>
        <w:textAlignment w:val="auto"/>
        <w:rPr>
          <w:szCs w:val="22"/>
          <w:lang w:eastAsia="en-US"/>
        </w:rPr>
      </w:pPr>
      <w:r w:rsidRPr="00590EDE">
        <w:rPr>
          <w:lang w:eastAsia="en-US"/>
        </w:rPr>
        <w:t>Visais šiais atvejais vakcinacija nuo hepatito B viruso labai rekomenduojama. Pirmąją vakcinos dozę galima suleisti tą pačią dieną kaip žmogaus hepatito B imunoglobuliną, tačiau į skirtingas vietas.</w:t>
      </w:r>
    </w:p>
    <w:p w14:paraId="6023E5C9" w14:textId="77777777" w:rsidR="00A86D9E" w:rsidRPr="00590EDE" w:rsidRDefault="00A86D9E" w:rsidP="00A86D9E">
      <w:pPr>
        <w:overflowPunct/>
        <w:autoSpaceDE/>
        <w:autoSpaceDN/>
        <w:adjustRightInd/>
        <w:textAlignment w:val="auto"/>
        <w:rPr>
          <w:szCs w:val="22"/>
          <w:lang w:eastAsia="en-US"/>
        </w:rPr>
      </w:pPr>
    </w:p>
    <w:p w14:paraId="5C3340EF" w14:textId="77777777" w:rsidR="00A86D9E" w:rsidRPr="00590EDE" w:rsidRDefault="00A86D9E" w:rsidP="00A86D9E">
      <w:pPr>
        <w:keepNext/>
        <w:keepLines/>
        <w:widowControl w:val="0"/>
        <w:overflowPunct/>
        <w:autoSpaceDE/>
        <w:autoSpaceDN/>
        <w:adjustRightInd/>
        <w:textAlignment w:val="auto"/>
        <w:rPr>
          <w:lang w:eastAsia="en-US"/>
        </w:rPr>
      </w:pPr>
      <w:r w:rsidRPr="00590EDE">
        <w:rPr>
          <w:lang w:eastAsia="en-US"/>
        </w:rPr>
        <w:lastRenderedPageBreak/>
        <w:t>Tiriamiesiems, kuriems po vakcinacijos nesusidarė imuninis atsakas (neaptikta antikūnų prieš hepatitą B) ir kuriems reikalinga nuolatinė profilaktika, galima apsvarstyti galimybę skirti 500 TV (10 ml) suaugusiesiems ir 8 TV (0,16 ml)/kg vaikams kas 2 mėnesius, manoma, kad mažiausias apsauginis antikūnų titras yra 10 </w:t>
      </w:r>
      <w:proofErr w:type="spellStart"/>
      <w:r w:rsidRPr="00590EDE">
        <w:rPr>
          <w:lang w:eastAsia="en-US"/>
        </w:rPr>
        <w:t>mTV</w:t>
      </w:r>
      <w:proofErr w:type="spellEnd"/>
      <w:r w:rsidRPr="00590EDE">
        <w:rPr>
          <w:lang w:eastAsia="en-US"/>
        </w:rPr>
        <w:t>/ml.</w:t>
      </w:r>
    </w:p>
    <w:p w14:paraId="354F06C3" w14:textId="77777777" w:rsidR="00A86D9E" w:rsidRPr="00590EDE" w:rsidRDefault="00A86D9E" w:rsidP="00A86D9E">
      <w:pPr>
        <w:widowControl w:val="0"/>
        <w:overflowPunct/>
        <w:autoSpaceDE/>
        <w:autoSpaceDN/>
        <w:adjustRightInd/>
        <w:ind w:right="-2"/>
        <w:textAlignment w:val="auto"/>
        <w:rPr>
          <w:lang w:eastAsia="en-US"/>
        </w:rPr>
      </w:pPr>
    </w:p>
    <w:p w14:paraId="33C33CEF" w14:textId="77777777" w:rsidR="00A86D9E" w:rsidRPr="00565751" w:rsidRDefault="00A86D9E" w:rsidP="00A86D9E"/>
    <w:p w14:paraId="0ABBC565" w14:textId="77777777" w:rsidR="00222FED" w:rsidRDefault="00222FED"/>
    <w:sectPr w:rsidR="00222FED" w:rsidSect="00A86D9E">
      <w:headerReference w:type="default" r:id="rId7"/>
      <w:footerReference w:type="default" r:id="rId8"/>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KELNIG+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C4DC" w14:textId="77777777" w:rsidR="00A86D9E" w:rsidRDefault="00A86D9E" w:rsidP="00590EDE">
    <w:pPr>
      <w:pStyle w:val="Porat"/>
      <w:tabs>
        <w:tab w:val="clear" w:pos="4819"/>
        <w:tab w:val="center" w:pos="4536"/>
      </w:tabs>
      <w:rPr>
        <w:sz w:val="16"/>
      </w:rPr>
    </w:pPr>
    <w:r>
      <w:rPr>
        <w:rStyle w:val="Puslapionumeris"/>
        <w:rFonts w:eastAsiaTheme="majorEastAsia"/>
        <w:sz w:val="16"/>
      </w:rPr>
      <w:tab/>
    </w:r>
    <w:r>
      <w:rPr>
        <w:rStyle w:val="Puslapionumeris"/>
        <w:rFonts w:eastAsiaTheme="majorEastAsia"/>
        <w:sz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6B59" w14:textId="77777777" w:rsidR="00A86D9E" w:rsidRDefault="00A86D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C50"/>
    <w:multiLevelType w:val="hybridMultilevel"/>
    <w:tmpl w:val="1B480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6A101C"/>
    <w:multiLevelType w:val="hybridMultilevel"/>
    <w:tmpl w:val="DB1677A2"/>
    <w:lvl w:ilvl="0" w:tplc="04070001">
      <w:start w:val="1"/>
      <w:numFmt w:val="bullet"/>
      <w:lvlText w:val=""/>
      <w:lvlJc w:val="left"/>
      <w:pPr>
        <w:ind w:left="720" w:hanging="360"/>
      </w:pPr>
      <w:rPr>
        <w:rFonts w:ascii="Symbol" w:hAnsi="Symbol" w:hint="default"/>
      </w:rPr>
    </w:lvl>
    <w:lvl w:ilvl="1" w:tplc="22768D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EC0EDA"/>
    <w:multiLevelType w:val="hybridMultilevel"/>
    <w:tmpl w:val="2D882FAC"/>
    <w:lvl w:ilvl="0" w:tplc="04070001">
      <w:start w:val="1"/>
      <w:numFmt w:val="bullet"/>
      <w:lvlText w:val=""/>
      <w:lvlJc w:val="left"/>
      <w:pPr>
        <w:ind w:left="4897" w:hanging="360"/>
      </w:pPr>
      <w:rPr>
        <w:rFonts w:ascii="Symbol" w:hAnsi="Symbol" w:hint="default"/>
      </w:rPr>
    </w:lvl>
    <w:lvl w:ilvl="1" w:tplc="04070003" w:tentative="1">
      <w:start w:val="1"/>
      <w:numFmt w:val="bullet"/>
      <w:lvlText w:val="o"/>
      <w:lvlJc w:val="left"/>
      <w:pPr>
        <w:ind w:left="5617" w:hanging="360"/>
      </w:pPr>
      <w:rPr>
        <w:rFonts w:ascii="Courier New" w:hAnsi="Courier New" w:cs="Courier New" w:hint="default"/>
      </w:rPr>
    </w:lvl>
    <w:lvl w:ilvl="2" w:tplc="04070005" w:tentative="1">
      <w:start w:val="1"/>
      <w:numFmt w:val="bullet"/>
      <w:lvlText w:val=""/>
      <w:lvlJc w:val="left"/>
      <w:pPr>
        <w:ind w:left="6337" w:hanging="360"/>
      </w:pPr>
      <w:rPr>
        <w:rFonts w:ascii="Wingdings" w:hAnsi="Wingdings" w:hint="default"/>
      </w:rPr>
    </w:lvl>
    <w:lvl w:ilvl="3" w:tplc="04070001" w:tentative="1">
      <w:start w:val="1"/>
      <w:numFmt w:val="bullet"/>
      <w:lvlText w:val=""/>
      <w:lvlJc w:val="left"/>
      <w:pPr>
        <w:ind w:left="7057" w:hanging="360"/>
      </w:pPr>
      <w:rPr>
        <w:rFonts w:ascii="Symbol" w:hAnsi="Symbol" w:hint="default"/>
      </w:rPr>
    </w:lvl>
    <w:lvl w:ilvl="4" w:tplc="04070003" w:tentative="1">
      <w:start w:val="1"/>
      <w:numFmt w:val="bullet"/>
      <w:lvlText w:val="o"/>
      <w:lvlJc w:val="left"/>
      <w:pPr>
        <w:ind w:left="7777" w:hanging="360"/>
      </w:pPr>
      <w:rPr>
        <w:rFonts w:ascii="Courier New" w:hAnsi="Courier New" w:cs="Courier New" w:hint="default"/>
      </w:rPr>
    </w:lvl>
    <w:lvl w:ilvl="5" w:tplc="04070005" w:tentative="1">
      <w:start w:val="1"/>
      <w:numFmt w:val="bullet"/>
      <w:lvlText w:val=""/>
      <w:lvlJc w:val="left"/>
      <w:pPr>
        <w:ind w:left="8497" w:hanging="360"/>
      </w:pPr>
      <w:rPr>
        <w:rFonts w:ascii="Wingdings" w:hAnsi="Wingdings" w:hint="default"/>
      </w:rPr>
    </w:lvl>
    <w:lvl w:ilvl="6" w:tplc="04070001" w:tentative="1">
      <w:start w:val="1"/>
      <w:numFmt w:val="bullet"/>
      <w:lvlText w:val=""/>
      <w:lvlJc w:val="left"/>
      <w:pPr>
        <w:ind w:left="9217" w:hanging="360"/>
      </w:pPr>
      <w:rPr>
        <w:rFonts w:ascii="Symbol" w:hAnsi="Symbol" w:hint="default"/>
      </w:rPr>
    </w:lvl>
    <w:lvl w:ilvl="7" w:tplc="04070003" w:tentative="1">
      <w:start w:val="1"/>
      <w:numFmt w:val="bullet"/>
      <w:lvlText w:val="o"/>
      <w:lvlJc w:val="left"/>
      <w:pPr>
        <w:ind w:left="9937" w:hanging="360"/>
      </w:pPr>
      <w:rPr>
        <w:rFonts w:ascii="Courier New" w:hAnsi="Courier New" w:cs="Courier New" w:hint="default"/>
      </w:rPr>
    </w:lvl>
    <w:lvl w:ilvl="8" w:tplc="04070005" w:tentative="1">
      <w:start w:val="1"/>
      <w:numFmt w:val="bullet"/>
      <w:lvlText w:val=""/>
      <w:lvlJc w:val="left"/>
      <w:pPr>
        <w:ind w:left="10657" w:hanging="360"/>
      </w:pPr>
      <w:rPr>
        <w:rFonts w:ascii="Wingdings" w:hAnsi="Wingdings" w:hint="default"/>
      </w:rPr>
    </w:lvl>
  </w:abstractNum>
  <w:abstractNum w:abstractNumId="3" w15:restartNumberingAfterBreak="0">
    <w:nsid w:val="28F90B46"/>
    <w:multiLevelType w:val="hybridMultilevel"/>
    <w:tmpl w:val="7C30B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80257A"/>
    <w:multiLevelType w:val="hybridMultilevel"/>
    <w:tmpl w:val="12EC23AA"/>
    <w:lvl w:ilvl="0" w:tplc="04070001">
      <w:start w:val="1"/>
      <w:numFmt w:val="bullet"/>
      <w:lvlText w:val=""/>
      <w:lvlJc w:val="left"/>
      <w:pPr>
        <w:ind w:left="720" w:hanging="360"/>
      </w:pPr>
      <w:rPr>
        <w:rFonts w:ascii="Symbol" w:hAnsi="Symbol" w:hint="default"/>
      </w:rPr>
    </w:lvl>
    <w:lvl w:ilvl="1" w:tplc="0F76A4C2">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8115682">
    <w:abstractNumId w:val="2"/>
  </w:num>
  <w:num w:numId="2" w16cid:durableId="506099454">
    <w:abstractNumId w:val="1"/>
  </w:num>
  <w:num w:numId="3" w16cid:durableId="1764913781">
    <w:abstractNumId w:val="0"/>
  </w:num>
  <w:num w:numId="4" w16cid:durableId="1471244679">
    <w:abstractNumId w:val="3"/>
  </w:num>
  <w:num w:numId="5" w16cid:durableId="145078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9E"/>
    <w:rsid w:val="00222FED"/>
    <w:rsid w:val="005F173E"/>
    <w:rsid w:val="008B3AD4"/>
    <w:rsid w:val="00A86D9E"/>
    <w:rsid w:val="00BC11F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5367"/>
  <w15:chartTrackingRefBased/>
  <w15:docId w15:val="{16F97116-304C-480D-BFA4-AB381EA0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6D9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2"/>
      <w:szCs w:val="20"/>
      <w:lang w:eastAsia="de-DE"/>
      <w14:ligatures w14:val="none"/>
    </w:rPr>
  </w:style>
  <w:style w:type="paragraph" w:styleId="Antrat1">
    <w:name w:val="heading 1"/>
    <w:basedOn w:val="prastasis"/>
    <w:next w:val="prastasis"/>
    <w:link w:val="Antrat1Diagrama"/>
    <w:uiPriority w:val="9"/>
    <w:qFormat/>
    <w:rsid w:val="00A86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86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6D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6D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A86D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86D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A86D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6D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6D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6D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6D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6D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6D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A86D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86D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A86D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6D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6D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6D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6D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6D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6D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6D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6D9E"/>
    <w:rPr>
      <w:i/>
      <w:iCs/>
      <w:color w:val="404040" w:themeColor="text1" w:themeTint="BF"/>
    </w:rPr>
  </w:style>
  <w:style w:type="paragraph" w:styleId="Sraopastraipa">
    <w:name w:val="List Paragraph"/>
    <w:basedOn w:val="prastasis"/>
    <w:uiPriority w:val="34"/>
    <w:qFormat/>
    <w:rsid w:val="00A86D9E"/>
    <w:pPr>
      <w:ind w:left="720"/>
      <w:contextualSpacing/>
    </w:pPr>
  </w:style>
  <w:style w:type="character" w:styleId="Rykuspabraukimas">
    <w:name w:val="Intense Emphasis"/>
    <w:basedOn w:val="Numatytasispastraiposriftas"/>
    <w:uiPriority w:val="21"/>
    <w:qFormat/>
    <w:rsid w:val="00A86D9E"/>
    <w:rPr>
      <w:i/>
      <w:iCs/>
      <w:color w:val="0F4761" w:themeColor="accent1" w:themeShade="BF"/>
    </w:rPr>
  </w:style>
  <w:style w:type="paragraph" w:styleId="Iskirtacitata">
    <w:name w:val="Intense Quote"/>
    <w:basedOn w:val="prastasis"/>
    <w:next w:val="prastasis"/>
    <w:link w:val="IskirtacitataDiagrama"/>
    <w:uiPriority w:val="30"/>
    <w:qFormat/>
    <w:rsid w:val="00A86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6D9E"/>
    <w:rPr>
      <w:i/>
      <w:iCs/>
      <w:color w:val="0F4761" w:themeColor="accent1" w:themeShade="BF"/>
    </w:rPr>
  </w:style>
  <w:style w:type="character" w:styleId="Rykinuoroda">
    <w:name w:val="Intense Reference"/>
    <w:basedOn w:val="Numatytasispastraiposriftas"/>
    <w:uiPriority w:val="32"/>
    <w:qFormat/>
    <w:rsid w:val="00A86D9E"/>
    <w:rPr>
      <w:b/>
      <w:bCs/>
      <w:smallCaps/>
      <w:color w:val="0F4761" w:themeColor="accent1" w:themeShade="BF"/>
      <w:spacing w:val="5"/>
    </w:rPr>
  </w:style>
  <w:style w:type="paragraph" w:styleId="Porat">
    <w:name w:val="footer"/>
    <w:basedOn w:val="prastasis"/>
    <w:link w:val="PoratDiagrama"/>
    <w:semiHidden/>
    <w:rsid w:val="00A86D9E"/>
    <w:pPr>
      <w:tabs>
        <w:tab w:val="center" w:pos="4819"/>
        <w:tab w:val="right" w:pos="9071"/>
      </w:tabs>
    </w:pPr>
    <w:rPr>
      <w:sz w:val="20"/>
    </w:rPr>
  </w:style>
  <w:style w:type="character" w:customStyle="1" w:styleId="PoratDiagrama">
    <w:name w:val="Poraštė Diagrama"/>
    <w:basedOn w:val="Numatytasispastraiposriftas"/>
    <w:link w:val="Porat"/>
    <w:semiHidden/>
    <w:rsid w:val="00A86D9E"/>
    <w:rPr>
      <w:rFonts w:ascii="Times New Roman" w:eastAsia="Times New Roman" w:hAnsi="Times New Roman" w:cs="Times New Roman"/>
      <w:kern w:val="0"/>
      <w:sz w:val="20"/>
      <w:szCs w:val="20"/>
      <w:lang w:eastAsia="de-DE"/>
      <w14:ligatures w14:val="none"/>
    </w:rPr>
  </w:style>
  <w:style w:type="paragraph" w:styleId="Antrats">
    <w:name w:val="header"/>
    <w:basedOn w:val="prastasis"/>
    <w:link w:val="AntratsDiagrama"/>
    <w:semiHidden/>
    <w:rsid w:val="00A86D9E"/>
    <w:pPr>
      <w:tabs>
        <w:tab w:val="center" w:pos="4819"/>
        <w:tab w:val="right" w:pos="9071"/>
      </w:tabs>
    </w:pPr>
    <w:rPr>
      <w:sz w:val="20"/>
    </w:rPr>
  </w:style>
  <w:style w:type="character" w:customStyle="1" w:styleId="AntratsDiagrama">
    <w:name w:val="Antraštės Diagrama"/>
    <w:basedOn w:val="Numatytasispastraiposriftas"/>
    <w:link w:val="Antrats"/>
    <w:semiHidden/>
    <w:rsid w:val="00A86D9E"/>
    <w:rPr>
      <w:rFonts w:ascii="Times New Roman" w:eastAsia="Times New Roman" w:hAnsi="Times New Roman" w:cs="Times New Roman"/>
      <w:kern w:val="0"/>
      <w:sz w:val="20"/>
      <w:szCs w:val="20"/>
      <w:lang w:eastAsia="de-DE"/>
      <w14:ligatures w14:val="none"/>
    </w:rPr>
  </w:style>
  <w:style w:type="character" w:styleId="Puslapionumeris">
    <w:name w:val="page number"/>
    <w:basedOn w:val="Numatytasispastraiposriftas"/>
    <w:semiHidden/>
    <w:rsid w:val="00A86D9E"/>
  </w:style>
  <w:style w:type="character" w:styleId="Hipersaitas">
    <w:name w:val="Hyperlink"/>
    <w:rsid w:val="00A86D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biotest.com"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13336</Words>
  <Characters>7602</Characters>
  <Application>Microsoft Office Word</Application>
  <DocSecurity>0</DocSecurity>
  <Lines>63</Lines>
  <Paragraphs>41</Paragraphs>
  <ScaleCrop>false</ScaleCrop>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2025-09-10T07:42:00Z</dcterms:created>
  <dcterms:modified xsi:type="dcterms:W3CDTF">2025-09-10T07:42:00Z</dcterms:modified>
</cp:coreProperties>
</file>