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78" w:rsidRDefault="00D65378" w:rsidP="00D65378">
      <w:pPr>
        <w:tabs>
          <w:tab w:val="clear" w:pos="567"/>
        </w:tabs>
        <w:spacing w:line="240" w:lineRule="auto"/>
        <w:jc w:val="center"/>
        <w:outlineLvl w:val="0"/>
      </w:pPr>
      <w:r>
        <w:rPr>
          <w:b/>
        </w:rPr>
        <w:t>Pakuotės lapelis: informacija vartotojui</w:t>
      </w:r>
    </w:p>
    <w:p w:rsidR="00D65378" w:rsidRDefault="00D65378" w:rsidP="00D65378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D65378" w:rsidRDefault="00D65378" w:rsidP="00D65378">
      <w:pPr>
        <w:tabs>
          <w:tab w:val="left" w:pos="993"/>
        </w:tabs>
        <w:spacing w:line="360" w:lineRule="auto"/>
        <w:jc w:val="center"/>
        <w:outlineLvl w:val="0"/>
        <w:rPr>
          <w:b/>
        </w:rPr>
      </w:pPr>
      <w:proofErr w:type="spellStart"/>
      <w:r>
        <w:rPr>
          <w:b/>
          <w:szCs w:val="22"/>
          <w:lang w:val="lt"/>
        </w:rPr>
        <w:t>Novain</w:t>
      </w:r>
      <w:proofErr w:type="spellEnd"/>
      <w:r>
        <w:rPr>
          <w:b/>
          <w:szCs w:val="22"/>
          <w:lang w:val="lt"/>
        </w:rPr>
        <w:t xml:space="preserve"> 4 mg/ml akių lašai (tirpalas</w:t>
      </w:r>
      <w:r>
        <w:rPr>
          <w:b/>
        </w:rPr>
        <w:t>)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360" w:lineRule="auto"/>
        <w:jc w:val="center"/>
      </w:pPr>
      <w:proofErr w:type="spellStart"/>
      <w:r>
        <w:rPr>
          <w:szCs w:val="22"/>
          <w:lang w:val="lt"/>
        </w:rPr>
        <w:t>oksibuprokaino</w:t>
      </w:r>
      <w:proofErr w:type="spellEnd"/>
      <w:r>
        <w:rPr>
          <w:szCs w:val="22"/>
          <w:lang w:val="lt"/>
        </w:rPr>
        <w:t xml:space="preserve"> hidrochloridas</w:t>
      </w:r>
    </w:p>
    <w:p w:rsidR="00D65378" w:rsidRDefault="00D65378" w:rsidP="00D65378">
      <w:pPr>
        <w:tabs>
          <w:tab w:val="clear" w:pos="567"/>
        </w:tabs>
        <w:spacing w:line="240" w:lineRule="auto"/>
      </w:pPr>
    </w:p>
    <w:p w:rsidR="00D65378" w:rsidRDefault="00D65378" w:rsidP="00D65378">
      <w:pPr>
        <w:tabs>
          <w:tab w:val="clear" w:pos="567"/>
        </w:tabs>
        <w:suppressAutoHyphens/>
        <w:spacing w:line="240" w:lineRule="auto"/>
        <w:ind w:left="142" w:hanging="142"/>
      </w:pPr>
      <w:r>
        <w:rPr>
          <w:b/>
        </w:rPr>
        <w:t>Atidžiai perskaitykite visą šį lapelį, prieš pradėdami vartoti vaistą, nes jame pateikiama Jums svarbi informacija.</w:t>
      </w:r>
    </w:p>
    <w:p w:rsidR="00D65378" w:rsidRDefault="00D65378" w:rsidP="00D65378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>
        <w:t xml:space="preserve">Neišmeskite šio lapelio, nes vėl gali prireikti jį perskaityti. </w:t>
      </w:r>
    </w:p>
    <w:p w:rsidR="00D65378" w:rsidRDefault="00D65378" w:rsidP="00D65378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>
        <w:t>Jeigu kiltų daugiau klausimų, kreipkitės į gydytoją arba vaistininką.</w:t>
      </w:r>
    </w:p>
    <w:p w:rsidR="00D65378" w:rsidRDefault="00D65378" w:rsidP="00D65378">
      <w:pPr>
        <w:numPr>
          <w:ilvl w:val="0"/>
          <w:numId w:val="1"/>
        </w:numPr>
        <w:spacing w:line="240" w:lineRule="auto"/>
        <w:ind w:left="567" w:hanging="567"/>
      </w:pPr>
      <w:r>
        <w:t>Jeigu pasireiškė šalutinis poveikis (net jeigu jis šiame lapelyje nenurodytas), kreipkitės į gydytoją arba vaistininką. Žr. 4 skyrių.</w:t>
      </w:r>
    </w:p>
    <w:p w:rsidR="00D65378" w:rsidRDefault="00D65378" w:rsidP="00D65378">
      <w:pPr>
        <w:tabs>
          <w:tab w:val="clear" w:pos="567"/>
        </w:tabs>
        <w:spacing w:line="240" w:lineRule="auto"/>
        <w:ind w:right="-2"/>
      </w:pP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>
        <w:rPr>
          <w:b/>
        </w:rPr>
        <w:t>Apie ką rašoma šiame lapelyje?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D65378" w:rsidRDefault="00D65378" w:rsidP="00D65378">
      <w:pPr>
        <w:pStyle w:val="Sraopastraipa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Kas yra </w:t>
      </w:r>
      <w:proofErr w:type="spellStart"/>
      <w:r>
        <w:rPr>
          <w:szCs w:val="22"/>
          <w:lang w:val="lt"/>
        </w:rPr>
        <w:t>Novain</w:t>
      </w:r>
      <w:proofErr w:type="spellEnd"/>
      <w:r>
        <w:t xml:space="preserve"> ir kam jis vartojamas </w:t>
      </w:r>
    </w:p>
    <w:p w:rsidR="00D65378" w:rsidRDefault="00D65378" w:rsidP="00D65378">
      <w:pPr>
        <w:pStyle w:val="Sraopastraipa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Kas žinotina prieš vartojant </w:t>
      </w:r>
      <w:proofErr w:type="spellStart"/>
      <w:r>
        <w:rPr>
          <w:szCs w:val="22"/>
          <w:lang w:val="lt"/>
        </w:rPr>
        <w:t>Novain</w:t>
      </w:r>
      <w:proofErr w:type="spellEnd"/>
      <w:r>
        <w:t xml:space="preserve"> </w:t>
      </w:r>
    </w:p>
    <w:p w:rsidR="00D65378" w:rsidRDefault="00D65378" w:rsidP="00D65378">
      <w:pPr>
        <w:pStyle w:val="Sraopastraipa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Kaip vartoti </w:t>
      </w:r>
      <w:proofErr w:type="spellStart"/>
      <w:r>
        <w:rPr>
          <w:szCs w:val="22"/>
          <w:lang w:val="lt"/>
        </w:rPr>
        <w:t>Novain</w:t>
      </w:r>
      <w:proofErr w:type="spellEnd"/>
      <w:r>
        <w:t xml:space="preserve"> </w:t>
      </w:r>
    </w:p>
    <w:p w:rsidR="00D65378" w:rsidRDefault="00D65378" w:rsidP="00D65378">
      <w:pPr>
        <w:pStyle w:val="Sraopastraipa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Galimas šalutinis poveikis </w:t>
      </w:r>
    </w:p>
    <w:p w:rsidR="00D65378" w:rsidRDefault="00D65378" w:rsidP="00D65378">
      <w:pPr>
        <w:pStyle w:val="Sraopastraipa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 xml:space="preserve">Kaip laikyti </w:t>
      </w:r>
      <w:proofErr w:type="spellStart"/>
      <w:r>
        <w:rPr>
          <w:szCs w:val="22"/>
          <w:lang w:val="lt"/>
        </w:rPr>
        <w:t>Novain</w:t>
      </w:r>
      <w:proofErr w:type="spellEnd"/>
      <w:r>
        <w:t xml:space="preserve"> </w:t>
      </w:r>
    </w:p>
    <w:p w:rsidR="00D65378" w:rsidRDefault="00D65378" w:rsidP="00D65378">
      <w:pPr>
        <w:pStyle w:val="Sraopastraipa1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</w:pPr>
      <w:r>
        <w:t>Pakuotės turinys ir kita informacija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65378" w:rsidRDefault="00D65378" w:rsidP="00D65378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 xml:space="preserve">Kas yra </w:t>
      </w:r>
      <w:proofErr w:type="spellStart"/>
      <w:r>
        <w:rPr>
          <w:b/>
        </w:rPr>
        <w:t>Novain</w:t>
      </w:r>
      <w:proofErr w:type="spellEnd"/>
      <w:r>
        <w:rPr>
          <w:b/>
        </w:rPr>
        <w:t xml:space="preserve"> ir kam jis vartojamas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65378" w:rsidRPr="00202732" w:rsidRDefault="00D65378" w:rsidP="00D65378">
      <w:pPr>
        <w:numPr>
          <w:ilvl w:val="12"/>
          <w:numId w:val="0"/>
        </w:numPr>
        <w:spacing w:line="360" w:lineRule="auto"/>
        <w:jc w:val="both"/>
        <w:rPr>
          <w:lang w:val="pt-BR"/>
        </w:rPr>
      </w:pPr>
      <w:r>
        <w:rPr>
          <w:szCs w:val="22"/>
          <w:lang w:val="lt"/>
        </w:rPr>
        <w:t xml:space="preserve">Šis vaistas yra išoriniam suaugusiųjų gydymui skirtas anestetikas. </w:t>
      </w:r>
    </w:p>
    <w:p w:rsidR="00D65378" w:rsidRDefault="00D65378" w:rsidP="00D65378">
      <w:pPr>
        <w:tabs>
          <w:tab w:val="clear" w:pos="567"/>
        </w:tabs>
        <w:spacing w:line="360" w:lineRule="auto"/>
        <w:ind w:right="-2"/>
        <w:rPr>
          <w:szCs w:val="22"/>
        </w:rPr>
      </w:pPr>
      <w:r>
        <w:rPr>
          <w:szCs w:val="22"/>
          <w:lang w:val="lt"/>
        </w:rPr>
        <w:t>Jis skirtas lokaliai nuskausminti akies paviršių trumpoms oftalmologinėms procedūroms.</w:t>
      </w:r>
    </w:p>
    <w:p w:rsidR="00D65378" w:rsidRDefault="00D65378" w:rsidP="00D65378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 xml:space="preserve">Kas žinotina prieš vartojant </w:t>
      </w:r>
      <w:proofErr w:type="spellStart"/>
      <w:r>
        <w:rPr>
          <w:b/>
        </w:rPr>
        <w:t>Novain</w:t>
      </w:r>
      <w:proofErr w:type="spellEnd"/>
      <w:r>
        <w:t xml:space="preserve"> 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proofErr w:type="spellStart"/>
      <w:r>
        <w:rPr>
          <w:b/>
          <w:szCs w:val="22"/>
          <w:lang w:val="lt"/>
        </w:rPr>
        <w:t>Novain</w:t>
      </w:r>
      <w:proofErr w:type="spellEnd"/>
      <w:r>
        <w:rPr>
          <w:b/>
        </w:rPr>
        <w:t xml:space="preserve"> vartoti draudžiama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 w:val="12"/>
          <w:szCs w:val="12"/>
        </w:rPr>
      </w:pPr>
    </w:p>
    <w:p w:rsidR="00D65378" w:rsidRPr="00202732" w:rsidRDefault="00D65378" w:rsidP="00D65378">
      <w:pPr>
        <w:pStyle w:val="Sraopastraipa"/>
        <w:numPr>
          <w:ilvl w:val="0"/>
          <w:numId w:val="1"/>
        </w:numPr>
        <w:tabs>
          <w:tab w:val="clear" w:pos="567"/>
        </w:tabs>
        <w:spacing w:after="160" w:line="259" w:lineRule="auto"/>
        <w:ind w:right="-2"/>
        <w:jc w:val="both"/>
      </w:pPr>
      <w:r>
        <w:rPr>
          <w:szCs w:val="22"/>
          <w:lang w:val="lt"/>
        </w:rPr>
        <w:t xml:space="preserve">jeigu yra padidėjęs jautrumas (alergija) </w:t>
      </w:r>
      <w:proofErr w:type="spellStart"/>
      <w:r>
        <w:rPr>
          <w:szCs w:val="22"/>
          <w:lang w:val="lt"/>
        </w:rPr>
        <w:t>oksibuprokainui</w:t>
      </w:r>
      <w:proofErr w:type="spellEnd"/>
      <w:r>
        <w:rPr>
          <w:szCs w:val="22"/>
          <w:lang w:val="lt"/>
        </w:rPr>
        <w:t xml:space="preserve"> arba bet kuriai pagalbinei </w:t>
      </w:r>
      <w:proofErr w:type="spellStart"/>
      <w:r>
        <w:rPr>
          <w:szCs w:val="22"/>
          <w:lang w:val="lt"/>
        </w:rPr>
        <w:t>Novain</w:t>
      </w:r>
      <w:proofErr w:type="spellEnd"/>
      <w:r>
        <w:rPr>
          <w:szCs w:val="22"/>
          <w:lang w:val="lt"/>
        </w:rPr>
        <w:t xml:space="preserve"> medžiagai </w:t>
      </w:r>
      <w:r>
        <w:rPr>
          <w:noProof/>
          <w:lang w:val="lt"/>
        </w:rPr>
        <w:t>(jos išvardytos 6 skyriuje</w:t>
      </w:r>
      <w:r>
        <w:rPr>
          <w:szCs w:val="22"/>
          <w:lang w:val="lt"/>
        </w:rPr>
        <w:t xml:space="preserve">); </w:t>
      </w:r>
    </w:p>
    <w:p w:rsidR="00D65378" w:rsidRPr="00202732" w:rsidRDefault="00D65378" w:rsidP="00D65378">
      <w:pPr>
        <w:numPr>
          <w:ilvl w:val="0"/>
          <w:numId w:val="1"/>
        </w:numPr>
        <w:tabs>
          <w:tab w:val="clear" w:pos="567"/>
        </w:tabs>
        <w:spacing w:line="259" w:lineRule="auto"/>
        <w:jc w:val="both"/>
      </w:pPr>
      <w:r>
        <w:rPr>
          <w:szCs w:val="22"/>
          <w:lang w:val="lt"/>
        </w:rPr>
        <w:t>jeigu yra padidėjęs jautrumas (alergija) kitiems vietiniams anestetikams, priklausantiems tai pačiai veikliųjų medžiagų grupei (p-</w:t>
      </w:r>
      <w:proofErr w:type="spellStart"/>
      <w:r>
        <w:rPr>
          <w:szCs w:val="22"/>
          <w:lang w:val="lt"/>
        </w:rPr>
        <w:t>aminobenzenkarboksirūgštims</w:t>
      </w:r>
      <w:proofErr w:type="spellEnd"/>
      <w:r>
        <w:rPr>
          <w:szCs w:val="22"/>
          <w:lang w:val="lt"/>
        </w:rPr>
        <w:t xml:space="preserve">). 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>
        <w:rPr>
          <w:b/>
        </w:rPr>
        <w:t xml:space="preserve">Įspėjimai ir atsargumo priemonės </w:t>
      </w:r>
    </w:p>
    <w:p w:rsidR="00D65378" w:rsidRPr="00202732" w:rsidRDefault="00D65378" w:rsidP="00D65378">
      <w:pPr>
        <w:numPr>
          <w:ilvl w:val="12"/>
          <w:numId w:val="0"/>
        </w:numPr>
        <w:ind w:right="-2"/>
        <w:jc w:val="both"/>
      </w:pPr>
      <w:r>
        <w:rPr>
          <w:b/>
          <w:szCs w:val="22"/>
          <w:lang w:val="lt"/>
        </w:rPr>
        <w:t xml:space="preserve">Būkite ypač atsargūs su </w:t>
      </w:r>
      <w:proofErr w:type="spellStart"/>
      <w:r>
        <w:rPr>
          <w:b/>
          <w:szCs w:val="22"/>
          <w:lang w:val="lt"/>
        </w:rPr>
        <w:t>Novain</w:t>
      </w:r>
      <w:proofErr w:type="spellEnd"/>
      <w:r>
        <w:rPr>
          <w:b/>
          <w:szCs w:val="22"/>
          <w:lang w:val="lt"/>
        </w:rPr>
        <w:t xml:space="preserve"> </w:t>
      </w:r>
    </w:p>
    <w:p w:rsidR="00D65378" w:rsidRDefault="00D65378" w:rsidP="00D65378">
      <w:pPr>
        <w:ind w:right="-2"/>
        <w:jc w:val="both"/>
        <w:rPr>
          <w:szCs w:val="22"/>
          <w:lang w:val="en-GB"/>
        </w:rPr>
      </w:pPr>
      <w:r>
        <w:rPr>
          <w:szCs w:val="22"/>
          <w:lang w:val="lt"/>
        </w:rPr>
        <w:t>Jei nešiojate kontaktinius lęšius; prieš įlašinant vaisto išsiimkite kontaktinius lęšius, ir prieš vėl įsidėdami juos į akis palaukite, kol anestezijos poveikis visiškai išnyks (taip pat žr</w:t>
      </w:r>
      <w:r>
        <w:rPr>
          <w:lang w:val="lt"/>
        </w:rPr>
        <w:t xml:space="preserve">. </w:t>
      </w:r>
      <w:r>
        <w:rPr>
          <w:b/>
          <w:szCs w:val="22"/>
          <w:lang w:val="lt"/>
        </w:rPr>
        <w:t>3. sk.</w:t>
      </w:r>
      <w:r>
        <w:rPr>
          <w:lang w:val="lt"/>
        </w:rPr>
        <w:t xml:space="preserve"> </w:t>
      </w:r>
      <w:r>
        <w:rPr>
          <w:b/>
          <w:szCs w:val="22"/>
          <w:lang w:val="lt"/>
        </w:rPr>
        <w:t xml:space="preserve">Kaip vartoti </w:t>
      </w:r>
      <w:proofErr w:type="spellStart"/>
      <w:r>
        <w:rPr>
          <w:b/>
          <w:szCs w:val="22"/>
          <w:lang w:val="lt"/>
        </w:rPr>
        <w:t>Novain</w:t>
      </w:r>
      <w:proofErr w:type="spellEnd"/>
      <w:r>
        <w:rPr>
          <w:szCs w:val="22"/>
          <w:lang w:val="lt"/>
        </w:rPr>
        <w:t>).</w:t>
      </w:r>
    </w:p>
    <w:p w:rsidR="00D65378" w:rsidRDefault="00D65378" w:rsidP="00D65378">
      <w:pPr>
        <w:ind w:right="-2"/>
        <w:jc w:val="both"/>
        <w:rPr>
          <w:szCs w:val="22"/>
          <w:lang w:val="en-GB"/>
        </w:rPr>
      </w:pPr>
      <w:r>
        <w:rPr>
          <w:rStyle w:val="rynqvb"/>
        </w:rPr>
        <w:t>Sergantiems alergijomis, širdies ligomis, astma, padidėjusia skydliaukės veikla (</w:t>
      </w:r>
      <w:proofErr w:type="spellStart"/>
      <w:r>
        <w:rPr>
          <w:rStyle w:val="rynqvb"/>
        </w:rPr>
        <w:t>hipertiroze</w:t>
      </w:r>
      <w:proofErr w:type="spellEnd"/>
      <w:r>
        <w:rPr>
          <w:rStyle w:val="rynqvb"/>
        </w:rPr>
        <w:t>) ir kepenų ligomis, taip pat senyviems pacientams</w:t>
      </w:r>
      <w:r>
        <w:rPr>
          <w:szCs w:val="22"/>
          <w:lang w:val="lt"/>
        </w:rPr>
        <w:t>.</w:t>
      </w:r>
    </w:p>
    <w:p w:rsidR="00D65378" w:rsidRDefault="00D65378" w:rsidP="00D65378">
      <w:pPr>
        <w:ind w:right="-2"/>
        <w:jc w:val="both"/>
        <w:rPr>
          <w:lang w:val="en-GB"/>
        </w:rPr>
      </w:pPr>
      <w:r>
        <w:rPr>
          <w:lang w:val="lt"/>
        </w:rPr>
        <w:t>Jei turite akies uždegimą, nes raudonos akys labai padidina patekimą į kraują per akių paviršių.</w:t>
      </w:r>
    </w:p>
    <w:p w:rsidR="00D65378" w:rsidRDefault="00D65378" w:rsidP="00D65378">
      <w:pPr>
        <w:ind w:right="-2"/>
        <w:jc w:val="both"/>
        <w:rPr>
          <w:szCs w:val="22"/>
          <w:lang w:val="en-GB"/>
        </w:rPr>
      </w:pPr>
    </w:p>
    <w:p w:rsidR="00D65378" w:rsidRDefault="00D65378" w:rsidP="00D65378">
      <w:pPr>
        <w:ind w:right="-2"/>
        <w:jc w:val="both"/>
        <w:rPr>
          <w:b/>
          <w:szCs w:val="22"/>
          <w:lang w:val="en-GB"/>
        </w:rPr>
      </w:pPr>
      <w:r>
        <w:rPr>
          <w:b/>
          <w:szCs w:val="22"/>
          <w:lang w:val="lt"/>
        </w:rPr>
        <w:t>Ilgalaikis ir pakartotinis vartojimas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0" w:name="_Hlk118195214"/>
      <w:proofErr w:type="spellStart"/>
      <w:r>
        <w:rPr>
          <w:szCs w:val="22"/>
          <w:lang w:val="lt"/>
        </w:rPr>
        <w:t>Novain</w:t>
      </w:r>
      <w:proofErr w:type="spellEnd"/>
      <w:r>
        <w:rPr>
          <w:szCs w:val="22"/>
          <w:lang w:val="lt"/>
        </w:rPr>
        <w:t xml:space="preserve"> </w:t>
      </w:r>
      <w:bookmarkEnd w:id="0"/>
      <w:r>
        <w:rPr>
          <w:szCs w:val="22"/>
          <w:lang w:val="lt"/>
        </w:rPr>
        <w:t>skirtas tik gydytojui trumpalaikiam vartojimui. Pakartotinis, nekontroliuojamas vartojimas gali sukelti rimtą akies ragenos pažeidimą. Tas pats pasakytina ir apie ilgalaikį vartojimą.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>
        <w:rPr>
          <w:b/>
        </w:rPr>
        <w:lastRenderedPageBreak/>
        <w:t>Vaikams ir paaugliams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12"/>
          <w:szCs w:val="12"/>
        </w:rPr>
      </w:pP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proofErr w:type="spellStart"/>
      <w:r>
        <w:rPr>
          <w:szCs w:val="22"/>
          <w:lang w:val="lt"/>
        </w:rPr>
        <w:t>Novain</w:t>
      </w:r>
      <w:proofErr w:type="spellEnd"/>
      <w:r>
        <w:rPr>
          <w:szCs w:val="22"/>
          <w:lang w:val="lt"/>
        </w:rPr>
        <w:t xml:space="preserve"> </w:t>
      </w:r>
      <w:r>
        <w:rPr>
          <w:lang w:val="lt"/>
        </w:rPr>
        <w:t>saugumas ir veiksmingumas vaikams ir paaugliams neištirti.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b/>
        </w:rPr>
        <w:t xml:space="preserve">Kiti vaistai ir </w:t>
      </w:r>
      <w:proofErr w:type="spellStart"/>
      <w:r>
        <w:rPr>
          <w:b/>
        </w:rPr>
        <w:t>Novain</w:t>
      </w:r>
      <w:proofErr w:type="spellEnd"/>
    </w:p>
    <w:p w:rsidR="00D65378" w:rsidRDefault="00D65378" w:rsidP="00D65378">
      <w:pPr>
        <w:ind w:right="-2"/>
        <w:jc w:val="both"/>
        <w:rPr>
          <w:szCs w:val="22"/>
          <w:lang w:val="en-GB"/>
        </w:rPr>
      </w:pPr>
      <w:r>
        <w:rPr>
          <w:szCs w:val="22"/>
          <w:lang w:val="lt"/>
        </w:rPr>
        <w:t>Jeigu vartojate ar neseniai vartojote kitų vaistų ar akių lašų, įskaitant vaistus ar akių lašus, įsigytus be recepto, arba dėl to nesate tikri, apie tai pasakykite gydytojui arba vaistininkui.</w:t>
      </w:r>
    </w:p>
    <w:p w:rsidR="00D65378" w:rsidRDefault="00D65378" w:rsidP="00D65378">
      <w:pPr>
        <w:ind w:right="-2"/>
        <w:jc w:val="both"/>
        <w:rPr>
          <w:szCs w:val="22"/>
          <w:lang w:val="en-GB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"/>
        </w:rPr>
      </w:pPr>
      <w:r>
        <w:rPr>
          <w:szCs w:val="22"/>
          <w:lang w:val="lt"/>
        </w:rPr>
        <w:t xml:space="preserve">Dėl </w:t>
      </w:r>
      <w:proofErr w:type="spellStart"/>
      <w:r>
        <w:rPr>
          <w:szCs w:val="22"/>
          <w:lang w:val="lt"/>
        </w:rPr>
        <w:t>sulfonamidų</w:t>
      </w:r>
      <w:proofErr w:type="spellEnd"/>
      <w:r>
        <w:rPr>
          <w:szCs w:val="22"/>
          <w:lang w:val="lt"/>
        </w:rPr>
        <w:t xml:space="preserve"> (esančių tam tikruose antibiotikuose): šių antibiotikų veiksmingumas gali sumažėti.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 xml:space="preserve">Nėštumas ir žindymo laikotarpis 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"/>
        </w:rPr>
      </w:pPr>
      <w:r>
        <w:t xml:space="preserve">Jeigu esate nėščia, žindote kūdikį, manote, kad galbūt esate nėščia arba planuojate pastoti, tai prieš vartodama šį vaistą pasitarkite su </w:t>
      </w:r>
      <w:r>
        <w:rPr>
          <w:szCs w:val="22"/>
          <w:lang w:val="lt"/>
        </w:rPr>
        <w:t xml:space="preserve">gydytoju. Gydytojas jums pasakys, ar jums gali būti skiriamas </w:t>
      </w:r>
      <w:proofErr w:type="spellStart"/>
      <w:r>
        <w:rPr>
          <w:szCs w:val="22"/>
          <w:lang w:val="lt"/>
        </w:rPr>
        <w:t>Novain</w:t>
      </w:r>
      <w:proofErr w:type="spellEnd"/>
      <w:r>
        <w:rPr>
          <w:szCs w:val="22"/>
          <w:lang w:val="lt"/>
        </w:rPr>
        <w:t>, ar ne.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</w:rPr>
        <w:t>Vairavimas ir mechanizmų valdymas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76" w:lineRule="auto"/>
        <w:ind w:right="-2"/>
        <w:outlineLvl w:val="0"/>
        <w:rPr>
          <w:szCs w:val="22"/>
        </w:rPr>
      </w:pPr>
      <w:r>
        <w:rPr>
          <w:szCs w:val="22"/>
          <w:lang w:val="lt"/>
        </w:rPr>
        <w:t xml:space="preserve">Šis vaistas gali pabloginti Jūsų gebėjimą reaguoti ir gebėjimą vairuoti. Naudojant </w:t>
      </w:r>
      <w:proofErr w:type="spellStart"/>
      <w:r>
        <w:rPr>
          <w:szCs w:val="22"/>
          <w:lang w:val="lt"/>
        </w:rPr>
        <w:t>Novain</w:t>
      </w:r>
      <w:proofErr w:type="spellEnd"/>
      <w:r>
        <w:rPr>
          <w:szCs w:val="22"/>
          <w:lang w:val="lt"/>
        </w:rPr>
        <w:t xml:space="preserve"> gali pablogėti jūsų regėjimas, taigi ir gebėjimas reaguoti į eismą bei valdyti mašinas. Nevairuokite transporto priemonių, nevaldykite įrankių ar mechanizmų, kol šis poveikis nepraeis.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 xml:space="preserve">Kaip vartoti </w:t>
      </w:r>
      <w:proofErr w:type="spellStart"/>
      <w:r>
        <w:rPr>
          <w:b/>
        </w:rPr>
        <w:t>Novain</w:t>
      </w:r>
      <w:proofErr w:type="spellEnd"/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jc w:val="both"/>
        <w:rPr>
          <w:szCs w:val="22"/>
          <w:u w:val="single"/>
          <w:lang w:val="en-GB"/>
        </w:rPr>
      </w:pPr>
      <w:r>
        <w:rPr>
          <w:szCs w:val="22"/>
          <w:lang w:val="lt"/>
        </w:rPr>
        <w:t>Rekomenduojama dozė yra 1 akies lašas</w:t>
      </w:r>
      <w:r>
        <w:rPr>
          <w:lang w:val="lt"/>
        </w:rPr>
        <w:t xml:space="preserve"> prieš </w:t>
      </w:r>
      <w:r>
        <w:rPr>
          <w:szCs w:val="22"/>
          <w:lang w:val="lt"/>
        </w:rPr>
        <w:t>tyrimą ar procedūrą; jei reikia, šią dozę galima pakartoti.</w:t>
      </w:r>
    </w:p>
    <w:p w:rsidR="00D65378" w:rsidRDefault="00D65378" w:rsidP="00D65378">
      <w:pPr>
        <w:rPr>
          <w:szCs w:val="22"/>
          <w:u w:val="single"/>
          <w:lang w:val="en-GB"/>
        </w:rPr>
      </w:pPr>
      <w:r>
        <w:rPr>
          <w:szCs w:val="22"/>
          <w:u w:val="single"/>
          <w:lang w:val="lt"/>
        </w:rPr>
        <w:t>Vartojimo būdas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>Skirta vartoti ant akies. (Įlašinti į akį, kuri bus tiriama.)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>Gydytojas arba akių specialistas įlašins lašų į jūsų akį. Jūsų gali paprašyti 1-2</w:t>
      </w:r>
      <w:r>
        <w:rPr>
          <w:lang w:val="lt"/>
        </w:rPr>
        <w:t xml:space="preserve"> minutes paspausti vidinius voko kampus</w:t>
      </w:r>
      <w:r>
        <w:rPr>
          <w:szCs w:val="22"/>
          <w:lang w:val="lt"/>
        </w:rPr>
        <w:t>. Tai padės sustabdyti tirpalo nutekėjimą į nosį ir gerklę. Tai ypač patartina pagyvenusiems žmonėms ir rizikos grupei priklausantiems asmenims.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>Jūsų akis išliks nejautri maždaug vieną valandą, priklausomai nuo to, kiek lašų buvo sulašinta. Venkite liesti akį, kol anestetiko poveikis nepraeis.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>Jei reikia lašinti kitų akių lašų, prieš juos lašindami palaukite bent 15 minučių.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 xml:space="preserve">Jei gavote daugiau </w:t>
      </w:r>
      <w:proofErr w:type="spellStart"/>
      <w:r>
        <w:rPr>
          <w:szCs w:val="22"/>
          <w:lang w:val="lt"/>
        </w:rPr>
        <w:t>Novain</w:t>
      </w:r>
      <w:proofErr w:type="spellEnd"/>
      <w:r>
        <w:rPr>
          <w:szCs w:val="22"/>
          <w:lang w:val="lt"/>
        </w:rPr>
        <w:t xml:space="preserve"> nei turėtumėte, perdozavimas yra labai mažai tikėtinas.</w:t>
      </w:r>
    </w:p>
    <w:p w:rsidR="00D65378" w:rsidRDefault="00D65378" w:rsidP="00D65378">
      <w:pPr>
        <w:jc w:val="both"/>
        <w:rPr>
          <w:sz w:val="20"/>
          <w:lang w:val="en-GB"/>
        </w:rPr>
      </w:pPr>
      <w:r>
        <w:rPr>
          <w:szCs w:val="22"/>
          <w:lang w:val="lt"/>
        </w:rPr>
        <w:t>Jeigu sulašinus lašų staiga pasijutote blogai, nedelsdami pasakykite apie tai gydytojui ar akių ligų specialistui arba kreipkitės į artimiausią skubios pagalbos skyrių.</w:t>
      </w:r>
    </w:p>
    <w:p w:rsidR="00D65378" w:rsidRDefault="00D65378" w:rsidP="00D65378">
      <w:pPr>
        <w:jc w:val="both"/>
        <w:rPr>
          <w:szCs w:val="22"/>
          <w:u w:val="single"/>
          <w:lang w:val="en-GB"/>
        </w:rPr>
      </w:pP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u w:val="single"/>
          <w:lang w:val="lt"/>
        </w:rPr>
        <w:t>Pastaba žmonėms, nešiojantiems kontaktinius lęšius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>Jei nešiojate kontaktinius lęšius; prieš įlašinant vaisto išsiimkite kontaktinius lęšius, ir prieš vėl įsidėdami juos į akis palaukite, kol anestezijos poveikis visiškai išnyks. Nesilaikant šio patarimo gali būti pažeista ragena.</w:t>
      </w:r>
    </w:p>
    <w:p w:rsidR="00D65378" w:rsidRDefault="00D65378" w:rsidP="00D65378">
      <w:pPr>
        <w:rPr>
          <w:szCs w:val="22"/>
          <w:lang w:val="en-GB"/>
        </w:rPr>
      </w:pPr>
    </w:p>
    <w:p w:rsidR="00D65378" w:rsidRDefault="00D65378" w:rsidP="00D65378">
      <w:pPr>
        <w:ind w:right="-2"/>
        <w:jc w:val="both"/>
        <w:rPr>
          <w:b/>
          <w:szCs w:val="22"/>
          <w:lang w:val="en-GB"/>
        </w:rPr>
      </w:pPr>
      <w:r>
        <w:rPr>
          <w:b/>
          <w:szCs w:val="22"/>
          <w:lang w:val="lt"/>
        </w:rPr>
        <w:t xml:space="preserve">Ką daryti pavartojus per didelę </w:t>
      </w:r>
      <w:proofErr w:type="spellStart"/>
      <w:r>
        <w:rPr>
          <w:b/>
          <w:szCs w:val="22"/>
          <w:lang w:val="lt"/>
        </w:rPr>
        <w:t>Novain</w:t>
      </w:r>
      <w:proofErr w:type="spellEnd"/>
      <w:r>
        <w:rPr>
          <w:b/>
          <w:szCs w:val="22"/>
          <w:lang w:val="lt"/>
        </w:rPr>
        <w:t xml:space="preserve"> dozę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u w:val="single"/>
          <w:lang w:val="lt"/>
        </w:rPr>
        <w:t xml:space="preserve">Perdozavimas: </w:t>
      </w:r>
      <w:r>
        <w:rPr>
          <w:szCs w:val="22"/>
          <w:lang w:val="lt"/>
        </w:rPr>
        <w:t>apsinuodijimas vietiniais ar paviršiniais anestetikais, ypač vartojamais per burną, gali sukelti šiuos simptomus: raumenų trūkčiojimą</w:t>
      </w:r>
      <w:r>
        <w:rPr>
          <w:lang w:val="lt"/>
        </w:rPr>
        <w:t xml:space="preserve">, </w:t>
      </w:r>
      <w:r>
        <w:rPr>
          <w:szCs w:val="22"/>
          <w:lang w:val="lt"/>
        </w:rPr>
        <w:t xml:space="preserve">traukulius, kraujospūdžio sumažėjimą, apalpimą, širdies aritmijas, laidumo sutrikimų sukeltą širdies sustojimą, kvėpavimo paralyžių. 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 xml:space="preserve">Tokiais atvejais nedelsdami kreipkitės į gydytoją. </w:t>
      </w:r>
    </w:p>
    <w:p w:rsidR="00D65378" w:rsidRDefault="00D65378" w:rsidP="00D65378">
      <w:pPr>
        <w:jc w:val="both"/>
        <w:rPr>
          <w:szCs w:val="22"/>
          <w:lang w:val="en-GB"/>
        </w:rPr>
      </w:pPr>
    </w:p>
    <w:p w:rsidR="00D65378" w:rsidRDefault="00D65378" w:rsidP="00D65378">
      <w:pPr>
        <w:autoSpaceDE w:val="0"/>
        <w:autoSpaceDN w:val="0"/>
        <w:adjustRightInd w:val="0"/>
        <w:rPr>
          <w:i/>
          <w:iCs/>
          <w:color w:val="000000"/>
          <w:szCs w:val="22"/>
          <w:lang w:val="en-GB"/>
        </w:rPr>
      </w:pPr>
      <w:r>
        <w:rPr>
          <w:i/>
          <w:color w:val="000000"/>
          <w:szCs w:val="22"/>
          <w:lang w:val="lt"/>
        </w:rPr>
        <w:t>Instrukcijos sveikatos priežiūros specialistams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color w:val="000000"/>
          <w:szCs w:val="22"/>
          <w:lang w:val="lt"/>
        </w:rPr>
        <w:t>Informaciją apie perdozavimą rasite informacijos apie paskyrimą pabaigoje.</w:t>
      </w:r>
    </w:p>
    <w:p w:rsidR="00D65378" w:rsidRDefault="00D65378" w:rsidP="00D65378">
      <w:pPr>
        <w:jc w:val="both"/>
        <w:rPr>
          <w:szCs w:val="22"/>
          <w:lang w:val="en-GB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>
        <w:rPr>
          <w:szCs w:val="22"/>
          <w:lang w:val="lt"/>
        </w:rPr>
        <w:t>Jeigu kiltų daugiau klausimų dėl šio vaisto vartojimo, kreipkitės į gydytoją arba vaistininką.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D65378" w:rsidRDefault="00D65378" w:rsidP="00D65378">
      <w:pPr>
        <w:keepNext/>
        <w:numPr>
          <w:ilvl w:val="0"/>
          <w:numId w:val="3"/>
        </w:numPr>
        <w:spacing w:line="240" w:lineRule="auto"/>
        <w:ind w:left="567" w:right="-2"/>
      </w:pPr>
      <w:r>
        <w:rPr>
          <w:b/>
        </w:rPr>
        <w:t>Galimas šalutinis poveikis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>
        <w:t>Šis vaistas, kaip ir visi kiti, gali sukelti šalutinį poveikį, nors jis pasireiškia ne visiems žmonėms.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 xml:space="preserve">Nedelsdami kreipkitės į gydytoją, jeigu pasireiškė bet kuris iš šių sunkios alerginės ar anafilaksinės reakcijos simptomų: patinimas, bėrimas, niežulys, dilgėlinė, pasunkėjęs kvėpavimas, </w:t>
      </w:r>
      <w:proofErr w:type="spellStart"/>
      <w:r>
        <w:rPr>
          <w:szCs w:val="22"/>
          <w:lang w:val="lt"/>
        </w:rPr>
        <w:t>šaltkrėtis</w:t>
      </w:r>
      <w:proofErr w:type="spellEnd"/>
      <w:r>
        <w:rPr>
          <w:szCs w:val="22"/>
          <w:lang w:val="lt"/>
        </w:rPr>
        <w:t>, karščio pylimas, galvos skausmas, bendrojo pobūdžio negalavimas, pykinimas, nerimas, dažnas širdies plakimas ar žemas kraujospūdis (pasireiškiantis nežinomam vartotojų skaičiui).</w:t>
      </w:r>
    </w:p>
    <w:p w:rsidR="00D65378" w:rsidRDefault="00D65378" w:rsidP="00D65378">
      <w:pPr>
        <w:rPr>
          <w:szCs w:val="22"/>
          <w:lang w:val="en-GB"/>
        </w:rPr>
      </w:pPr>
    </w:p>
    <w:p w:rsidR="00D65378" w:rsidRDefault="00D65378" w:rsidP="00D65378">
      <w:pPr>
        <w:spacing w:line="240" w:lineRule="atLeast"/>
        <w:rPr>
          <w:szCs w:val="22"/>
          <w:lang w:val="en-GB"/>
        </w:rPr>
      </w:pPr>
      <w:r>
        <w:rPr>
          <w:szCs w:val="22"/>
          <w:lang w:val="lt"/>
        </w:rPr>
        <w:t>Kiti galimi šalutiniai poveikiai:</w:t>
      </w:r>
    </w:p>
    <w:p w:rsidR="00D65378" w:rsidRDefault="00D65378" w:rsidP="00D65378">
      <w:pPr>
        <w:ind w:right="-29"/>
        <w:jc w:val="both"/>
        <w:rPr>
          <w:szCs w:val="22"/>
          <w:u w:val="single"/>
          <w:lang w:val="en-GB"/>
        </w:rPr>
      </w:pPr>
      <w:r>
        <w:rPr>
          <w:szCs w:val="22"/>
          <w:u w:val="single"/>
          <w:lang w:val="lt"/>
        </w:rPr>
        <w:t>Dažni (gali pasireikšti rečiau kaip 1 iš 10 asmenų):</w:t>
      </w:r>
    </w:p>
    <w:p w:rsidR="00D65378" w:rsidRDefault="00D65378" w:rsidP="00D65378">
      <w:pPr>
        <w:ind w:right="-29"/>
        <w:jc w:val="both"/>
        <w:rPr>
          <w:szCs w:val="22"/>
          <w:lang w:val="en-GB"/>
        </w:rPr>
      </w:pPr>
      <w:r>
        <w:rPr>
          <w:szCs w:val="22"/>
          <w:lang w:val="lt"/>
        </w:rPr>
        <w:t>Dažniausias šalutinis poveikis yra vietinis dirginimas. Kitas dažnas šalutinis poveikis yra laikinas deginimo pojūtis po įlašinimo, ragenos pažeidimas vartojant vaistą pakartotinai.</w:t>
      </w:r>
    </w:p>
    <w:p w:rsidR="00D65378" w:rsidRDefault="00D65378" w:rsidP="00D65378">
      <w:pPr>
        <w:ind w:right="-29"/>
        <w:jc w:val="both"/>
        <w:rPr>
          <w:szCs w:val="22"/>
          <w:lang w:val="en-GB"/>
        </w:rPr>
      </w:pPr>
    </w:p>
    <w:p w:rsidR="00D65378" w:rsidRDefault="00D65378" w:rsidP="00D65378">
      <w:pPr>
        <w:ind w:right="-29"/>
        <w:jc w:val="both"/>
        <w:rPr>
          <w:szCs w:val="22"/>
          <w:u w:val="single"/>
          <w:lang w:val="en-GB"/>
        </w:rPr>
      </w:pPr>
      <w:r>
        <w:rPr>
          <w:szCs w:val="22"/>
          <w:u w:val="single"/>
          <w:lang w:val="lt"/>
        </w:rPr>
        <w:t>Reti (gali pasireikšti rečiau kaip 1 iš 1 000 asmenų):</w:t>
      </w:r>
    </w:p>
    <w:p w:rsidR="00D65378" w:rsidRDefault="00D65378" w:rsidP="00D65378">
      <w:pPr>
        <w:ind w:right="-29"/>
        <w:jc w:val="both"/>
        <w:rPr>
          <w:szCs w:val="22"/>
          <w:lang w:val="en-GB"/>
        </w:rPr>
      </w:pPr>
      <w:r>
        <w:rPr>
          <w:szCs w:val="22"/>
          <w:lang w:val="lt"/>
        </w:rPr>
        <w:t>Drebulys, neryškus matymas, lėtas širdies susitraukimų dažnis, žemas kraujospūdis, galvos svaigimas.</w:t>
      </w:r>
    </w:p>
    <w:p w:rsidR="00D65378" w:rsidRDefault="00D65378" w:rsidP="00D65378">
      <w:pPr>
        <w:ind w:right="-29"/>
        <w:jc w:val="both"/>
        <w:rPr>
          <w:szCs w:val="22"/>
          <w:u w:val="single"/>
          <w:lang w:val="en-GB"/>
        </w:rPr>
      </w:pPr>
    </w:p>
    <w:p w:rsidR="00D65378" w:rsidRDefault="00D65378" w:rsidP="00D65378">
      <w:pPr>
        <w:ind w:right="-29"/>
        <w:jc w:val="both"/>
        <w:rPr>
          <w:szCs w:val="22"/>
          <w:u w:val="single"/>
          <w:lang w:val="en-GB"/>
        </w:rPr>
      </w:pPr>
      <w:r>
        <w:rPr>
          <w:szCs w:val="22"/>
          <w:u w:val="single"/>
          <w:lang w:val="lt"/>
        </w:rPr>
        <w:t>Dažnis nežinomas (negali būti apskaičiuotas pagal turimus duomenis):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>
        <w:rPr>
          <w:szCs w:val="22"/>
          <w:lang w:val="lt"/>
        </w:rPr>
        <w:t xml:space="preserve">Akių alergija, alerginis blefaritas (vokų uždegimas). </w:t>
      </w:r>
      <w:r>
        <w:rPr>
          <w:rStyle w:val="rynqvb"/>
        </w:rPr>
        <w:t>Akių alergijos ir alerginio blefarito simptomai gali būti niežulys, paraudę ir patinę akių vokai, paraudusios akys, sudirgusios ir ašarojančios akys, degančios ar perštinčios akys, pleiskanos ir pluta blakstienų krašte, panašios į pleiskanas, jautrumas šviesai.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b/>
        </w:rPr>
      </w:pPr>
    </w:p>
    <w:p w:rsidR="00D65378" w:rsidRDefault="00D65378" w:rsidP="00D65378">
      <w:pPr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>
        <w:rPr>
          <w:b/>
        </w:rPr>
        <w:t>Pranešimas apie šalutinį poveikį</w:t>
      </w:r>
    </w:p>
    <w:p w:rsidR="00D65378" w:rsidRPr="005D554B" w:rsidRDefault="00D65378" w:rsidP="00D65378">
      <w:pPr>
        <w:ind w:right="-1"/>
        <w:rPr>
          <w:snapToGrid w:val="0"/>
        </w:rPr>
      </w:pPr>
      <w:r w:rsidRPr="005D554B">
        <w:rPr>
          <w:snapToGrid w:val="0"/>
        </w:rPr>
        <w:t>Jeigu pasireiškė šalutinis poveikis, įskaitant šiame lapelyje nenurodytą, pasakykite gydytoju</w:t>
      </w:r>
      <w:r>
        <w:rPr>
          <w:snapToGrid w:val="0"/>
        </w:rPr>
        <w:t xml:space="preserve">i </w:t>
      </w:r>
      <w:r w:rsidRPr="005D554B">
        <w:rPr>
          <w:snapToGrid w:val="0"/>
        </w:rPr>
        <w:t>arba</w:t>
      </w:r>
      <w:r>
        <w:rPr>
          <w:snapToGrid w:val="0"/>
        </w:rPr>
        <w:t xml:space="preserve"> </w:t>
      </w:r>
      <w:r w:rsidRPr="005D554B">
        <w:rPr>
          <w:snapToGrid w:val="0"/>
        </w:rPr>
        <w:t>vaistininkui</w:t>
      </w:r>
      <w:r>
        <w:rPr>
          <w:snapToGrid w:val="0"/>
        </w:rPr>
        <w:t>.</w:t>
      </w:r>
      <w:r w:rsidRPr="005D554B">
        <w:rPr>
          <w:snapToGrid w:val="0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D65378" w:rsidRDefault="00D65378" w:rsidP="00D65378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D65378" w:rsidRDefault="00D65378" w:rsidP="00D65378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D65378" w:rsidRDefault="00D65378" w:rsidP="00D65378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 xml:space="preserve">Kaip laikyti </w:t>
      </w:r>
      <w:proofErr w:type="spellStart"/>
      <w:r>
        <w:rPr>
          <w:b/>
        </w:rPr>
        <w:t>Novain</w:t>
      </w:r>
      <w:proofErr w:type="spellEnd"/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szCs w:val="22"/>
          <w:lang w:val="lt"/>
        </w:rPr>
        <w:t>Šiam vaistui specialių laikymo sąlygų nereikia.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Šį vaistą laikykite vaikams nepastebimoje ir nepasiekiamoje vietoje.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US"/>
        </w:rPr>
      </w:pPr>
      <w:r>
        <w:t>Ant dėžutės ir buteliuko etiketės po „EXP“  nurodytam tinkamumo laikui pasibaigus, šio vaisto vartoti negalima. Vaistas tinkamas vartoti iki paskutinės nurodyto mėnesio dienos.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szCs w:val="22"/>
          <w:lang w:val="lt"/>
        </w:rPr>
        <w:t>Vaistą reikia suvartoti per 4 savaites nuo pirmojo atidarymo</w:t>
      </w:r>
      <w:r>
        <w:t>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</w:rPr>
      </w:pPr>
      <w:r>
        <w:t>Vaistų negalima išmesti į kanalizaciją arba su buitinėmis atliekomis. Kaip išmesti nereikalingus vaistus, klauskite vaistininko. Šios priemonės padės apsaugoti aplinką.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>
        <w:rPr>
          <w:b/>
        </w:rPr>
        <w:t>Pakuotės turinys ir kita informacija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>
        <w:rPr>
          <w:b/>
        </w:rPr>
        <w:t>Novain</w:t>
      </w:r>
      <w:proofErr w:type="spellEnd"/>
      <w:r>
        <w:rPr>
          <w:b/>
        </w:rPr>
        <w:t xml:space="preserve"> sudėtis</w:t>
      </w:r>
    </w:p>
    <w:p w:rsidR="00D65378" w:rsidRPr="00860487" w:rsidRDefault="00D65378" w:rsidP="00D65378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</w:rPr>
      </w:pPr>
      <w:r>
        <w:t xml:space="preserve">Veiklioji medžiaga yra </w:t>
      </w:r>
      <w:proofErr w:type="spellStart"/>
      <w:r>
        <w:t>oksibuprokaino</w:t>
      </w:r>
      <w:proofErr w:type="spellEnd"/>
      <w:r>
        <w:t xml:space="preserve"> hidrochloridas.</w:t>
      </w:r>
    </w:p>
    <w:p w:rsidR="00D65378" w:rsidRDefault="00D65378" w:rsidP="00D65378">
      <w:pPr>
        <w:keepNext/>
        <w:tabs>
          <w:tab w:val="clear" w:pos="567"/>
        </w:tabs>
        <w:spacing w:line="240" w:lineRule="auto"/>
        <w:ind w:left="567" w:right="-2"/>
        <w:rPr>
          <w:i/>
          <w:iCs/>
          <w:szCs w:val="22"/>
        </w:rPr>
      </w:pPr>
      <w:r>
        <w:t xml:space="preserve">Kiekviename ml yra 4 mg </w:t>
      </w:r>
      <w:proofErr w:type="spellStart"/>
      <w:r>
        <w:t>oksibuprokaino</w:t>
      </w:r>
      <w:proofErr w:type="spellEnd"/>
      <w:r>
        <w:t xml:space="preserve"> hidrochlorido.</w:t>
      </w:r>
    </w:p>
    <w:p w:rsidR="00D65378" w:rsidRDefault="00D65378" w:rsidP="00D65378">
      <w:pPr>
        <w:numPr>
          <w:ilvl w:val="0"/>
          <w:numId w:val="2"/>
        </w:numPr>
        <w:ind w:left="567" w:right="-2" w:hanging="567"/>
        <w:jc w:val="both"/>
        <w:rPr>
          <w:szCs w:val="22"/>
          <w:lang w:val="en-GB"/>
        </w:rPr>
      </w:pPr>
      <w:r>
        <w:rPr>
          <w:szCs w:val="22"/>
          <w:lang w:val="lt"/>
        </w:rPr>
        <w:t xml:space="preserve">Pagalbinės medžiagos yra boro </w:t>
      </w:r>
      <w:r>
        <w:rPr>
          <w:lang w:val="lt"/>
        </w:rPr>
        <w:t xml:space="preserve">rūgštis, </w:t>
      </w:r>
      <w:proofErr w:type="spellStart"/>
      <w:r>
        <w:rPr>
          <w:szCs w:val="22"/>
          <w:lang w:val="lt"/>
        </w:rPr>
        <w:t>chlorheksidino</w:t>
      </w:r>
      <w:proofErr w:type="spellEnd"/>
      <w:r>
        <w:rPr>
          <w:szCs w:val="22"/>
          <w:lang w:val="lt"/>
        </w:rPr>
        <w:t xml:space="preserve"> </w:t>
      </w:r>
      <w:proofErr w:type="spellStart"/>
      <w:r>
        <w:rPr>
          <w:szCs w:val="22"/>
          <w:lang w:val="lt"/>
        </w:rPr>
        <w:t>diacetatas</w:t>
      </w:r>
      <w:proofErr w:type="spellEnd"/>
      <w:r>
        <w:rPr>
          <w:szCs w:val="22"/>
          <w:lang w:val="lt"/>
        </w:rPr>
        <w:t>, vandenilio chlorido rūgštis (pH koregavimui), injekcinis vanduo.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Novain</w:t>
      </w:r>
      <w:proofErr w:type="spellEnd"/>
      <w:r>
        <w:rPr>
          <w:b/>
          <w:szCs w:val="22"/>
        </w:rPr>
        <w:t xml:space="preserve"> išvaizda ir kiekis pakuotėje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"/>
        </w:rPr>
      </w:pPr>
      <w:proofErr w:type="spellStart"/>
      <w:r>
        <w:rPr>
          <w:szCs w:val="22"/>
          <w:lang w:val="lt"/>
        </w:rPr>
        <w:t>Novain</w:t>
      </w:r>
      <w:proofErr w:type="spellEnd"/>
      <w:r>
        <w:rPr>
          <w:szCs w:val="22"/>
          <w:lang w:val="lt"/>
        </w:rPr>
        <w:t xml:space="preserve"> 4 mg/ml akių lašai (tirpalas) yra skaidrus, bespalvis tirpalas plastikiniame buteliuke. Kiekvienoje pakuotėje yra vienas buteliukas po 10 ml.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Registruotojas ir gamintojas</w:t>
      </w:r>
    </w:p>
    <w:p w:rsidR="00D65378" w:rsidRPr="00202732" w:rsidRDefault="00D65378" w:rsidP="00D65378">
      <w:pPr>
        <w:jc w:val="both"/>
        <w:rPr>
          <w:sz w:val="12"/>
        </w:rPr>
      </w:pPr>
    </w:p>
    <w:p w:rsidR="00D65378" w:rsidRDefault="00D65378" w:rsidP="00D65378">
      <w:pPr>
        <w:jc w:val="both"/>
        <w:rPr>
          <w:szCs w:val="22"/>
        </w:rPr>
      </w:pPr>
      <w:r>
        <w:rPr>
          <w:szCs w:val="22"/>
        </w:rPr>
        <w:t xml:space="preserve">AGEPHA </w:t>
      </w:r>
      <w:proofErr w:type="spellStart"/>
      <w:r>
        <w:rPr>
          <w:szCs w:val="22"/>
        </w:rPr>
        <w:t>Pharma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s.r.o</w:t>
      </w:r>
      <w:proofErr w:type="spellEnd"/>
    </w:p>
    <w:p w:rsidR="00D65378" w:rsidRDefault="00D65378" w:rsidP="00D65378">
      <w:pPr>
        <w:jc w:val="both"/>
        <w:rPr>
          <w:szCs w:val="22"/>
        </w:rPr>
      </w:pPr>
      <w:proofErr w:type="spellStart"/>
      <w:r>
        <w:rPr>
          <w:szCs w:val="22"/>
        </w:rPr>
        <w:t>Diaľničná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cesta</w:t>
      </w:r>
      <w:proofErr w:type="spellEnd"/>
      <w:r>
        <w:rPr>
          <w:szCs w:val="22"/>
        </w:rPr>
        <w:t xml:space="preserve"> 5</w:t>
      </w:r>
    </w:p>
    <w:p w:rsidR="00D65378" w:rsidRDefault="00D65378" w:rsidP="00D65378">
      <w:pPr>
        <w:jc w:val="both"/>
        <w:rPr>
          <w:szCs w:val="22"/>
        </w:rPr>
      </w:pPr>
      <w:proofErr w:type="spellStart"/>
      <w:r>
        <w:rPr>
          <w:szCs w:val="22"/>
        </w:rPr>
        <w:t>Senec</w:t>
      </w:r>
      <w:proofErr w:type="spellEnd"/>
      <w:r>
        <w:rPr>
          <w:szCs w:val="22"/>
        </w:rPr>
        <w:t xml:space="preserve"> 903 01</w:t>
      </w:r>
    </w:p>
    <w:p w:rsidR="00D65378" w:rsidRDefault="00D65378" w:rsidP="00D65378">
      <w:pPr>
        <w:jc w:val="both"/>
        <w:rPr>
          <w:szCs w:val="22"/>
        </w:rPr>
      </w:pPr>
      <w:r>
        <w:rPr>
          <w:szCs w:val="22"/>
        </w:rPr>
        <w:t>Slovakija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Pr="00202732" w:rsidRDefault="00D65378" w:rsidP="00D65378">
      <w:pPr>
        <w:numPr>
          <w:ilvl w:val="12"/>
          <w:numId w:val="0"/>
        </w:numPr>
        <w:ind w:right="-2"/>
        <w:rPr>
          <w:b/>
        </w:rPr>
      </w:pPr>
      <w:r>
        <w:rPr>
          <w:b/>
          <w:snapToGrid w:val="0"/>
          <w:lang w:eastAsia="en-US"/>
        </w:rPr>
        <w:t>Šis vaistas Europos ekonominės erdvės valstybėse narėse registruotas tokiais pavadinimais:</w:t>
      </w:r>
    </w:p>
    <w:p w:rsidR="00D65378" w:rsidRDefault="00D65378" w:rsidP="00D65378">
      <w:pPr>
        <w:numPr>
          <w:ilvl w:val="12"/>
          <w:numId w:val="0"/>
        </w:numPr>
        <w:ind w:right="-2"/>
        <w:rPr>
          <w:snapToGrid w:val="0"/>
          <w:lang w:eastAsia="en-US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466"/>
      </w:tblGrid>
      <w:tr w:rsidR="00D65378" w:rsidTr="00864BD1">
        <w:trPr>
          <w:trHeight w:val="368"/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D65378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US"/>
              </w:rPr>
              <w:t>Šalis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b/>
                <w:bCs/>
                <w:sz w:val="22"/>
                <w:szCs w:val="22"/>
                <w:lang w:val="de"/>
              </w:rPr>
              <w:t>Vaisto</w:t>
            </w:r>
            <w:proofErr w:type="spellEnd"/>
            <w:r w:rsidRPr="00D65378">
              <w:rPr>
                <w:b/>
                <w:bCs/>
                <w:sz w:val="22"/>
                <w:szCs w:val="22"/>
                <w:lang w:val="de"/>
              </w:rPr>
              <w:t xml:space="preserve"> </w:t>
            </w:r>
            <w:proofErr w:type="spellStart"/>
            <w:r w:rsidRPr="00D65378">
              <w:rPr>
                <w:b/>
                <w:bCs/>
                <w:sz w:val="22"/>
                <w:szCs w:val="22"/>
                <w:lang w:val="de"/>
              </w:rPr>
              <w:t>pavadinimas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Austrija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Novain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4 mg/ml Augentropfen, Lösung</w:t>
            </w:r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Danija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Oxybuprocainhydrochlorid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“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Agepha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>”</w:t>
            </w:r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Estija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Novain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Suomija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Obupro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4 mg/ml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silmätipat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,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liuos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Airija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Oxybuprocaine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Agepha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4 mg/ml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eye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drops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,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solution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Islandija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rPr>
                <w:sz w:val="22"/>
                <w:szCs w:val="22"/>
                <w:lang w:val="de"/>
              </w:rPr>
            </w:pPr>
            <w:r w:rsidRPr="00D65378">
              <w:rPr>
                <w:sz w:val="22"/>
                <w:szCs w:val="22"/>
                <w:lang w:val="nn-NO"/>
              </w:rPr>
              <w:t>Novain 4 mg/ml augndropar, lausn</w:t>
            </w:r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Kroatija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Ophtesia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4 mg/ml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kapi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za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oko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,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otopina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Latvija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</w:rPr>
              <w:t>Oxybuprocaine</w:t>
            </w:r>
            <w:proofErr w:type="spellEnd"/>
            <w:r w:rsidRPr="00D65378">
              <w:rPr>
                <w:sz w:val="22"/>
                <w:szCs w:val="22"/>
              </w:rPr>
              <w:t xml:space="preserve"> hydrochloride </w:t>
            </w:r>
            <w:proofErr w:type="spellStart"/>
            <w:r w:rsidRPr="00D65378">
              <w:rPr>
                <w:sz w:val="22"/>
                <w:szCs w:val="22"/>
              </w:rPr>
              <w:t>Agepha</w:t>
            </w:r>
            <w:proofErr w:type="spellEnd"/>
            <w:r w:rsidRPr="00D65378">
              <w:rPr>
                <w:sz w:val="22"/>
                <w:szCs w:val="22"/>
              </w:rPr>
              <w:t xml:space="preserve"> 4 mg/ml </w:t>
            </w:r>
            <w:proofErr w:type="spellStart"/>
            <w:r w:rsidRPr="00D65378">
              <w:rPr>
                <w:sz w:val="22"/>
                <w:szCs w:val="22"/>
              </w:rPr>
              <w:t>acu</w:t>
            </w:r>
            <w:proofErr w:type="spellEnd"/>
            <w:r w:rsidRPr="00D65378">
              <w:rPr>
                <w:sz w:val="22"/>
                <w:szCs w:val="22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</w:rPr>
              <w:t>pilieni</w:t>
            </w:r>
            <w:proofErr w:type="spellEnd"/>
            <w:r w:rsidRPr="00D65378">
              <w:rPr>
                <w:sz w:val="22"/>
                <w:szCs w:val="22"/>
              </w:rPr>
              <w:t xml:space="preserve">, </w:t>
            </w:r>
            <w:proofErr w:type="spellStart"/>
            <w:r w:rsidRPr="00D65378">
              <w:rPr>
                <w:sz w:val="22"/>
                <w:szCs w:val="22"/>
              </w:rPr>
              <w:t>šķīdums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Lietuva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Novain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4 mg/ml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akių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lašai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(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tirpalas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>)</w:t>
            </w:r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Norvegija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Novain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  <w:r w:rsidRPr="00D65378">
              <w:rPr>
                <w:sz w:val="22"/>
                <w:szCs w:val="22"/>
              </w:rPr>
              <w:t xml:space="preserve">4 mg/ml </w:t>
            </w:r>
            <w:proofErr w:type="spellStart"/>
            <w:r w:rsidRPr="00D65378">
              <w:rPr>
                <w:sz w:val="22"/>
                <w:szCs w:val="22"/>
              </w:rPr>
              <w:t>øyedråper</w:t>
            </w:r>
            <w:proofErr w:type="spellEnd"/>
            <w:r w:rsidRPr="00D65378">
              <w:rPr>
                <w:sz w:val="22"/>
                <w:szCs w:val="22"/>
              </w:rPr>
              <w:t xml:space="preserve">, </w:t>
            </w:r>
            <w:proofErr w:type="spellStart"/>
            <w:r w:rsidRPr="00D65378">
              <w:rPr>
                <w:sz w:val="22"/>
                <w:szCs w:val="22"/>
              </w:rPr>
              <w:t>oppløsning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Nyderlandai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</w:rPr>
              <w:t>Obupro</w:t>
            </w:r>
            <w:proofErr w:type="spellEnd"/>
            <w:r w:rsidRPr="00D65378">
              <w:rPr>
                <w:sz w:val="22"/>
                <w:szCs w:val="22"/>
              </w:rPr>
              <w:t xml:space="preserve"> 4 mg/ml </w:t>
            </w:r>
            <w:proofErr w:type="spellStart"/>
            <w:r w:rsidRPr="00D65378">
              <w:rPr>
                <w:sz w:val="22"/>
                <w:szCs w:val="22"/>
              </w:rPr>
              <w:t>oogdruppels</w:t>
            </w:r>
            <w:proofErr w:type="spellEnd"/>
            <w:r w:rsidRPr="00D65378">
              <w:rPr>
                <w:sz w:val="22"/>
                <w:szCs w:val="22"/>
              </w:rPr>
              <w:t xml:space="preserve">, </w:t>
            </w:r>
            <w:proofErr w:type="spellStart"/>
            <w:r w:rsidRPr="00D65378">
              <w:rPr>
                <w:sz w:val="22"/>
                <w:szCs w:val="22"/>
              </w:rPr>
              <w:t>oplossing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Lenkija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</w:rPr>
              <w:t>Novain</w:t>
            </w:r>
            <w:proofErr w:type="spellEnd"/>
            <w:r w:rsidRPr="00D65378">
              <w:rPr>
                <w:sz w:val="22"/>
                <w:szCs w:val="22"/>
              </w:rPr>
              <w:t xml:space="preserve">, 4 mg/mL </w:t>
            </w:r>
            <w:proofErr w:type="spellStart"/>
            <w:r w:rsidRPr="00D65378">
              <w:rPr>
                <w:sz w:val="22"/>
                <w:szCs w:val="22"/>
              </w:rPr>
              <w:t>krople</w:t>
            </w:r>
            <w:proofErr w:type="spellEnd"/>
            <w:r w:rsidRPr="00D65378">
              <w:rPr>
                <w:sz w:val="22"/>
                <w:szCs w:val="22"/>
              </w:rPr>
              <w:t xml:space="preserve"> do </w:t>
            </w:r>
            <w:proofErr w:type="spellStart"/>
            <w:r w:rsidRPr="00D65378">
              <w:rPr>
                <w:sz w:val="22"/>
                <w:szCs w:val="22"/>
              </w:rPr>
              <w:t>oczu</w:t>
            </w:r>
            <w:proofErr w:type="spellEnd"/>
            <w:r w:rsidRPr="00D65378">
              <w:rPr>
                <w:sz w:val="22"/>
                <w:szCs w:val="22"/>
              </w:rPr>
              <w:t xml:space="preserve">, </w:t>
            </w:r>
            <w:proofErr w:type="spellStart"/>
            <w:r w:rsidRPr="00D65378">
              <w:rPr>
                <w:sz w:val="22"/>
                <w:szCs w:val="22"/>
              </w:rPr>
              <w:t>roztwór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Portugalija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Novain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4 mg/ml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colírio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,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solução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Švedija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rPr>
                <w:sz w:val="22"/>
                <w:szCs w:val="22"/>
                <w:lang w:val="de"/>
              </w:rPr>
            </w:pPr>
            <w:r w:rsidRPr="00D65378">
              <w:rPr>
                <w:sz w:val="22"/>
                <w:szCs w:val="22"/>
                <w:lang w:val="sv-SE"/>
              </w:rPr>
              <w:t>Obupro 4 mg/ml ögondroppar, lösning</w:t>
            </w:r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Ispanija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Oxibuprocaína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hidrocloruro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Agepha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4 mg/ml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colirio</w:t>
            </w:r>
            <w:proofErr w:type="spellEnd"/>
            <w:r w:rsidRPr="00D65378">
              <w:rPr>
                <w:sz w:val="22"/>
                <w:szCs w:val="22"/>
                <w:lang w:val="de"/>
              </w:rPr>
              <w:t xml:space="preserve"> en </w:t>
            </w:r>
            <w:proofErr w:type="spellStart"/>
            <w:r w:rsidRPr="00D65378">
              <w:rPr>
                <w:sz w:val="22"/>
                <w:szCs w:val="22"/>
                <w:lang w:val="de"/>
              </w:rPr>
              <w:t>solución</w:t>
            </w:r>
            <w:proofErr w:type="spellEnd"/>
          </w:p>
        </w:tc>
      </w:tr>
      <w:tr w:rsidR="00D65378" w:rsidTr="00864BD1">
        <w:trPr>
          <w:jc w:val="center"/>
        </w:trPr>
        <w:tc>
          <w:tcPr>
            <w:tcW w:w="1980" w:type="dxa"/>
            <w:vAlign w:val="center"/>
          </w:tcPr>
          <w:p w:rsidR="00D65378" w:rsidRPr="00D65378" w:rsidRDefault="00D65378" w:rsidP="00864BD1">
            <w:pPr>
              <w:spacing w:before="40" w:after="40"/>
              <w:jc w:val="both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  <w:lang w:val="de"/>
              </w:rPr>
              <w:t>Vengrija</w:t>
            </w:r>
            <w:proofErr w:type="spellEnd"/>
          </w:p>
        </w:tc>
        <w:tc>
          <w:tcPr>
            <w:tcW w:w="5466" w:type="dxa"/>
            <w:vAlign w:val="center"/>
          </w:tcPr>
          <w:p w:rsidR="00D65378" w:rsidRPr="00D65378" w:rsidRDefault="00D65378" w:rsidP="00864BD1">
            <w:pPr>
              <w:spacing w:before="40" w:after="40"/>
              <w:rPr>
                <w:sz w:val="22"/>
                <w:szCs w:val="22"/>
                <w:lang w:val="de"/>
              </w:rPr>
            </w:pPr>
            <w:proofErr w:type="spellStart"/>
            <w:r w:rsidRPr="00D65378">
              <w:rPr>
                <w:sz w:val="22"/>
                <w:szCs w:val="22"/>
              </w:rPr>
              <w:t>Oxybuprocaine</w:t>
            </w:r>
            <w:proofErr w:type="spellEnd"/>
            <w:r w:rsidRPr="00D65378">
              <w:rPr>
                <w:sz w:val="22"/>
                <w:szCs w:val="22"/>
              </w:rPr>
              <w:t xml:space="preserve"> hydrochloride AGEPHA 4 mg/ml </w:t>
            </w:r>
            <w:proofErr w:type="spellStart"/>
            <w:r w:rsidRPr="00D65378">
              <w:rPr>
                <w:sz w:val="22"/>
                <w:szCs w:val="22"/>
              </w:rPr>
              <w:t>oldatos</w:t>
            </w:r>
            <w:proofErr w:type="spellEnd"/>
            <w:r w:rsidRPr="00D65378">
              <w:rPr>
                <w:sz w:val="22"/>
                <w:szCs w:val="22"/>
              </w:rPr>
              <w:t xml:space="preserve"> </w:t>
            </w:r>
            <w:proofErr w:type="spellStart"/>
            <w:r w:rsidRPr="00D65378">
              <w:rPr>
                <w:sz w:val="22"/>
                <w:szCs w:val="22"/>
              </w:rPr>
              <w:t>szemcsepp</w:t>
            </w:r>
            <w:proofErr w:type="spellEnd"/>
          </w:p>
        </w:tc>
      </w:tr>
    </w:tbl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>Šis pakuotės lapelis paskutinį kartą peržiūrėtas 2024-10-08.</w:t>
      </w:r>
    </w:p>
    <w:p w:rsidR="00D65378" w:rsidRDefault="00D65378" w:rsidP="00D6537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>
        <w:rPr>
          <w:snapToGrid w:val="0"/>
          <w:lang w:eastAsia="en-US"/>
        </w:rPr>
        <w:t xml:space="preserve">Išsami informacija apie šį </w:t>
      </w:r>
      <w:r>
        <w:rPr>
          <w:snapToGrid w:val="0"/>
          <w:szCs w:val="24"/>
          <w:lang w:eastAsia="en-US"/>
        </w:rPr>
        <w:t>vaistą</w:t>
      </w:r>
      <w:r>
        <w:rPr>
          <w:snapToGrid w:val="0"/>
          <w:lang w:eastAsia="en-US"/>
        </w:rPr>
        <w:t xml:space="preserve"> pateikiama Valstybinės vaistų kontrolės tarnybos prie Lietuvos Respublikos sveikatos apsaugos ministerijos tinklalapyje</w:t>
      </w:r>
      <w:r>
        <w:rPr>
          <w:i/>
          <w:snapToGrid w:val="0"/>
          <w:szCs w:val="24"/>
          <w:lang w:eastAsia="en-US"/>
        </w:rPr>
        <w:t xml:space="preserve"> </w:t>
      </w:r>
      <w:hyperlink r:id="rId8" w:history="1">
        <w:r>
          <w:rPr>
            <w:rFonts w:eastAsia="SimSun"/>
            <w:snapToGrid w:val="0"/>
            <w:color w:val="0000FF"/>
            <w:u w:val="single"/>
            <w:lang w:eastAsia="en-US"/>
          </w:rPr>
          <w:t>http://www.vvkt.lt/</w:t>
        </w:r>
      </w:hyperlink>
      <w:r>
        <w:rPr>
          <w:snapToGrid w:val="0"/>
          <w:lang w:eastAsia="en-US"/>
        </w:rPr>
        <w:t>.</w:t>
      </w:r>
    </w:p>
    <w:p w:rsidR="00D65378" w:rsidRDefault="00D65378" w:rsidP="00D65378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------------------------------------------------------------------------------------------------------------------------</w:t>
      </w:r>
    </w:p>
    <w:p w:rsidR="00D65378" w:rsidRDefault="00D65378" w:rsidP="00D65378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2"/>
        </w:rPr>
      </w:pPr>
    </w:p>
    <w:p w:rsidR="00D65378" w:rsidRDefault="00D65378" w:rsidP="00D65378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szCs w:val="22"/>
        </w:rPr>
      </w:pPr>
      <w:r>
        <w:t>Toliau pateikta informacija skirta tik sveikatos priežiūros specialistams:</w:t>
      </w:r>
    </w:p>
    <w:p w:rsidR="00D65378" w:rsidRDefault="00D65378" w:rsidP="00D65378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D65378" w:rsidRDefault="00D65378" w:rsidP="00D65378">
      <w:pPr>
        <w:jc w:val="both"/>
        <w:rPr>
          <w:b/>
          <w:szCs w:val="22"/>
          <w:lang w:val="en-GB"/>
        </w:rPr>
      </w:pPr>
      <w:r>
        <w:rPr>
          <w:b/>
          <w:szCs w:val="22"/>
          <w:lang w:val="lt"/>
        </w:rPr>
        <w:t>Priemonės apsinuodijimo atveju</w:t>
      </w:r>
    </w:p>
    <w:p w:rsidR="00D65378" w:rsidRDefault="00D65378" w:rsidP="00D65378">
      <w:pPr>
        <w:jc w:val="both"/>
        <w:rPr>
          <w:szCs w:val="22"/>
          <w:lang w:val="en-GB"/>
        </w:rPr>
      </w:pPr>
      <w:r>
        <w:rPr>
          <w:szCs w:val="22"/>
          <w:lang w:val="lt"/>
        </w:rPr>
        <w:t>Skubus kvėpavimo ir kraujotakos valdymas (</w:t>
      </w:r>
      <w:proofErr w:type="spellStart"/>
      <w:r>
        <w:rPr>
          <w:szCs w:val="22"/>
          <w:lang w:val="lt"/>
        </w:rPr>
        <w:t>intubacija</w:t>
      </w:r>
      <w:proofErr w:type="spellEnd"/>
      <w:r>
        <w:rPr>
          <w:szCs w:val="22"/>
          <w:lang w:val="lt"/>
        </w:rPr>
        <w:t xml:space="preserve"> ir dirbtinė ventiliacija), širdies ir kraujagyslių stimuliacija, infuzijos (be adrenalino!). Širdies sustojimo atveju reikia atlikti išorinį širdies masažą ir elektrostimuliaciją. Priepuolių atveju reikia skirti itin trumpai veikiančius barbitūratus arba </w:t>
      </w:r>
      <w:proofErr w:type="spellStart"/>
      <w:r>
        <w:rPr>
          <w:szCs w:val="22"/>
          <w:lang w:val="lt"/>
        </w:rPr>
        <w:t>diazepamą</w:t>
      </w:r>
      <w:proofErr w:type="spellEnd"/>
      <w:r>
        <w:rPr>
          <w:szCs w:val="22"/>
          <w:lang w:val="lt"/>
        </w:rPr>
        <w:t xml:space="preserve"> (dėl kvėpavimo slopinimo rizikos ilgalaikio poveikio barbitūratų vartoti negalima). </w:t>
      </w:r>
    </w:p>
    <w:p w:rsidR="00BA6577" w:rsidRDefault="00BA6577">
      <w:bookmarkStart w:id="1" w:name="_GoBack"/>
      <w:bookmarkEnd w:id="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3F14CF"/>
    <w:multiLevelType w:val="hybridMultilevel"/>
    <w:tmpl w:val="6FC0A652"/>
    <w:lvl w:ilvl="0" w:tplc="BDECAC4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010443A" w:tentative="1">
      <w:start w:val="1"/>
      <w:numFmt w:val="lowerLetter"/>
      <w:lvlText w:val="%2."/>
      <w:lvlJc w:val="left"/>
      <w:pPr>
        <w:ind w:left="1440" w:hanging="360"/>
      </w:pPr>
    </w:lvl>
    <w:lvl w:ilvl="2" w:tplc="F2CC0D68" w:tentative="1">
      <w:start w:val="1"/>
      <w:numFmt w:val="lowerRoman"/>
      <w:lvlText w:val="%3."/>
      <w:lvlJc w:val="right"/>
      <w:pPr>
        <w:ind w:left="2160" w:hanging="180"/>
      </w:pPr>
    </w:lvl>
    <w:lvl w:ilvl="3" w:tplc="C216613A" w:tentative="1">
      <w:start w:val="1"/>
      <w:numFmt w:val="decimal"/>
      <w:lvlText w:val="%4."/>
      <w:lvlJc w:val="left"/>
      <w:pPr>
        <w:ind w:left="2880" w:hanging="360"/>
      </w:pPr>
    </w:lvl>
    <w:lvl w:ilvl="4" w:tplc="42204CA2" w:tentative="1">
      <w:start w:val="1"/>
      <w:numFmt w:val="lowerLetter"/>
      <w:lvlText w:val="%5."/>
      <w:lvlJc w:val="left"/>
      <w:pPr>
        <w:ind w:left="3600" w:hanging="360"/>
      </w:pPr>
    </w:lvl>
    <w:lvl w:ilvl="5" w:tplc="45321882" w:tentative="1">
      <w:start w:val="1"/>
      <w:numFmt w:val="lowerRoman"/>
      <w:lvlText w:val="%6."/>
      <w:lvlJc w:val="right"/>
      <w:pPr>
        <w:ind w:left="4320" w:hanging="180"/>
      </w:pPr>
    </w:lvl>
    <w:lvl w:ilvl="6" w:tplc="8A380A88" w:tentative="1">
      <w:start w:val="1"/>
      <w:numFmt w:val="decimal"/>
      <w:lvlText w:val="%7."/>
      <w:lvlJc w:val="left"/>
      <w:pPr>
        <w:ind w:left="5040" w:hanging="360"/>
      </w:pPr>
    </w:lvl>
    <w:lvl w:ilvl="7" w:tplc="463E0BA4" w:tentative="1">
      <w:start w:val="1"/>
      <w:numFmt w:val="lowerLetter"/>
      <w:lvlText w:val="%8."/>
      <w:lvlJc w:val="left"/>
      <w:pPr>
        <w:ind w:left="5760" w:hanging="360"/>
      </w:pPr>
    </w:lvl>
    <w:lvl w:ilvl="8" w:tplc="CF685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0446"/>
    <w:multiLevelType w:val="hybridMultilevel"/>
    <w:tmpl w:val="B20E620E"/>
    <w:lvl w:ilvl="0" w:tplc="BBECE5F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92A2C3B6" w:tentative="1">
      <w:start w:val="1"/>
      <w:numFmt w:val="lowerLetter"/>
      <w:lvlText w:val="%2."/>
      <w:lvlJc w:val="left"/>
      <w:pPr>
        <w:ind w:left="1440" w:hanging="360"/>
      </w:pPr>
    </w:lvl>
    <w:lvl w:ilvl="2" w:tplc="C62E8C14" w:tentative="1">
      <w:start w:val="1"/>
      <w:numFmt w:val="lowerRoman"/>
      <w:lvlText w:val="%3."/>
      <w:lvlJc w:val="right"/>
      <w:pPr>
        <w:ind w:left="2160" w:hanging="180"/>
      </w:pPr>
    </w:lvl>
    <w:lvl w:ilvl="3" w:tplc="5F247976" w:tentative="1">
      <w:start w:val="1"/>
      <w:numFmt w:val="decimal"/>
      <w:lvlText w:val="%4."/>
      <w:lvlJc w:val="left"/>
      <w:pPr>
        <w:ind w:left="2880" w:hanging="360"/>
      </w:pPr>
    </w:lvl>
    <w:lvl w:ilvl="4" w:tplc="4572A2C4" w:tentative="1">
      <w:start w:val="1"/>
      <w:numFmt w:val="lowerLetter"/>
      <w:lvlText w:val="%5."/>
      <w:lvlJc w:val="left"/>
      <w:pPr>
        <w:ind w:left="3600" w:hanging="360"/>
      </w:pPr>
    </w:lvl>
    <w:lvl w:ilvl="5" w:tplc="D9EE0736" w:tentative="1">
      <w:start w:val="1"/>
      <w:numFmt w:val="lowerRoman"/>
      <w:lvlText w:val="%6."/>
      <w:lvlJc w:val="right"/>
      <w:pPr>
        <w:ind w:left="4320" w:hanging="180"/>
      </w:pPr>
    </w:lvl>
    <w:lvl w:ilvl="6" w:tplc="26BE8ED6" w:tentative="1">
      <w:start w:val="1"/>
      <w:numFmt w:val="decimal"/>
      <w:lvlText w:val="%7."/>
      <w:lvlJc w:val="left"/>
      <w:pPr>
        <w:ind w:left="5040" w:hanging="360"/>
      </w:pPr>
    </w:lvl>
    <w:lvl w:ilvl="7" w:tplc="26A87F44" w:tentative="1">
      <w:start w:val="1"/>
      <w:numFmt w:val="lowerLetter"/>
      <w:lvlText w:val="%8."/>
      <w:lvlJc w:val="left"/>
      <w:pPr>
        <w:ind w:left="5760" w:hanging="360"/>
      </w:pPr>
    </w:lvl>
    <w:lvl w:ilvl="8" w:tplc="B63496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78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D65378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4AC10-9B65-468F-B5B1-299E6492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537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D65378"/>
    <w:pPr>
      <w:ind w:left="720"/>
      <w:contextualSpacing/>
    </w:pPr>
  </w:style>
  <w:style w:type="character" w:customStyle="1" w:styleId="rynqvb">
    <w:name w:val="rynqvb"/>
    <w:basedOn w:val="Numatytasispastraiposriftas"/>
    <w:rsid w:val="00D65378"/>
  </w:style>
  <w:style w:type="paragraph" w:styleId="Sraopastraipa">
    <w:name w:val="List Paragraph"/>
    <w:basedOn w:val="prastasis"/>
    <w:uiPriority w:val="99"/>
    <w:qFormat/>
    <w:rsid w:val="00D65378"/>
    <w:pPr>
      <w:ind w:left="720"/>
      <w:contextualSpacing/>
    </w:pPr>
  </w:style>
  <w:style w:type="table" w:styleId="Lentelstinklelis">
    <w:name w:val="Table Grid"/>
    <w:basedOn w:val="prastojilentel"/>
    <w:rsid w:val="00D6537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6396</Words>
  <Characters>3646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</vt:vector>
  </HeadingPairs>
  <TitlesOfParts>
    <vt:vector size="16" baseType="lpstr">
      <vt:lpstr/>
      <vt:lpstr>Pakuotės lapelis: informacija vartotojui</vt:lpstr>
      <vt:lpstr>Novain 4 mg/ml akių lašai (tirpalas)</vt:lpstr>
      <vt:lpstr>Apie ką rašoma šiame lapelyje?</vt:lpstr>
      <vt:lpstr/>
      <vt:lpstr/>
      <vt:lpstr>Novain vartoti draudžiama</vt:lpstr>
      <vt:lpstr/>
      <vt:lpstr>Įspėjimai ir atsargumo priemonės </vt:lpstr>
      <vt:lpstr>Nėštumas ir žindymo laikotarpis </vt:lpstr>
      <vt:lpstr>Vairavimas ir mechanizmų valdymas</vt:lpstr>
      <vt:lpstr>Šis vaistas gali pabloginti Jūsų gebėjimą reaguoti ir gebėjimą vairuoti. Naudoja</vt:lpstr>
      <vt:lpstr>Akių alergija, alerginis blefaritas (vokų uždegimas). Akių alergijos ir alergini</vt:lpstr>
      <vt:lpstr>Pranešimas apie šalutinį poveikį</vt:lpstr>
      <vt:lpstr>Šis pakuotės lapelis paskutinį kartą peržiūrėtas 2024-10-08.</vt:lpstr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2024-11-12T11:30:00Z</dcterms:created>
  <dcterms:modified xsi:type="dcterms:W3CDTF">2024-11-12T11:32:00Z</dcterms:modified>
</cp:coreProperties>
</file>