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26B" w:rsidRPr="00981E09" w:rsidRDefault="0029726B" w:rsidP="0029726B">
      <w:pPr>
        <w:tabs>
          <w:tab w:val="left" w:pos="567"/>
        </w:tabs>
        <w:spacing w:after="0" w:line="240" w:lineRule="auto"/>
        <w:jc w:val="center"/>
        <w:rPr>
          <w:rFonts w:ascii="Times New Roman" w:hAnsi="Times New Roman" w:cs="Times New Roman"/>
          <w:b/>
          <w:caps/>
          <w:lang w:val="lt-LT"/>
        </w:rPr>
      </w:pPr>
      <w:r w:rsidRPr="00981E09">
        <w:rPr>
          <w:rFonts w:ascii="Times New Roman" w:hAnsi="Times New Roman" w:cs="Times New Roman"/>
          <w:b/>
          <w:lang w:val="lt-LT"/>
        </w:rPr>
        <w:t>Pakuotės lapelis: informacija vartotojui</w:t>
      </w:r>
    </w:p>
    <w:p w:rsidR="0029726B" w:rsidRPr="00981E09" w:rsidRDefault="0029726B" w:rsidP="0029726B">
      <w:pPr>
        <w:tabs>
          <w:tab w:val="left" w:pos="567"/>
        </w:tabs>
        <w:spacing w:after="0" w:line="240" w:lineRule="auto"/>
        <w:jc w:val="center"/>
        <w:rPr>
          <w:rFonts w:ascii="Times New Roman" w:hAnsi="Times New Roman" w:cs="Times New Roman"/>
          <w:bCs/>
          <w:lang w:val="lt-LT"/>
        </w:rPr>
      </w:pPr>
    </w:p>
    <w:p w:rsidR="0029726B" w:rsidRDefault="0029726B" w:rsidP="0029726B">
      <w:pPr>
        <w:tabs>
          <w:tab w:val="left" w:pos="567"/>
        </w:tabs>
        <w:spacing w:after="0" w:line="240" w:lineRule="auto"/>
        <w:jc w:val="center"/>
        <w:rPr>
          <w:rFonts w:ascii="Times New Roman" w:hAnsi="Times New Roman" w:cs="Times New Roman"/>
          <w:b/>
          <w:bCs/>
          <w:color w:val="000000"/>
          <w:lang w:val="lt-LT"/>
        </w:rPr>
      </w:pPr>
      <w:proofErr w:type="spellStart"/>
      <w:r w:rsidRPr="003D77B8">
        <w:rPr>
          <w:rFonts w:ascii="Times New Roman" w:hAnsi="Times New Roman" w:cs="Times New Roman"/>
          <w:b/>
          <w:bCs/>
          <w:color w:val="000000"/>
          <w:lang w:val="lt-LT"/>
        </w:rPr>
        <w:t>Gaviscon</w:t>
      </w:r>
      <w:proofErr w:type="spellEnd"/>
      <w:r w:rsidRPr="003D77B8">
        <w:rPr>
          <w:rFonts w:ascii="Times New Roman" w:hAnsi="Times New Roman" w:cs="Times New Roman"/>
          <w:b/>
          <w:bCs/>
          <w:color w:val="000000"/>
          <w:lang w:val="lt-LT"/>
        </w:rPr>
        <w:t xml:space="preserve"> 250 mg/106,5 mg/187,5 mg kramtomosios tabletės</w:t>
      </w:r>
    </w:p>
    <w:p w:rsidR="0029726B" w:rsidRPr="00981E09" w:rsidRDefault="0029726B" w:rsidP="0029726B">
      <w:pPr>
        <w:tabs>
          <w:tab w:val="left" w:pos="567"/>
        </w:tabs>
        <w:spacing w:after="0" w:line="240" w:lineRule="auto"/>
        <w:jc w:val="center"/>
        <w:rPr>
          <w:rFonts w:ascii="Times New Roman" w:eastAsia="Times New Roman" w:hAnsi="Times New Roman" w:cs="Times New Roman"/>
          <w:lang w:val="lt-LT" w:eastAsia="lt-LT"/>
        </w:rPr>
      </w:pPr>
      <w:r w:rsidRPr="0023326E">
        <w:rPr>
          <w:rFonts w:ascii="Times New Roman" w:eastAsia="Times New Roman" w:hAnsi="Times New Roman" w:cs="Times New Roman"/>
          <w:bCs/>
          <w:lang w:val="lt-LT" w:eastAsia="lt-LT"/>
        </w:rPr>
        <w:t>n</w:t>
      </w:r>
      <w:r w:rsidRPr="0023326E">
        <w:rPr>
          <w:rFonts w:ascii="Times New Roman" w:hAnsi="Times New Roman" w:cs="Times New Roman"/>
          <w:bCs/>
          <w:lang w:val="lt-LT"/>
        </w:rPr>
        <w:t xml:space="preserve">atrio </w:t>
      </w:r>
      <w:proofErr w:type="spellStart"/>
      <w:r w:rsidRPr="0023326E">
        <w:rPr>
          <w:rFonts w:ascii="Times New Roman" w:hAnsi="Times New Roman" w:cs="Times New Roman"/>
          <w:bCs/>
          <w:lang w:val="lt-LT"/>
        </w:rPr>
        <w:t>alginatas</w:t>
      </w:r>
      <w:proofErr w:type="spellEnd"/>
      <w:r w:rsidRPr="00981E09">
        <w:rPr>
          <w:rFonts w:ascii="Times New Roman" w:hAnsi="Times New Roman" w:cs="Times New Roman"/>
          <w:lang w:val="lt-LT"/>
        </w:rPr>
        <w:t>, n</w:t>
      </w:r>
      <w:r w:rsidRPr="00981E09">
        <w:rPr>
          <w:rFonts w:ascii="Times New Roman" w:eastAsia="Times New Roman" w:hAnsi="Times New Roman" w:cs="Times New Roman"/>
          <w:lang w:val="lt-LT" w:eastAsia="lt-LT"/>
        </w:rPr>
        <w:t>atrio-vandenilio karbonatas, kalcio karbonatas</w:t>
      </w:r>
    </w:p>
    <w:p w:rsidR="0029726B" w:rsidRPr="00981E09" w:rsidRDefault="0029726B" w:rsidP="0029726B">
      <w:pPr>
        <w:tabs>
          <w:tab w:val="left" w:pos="567"/>
        </w:tabs>
        <w:spacing w:after="0" w:line="240" w:lineRule="auto"/>
        <w:jc w:val="center"/>
        <w:rPr>
          <w:rFonts w:ascii="Times New Roman" w:hAnsi="Times New Roman" w:cs="Times New Roman"/>
          <w:lang w:val="lt-LT"/>
        </w:rPr>
      </w:pPr>
    </w:p>
    <w:p w:rsidR="0029726B" w:rsidRPr="00981E09" w:rsidRDefault="0029726B" w:rsidP="0029726B">
      <w:pPr>
        <w:pStyle w:val="BTbEMEASMCA"/>
        <w:rPr>
          <w:szCs w:val="22"/>
        </w:rPr>
      </w:pPr>
      <w:r w:rsidRPr="00981E09">
        <w:rPr>
          <w:szCs w:val="22"/>
        </w:rPr>
        <w:t>Atidžiai perskaitykite visą šį lapelį, prieš pradėdami vartoti šį vaistą, nes jame pateikiama Jums svarbi informacija.</w:t>
      </w:r>
    </w:p>
    <w:p w:rsidR="0029726B" w:rsidRPr="00981E09" w:rsidRDefault="0029726B" w:rsidP="0029726B">
      <w:pPr>
        <w:pStyle w:val="BT-EMEASMCA"/>
      </w:pPr>
      <w:r w:rsidRPr="00981E09">
        <w:t xml:space="preserve">Visada vartokite šį vaistą tiksliai kaip aprašyta šiame lapelyje arba kaip nurodė gydytojas arba vaistininkas. </w:t>
      </w:r>
    </w:p>
    <w:p w:rsidR="0029726B" w:rsidRPr="00981E09" w:rsidRDefault="0029726B" w:rsidP="0029726B">
      <w:pPr>
        <w:pStyle w:val="BT-EMEASMCA"/>
      </w:pPr>
      <w:r w:rsidRPr="00981E09">
        <w:t>Neišmeskite šio lapelio, nes vėl gali prireikti jį perskaityti.</w:t>
      </w:r>
    </w:p>
    <w:p w:rsidR="0029726B" w:rsidRPr="00981E09" w:rsidRDefault="0029726B" w:rsidP="0029726B">
      <w:pPr>
        <w:pStyle w:val="BT-EMEASMCA"/>
      </w:pPr>
      <w:r w:rsidRPr="00981E09">
        <w:t>Jeigu norite sužinoti daugiau arba pasitarti, kreipkitės į vaistininką.</w:t>
      </w:r>
    </w:p>
    <w:p w:rsidR="0029726B" w:rsidRPr="00981E09" w:rsidRDefault="0029726B" w:rsidP="0029726B">
      <w:pPr>
        <w:pStyle w:val="BT-EMEASMCA"/>
      </w:pPr>
      <w:r w:rsidRPr="00981E09">
        <w:t>Jeigu pasireiškė šalutinis poveikis (net jeigu jis šiame lapelyje nenurodytas)</w:t>
      </w:r>
      <w:r>
        <w:t>,</w:t>
      </w:r>
      <w:r w:rsidRPr="00981E09">
        <w:t xml:space="preserve"> kreipkitės į gydytoją arba vaistininką. Žr. 4 skyrių.</w:t>
      </w:r>
    </w:p>
    <w:p w:rsidR="0029726B" w:rsidRPr="00697869" w:rsidRDefault="0029726B" w:rsidP="0029726B">
      <w:pPr>
        <w:pStyle w:val="BT-EMEASMCA"/>
      </w:pPr>
      <w:r w:rsidRPr="00697869">
        <w:t>Jeigu per 7 dienas Jūsų savijauta nepagerėjo arba net pablogėjo, kreipkitės į gydytoją.</w:t>
      </w:r>
    </w:p>
    <w:p w:rsidR="0029726B" w:rsidRPr="00981E09" w:rsidRDefault="0029726B" w:rsidP="0029726B">
      <w:pPr>
        <w:tabs>
          <w:tab w:val="left" w:pos="567"/>
        </w:tabs>
        <w:spacing w:after="0" w:line="240" w:lineRule="auto"/>
        <w:rPr>
          <w:rFonts w:ascii="Times New Roman" w:hAnsi="Times New Roman" w:cs="Times New Roman"/>
          <w:lang w:val="lt-LT"/>
        </w:rPr>
      </w:pPr>
    </w:p>
    <w:p w:rsidR="0029726B" w:rsidRPr="00981E09" w:rsidRDefault="0029726B" w:rsidP="0029726B">
      <w:pPr>
        <w:tabs>
          <w:tab w:val="left" w:pos="567"/>
        </w:tabs>
        <w:spacing w:after="0" w:line="240" w:lineRule="auto"/>
        <w:rPr>
          <w:rFonts w:ascii="Times New Roman" w:hAnsi="Times New Roman" w:cs="Times New Roman"/>
          <w:b/>
          <w:lang w:val="lt-LT"/>
        </w:rPr>
      </w:pPr>
      <w:r w:rsidRPr="00981E09">
        <w:rPr>
          <w:rFonts w:ascii="Times New Roman" w:hAnsi="Times New Roman" w:cs="Times New Roman"/>
          <w:b/>
          <w:lang w:val="lt-LT"/>
        </w:rPr>
        <w:t>Apie ką rašoma šiame lapelyje?</w:t>
      </w:r>
    </w:p>
    <w:p w:rsidR="0029726B" w:rsidRPr="00981E09" w:rsidRDefault="0029726B" w:rsidP="0029726B">
      <w:pPr>
        <w:tabs>
          <w:tab w:val="left" w:pos="567"/>
        </w:tabs>
        <w:spacing w:after="0" w:line="240" w:lineRule="auto"/>
        <w:rPr>
          <w:rFonts w:ascii="Times New Roman" w:hAnsi="Times New Roman" w:cs="Times New Roman"/>
          <w:b/>
          <w:u w:val="single"/>
          <w:lang w:val="lt-LT"/>
        </w:rPr>
      </w:pPr>
    </w:p>
    <w:p w:rsidR="0029726B" w:rsidRPr="00981E09" w:rsidRDefault="0029726B" w:rsidP="0029726B">
      <w:pPr>
        <w:tabs>
          <w:tab w:val="left" w:pos="567"/>
        </w:tabs>
        <w:spacing w:after="0" w:line="240" w:lineRule="auto"/>
        <w:rPr>
          <w:rFonts w:ascii="Times New Roman" w:hAnsi="Times New Roman" w:cs="Times New Roman"/>
          <w:lang w:val="lt-LT"/>
        </w:rPr>
      </w:pPr>
      <w:r w:rsidRPr="00981E09">
        <w:rPr>
          <w:rFonts w:ascii="Times New Roman" w:hAnsi="Times New Roman" w:cs="Times New Roman"/>
          <w:lang w:val="lt-LT"/>
        </w:rPr>
        <w:t>1.</w:t>
      </w:r>
      <w:r w:rsidRPr="00981E09">
        <w:rPr>
          <w:rFonts w:ascii="Times New Roman" w:hAnsi="Times New Roman" w:cs="Times New Roman"/>
          <w:lang w:val="lt-LT"/>
        </w:rPr>
        <w:tab/>
        <w:t xml:space="preserve">Kas yra </w:t>
      </w:r>
      <w:proofErr w:type="spellStart"/>
      <w:r w:rsidRPr="00981E09">
        <w:rPr>
          <w:rFonts w:ascii="Times New Roman" w:eastAsia="Times New Roman" w:hAnsi="Times New Roman" w:cs="Times New Roman"/>
          <w:lang w:val="lt-LT" w:eastAsia="lt-LT"/>
        </w:rPr>
        <w:t>Gaviscon</w:t>
      </w:r>
      <w:proofErr w:type="spellEnd"/>
      <w:r w:rsidRPr="00981E09">
        <w:rPr>
          <w:rFonts w:ascii="Times New Roman" w:eastAsia="Times New Roman" w:hAnsi="Times New Roman" w:cs="Times New Roman"/>
          <w:lang w:val="lt-LT" w:eastAsia="lt-LT"/>
        </w:rPr>
        <w:t xml:space="preserve"> </w:t>
      </w:r>
      <w:r w:rsidRPr="00981E09">
        <w:rPr>
          <w:rFonts w:ascii="Times New Roman" w:hAnsi="Times New Roman" w:cs="Times New Roman"/>
          <w:lang w:val="lt-LT"/>
        </w:rPr>
        <w:t>ir kam jis vartojamas</w:t>
      </w:r>
    </w:p>
    <w:p w:rsidR="0029726B" w:rsidRDefault="0029726B" w:rsidP="0029726B">
      <w:pPr>
        <w:tabs>
          <w:tab w:val="left" w:pos="567"/>
        </w:tabs>
        <w:spacing w:after="0" w:line="240" w:lineRule="auto"/>
        <w:rPr>
          <w:rFonts w:ascii="Times New Roman" w:eastAsia="Times New Roman" w:hAnsi="Times New Roman" w:cs="Times New Roman"/>
          <w:lang w:val="lt-LT" w:eastAsia="lt-LT"/>
        </w:rPr>
      </w:pPr>
      <w:r w:rsidRPr="00981E09">
        <w:rPr>
          <w:rFonts w:ascii="Times New Roman" w:hAnsi="Times New Roman" w:cs="Times New Roman"/>
          <w:lang w:val="lt-LT"/>
        </w:rPr>
        <w:t>2.</w:t>
      </w:r>
      <w:r w:rsidRPr="00981E09">
        <w:rPr>
          <w:rFonts w:ascii="Times New Roman" w:hAnsi="Times New Roman" w:cs="Times New Roman"/>
          <w:lang w:val="lt-LT"/>
        </w:rPr>
        <w:tab/>
        <w:t xml:space="preserve">Kas žinotina prieš vartojant </w:t>
      </w:r>
      <w:proofErr w:type="spellStart"/>
      <w:r w:rsidRPr="00981E09">
        <w:rPr>
          <w:rFonts w:ascii="Times New Roman" w:eastAsia="Times New Roman" w:hAnsi="Times New Roman" w:cs="Times New Roman"/>
          <w:lang w:val="lt-LT" w:eastAsia="lt-LT"/>
        </w:rPr>
        <w:t>Gaviscon</w:t>
      </w:r>
      <w:proofErr w:type="spellEnd"/>
      <w:r w:rsidRPr="00981E09">
        <w:rPr>
          <w:rFonts w:ascii="Times New Roman" w:eastAsia="Times New Roman" w:hAnsi="Times New Roman" w:cs="Times New Roman"/>
          <w:lang w:val="lt-LT" w:eastAsia="lt-LT"/>
        </w:rPr>
        <w:t xml:space="preserve"> </w:t>
      </w:r>
    </w:p>
    <w:p w:rsidR="0029726B" w:rsidRPr="00981E09" w:rsidRDefault="0029726B" w:rsidP="0029726B">
      <w:pPr>
        <w:tabs>
          <w:tab w:val="left" w:pos="567"/>
        </w:tabs>
        <w:spacing w:after="0" w:line="240" w:lineRule="auto"/>
        <w:rPr>
          <w:rFonts w:ascii="Times New Roman" w:hAnsi="Times New Roman" w:cs="Times New Roman"/>
          <w:lang w:val="lt-LT"/>
        </w:rPr>
      </w:pPr>
      <w:r w:rsidRPr="00981E09">
        <w:rPr>
          <w:rFonts w:ascii="Times New Roman" w:hAnsi="Times New Roman" w:cs="Times New Roman"/>
          <w:lang w:val="lt-LT"/>
        </w:rPr>
        <w:t>3.</w:t>
      </w:r>
      <w:r w:rsidRPr="00981E09">
        <w:rPr>
          <w:rFonts w:ascii="Times New Roman" w:hAnsi="Times New Roman" w:cs="Times New Roman"/>
          <w:lang w:val="lt-LT"/>
        </w:rPr>
        <w:tab/>
        <w:t xml:space="preserve">Kaip vartoti </w:t>
      </w:r>
      <w:proofErr w:type="spellStart"/>
      <w:r w:rsidRPr="00981E09">
        <w:rPr>
          <w:rFonts w:ascii="Times New Roman" w:eastAsia="Times New Roman" w:hAnsi="Times New Roman" w:cs="Times New Roman"/>
          <w:lang w:val="lt-LT" w:eastAsia="lt-LT"/>
        </w:rPr>
        <w:t>Gaviscon</w:t>
      </w:r>
      <w:proofErr w:type="spellEnd"/>
      <w:r w:rsidRPr="00981E09">
        <w:rPr>
          <w:rFonts w:ascii="Times New Roman" w:eastAsia="Times New Roman" w:hAnsi="Times New Roman" w:cs="Times New Roman"/>
          <w:lang w:val="lt-LT" w:eastAsia="lt-LT"/>
        </w:rPr>
        <w:t xml:space="preserve"> </w:t>
      </w:r>
    </w:p>
    <w:p w:rsidR="0029726B" w:rsidRPr="00981E09" w:rsidRDefault="0029726B" w:rsidP="0029726B">
      <w:pPr>
        <w:tabs>
          <w:tab w:val="left" w:pos="567"/>
        </w:tabs>
        <w:spacing w:after="0" w:line="240" w:lineRule="auto"/>
        <w:rPr>
          <w:rFonts w:ascii="Times New Roman" w:hAnsi="Times New Roman" w:cs="Times New Roman"/>
          <w:lang w:val="lt-LT"/>
        </w:rPr>
      </w:pPr>
      <w:r w:rsidRPr="00981E09">
        <w:rPr>
          <w:rFonts w:ascii="Times New Roman" w:hAnsi="Times New Roman" w:cs="Times New Roman"/>
          <w:lang w:val="lt-LT"/>
        </w:rPr>
        <w:t>4.</w:t>
      </w:r>
      <w:r w:rsidRPr="00981E09">
        <w:rPr>
          <w:rFonts w:ascii="Times New Roman" w:hAnsi="Times New Roman" w:cs="Times New Roman"/>
          <w:lang w:val="lt-LT"/>
        </w:rPr>
        <w:tab/>
        <w:t>Galimas šalutinis poveikis</w:t>
      </w:r>
    </w:p>
    <w:p w:rsidR="0029726B" w:rsidRPr="00981E09" w:rsidRDefault="0029726B" w:rsidP="0029726B">
      <w:pPr>
        <w:tabs>
          <w:tab w:val="left" w:pos="567"/>
        </w:tabs>
        <w:spacing w:after="0" w:line="240" w:lineRule="auto"/>
        <w:rPr>
          <w:rFonts w:ascii="Times New Roman" w:hAnsi="Times New Roman" w:cs="Times New Roman"/>
          <w:lang w:val="lt-LT"/>
        </w:rPr>
      </w:pPr>
      <w:r w:rsidRPr="00981E09">
        <w:rPr>
          <w:rFonts w:ascii="Times New Roman" w:hAnsi="Times New Roman" w:cs="Times New Roman"/>
          <w:lang w:val="lt-LT"/>
        </w:rPr>
        <w:t>5.</w:t>
      </w:r>
      <w:r w:rsidRPr="00981E09">
        <w:rPr>
          <w:rFonts w:ascii="Times New Roman" w:hAnsi="Times New Roman" w:cs="Times New Roman"/>
          <w:lang w:val="lt-LT"/>
        </w:rPr>
        <w:tab/>
        <w:t xml:space="preserve">Kaip laikyti </w:t>
      </w:r>
      <w:proofErr w:type="spellStart"/>
      <w:r w:rsidRPr="00981E09">
        <w:rPr>
          <w:rFonts w:ascii="Times New Roman" w:eastAsia="Times New Roman" w:hAnsi="Times New Roman" w:cs="Times New Roman"/>
          <w:lang w:val="lt-LT" w:eastAsia="lt-LT"/>
        </w:rPr>
        <w:t>Gaviscon</w:t>
      </w:r>
      <w:proofErr w:type="spellEnd"/>
      <w:r w:rsidRPr="00981E09">
        <w:rPr>
          <w:rFonts w:ascii="Times New Roman" w:eastAsia="Times New Roman" w:hAnsi="Times New Roman" w:cs="Times New Roman"/>
          <w:lang w:val="lt-LT" w:eastAsia="lt-LT"/>
        </w:rPr>
        <w:t xml:space="preserve"> </w:t>
      </w:r>
    </w:p>
    <w:p w:rsidR="0029726B" w:rsidRPr="00981E09" w:rsidRDefault="0029726B" w:rsidP="0029726B">
      <w:pPr>
        <w:tabs>
          <w:tab w:val="left" w:pos="567"/>
        </w:tabs>
        <w:spacing w:after="0" w:line="240" w:lineRule="auto"/>
        <w:rPr>
          <w:rFonts w:ascii="Times New Roman" w:hAnsi="Times New Roman" w:cs="Times New Roman"/>
          <w:lang w:val="lt-LT"/>
        </w:rPr>
      </w:pPr>
      <w:r w:rsidRPr="00981E09">
        <w:rPr>
          <w:rFonts w:ascii="Times New Roman" w:hAnsi="Times New Roman" w:cs="Times New Roman"/>
          <w:lang w:val="lt-LT"/>
        </w:rPr>
        <w:t>6.</w:t>
      </w:r>
      <w:r w:rsidRPr="00981E09">
        <w:rPr>
          <w:rFonts w:ascii="Times New Roman" w:hAnsi="Times New Roman" w:cs="Times New Roman"/>
          <w:lang w:val="lt-LT"/>
        </w:rPr>
        <w:tab/>
      </w:r>
      <w:r w:rsidRPr="00981E09">
        <w:rPr>
          <w:rFonts w:ascii="Times New Roman" w:hAnsi="Times New Roman" w:cs="Times New Roman"/>
          <w:noProof/>
          <w:lang w:val="lt-LT"/>
        </w:rPr>
        <w:t>Pakuotės turinys ir kita informacija</w:t>
      </w:r>
    </w:p>
    <w:p w:rsidR="0029726B" w:rsidRPr="00981E09" w:rsidRDefault="0029726B" w:rsidP="0029726B">
      <w:pPr>
        <w:tabs>
          <w:tab w:val="left" w:pos="567"/>
        </w:tabs>
        <w:rPr>
          <w:rFonts w:ascii="Times New Roman" w:hAnsi="Times New Roman" w:cs="Times New Roman"/>
          <w:lang w:val="lt-LT"/>
        </w:rPr>
      </w:pPr>
    </w:p>
    <w:p w:rsidR="0029726B" w:rsidRPr="00981E09" w:rsidRDefault="0029726B" w:rsidP="0029726B">
      <w:pPr>
        <w:tabs>
          <w:tab w:val="left" w:pos="567"/>
        </w:tabs>
        <w:spacing w:after="0" w:line="240" w:lineRule="auto"/>
        <w:rPr>
          <w:rFonts w:ascii="Times New Roman" w:hAnsi="Times New Roman" w:cs="Times New Roman"/>
          <w:b/>
          <w:lang w:val="lt-LT"/>
        </w:rPr>
      </w:pPr>
      <w:r w:rsidRPr="00981E09">
        <w:rPr>
          <w:rFonts w:ascii="Times New Roman" w:hAnsi="Times New Roman" w:cs="Times New Roman"/>
          <w:b/>
          <w:lang w:val="lt-LT"/>
        </w:rPr>
        <w:t>1.</w:t>
      </w:r>
      <w:r w:rsidRPr="00981E09">
        <w:rPr>
          <w:rFonts w:ascii="Times New Roman" w:hAnsi="Times New Roman" w:cs="Times New Roman"/>
          <w:b/>
          <w:lang w:val="lt-LT"/>
        </w:rPr>
        <w:tab/>
        <w:t xml:space="preserve">Kas yra </w:t>
      </w:r>
      <w:proofErr w:type="spellStart"/>
      <w:r w:rsidRPr="00981E09">
        <w:rPr>
          <w:rFonts w:ascii="Times New Roman" w:eastAsia="Times New Roman" w:hAnsi="Times New Roman" w:cs="Times New Roman"/>
          <w:b/>
          <w:lang w:val="lt-LT" w:eastAsia="lt-LT"/>
        </w:rPr>
        <w:t>Gaviscon</w:t>
      </w:r>
      <w:proofErr w:type="spellEnd"/>
      <w:r w:rsidRPr="00981E09">
        <w:rPr>
          <w:rFonts w:ascii="Times New Roman" w:eastAsia="Times New Roman" w:hAnsi="Times New Roman" w:cs="Times New Roman"/>
          <w:b/>
          <w:lang w:val="lt-LT" w:eastAsia="lt-LT"/>
        </w:rPr>
        <w:t xml:space="preserve"> </w:t>
      </w:r>
      <w:r w:rsidRPr="00981E09">
        <w:rPr>
          <w:rFonts w:ascii="Times New Roman" w:hAnsi="Times New Roman" w:cs="Times New Roman"/>
          <w:b/>
          <w:lang w:val="lt-LT"/>
        </w:rPr>
        <w:t>ir kam jis vartojamas</w:t>
      </w:r>
    </w:p>
    <w:p w:rsidR="0029726B" w:rsidRPr="00981E09" w:rsidRDefault="0029726B" w:rsidP="0029726B">
      <w:pPr>
        <w:tabs>
          <w:tab w:val="left" w:pos="567"/>
        </w:tabs>
        <w:spacing w:after="0" w:line="240" w:lineRule="auto"/>
        <w:rPr>
          <w:rFonts w:ascii="Times New Roman" w:hAnsi="Times New Roman" w:cs="Times New Roman"/>
          <w:lang w:val="lt-LT"/>
        </w:rPr>
      </w:pPr>
    </w:p>
    <w:p w:rsidR="0029726B" w:rsidRPr="00981E09" w:rsidRDefault="0029726B" w:rsidP="0029726B">
      <w:pPr>
        <w:spacing w:after="0" w:line="240" w:lineRule="auto"/>
        <w:rPr>
          <w:rFonts w:ascii="Times New Roman" w:eastAsia="Times New Roman" w:hAnsi="Times New Roman" w:cs="Times New Roman"/>
          <w:lang w:val="lt-LT" w:eastAsia="lt-LT"/>
        </w:rPr>
      </w:pPr>
      <w:proofErr w:type="spellStart"/>
      <w:r w:rsidRPr="00981E09">
        <w:rPr>
          <w:rFonts w:ascii="Times New Roman" w:eastAsia="Times New Roman" w:hAnsi="Times New Roman" w:cs="Times New Roman"/>
          <w:lang w:val="lt-LT" w:eastAsia="lt-LT"/>
        </w:rPr>
        <w:t>Gaviscon</w:t>
      </w:r>
      <w:proofErr w:type="spellEnd"/>
      <w:r w:rsidRPr="00981E09">
        <w:rPr>
          <w:rFonts w:ascii="Times New Roman" w:eastAsia="Times New Roman" w:hAnsi="Times New Roman" w:cs="Times New Roman"/>
          <w:lang w:val="lt-LT" w:eastAsia="lt-LT"/>
        </w:rPr>
        <w:t xml:space="preserve"> yra </w:t>
      </w:r>
      <w:proofErr w:type="spellStart"/>
      <w:r w:rsidRPr="00981E09">
        <w:rPr>
          <w:rFonts w:ascii="Times New Roman" w:eastAsia="Times New Roman" w:hAnsi="Times New Roman" w:cs="Times New Roman"/>
          <w:lang w:val="lt-LT" w:eastAsia="lt-LT"/>
        </w:rPr>
        <w:t>alginato</w:t>
      </w:r>
      <w:proofErr w:type="spellEnd"/>
      <w:r w:rsidRPr="00981E09">
        <w:rPr>
          <w:rFonts w:ascii="Times New Roman" w:eastAsia="Times New Roman" w:hAnsi="Times New Roman" w:cs="Times New Roman"/>
          <w:lang w:val="lt-LT" w:eastAsia="lt-LT"/>
        </w:rPr>
        <w:t xml:space="preserve"> ir dviejų </w:t>
      </w:r>
      <w:proofErr w:type="spellStart"/>
      <w:r w:rsidRPr="00981E09">
        <w:rPr>
          <w:rFonts w:ascii="Times New Roman" w:eastAsia="Times New Roman" w:hAnsi="Times New Roman" w:cs="Times New Roman"/>
          <w:lang w:val="lt-LT" w:eastAsia="lt-LT"/>
        </w:rPr>
        <w:t>antacidinių</w:t>
      </w:r>
      <w:proofErr w:type="spellEnd"/>
      <w:r w:rsidRPr="00981E09">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vaistų</w:t>
      </w:r>
      <w:r w:rsidRPr="00981E09">
        <w:rPr>
          <w:rFonts w:ascii="Times New Roman" w:eastAsia="Times New Roman" w:hAnsi="Times New Roman" w:cs="Times New Roman"/>
          <w:lang w:val="lt-LT" w:eastAsia="lt-LT"/>
        </w:rPr>
        <w:t xml:space="preserve"> (kalcio karbonat</w:t>
      </w:r>
      <w:r>
        <w:rPr>
          <w:rFonts w:ascii="Times New Roman" w:eastAsia="Times New Roman" w:hAnsi="Times New Roman" w:cs="Times New Roman"/>
          <w:lang w:val="lt-LT" w:eastAsia="lt-LT"/>
        </w:rPr>
        <w:t>o</w:t>
      </w:r>
      <w:r w:rsidRPr="00981E09">
        <w:rPr>
          <w:rFonts w:ascii="Times New Roman" w:eastAsia="Times New Roman" w:hAnsi="Times New Roman" w:cs="Times New Roman"/>
          <w:lang w:val="lt-LT" w:eastAsia="lt-LT"/>
        </w:rPr>
        <w:t xml:space="preserve"> ir natrio-vandenilio karbonat</w:t>
      </w:r>
      <w:r>
        <w:rPr>
          <w:rFonts w:ascii="Times New Roman" w:eastAsia="Times New Roman" w:hAnsi="Times New Roman" w:cs="Times New Roman"/>
          <w:lang w:val="lt-LT" w:eastAsia="lt-LT"/>
        </w:rPr>
        <w:t>o</w:t>
      </w:r>
      <w:r w:rsidRPr="00981E09">
        <w:rPr>
          <w:rFonts w:ascii="Times New Roman" w:eastAsia="Times New Roman" w:hAnsi="Times New Roman" w:cs="Times New Roman"/>
          <w:lang w:val="lt-LT" w:eastAsia="lt-LT"/>
        </w:rPr>
        <w:t>) derinys, kuris turi dvejopą poveikį:</w:t>
      </w:r>
    </w:p>
    <w:p w:rsidR="0029726B" w:rsidRPr="00981E09" w:rsidRDefault="0029726B" w:rsidP="0029726B">
      <w:pPr>
        <w:spacing w:after="0" w:line="240" w:lineRule="auto"/>
        <w:rPr>
          <w:rFonts w:ascii="Times New Roman" w:eastAsia="Times New Roman" w:hAnsi="Times New Roman" w:cs="Times New Roman"/>
          <w:lang w:val="lt-LT" w:eastAsia="lt-LT"/>
        </w:rPr>
      </w:pPr>
    </w:p>
    <w:p w:rsidR="0029726B" w:rsidRPr="00981E09" w:rsidRDefault="0029726B" w:rsidP="0029726B">
      <w:pPr>
        <w:pStyle w:val="Sraopastraipa"/>
        <w:numPr>
          <w:ilvl w:val="0"/>
          <w:numId w:val="1"/>
        </w:numPr>
        <w:spacing w:after="0" w:line="240" w:lineRule="auto"/>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Suformuodamas apsauginį barjerą virš skrandžio turinio, nuramina deginimo skausmą Jūsų krūtinėje, kuris gali trukti iki 4 valandų.</w:t>
      </w:r>
    </w:p>
    <w:p w:rsidR="0029726B" w:rsidRPr="00981E09" w:rsidRDefault="0029726B" w:rsidP="0029726B">
      <w:pPr>
        <w:pStyle w:val="Sraopastraipa"/>
        <w:numPr>
          <w:ilvl w:val="0"/>
          <w:numId w:val="1"/>
        </w:numPr>
        <w:spacing w:after="0" w:line="240" w:lineRule="auto"/>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 xml:space="preserve">Neutralizuodamas skrandžio rūgšties perteklių, </w:t>
      </w:r>
      <w:r>
        <w:rPr>
          <w:rFonts w:ascii="Times New Roman" w:eastAsia="Times New Roman" w:hAnsi="Times New Roman" w:cs="Times New Roman"/>
          <w:lang w:val="lt-LT" w:eastAsia="lt-LT"/>
        </w:rPr>
        <w:t>malšina</w:t>
      </w:r>
      <w:r w:rsidRPr="00981E09">
        <w:rPr>
          <w:rFonts w:ascii="Times New Roman" w:eastAsia="Times New Roman" w:hAnsi="Times New Roman" w:cs="Times New Roman"/>
          <w:lang w:val="lt-LT" w:eastAsia="lt-LT"/>
        </w:rPr>
        <w:t xml:space="preserve"> skausmą bei diskomfortą.</w:t>
      </w:r>
    </w:p>
    <w:p w:rsidR="0029726B" w:rsidRPr="00981E09" w:rsidRDefault="0029726B" w:rsidP="0029726B">
      <w:pPr>
        <w:spacing w:after="0" w:line="240" w:lineRule="auto"/>
        <w:rPr>
          <w:rFonts w:ascii="Times New Roman" w:eastAsia="Times New Roman" w:hAnsi="Times New Roman" w:cs="Times New Roman"/>
          <w:lang w:val="lt-LT" w:eastAsia="lt-LT"/>
        </w:rPr>
      </w:pPr>
    </w:p>
    <w:p w:rsidR="0029726B" w:rsidRPr="00981E09" w:rsidRDefault="0029726B" w:rsidP="0029726B">
      <w:pPr>
        <w:spacing w:after="0" w:line="240" w:lineRule="auto"/>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 xml:space="preserve">Šis vaistas yra vartojamas </w:t>
      </w:r>
      <w:r w:rsidRPr="00FC3845">
        <w:rPr>
          <w:rFonts w:ascii="Times New Roman" w:eastAsia="Times New Roman" w:hAnsi="Times New Roman" w:cs="Times New Roman"/>
          <w:lang w:val="lt-LT" w:eastAsia="lt-LT"/>
        </w:rPr>
        <w:t>su rūgšti</w:t>
      </w:r>
      <w:r>
        <w:rPr>
          <w:rFonts w:ascii="Times New Roman" w:eastAsia="Times New Roman" w:hAnsi="Times New Roman" w:cs="Times New Roman"/>
          <w:lang w:val="lt-LT" w:eastAsia="lt-LT"/>
        </w:rPr>
        <w:t>ngumu</w:t>
      </w:r>
      <w:r w:rsidRPr="00FC3845">
        <w:rPr>
          <w:rFonts w:ascii="Times New Roman" w:eastAsia="Times New Roman" w:hAnsi="Times New Roman" w:cs="Times New Roman"/>
          <w:lang w:val="lt-LT" w:eastAsia="lt-LT"/>
        </w:rPr>
        <w:t xml:space="preserve"> susijusiems </w:t>
      </w:r>
      <w:proofErr w:type="spellStart"/>
      <w:r w:rsidRPr="00FC3845">
        <w:rPr>
          <w:rFonts w:ascii="Times New Roman" w:eastAsia="Times New Roman" w:hAnsi="Times New Roman" w:cs="Times New Roman"/>
          <w:lang w:val="lt-LT" w:eastAsia="lt-LT"/>
        </w:rPr>
        <w:t>gastroezofaginio</w:t>
      </w:r>
      <w:proofErr w:type="spellEnd"/>
      <w:r w:rsidRPr="00FC3845">
        <w:rPr>
          <w:rFonts w:ascii="Times New Roman" w:eastAsia="Times New Roman" w:hAnsi="Times New Roman" w:cs="Times New Roman"/>
          <w:lang w:val="lt-LT" w:eastAsia="lt-LT"/>
        </w:rPr>
        <w:t xml:space="preserve"> </w:t>
      </w:r>
      <w:proofErr w:type="spellStart"/>
      <w:r w:rsidRPr="00FC3845">
        <w:rPr>
          <w:rFonts w:ascii="Times New Roman" w:eastAsia="Times New Roman" w:hAnsi="Times New Roman" w:cs="Times New Roman"/>
          <w:lang w:val="lt-LT" w:eastAsia="lt-LT"/>
        </w:rPr>
        <w:t>refliukso</w:t>
      </w:r>
      <w:proofErr w:type="spellEnd"/>
      <w:r w:rsidRPr="00FC3845">
        <w:rPr>
          <w:rFonts w:ascii="Times New Roman" w:eastAsia="Times New Roman" w:hAnsi="Times New Roman" w:cs="Times New Roman"/>
          <w:lang w:val="lt-LT" w:eastAsia="lt-LT"/>
        </w:rPr>
        <w:t xml:space="preserve"> simptomams, pvz., rėmeniui, rūgšties atpylimui ir virškinimo sutrikimams</w:t>
      </w:r>
      <w:r>
        <w:rPr>
          <w:rFonts w:ascii="Times New Roman" w:eastAsia="Times New Roman" w:hAnsi="Times New Roman" w:cs="Times New Roman"/>
          <w:lang w:val="lt-LT" w:eastAsia="lt-LT"/>
        </w:rPr>
        <w:t xml:space="preserve"> (pvz.,</w:t>
      </w:r>
      <w:r w:rsidRPr="00545D35">
        <w:rPr>
          <w:lang w:val="lt-LT"/>
        </w:rPr>
        <w:t xml:space="preserve"> </w:t>
      </w:r>
      <w:r w:rsidRPr="004C2094">
        <w:rPr>
          <w:rFonts w:ascii="Times New Roman" w:eastAsia="Times New Roman" w:hAnsi="Times New Roman" w:cs="Times New Roman"/>
          <w:lang w:val="lt-LT" w:eastAsia="lt-LT"/>
        </w:rPr>
        <w:t>po valgio arba nėštumo metu</w:t>
      </w:r>
      <w:r>
        <w:rPr>
          <w:rFonts w:ascii="Times New Roman" w:eastAsia="Times New Roman" w:hAnsi="Times New Roman" w:cs="Times New Roman"/>
          <w:lang w:val="lt-LT" w:eastAsia="lt-LT"/>
        </w:rPr>
        <w:t>),</w:t>
      </w:r>
      <w:r w:rsidRPr="00FC3845">
        <w:rPr>
          <w:rFonts w:ascii="Times New Roman" w:eastAsia="Times New Roman" w:hAnsi="Times New Roman" w:cs="Times New Roman"/>
          <w:lang w:val="lt-LT" w:eastAsia="lt-LT"/>
        </w:rPr>
        <w:t xml:space="preserve"> gydyti</w:t>
      </w:r>
      <w:r>
        <w:rPr>
          <w:rFonts w:ascii="Times New Roman" w:eastAsia="Times New Roman" w:hAnsi="Times New Roman" w:cs="Times New Roman"/>
          <w:lang w:val="lt-LT" w:eastAsia="lt-LT"/>
        </w:rPr>
        <w:t>.</w:t>
      </w:r>
    </w:p>
    <w:p w:rsidR="0029726B" w:rsidRPr="00981E09" w:rsidRDefault="0029726B" w:rsidP="0029726B">
      <w:pPr>
        <w:pStyle w:val="Pagrindinistekstas"/>
        <w:spacing w:after="0"/>
        <w:jc w:val="center"/>
        <w:rPr>
          <w:b/>
          <w:szCs w:val="22"/>
        </w:rPr>
      </w:pPr>
    </w:p>
    <w:p w:rsidR="0029726B" w:rsidRPr="00981E09" w:rsidRDefault="0029726B" w:rsidP="0029726B">
      <w:pPr>
        <w:pStyle w:val="Pagrindinistekstas"/>
        <w:spacing w:after="0"/>
        <w:jc w:val="center"/>
        <w:rPr>
          <w:b/>
          <w:szCs w:val="22"/>
        </w:rPr>
      </w:pPr>
    </w:p>
    <w:p w:rsidR="0029726B" w:rsidRPr="00981E09" w:rsidRDefault="0029726B" w:rsidP="0029726B">
      <w:pPr>
        <w:tabs>
          <w:tab w:val="left" w:pos="567"/>
        </w:tabs>
        <w:spacing w:after="0" w:line="240" w:lineRule="auto"/>
        <w:rPr>
          <w:rFonts w:ascii="Times New Roman" w:hAnsi="Times New Roman" w:cs="Times New Roman"/>
          <w:b/>
          <w:lang w:val="lt-LT"/>
        </w:rPr>
      </w:pPr>
      <w:r w:rsidRPr="00981E09">
        <w:rPr>
          <w:rFonts w:ascii="Times New Roman" w:hAnsi="Times New Roman" w:cs="Times New Roman"/>
          <w:b/>
          <w:lang w:val="lt-LT"/>
        </w:rPr>
        <w:t>2.</w:t>
      </w:r>
      <w:r w:rsidRPr="00981E09">
        <w:rPr>
          <w:rFonts w:ascii="Times New Roman" w:hAnsi="Times New Roman" w:cs="Times New Roman"/>
          <w:b/>
          <w:lang w:val="lt-LT"/>
        </w:rPr>
        <w:tab/>
        <w:t xml:space="preserve">Kas žinotina prieš vartojant </w:t>
      </w:r>
      <w:proofErr w:type="spellStart"/>
      <w:r w:rsidRPr="00981E09">
        <w:rPr>
          <w:rFonts w:ascii="Times New Roman" w:eastAsia="Times New Roman" w:hAnsi="Times New Roman" w:cs="Times New Roman"/>
          <w:b/>
          <w:lang w:val="lt-LT" w:eastAsia="lt-LT"/>
        </w:rPr>
        <w:t>Gaviscon</w:t>
      </w:r>
      <w:proofErr w:type="spellEnd"/>
      <w:r w:rsidRPr="00981E09">
        <w:rPr>
          <w:rFonts w:ascii="Times New Roman" w:eastAsia="Times New Roman" w:hAnsi="Times New Roman" w:cs="Times New Roman"/>
          <w:b/>
          <w:lang w:val="lt-LT" w:eastAsia="lt-LT"/>
        </w:rPr>
        <w:t xml:space="preserve"> </w:t>
      </w:r>
    </w:p>
    <w:p w:rsidR="0029726B" w:rsidRPr="00981E09" w:rsidRDefault="0029726B" w:rsidP="0029726B">
      <w:pPr>
        <w:pStyle w:val="Pagrindinistekstas"/>
        <w:spacing w:after="0"/>
        <w:jc w:val="center"/>
        <w:rPr>
          <w:rFonts w:eastAsia="Times New Roman"/>
          <w:snapToGrid w:val="0"/>
          <w:szCs w:val="22"/>
        </w:rPr>
      </w:pPr>
    </w:p>
    <w:p w:rsidR="0029726B" w:rsidRPr="00981E09" w:rsidRDefault="0029726B" w:rsidP="0029726B">
      <w:pPr>
        <w:pStyle w:val="Pagrindinistekstas"/>
        <w:spacing w:after="0"/>
        <w:rPr>
          <w:rFonts w:eastAsia="Times New Roman"/>
          <w:b/>
          <w:szCs w:val="22"/>
        </w:rPr>
      </w:pPr>
      <w:proofErr w:type="spellStart"/>
      <w:r w:rsidRPr="00981E09">
        <w:rPr>
          <w:rFonts w:eastAsia="Times New Roman"/>
          <w:b/>
          <w:szCs w:val="22"/>
        </w:rPr>
        <w:t>Gaviscon</w:t>
      </w:r>
      <w:proofErr w:type="spellEnd"/>
      <w:r w:rsidRPr="00981E09">
        <w:rPr>
          <w:rFonts w:eastAsia="Times New Roman"/>
          <w:b/>
          <w:szCs w:val="22"/>
        </w:rPr>
        <w:t xml:space="preserve"> vartoti </w:t>
      </w:r>
      <w:r>
        <w:rPr>
          <w:rFonts w:eastAsia="Times New Roman"/>
          <w:b/>
          <w:szCs w:val="22"/>
        </w:rPr>
        <w:t>draudžiama</w:t>
      </w:r>
      <w:r w:rsidRPr="00981E09">
        <w:rPr>
          <w:rFonts w:eastAsia="Times New Roman"/>
          <w:b/>
          <w:szCs w:val="22"/>
        </w:rPr>
        <w:t>:</w:t>
      </w:r>
    </w:p>
    <w:p w:rsidR="0029726B" w:rsidRPr="00981E09" w:rsidRDefault="0029726B" w:rsidP="0029726B">
      <w:pPr>
        <w:pStyle w:val="BT-EMEASMCA"/>
        <w:numPr>
          <w:ilvl w:val="0"/>
          <w:numId w:val="2"/>
        </w:numPr>
        <w:rPr>
          <w:snapToGrid w:val="0"/>
        </w:rPr>
      </w:pPr>
      <w:r w:rsidRPr="00981E09">
        <w:rPr>
          <w:snapToGrid w:val="0"/>
        </w:rPr>
        <w:t>jeigu</w:t>
      </w:r>
      <w:r w:rsidRPr="00981E09">
        <w:t xml:space="preserve"> yra alergija </w:t>
      </w:r>
      <w:r>
        <w:t xml:space="preserve">veikliosioms medžiagoms arba </w:t>
      </w:r>
      <w:r w:rsidRPr="00981E09">
        <w:t>bet kuriai pagalbinei šio vaisto medžiagai (jos išvardytos 6 skyriuje)</w:t>
      </w:r>
      <w:r>
        <w:t>.</w:t>
      </w:r>
    </w:p>
    <w:p w:rsidR="0029726B" w:rsidRPr="00981E09" w:rsidRDefault="0029726B" w:rsidP="0029726B">
      <w:pPr>
        <w:pStyle w:val="BT-EMEASMCA"/>
      </w:pPr>
    </w:p>
    <w:p w:rsidR="0029726B" w:rsidRPr="00BB28FE" w:rsidRDefault="0029726B" w:rsidP="0029726B">
      <w:pPr>
        <w:pStyle w:val="BT-EMEASMCA"/>
        <w:rPr>
          <w:b/>
        </w:rPr>
      </w:pPr>
      <w:r w:rsidRPr="00EA703C">
        <w:rPr>
          <w:b/>
          <w:bCs/>
        </w:rPr>
        <w:t>Įspėjimai ir atsargumo priemonės</w:t>
      </w:r>
    </w:p>
    <w:p w:rsidR="0029726B" w:rsidRPr="00CA64C4" w:rsidRDefault="0029726B" w:rsidP="0029726B">
      <w:pPr>
        <w:pStyle w:val="BT-EMEASMCA"/>
      </w:pPr>
      <w:r w:rsidRPr="00CA64C4">
        <w:t>Pasitarkite su gydytoju arba vaistininku, prieš pradėdami vartoti Gaviscon, jeigu:</w:t>
      </w:r>
    </w:p>
    <w:p w:rsidR="0029726B" w:rsidRDefault="0029726B" w:rsidP="0029726B">
      <w:pPr>
        <w:pStyle w:val="BT-EMEASMCA"/>
        <w:numPr>
          <w:ilvl w:val="0"/>
          <w:numId w:val="2"/>
        </w:numPr>
      </w:pPr>
      <w:r w:rsidRPr="00981E09">
        <w:t xml:space="preserve">sirgote arba sergate </w:t>
      </w:r>
      <w:r>
        <w:t>sunkia</w:t>
      </w:r>
      <w:r w:rsidRPr="00981E09">
        <w:t xml:space="preserve"> </w:t>
      </w:r>
      <w:r w:rsidRPr="003D77B8">
        <w:rPr>
          <w:b/>
          <w:bCs/>
        </w:rPr>
        <w:t>inkstų ar širdies lig</w:t>
      </w:r>
      <w:r>
        <w:rPr>
          <w:b/>
          <w:bCs/>
        </w:rPr>
        <w:t>a</w:t>
      </w:r>
      <w:r w:rsidRPr="00981E09">
        <w:t>, nes tam tikros druskos gali turėti įtakos šių ligų eigai (pasitarkite su gydytoju dėl druskos kiekio)</w:t>
      </w:r>
      <w:r>
        <w:t>;</w:t>
      </w:r>
    </w:p>
    <w:p w:rsidR="0029726B" w:rsidRDefault="0029726B" w:rsidP="0029726B">
      <w:pPr>
        <w:pStyle w:val="BT-EMEASMCA"/>
        <w:numPr>
          <w:ilvl w:val="0"/>
          <w:numId w:val="2"/>
        </w:numPr>
      </w:pPr>
      <w:r>
        <w:t>g</w:t>
      </w:r>
      <w:r w:rsidRPr="00514871">
        <w:t>ydytojas yra sakęs, kad netoleruojate kai kurių cukrų</w:t>
      </w:r>
      <w:r>
        <w:t>;</w:t>
      </w:r>
    </w:p>
    <w:p w:rsidR="0029726B" w:rsidRDefault="0029726B" w:rsidP="0029726B">
      <w:pPr>
        <w:pStyle w:val="BT-EMEASMCA"/>
        <w:numPr>
          <w:ilvl w:val="0"/>
          <w:numId w:val="2"/>
        </w:numPr>
      </w:pPr>
      <w:r>
        <w:t xml:space="preserve">turite </w:t>
      </w:r>
      <w:r w:rsidRPr="00BB28FE">
        <w:t>sunkių inkstų sutrikimų</w:t>
      </w:r>
      <w:r>
        <w:t>;</w:t>
      </w:r>
    </w:p>
    <w:p w:rsidR="0029726B" w:rsidRPr="00981E09" w:rsidRDefault="0029726B" w:rsidP="0029726B">
      <w:pPr>
        <w:pStyle w:val="BT-EMEASMCA"/>
        <w:numPr>
          <w:ilvl w:val="0"/>
          <w:numId w:val="2"/>
        </w:numPr>
      </w:pPr>
      <w:r w:rsidRPr="00981E09">
        <w:t xml:space="preserve">Jums yra elektrolitų balanso sutrikimas, pasireiškiantis </w:t>
      </w:r>
      <w:r w:rsidRPr="00CA64C4">
        <w:rPr>
          <w:b/>
          <w:bCs/>
        </w:rPr>
        <w:t>mažu kiekiu fosfatų</w:t>
      </w:r>
      <w:r w:rsidRPr="00981E09">
        <w:t xml:space="preserve"> kraujyje (hipofosfatemija)</w:t>
      </w:r>
      <w:r>
        <w:t>;</w:t>
      </w:r>
    </w:p>
    <w:p w:rsidR="0029726B" w:rsidRDefault="0029726B" w:rsidP="0029726B">
      <w:pPr>
        <w:pStyle w:val="BT-EMEASMCA"/>
        <w:numPr>
          <w:ilvl w:val="0"/>
          <w:numId w:val="2"/>
        </w:numPr>
      </w:pPr>
      <w:r>
        <w:lastRenderedPageBreak/>
        <w:t>žinote, kad J</w:t>
      </w:r>
      <w:r w:rsidRPr="005D4DCD">
        <w:t xml:space="preserve">ūsų skrandyje yra sumažėjęs skrandžio rūgšties kiekis, nes šis </w:t>
      </w:r>
      <w:r>
        <w:t>vaistas</w:t>
      </w:r>
      <w:r w:rsidRPr="005D4DCD">
        <w:t xml:space="preserve"> gali būti mažiau veiksmingas</w:t>
      </w:r>
      <w:r>
        <w:t>;</w:t>
      </w:r>
    </w:p>
    <w:p w:rsidR="0029726B" w:rsidRDefault="0029726B" w:rsidP="0029726B">
      <w:pPr>
        <w:pStyle w:val="BT-EMEASMCA"/>
        <w:numPr>
          <w:ilvl w:val="0"/>
          <w:numId w:val="2"/>
        </w:numPr>
      </w:pPr>
      <w:r>
        <w:t>k</w:t>
      </w:r>
      <w:r w:rsidRPr="00981E09">
        <w:t>aip ir kitų antacidinių vaist</w:t>
      </w:r>
      <w:r>
        <w:t>ų</w:t>
      </w:r>
      <w:r w:rsidRPr="00981E09">
        <w:t xml:space="preserve"> atvejais, šio vaist</w:t>
      </w:r>
      <w:r>
        <w:t>o</w:t>
      </w:r>
      <w:r w:rsidRPr="00981E09">
        <w:t xml:space="preserve"> vartojimas gali slėpti kitų sunkesnių, esminių sveikatos sutrikimų simptomus.</w:t>
      </w:r>
    </w:p>
    <w:p w:rsidR="0029726B" w:rsidRDefault="0029726B" w:rsidP="0029726B">
      <w:pPr>
        <w:pStyle w:val="BT-EMEASMCA"/>
        <w:rPr>
          <w:snapToGrid w:val="0"/>
        </w:rPr>
      </w:pPr>
    </w:p>
    <w:p w:rsidR="0029726B" w:rsidRPr="00BB28FE" w:rsidRDefault="0029726B" w:rsidP="0029726B">
      <w:pPr>
        <w:pStyle w:val="BT-EMEASMCA"/>
        <w:rPr>
          <w:b/>
        </w:rPr>
      </w:pPr>
      <w:r w:rsidRPr="00EA703C">
        <w:rPr>
          <w:b/>
          <w:bCs/>
          <w:snapToGrid w:val="0"/>
        </w:rPr>
        <w:t>Jei po 7 dienų simptomai išlieka, pasitarkite su gydytoju</w:t>
      </w:r>
      <w:r w:rsidRPr="00BB28FE">
        <w:rPr>
          <w:b/>
        </w:rPr>
        <w:t>.</w:t>
      </w:r>
    </w:p>
    <w:p w:rsidR="0029726B" w:rsidRPr="00981E09" w:rsidRDefault="0029726B" w:rsidP="0029726B">
      <w:pPr>
        <w:pStyle w:val="Pagrindinistekstas"/>
        <w:spacing w:after="0"/>
        <w:rPr>
          <w:rFonts w:eastAsia="Times New Roman"/>
          <w:snapToGrid w:val="0"/>
          <w:szCs w:val="22"/>
        </w:rPr>
      </w:pPr>
    </w:p>
    <w:p w:rsidR="0029726B" w:rsidRPr="00981E09" w:rsidRDefault="0029726B" w:rsidP="0029726B">
      <w:pPr>
        <w:pStyle w:val="Pagrindinistekstas"/>
        <w:spacing w:after="0"/>
        <w:rPr>
          <w:rFonts w:eastAsia="Times New Roman"/>
          <w:b/>
          <w:snapToGrid w:val="0"/>
          <w:szCs w:val="22"/>
        </w:rPr>
      </w:pPr>
      <w:r w:rsidRPr="00981E09">
        <w:rPr>
          <w:rFonts w:eastAsia="Times New Roman"/>
          <w:b/>
          <w:snapToGrid w:val="0"/>
          <w:szCs w:val="22"/>
        </w:rPr>
        <w:t>Vaikams</w:t>
      </w:r>
    </w:p>
    <w:p w:rsidR="0029726B" w:rsidRPr="00083ED9" w:rsidRDefault="0029726B" w:rsidP="0029726B">
      <w:pPr>
        <w:pStyle w:val="Pagrindinistekstas"/>
        <w:spacing w:after="0"/>
        <w:rPr>
          <w:rFonts w:eastAsia="Times New Roman"/>
          <w:b/>
          <w:snapToGrid w:val="0"/>
          <w:szCs w:val="22"/>
        </w:rPr>
      </w:pPr>
      <w:r w:rsidRPr="00083ED9">
        <w:rPr>
          <w:rFonts w:eastAsia="Times New Roman"/>
          <w:b/>
          <w:snapToGrid w:val="0"/>
          <w:szCs w:val="22"/>
        </w:rPr>
        <w:t>Šio vaisto negalima skirti vaikui iki 12 metų amžiaus. Yra padidėjusio natrio kiekio kraujyje (</w:t>
      </w:r>
      <w:proofErr w:type="spellStart"/>
      <w:r w:rsidRPr="00083ED9">
        <w:rPr>
          <w:rFonts w:eastAsia="Times New Roman"/>
          <w:b/>
          <w:snapToGrid w:val="0"/>
          <w:szCs w:val="22"/>
        </w:rPr>
        <w:t>hipernatremijos</w:t>
      </w:r>
      <w:proofErr w:type="spellEnd"/>
      <w:r w:rsidRPr="00083ED9">
        <w:rPr>
          <w:rFonts w:eastAsia="Times New Roman"/>
          <w:b/>
          <w:snapToGrid w:val="0"/>
          <w:szCs w:val="22"/>
        </w:rPr>
        <w:t>) rizika vaikams, kuriems yra inkstų sutrikimų arba kuriems yra pilvo ar žarnyno uždegimas (</w:t>
      </w:r>
      <w:proofErr w:type="spellStart"/>
      <w:r w:rsidRPr="00083ED9">
        <w:rPr>
          <w:rFonts w:eastAsia="Times New Roman"/>
          <w:b/>
          <w:snapToGrid w:val="0"/>
          <w:szCs w:val="22"/>
        </w:rPr>
        <w:t>gastroenteritas</w:t>
      </w:r>
      <w:proofErr w:type="spellEnd"/>
      <w:r w:rsidRPr="00083ED9">
        <w:rPr>
          <w:rFonts w:eastAsia="Times New Roman"/>
          <w:b/>
          <w:snapToGrid w:val="0"/>
          <w:szCs w:val="22"/>
        </w:rPr>
        <w:t xml:space="preserve">). </w:t>
      </w:r>
    </w:p>
    <w:p w:rsidR="0029726B" w:rsidRPr="00981E09" w:rsidRDefault="0029726B" w:rsidP="0029726B">
      <w:pPr>
        <w:pStyle w:val="Pagrindinistekstas"/>
        <w:spacing w:after="0"/>
        <w:rPr>
          <w:rFonts w:eastAsia="Times New Roman"/>
          <w:snapToGrid w:val="0"/>
          <w:szCs w:val="22"/>
        </w:rPr>
      </w:pPr>
    </w:p>
    <w:p w:rsidR="0029726B" w:rsidRPr="00981E09" w:rsidRDefault="0029726B" w:rsidP="0029726B">
      <w:pPr>
        <w:pStyle w:val="Pagrindinistekstas"/>
        <w:spacing w:after="0"/>
        <w:rPr>
          <w:rFonts w:eastAsia="Times New Roman"/>
          <w:b/>
          <w:snapToGrid w:val="0"/>
          <w:szCs w:val="22"/>
        </w:rPr>
      </w:pPr>
      <w:r w:rsidRPr="00981E09">
        <w:rPr>
          <w:b/>
          <w:szCs w:val="22"/>
        </w:rPr>
        <w:t xml:space="preserve">Kiti vaistai ir </w:t>
      </w:r>
      <w:proofErr w:type="spellStart"/>
      <w:r w:rsidRPr="00981E09">
        <w:rPr>
          <w:rFonts w:eastAsia="Times New Roman"/>
          <w:b/>
          <w:szCs w:val="22"/>
        </w:rPr>
        <w:t>Gaviscon</w:t>
      </w:r>
      <w:proofErr w:type="spellEnd"/>
      <w:r w:rsidRPr="00981E09">
        <w:rPr>
          <w:rFonts w:eastAsia="Times New Roman"/>
          <w:b/>
          <w:szCs w:val="22"/>
        </w:rPr>
        <w:t xml:space="preserve"> </w:t>
      </w:r>
    </w:p>
    <w:p w:rsidR="0029726B" w:rsidRDefault="0029726B" w:rsidP="0029726B">
      <w:pPr>
        <w:pStyle w:val="Pagrindinistekstas"/>
        <w:spacing w:after="0"/>
        <w:rPr>
          <w:rFonts w:eastAsia="Times New Roman"/>
          <w:szCs w:val="22"/>
        </w:rPr>
      </w:pPr>
      <w:r w:rsidRPr="00981E09">
        <w:rPr>
          <w:rFonts w:eastAsia="Times New Roman"/>
          <w:snapToGrid w:val="0"/>
          <w:szCs w:val="22"/>
        </w:rPr>
        <w:t xml:space="preserve">Nevartokite šio vaisto dviejų valandų bėgyje po kitų vaistų, skirtų vartoti per burną, vartojimo, nes tai gali turėti įtakos kai kurių kitų vaistų poveikiui. Tai ypač svarbu, jeigu Jūs vartojate </w:t>
      </w:r>
      <w:proofErr w:type="spellStart"/>
      <w:r>
        <w:rPr>
          <w:rFonts w:eastAsia="Times New Roman"/>
          <w:snapToGrid w:val="0"/>
          <w:szCs w:val="22"/>
        </w:rPr>
        <w:t>antihistamininių</w:t>
      </w:r>
      <w:proofErr w:type="spellEnd"/>
      <w:r>
        <w:rPr>
          <w:rFonts w:eastAsia="Times New Roman"/>
          <w:snapToGrid w:val="0"/>
          <w:szCs w:val="22"/>
        </w:rPr>
        <w:t xml:space="preserve"> vaistų, </w:t>
      </w:r>
      <w:r w:rsidRPr="00981E09">
        <w:rPr>
          <w:rFonts w:eastAsia="Times New Roman"/>
          <w:snapToGrid w:val="0"/>
          <w:szCs w:val="22"/>
        </w:rPr>
        <w:t>antibiotik</w:t>
      </w:r>
      <w:r>
        <w:rPr>
          <w:rFonts w:eastAsia="Times New Roman"/>
          <w:snapToGrid w:val="0"/>
          <w:szCs w:val="22"/>
        </w:rPr>
        <w:t>ų</w:t>
      </w:r>
      <w:r w:rsidRPr="00981E09">
        <w:rPr>
          <w:rFonts w:eastAsia="Times New Roman"/>
          <w:snapToGrid w:val="0"/>
          <w:szCs w:val="22"/>
        </w:rPr>
        <w:t xml:space="preserve"> (</w:t>
      </w:r>
      <w:proofErr w:type="spellStart"/>
      <w:r w:rsidRPr="00981E09">
        <w:rPr>
          <w:rFonts w:eastAsia="Times New Roman"/>
          <w:szCs w:val="22"/>
        </w:rPr>
        <w:t>tetraciklin</w:t>
      </w:r>
      <w:r>
        <w:rPr>
          <w:rFonts w:eastAsia="Times New Roman"/>
          <w:szCs w:val="22"/>
        </w:rPr>
        <w:t>ų</w:t>
      </w:r>
      <w:proofErr w:type="spellEnd"/>
      <w:r w:rsidRPr="00981E09">
        <w:rPr>
          <w:rFonts w:eastAsia="Times New Roman"/>
          <w:szCs w:val="22"/>
        </w:rPr>
        <w:t xml:space="preserve"> </w:t>
      </w:r>
      <w:r>
        <w:rPr>
          <w:rFonts w:eastAsia="Times New Roman"/>
          <w:szCs w:val="22"/>
        </w:rPr>
        <w:t>a</w:t>
      </w:r>
      <w:r w:rsidRPr="00981E09">
        <w:rPr>
          <w:rFonts w:eastAsia="Times New Roman"/>
          <w:szCs w:val="22"/>
        </w:rPr>
        <w:t xml:space="preserve">r </w:t>
      </w:r>
      <w:proofErr w:type="spellStart"/>
      <w:r>
        <w:rPr>
          <w:rFonts w:eastAsia="Times New Roman"/>
          <w:szCs w:val="22"/>
        </w:rPr>
        <w:t>ch</w:t>
      </w:r>
      <w:r w:rsidRPr="00981E09">
        <w:rPr>
          <w:rFonts w:eastAsia="Times New Roman"/>
          <w:szCs w:val="22"/>
        </w:rPr>
        <w:t>inolon</w:t>
      </w:r>
      <w:r>
        <w:rPr>
          <w:rFonts w:eastAsia="Times New Roman"/>
          <w:szCs w:val="22"/>
        </w:rPr>
        <w:t>ų</w:t>
      </w:r>
      <w:proofErr w:type="spellEnd"/>
      <w:r>
        <w:rPr>
          <w:rFonts w:eastAsia="Times New Roman"/>
          <w:szCs w:val="22"/>
        </w:rPr>
        <w:t xml:space="preserve">, pvz., </w:t>
      </w:r>
      <w:proofErr w:type="spellStart"/>
      <w:r>
        <w:rPr>
          <w:rFonts w:eastAsia="Times New Roman"/>
          <w:szCs w:val="22"/>
        </w:rPr>
        <w:t>norfloksaciną</w:t>
      </w:r>
      <w:proofErr w:type="spellEnd"/>
      <w:r w:rsidRPr="00981E09">
        <w:rPr>
          <w:rFonts w:eastAsia="Times New Roman"/>
          <w:snapToGrid w:val="0"/>
          <w:szCs w:val="22"/>
        </w:rPr>
        <w:t xml:space="preserve">), </w:t>
      </w:r>
      <w:r w:rsidRPr="00981E09">
        <w:rPr>
          <w:rFonts w:eastAsia="Times New Roman"/>
          <w:szCs w:val="22"/>
        </w:rPr>
        <w:t xml:space="preserve">geležies </w:t>
      </w:r>
      <w:r>
        <w:rPr>
          <w:rFonts w:eastAsia="Times New Roman"/>
          <w:szCs w:val="22"/>
        </w:rPr>
        <w:t>vaistų</w:t>
      </w:r>
      <w:r w:rsidRPr="00981E09">
        <w:rPr>
          <w:rFonts w:eastAsia="Times New Roman"/>
          <w:szCs w:val="22"/>
        </w:rPr>
        <w:t>, skydliaukės hormon</w:t>
      </w:r>
      <w:r>
        <w:rPr>
          <w:rFonts w:eastAsia="Times New Roman"/>
          <w:szCs w:val="22"/>
        </w:rPr>
        <w:t>ų</w:t>
      </w:r>
      <w:r w:rsidRPr="00981E09">
        <w:rPr>
          <w:rFonts w:eastAsia="Times New Roman"/>
          <w:szCs w:val="22"/>
        </w:rPr>
        <w:t xml:space="preserve">, </w:t>
      </w:r>
      <w:r>
        <w:rPr>
          <w:rFonts w:eastAsia="Times New Roman"/>
          <w:szCs w:val="22"/>
        </w:rPr>
        <w:t xml:space="preserve">priešgrybelinių vaistų, pvz., </w:t>
      </w:r>
      <w:proofErr w:type="spellStart"/>
      <w:r>
        <w:rPr>
          <w:rFonts w:eastAsia="Times New Roman"/>
          <w:szCs w:val="22"/>
        </w:rPr>
        <w:t>ketokonazolą</w:t>
      </w:r>
      <w:proofErr w:type="spellEnd"/>
      <w:r w:rsidRPr="00981E09">
        <w:rPr>
          <w:rFonts w:eastAsia="Times New Roman"/>
          <w:szCs w:val="22"/>
        </w:rPr>
        <w:t xml:space="preserve">, </w:t>
      </w:r>
      <w:proofErr w:type="spellStart"/>
      <w:r>
        <w:rPr>
          <w:rFonts w:eastAsia="Times New Roman"/>
          <w:szCs w:val="22"/>
        </w:rPr>
        <w:t>digoksiną</w:t>
      </w:r>
      <w:proofErr w:type="spellEnd"/>
      <w:r>
        <w:rPr>
          <w:rFonts w:eastAsia="Times New Roman"/>
          <w:szCs w:val="22"/>
        </w:rPr>
        <w:t xml:space="preserve"> ir </w:t>
      </w:r>
      <w:r w:rsidRPr="00324990">
        <w:rPr>
          <w:rFonts w:eastAsia="Times New Roman"/>
        </w:rPr>
        <w:t xml:space="preserve">beta </w:t>
      </w:r>
      <w:proofErr w:type="spellStart"/>
      <w:r w:rsidRPr="00324990">
        <w:rPr>
          <w:rFonts w:eastAsia="Times New Roman"/>
        </w:rPr>
        <w:t>adrenoreceptorių</w:t>
      </w:r>
      <w:proofErr w:type="spellEnd"/>
      <w:r w:rsidRPr="00324990">
        <w:rPr>
          <w:rFonts w:eastAsia="Times New Roman"/>
        </w:rPr>
        <w:t xml:space="preserve"> blokatori</w:t>
      </w:r>
      <w:r>
        <w:rPr>
          <w:rFonts w:eastAsia="Times New Roman"/>
        </w:rPr>
        <w:t>ų</w:t>
      </w:r>
      <w:r w:rsidRPr="00324990">
        <w:rPr>
          <w:rFonts w:eastAsia="Times New Roman"/>
        </w:rPr>
        <w:t xml:space="preserve"> </w:t>
      </w:r>
      <w:r>
        <w:rPr>
          <w:rFonts w:eastAsia="Times New Roman"/>
        </w:rPr>
        <w:t xml:space="preserve">(nuo širdies ligų), </w:t>
      </w:r>
      <w:proofErr w:type="spellStart"/>
      <w:r>
        <w:rPr>
          <w:rFonts w:eastAsia="Times New Roman"/>
        </w:rPr>
        <w:t>neuroleptikų</w:t>
      </w:r>
      <w:proofErr w:type="spellEnd"/>
      <w:r>
        <w:rPr>
          <w:rFonts w:eastAsia="Times New Roman"/>
        </w:rPr>
        <w:t xml:space="preserve"> (nuo psichikos ligų), </w:t>
      </w:r>
      <w:proofErr w:type="spellStart"/>
      <w:r>
        <w:rPr>
          <w:rFonts w:eastAsia="Times New Roman"/>
        </w:rPr>
        <w:t>tiroksiną</w:t>
      </w:r>
      <w:proofErr w:type="spellEnd"/>
      <w:r>
        <w:rPr>
          <w:rFonts w:eastAsia="Times New Roman"/>
        </w:rPr>
        <w:t xml:space="preserve">, </w:t>
      </w:r>
      <w:proofErr w:type="spellStart"/>
      <w:r>
        <w:rPr>
          <w:rFonts w:eastAsia="Times New Roman"/>
        </w:rPr>
        <w:t>chlorokviną</w:t>
      </w:r>
      <w:proofErr w:type="spellEnd"/>
      <w:r>
        <w:rPr>
          <w:rFonts w:eastAsia="Times New Roman"/>
        </w:rPr>
        <w:t xml:space="preserve"> (maliarijai gydyti), </w:t>
      </w:r>
      <w:proofErr w:type="spellStart"/>
      <w:r w:rsidRPr="00981E09">
        <w:rPr>
          <w:rFonts w:eastAsia="Times New Roman"/>
          <w:szCs w:val="22"/>
        </w:rPr>
        <w:t>bisfosfonat</w:t>
      </w:r>
      <w:r>
        <w:rPr>
          <w:rFonts w:eastAsia="Times New Roman"/>
          <w:szCs w:val="22"/>
        </w:rPr>
        <w:t>ų</w:t>
      </w:r>
      <w:proofErr w:type="spellEnd"/>
      <w:r w:rsidRPr="00981E09">
        <w:rPr>
          <w:rFonts w:eastAsia="Times New Roman"/>
          <w:szCs w:val="22"/>
        </w:rPr>
        <w:t xml:space="preserve"> (osteoporozei gydyti) ir </w:t>
      </w:r>
      <w:proofErr w:type="spellStart"/>
      <w:r w:rsidRPr="00981E09">
        <w:rPr>
          <w:rFonts w:eastAsia="Times New Roman"/>
          <w:szCs w:val="22"/>
        </w:rPr>
        <w:t>estramustiną</w:t>
      </w:r>
      <w:proofErr w:type="spellEnd"/>
      <w:r>
        <w:rPr>
          <w:rFonts w:eastAsia="Times New Roman"/>
          <w:szCs w:val="22"/>
        </w:rPr>
        <w:t xml:space="preserve"> (nuo prostatos vėžio)</w:t>
      </w:r>
      <w:r w:rsidRPr="00981E09">
        <w:rPr>
          <w:rFonts w:eastAsia="Times New Roman"/>
          <w:szCs w:val="22"/>
        </w:rPr>
        <w:t>.</w:t>
      </w:r>
    </w:p>
    <w:p w:rsidR="0029726B" w:rsidRDefault="0029726B" w:rsidP="0029726B">
      <w:pPr>
        <w:pStyle w:val="Pagrindinistekstas"/>
        <w:spacing w:after="0"/>
        <w:rPr>
          <w:rFonts w:eastAsia="Times New Roman"/>
          <w:szCs w:val="22"/>
        </w:rPr>
      </w:pPr>
    </w:p>
    <w:p w:rsidR="0029726B" w:rsidRPr="00981E09" w:rsidRDefault="0029726B" w:rsidP="0029726B">
      <w:pPr>
        <w:pStyle w:val="Pagrindinistekstas"/>
        <w:spacing w:after="0"/>
        <w:rPr>
          <w:rFonts w:eastAsia="Times New Roman"/>
          <w:snapToGrid w:val="0"/>
          <w:szCs w:val="22"/>
        </w:rPr>
      </w:pPr>
      <w:r w:rsidRPr="00981E09">
        <w:rPr>
          <w:rFonts w:eastAsia="Times New Roman"/>
          <w:snapToGrid w:val="0"/>
          <w:szCs w:val="22"/>
        </w:rPr>
        <w:t>Pasakykite savo gydytojui arba vaistininkui, jeigu vartojate arba neseniai vartojote kitų vaistų, įskaitant įsigytus be recepto.</w:t>
      </w:r>
    </w:p>
    <w:p w:rsidR="0029726B" w:rsidRPr="00981E09" w:rsidRDefault="0029726B" w:rsidP="0029726B">
      <w:pPr>
        <w:pStyle w:val="Pagrindinistekstas"/>
        <w:spacing w:after="0"/>
        <w:rPr>
          <w:rFonts w:eastAsia="Times New Roman"/>
          <w:snapToGrid w:val="0"/>
          <w:szCs w:val="22"/>
        </w:rPr>
      </w:pPr>
    </w:p>
    <w:p w:rsidR="0029726B" w:rsidRPr="00981E09" w:rsidRDefault="0029726B" w:rsidP="0029726B">
      <w:pPr>
        <w:pStyle w:val="Pagrindinistekstas"/>
        <w:spacing w:after="0"/>
        <w:rPr>
          <w:rFonts w:eastAsia="Times New Roman"/>
          <w:b/>
          <w:snapToGrid w:val="0"/>
          <w:szCs w:val="22"/>
        </w:rPr>
      </w:pPr>
      <w:r w:rsidRPr="00981E09">
        <w:rPr>
          <w:b/>
          <w:szCs w:val="22"/>
        </w:rPr>
        <w:t>Nėštumas</w:t>
      </w:r>
      <w:r w:rsidRPr="00981E09">
        <w:rPr>
          <w:b/>
          <w:bCs/>
          <w:noProof/>
          <w:szCs w:val="22"/>
        </w:rPr>
        <w:t>,</w:t>
      </w:r>
      <w:r w:rsidRPr="00981E09">
        <w:rPr>
          <w:b/>
          <w:szCs w:val="22"/>
        </w:rPr>
        <w:t xml:space="preserve"> žindymo laikotarpis ir vaisingumas</w:t>
      </w:r>
    </w:p>
    <w:p w:rsidR="0029726B" w:rsidRPr="00981E09" w:rsidRDefault="0029726B" w:rsidP="0029726B">
      <w:pPr>
        <w:pStyle w:val="Pagrindinistekstas"/>
        <w:spacing w:after="0"/>
        <w:rPr>
          <w:rFonts w:eastAsia="Times New Roman"/>
          <w:snapToGrid w:val="0"/>
          <w:szCs w:val="22"/>
        </w:rPr>
      </w:pPr>
      <w:r w:rsidRPr="00981E09">
        <w:rPr>
          <w:rFonts w:eastAsia="Times New Roman"/>
          <w:snapToGrid w:val="0"/>
          <w:szCs w:val="22"/>
        </w:rPr>
        <w:t>Jūs galite vartoti šį vaistą, jei esate nėščia, maitinate krūtimi arba planuojate pastoti. Kaip ir visų kitų vaistų, gydymo trukmė turėtų būti kaip galima ribota.</w:t>
      </w:r>
    </w:p>
    <w:p w:rsidR="0029726B" w:rsidRPr="002460F5" w:rsidRDefault="0029726B" w:rsidP="0029726B">
      <w:pPr>
        <w:pStyle w:val="Pagrindinistekstas"/>
        <w:spacing w:after="0"/>
        <w:rPr>
          <w:rFonts w:eastAsia="Times New Roman"/>
          <w:snapToGrid w:val="0"/>
          <w:szCs w:val="22"/>
        </w:rPr>
      </w:pPr>
    </w:p>
    <w:p w:rsidR="0029726B" w:rsidRPr="003D77B8" w:rsidRDefault="0029726B" w:rsidP="0029726B">
      <w:pPr>
        <w:spacing w:after="0" w:line="240" w:lineRule="auto"/>
        <w:rPr>
          <w:rFonts w:ascii="Times New Roman" w:eastAsia="Times New Roman" w:hAnsi="Times New Roman" w:cs="Times New Roman"/>
          <w:b/>
          <w:bCs/>
          <w:lang w:val="lt-LT" w:eastAsia="lt-LT"/>
        </w:rPr>
      </w:pPr>
      <w:r w:rsidRPr="003D77B8">
        <w:rPr>
          <w:rFonts w:ascii="Times New Roman" w:eastAsia="Times New Roman" w:hAnsi="Times New Roman" w:cs="Times New Roman"/>
          <w:b/>
          <w:bCs/>
          <w:lang w:val="lt-LT" w:eastAsia="lt-LT"/>
        </w:rPr>
        <w:t>Svarbi informacija apie kai kurias pagalbines šio vaisto medžiagas</w:t>
      </w:r>
    </w:p>
    <w:p w:rsidR="0029726B" w:rsidRPr="003D77B8" w:rsidRDefault="0029726B" w:rsidP="0029726B">
      <w:pPr>
        <w:autoSpaceDE w:val="0"/>
        <w:autoSpaceDN w:val="0"/>
        <w:adjustRightInd w:val="0"/>
        <w:spacing w:after="0" w:line="240" w:lineRule="auto"/>
        <w:rPr>
          <w:rFonts w:asciiTheme="majorBidi" w:hAnsiTheme="majorBidi" w:cstheme="majorBidi"/>
          <w:lang w:val="lt-LT"/>
        </w:rPr>
      </w:pPr>
      <w:r w:rsidRPr="003D77B8">
        <w:rPr>
          <w:rFonts w:asciiTheme="majorBidi" w:hAnsiTheme="majorBidi" w:cstheme="majorBidi"/>
          <w:lang w:val="lt-LT"/>
        </w:rPr>
        <w:t xml:space="preserve">Kiekvienoje šio vaisto kramtomojoje tabletėje yra 5,86 mg </w:t>
      </w:r>
      <w:proofErr w:type="spellStart"/>
      <w:r w:rsidRPr="003D77B8">
        <w:rPr>
          <w:rFonts w:asciiTheme="majorBidi" w:hAnsiTheme="majorBidi" w:cstheme="majorBidi"/>
          <w:lang w:val="lt-LT"/>
        </w:rPr>
        <w:t>aspartamo</w:t>
      </w:r>
      <w:proofErr w:type="spellEnd"/>
      <w:r w:rsidRPr="003D77B8">
        <w:rPr>
          <w:rFonts w:asciiTheme="majorBidi" w:hAnsiTheme="majorBidi" w:cstheme="majorBidi"/>
          <w:lang w:val="lt-LT"/>
        </w:rPr>
        <w:t xml:space="preserve"> (E</w:t>
      </w:r>
      <w:r>
        <w:rPr>
          <w:rFonts w:asciiTheme="majorBidi" w:hAnsiTheme="majorBidi" w:cstheme="majorBidi"/>
          <w:lang w:val="lt-LT"/>
        </w:rPr>
        <w:t> </w:t>
      </w:r>
      <w:r w:rsidRPr="003D77B8">
        <w:rPr>
          <w:rFonts w:asciiTheme="majorBidi" w:hAnsiTheme="majorBidi" w:cstheme="majorBidi"/>
          <w:lang w:val="lt-LT"/>
        </w:rPr>
        <w:t xml:space="preserve">951). </w:t>
      </w:r>
      <w:proofErr w:type="spellStart"/>
      <w:r w:rsidRPr="003D77B8">
        <w:rPr>
          <w:rFonts w:asciiTheme="majorBidi" w:hAnsiTheme="majorBidi" w:cstheme="majorBidi"/>
          <w:lang w:val="lt-LT"/>
        </w:rPr>
        <w:t>Aspartamas</w:t>
      </w:r>
      <w:proofErr w:type="spellEnd"/>
      <w:r w:rsidRPr="003D77B8">
        <w:rPr>
          <w:rFonts w:asciiTheme="majorBidi" w:hAnsiTheme="majorBidi" w:cstheme="majorBidi"/>
          <w:lang w:val="lt-LT"/>
        </w:rPr>
        <w:t xml:space="preserve"> yra </w:t>
      </w:r>
      <w:proofErr w:type="spellStart"/>
      <w:r w:rsidRPr="003D77B8">
        <w:rPr>
          <w:rFonts w:asciiTheme="majorBidi" w:hAnsiTheme="majorBidi" w:cstheme="majorBidi"/>
          <w:lang w:val="lt-LT"/>
        </w:rPr>
        <w:t>fenilalanino</w:t>
      </w:r>
      <w:proofErr w:type="spellEnd"/>
      <w:r w:rsidRPr="003D77B8">
        <w:rPr>
          <w:rFonts w:asciiTheme="majorBidi" w:hAnsiTheme="majorBidi" w:cstheme="majorBidi"/>
          <w:lang w:val="lt-LT"/>
        </w:rPr>
        <w:t xml:space="preserve"> šaltinis. Jis gali būti kenksmingas sergantiems </w:t>
      </w:r>
      <w:proofErr w:type="spellStart"/>
      <w:r w:rsidRPr="003D77B8">
        <w:rPr>
          <w:rFonts w:asciiTheme="majorBidi" w:hAnsiTheme="majorBidi" w:cstheme="majorBidi"/>
          <w:lang w:val="lt-LT"/>
        </w:rPr>
        <w:t>fenilketonurija</w:t>
      </w:r>
      <w:proofErr w:type="spellEnd"/>
      <w:r>
        <w:rPr>
          <w:rFonts w:asciiTheme="majorBidi" w:hAnsiTheme="majorBidi" w:cstheme="majorBidi"/>
          <w:lang w:val="lt-LT"/>
        </w:rPr>
        <w:t xml:space="preserve"> (FKU)</w:t>
      </w:r>
      <w:r w:rsidRPr="003D77B8">
        <w:rPr>
          <w:rFonts w:asciiTheme="majorBidi" w:hAnsiTheme="majorBidi" w:cstheme="majorBidi"/>
          <w:lang w:val="lt-LT"/>
        </w:rPr>
        <w:t xml:space="preserve">, reta genetine liga, kuria sergant </w:t>
      </w:r>
      <w:proofErr w:type="spellStart"/>
      <w:r w:rsidRPr="003D77B8">
        <w:rPr>
          <w:rFonts w:asciiTheme="majorBidi" w:hAnsiTheme="majorBidi" w:cstheme="majorBidi"/>
          <w:lang w:val="lt-LT"/>
        </w:rPr>
        <w:t>fenilaninas</w:t>
      </w:r>
      <w:proofErr w:type="spellEnd"/>
      <w:r w:rsidRPr="003D77B8">
        <w:rPr>
          <w:rFonts w:asciiTheme="majorBidi" w:hAnsiTheme="majorBidi" w:cstheme="majorBidi"/>
          <w:lang w:val="lt-LT"/>
        </w:rPr>
        <w:t xml:space="preserve"> kaupiasi organizme, nes organizmas negali jo tinkamai pašalinti.</w:t>
      </w:r>
    </w:p>
    <w:p w:rsidR="0029726B" w:rsidRDefault="0029726B" w:rsidP="0029726B">
      <w:pPr>
        <w:autoSpaceDE w:val="0"/>
        <w:autoSpaceDN w:val="0"/>
        <w:adjustRightInd w:val="0"/>
        <w:spacing w:after="0" w:line="240" w:lineRule="auto"/>
        <w:rPr>
          <w:rFonts w:asciiTheme="majorBidi" w:hAnsiTheme="majorBidi" w:cstheme="majorBidi"/>
          <w:lang w:val="lt-LT"/>
        </w:rPr>
      </w:pPr>
    </w:p>
    <w:p w:rsidR="0029726B" w:rsidRDefault="0029726B" w:rsidP="0029726B">
      <w:pPr>
        <w:spacing w:after="0" w:line="240" w:lineRule="auto"/>
        <w:rPr>
          <w:rFonts w:ascii="Times New Roman" w:hAnsi="Times New Roman" w:cs="Times New Roman"/>
          <w:lang w:val="lt-LT"/>
        </w:rPr>
      </w:pPr>
      <w:r>
        <w:rPr>
          <w:rFonts w:ascii="Times New Roman" w:eastAsia="Times New Roman" w:hAnsi="Times New Roman" w:cs="Times New Roman"/>
          <w:lang w:val="lt-LT" w:eastAsia="lt-LT"/>
        </w:rPr>
        <w:t xml:space="preserve">Šio vaisto kramtomųjų tablečių sudėtyje yra </w:t>
      </w:r>
      <w:proofErr w:type="spellStart"/>
      <w:r>
        <w:rPr>
          <w:rFonts w:ascii="Times New Roman" w:eastAsia="Times New Roman" w:hAnsi="Times New Roman" w:cs="Times New Roman"/>
          <w:lang w:val="lt-LT" w:eastAsia="lt-LT"/>
        </w:rPr>
        <w:t>karmosino</w:t>
      </w:r>
      <w:proofErr w:type="spellEnd"/>
      <w:r>
        <w:rPr>
          <w:rFonts w:ascii="Times New Roman" w:eastAsia="Times New Roman" w:hAnsi="Times New Roman" w:cs="Times New Roman"/>
          <w:lang w:val="lt-LT" w:eastAsia="lt-LT"/>
        </w:rPr>
        <w:t xml:space="preserve"> (E 122). </w:t>
      </w:r>
      <w:r w:rsidRPr="00B30814">
        <w:rPr>
          <w:rFonts w:ascii="Times New Roman" w:hAnsi="Times New Roman" w:cs="Times New Roman"/>
          <w:lang w:val="lt-LT"/>
        </w:rPr>
        <w:t>Gali sukelti alerginių reakcijų.</w:t>
      </w:r>
    </w:p>
    <w:p w:rsidR="0029726B" w:rsidRDefault="0029726B" w:rsidP="0029726B">
      <w:pPr>
        <w:spacing w:after="0" w:line="240" w:lineRule="auto"/>
        <w:rPr>
          <w:rFonts w:ascii="Times New Roman" w:hAnsi="Times New Roman" w:cs="Times New Roman"/>
          <w:lang w:val="lt-LT"/>
        </w:rPr>
      </w:pPr>
    </w:p>
    <w:p w:rsidR="0029726B" w:rsidRPr="003D77B8" w:rsidRDefault="0029726B" w:rsidP="0029726B">
      <w:pPr>
        <w:autoSpaceDE w:val="0"/>
        <w:autoSpaceDN w:val="0"/>
        <w:adjustRightInd w:val="0"/>
        <w:spacing w:after="0" w:line="240" w:lineRule="auto"/>
        <w:rPr>
          <w:rFonts w:asciiTheme="majorBidi" w:hAnsiTheme="majorBidi" w:cstheme="majorBidi"/>
          <w:lang w:val="lt-LT"/>
        </w:rPr>
      </w:pPr>
      <w:r w:rsidRPr="003D77B8">
        <w:rPr>
          <w:rFonts w:asciiTheme="majorBidi" w:hAnsiTheme="majorBidi" w:cstheme="majorBidi"/>
          <w:lang w:val="lt-LT"/>
        </w:rPr>
        <w:t xml:space="preserve">Šio vaisto keturių kramtomųjų tablečių dozėje yra 223,7 mg </w:t>
      </w:r>
      <w:r>
        <w:rPr>
          <w:rFonts w:asciiTheme="majorBidi" w:hAnsiTheme="majorBidi" w:cstheme="majorBidi"/>
          <w:lang w:val="lt-LT"/>
        </w:rPr>
        <w:t xml:space="preserve">(9,728 </w:t>
      </w:r>
      <w:proofErr w:type="spellStart"/>
      <w:r>
        <w:rPr>
          <w:rFonts w:asciiTheme="majorBidi" w:hAnsiTheme="majorBidi" w:cstheme="majorBidi"/>
          <w:lang w:val="lt-LT"/>
        </w:rPr>
        <w:t>mmol</w:t>
      </w:r>
      <w:proofErr w:type="spellEnd"/>
      <w:r>
        <w:rPr>
          <w:rFonts w:asciiTheme="majorBidi" w:hAnsiTheme="majorBidi" w:cstheme="majorBidi"/>
          <w:lang w:val="lt-LT"/>
        </w:rPr>
        <w:t xml:space="preserve">) </w:t>
      </w:r>
      <w:r w:rsidRPr="003D77B8">
        <w:rPr>
          <w:rFonts w:asciiTheme="majorBidi" w:hAnsiTheme="majorBidi" w:cstheme="majorBidi"/>
          <w:lang w:val="lt-LT"/>
        </w:rPr>
        <w:t>natrio</w:t>
      </w:r>
      <w:r>
        <w:rPr>
          <w:rFonts w:asciiTheme="majorBidi" w:hAnsiTheme="majorBidi" w:cstheme="majorBidi"/>
          <w:lang w:val="lt-LT"/>
        </w:rPr>
        <w:t>.</w:t>
      </w:r>
      <w:r w:rsidRPr="003D77B8">
        <w:rPr>
          <w:rFonts w:asciiTheme="majorBidi" w:hAnsiTheme="majorBidi" w:cstheme="majorBidi"/>
          <w:lang w:val="lt-LT"/>
        </w:rPr>
        <w:t xml:space="preserve"> </w:t>
      </w:r>
      <w:r w:rsidRPr="003F40BC">
        <w:rPr>
          <w:rFonts w:asciiTheme="majorBidi" w:hAnsiTheme="majorBidi" w:cstheme="majorBidi"/>
          <w:lang w:val="lt-LT"/>
        </w:rPr>
        <w:t>Didžiausioje rekomenduojamoje šio vaisto paros dozėje</w:t>
      </w:r>
      <w:r w:rsidRPr="00CA64C4">
        <w:rPr>
          <w:rFonts w:asciiTheme="majorBidi" w:hAnsiTheme="majorBidi" w:cstheme="majorBidi"/>
          <w:lang w:val="lt-LT"/>
        </w:rPr>
        <w:t xml:space="preserve"> yra 895 mg natrio (valgomosios druskos sudedamosios dalies).</w:t>
      </w:r>
      <w:r w:rsidRPr="003D77B8">
        <w:rPr>
          <w:rFonts w:asciiTheme="majorBidi" w:hAnsiTheme="majorBidi" w:cstheme="majorBidi"/>
          <w:lang w:val="lt-LT"/>
        </w:rPr>
        <w:t xml:space="preserve"> Tai atitinka </w:t>
      </w:r>
      <w:r>
        <w:rPr>
          <w:rFonts w:asciiTheme="majorBidi" w:hAnsiTheme="majorBidi" w:cstheme="majorBidi"/>
          <w:lang w:val="lt-LT"/>
        </w:rPr>
        <w:t>44,75</w:t>
      </w:r>
      <w:r w:rsidRPr="003D77B8">
        <w:rPr>
          <w:rFonts w:asciiTheme="majorBidi" w:hAnsiTheme="majorBidi" w:cstheme="majorBidi"/>
          <w:lang w:val="lt-LT"/>
        </w:rPr>
        <w:t xml:space="preserve"> % didžiausios rekomenduojamos natrio paros normos suaugusiesiems.</w:t>
      </w:r>
      <w:r>
        <w:rPr>
          <w:rFonts w:asciiTheme="majorBidi" w:hAnsiTheme="majorBidi" w:cstheme="majorBidi"/>
          <w:lang w:val="lt-LT"/>
        </w:rPr>
        <w:t xml:space="preserve"> </w:t>
      </w:r>
      <w:r w:rsidRPr="003D77B8">
        <w:rPr>
          <w:rFonts w:asciiTheme="majorBidi" w:hAnsiTheme="majorBidi" w:cstheme="majorBidi"/>
          <w:lang w:val="lt-LT"/>
        </w:rPr>
        <w:t xml:space="preserve">Pasitarkite su gydytoju arba vaistininku, jei </w:t>
      </w:r>
      <w:r>
        <w:rPr>
          <w:rFonts w:asciiTheme="majorBidi" w:hAnsiTheme="majorBidi" w:cstheme="majorBidi"/>
          <w:lang w:val="lt-LT"/>
        </w:rPr>
        <w:t xml:space="preserve">šio vaisto </w:t>
      </w:r>
      <w:r w:rsidRPr="003D77B8">
        <w:rPr>
          <w:rFonts w:asciiTheme="majorBidi" w:hAnsiTheme="majorBidi" w:cstheme="majorBidi"/>
          <w:lang w:val="lt-LT"/>
        </w:rPr>
        <w:t xml:space="preserve">Jums tektų vartoti </w:t>
      </w:r>
      <w:r>
        <w:rPr>
          <w:rFonts w:asciiTheme="majorBidi" w:hAnsiTheme="majorBidi" w:cstheme="majorBidi"/>
          <w:lang w:val="lt-LT"/>
        </w:rPr>
        <w:t>ilgą laikotarpį kasdien</w:t>
      </w:r>
      <w:r w:rsidRPr="003D77B8">
        <w:rPr>
          <w:rFonts w:asciiTheme="majorBidi" w:hAnsiTheme="majorBidi" w:cstheme="majorBidi"/>
          <w:lang w:val="lt-LT"/>
        </w:rPr>
        <w:t xml:space="preserve">, ypač jei Jums patariama kontroliuoti </w:t>
      </w:r>
      <w:r>
        <w:rPr>
          <w:rFonts w:asciiTheme="majorBidi" w:hAnsiTheme="majorBidi" w:cstheme="majorBidi"/>
          <w:lang w:val="lt-LT"/>
        </w:rPr>
        <w:t>druskos</w:t>
      </w:r>
      <w:r w:rsidRPr="003D77B8">
        <w:rPr>
          <w:rFonts w:asciiTheme="majorBidi" w:hAnsiTheme="majorBidi" w:cstheme="majorBidi"/>
          <w:lang w:val="lt-LT"/>
        </w:rPr>
        <w:t xml:space="preserve"> kiekį maiste.</w:t>
      </w:r>
    </w:p>
    <w:p w:rsidR="0029726B" w:rsidRDefault="0029726B" w:rsidP="0029726B">
      <w:pPr>
        <w:spacing w:after="0" w:line="240" w:lineRule="auto"/>
        <w:rPr>
          <w:rFonts w:ascii="Times New Roman" w:eastAsia="Times New Roman" w:hAnsi="Times New Roman" w:cs="Times New Roman"/>
          <w:lang w:val="lt-LT" w:eastAsia="lt-LT"/>
        </w:rPr>
      </w:pPr>
    </w:p>
    <w:p w:rsidR="0029726B" w:rsidRDefault="0029726B" w:rsidP="0029726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Kiekvienoje keturių kramtomųjų tablečių dozėje taip pat yra 300 mg (7,5 </w:t>
      </w:r>
      <w:proofErr w:type="spellStart"/>
      <w:r>
        <w:rPr>
          <w:rFonts w:ascii="Times New Roman" w:eastAsia="Times New Roman" w:hAnsi="Times New Roman" w:cs="Times New Roman"/>
          <w:lang w:val="lt-LT" w:eastAsia="lt-LT"/>
        </w:rPr>
        <w:t>mmol</w:t>
      </w:r>
      <w:proofErr w:type="spellEnd"/>
      <w:r>
        <w:rPr>
          <w:rFonts w:ascii="Times New Roman" w:eastAsia="Times New Roman" w:hAnsi="Times New Roman" w:cs="Times New Roman"/>
          <w:lang w:val="lt-LT" w:eastAsia="lt-LT"/>
        </w:rPr>
        <w:t xml:space="preserve">) kalcio. </w:t>
      </w:r>
      <w:r w:rsidRPr="00BF348E">
        <w:rPr>
          <w:rFonts w:ascii="Times New Roman" w:eastAsia="Times New Roman" w:hAnsi="Times New Roman" w:cs="Times New Roman"/>
          <w:lang w:val="lt-LT" w:eastAsia="lt-LT"/>
        </w:rPr>
        <w:t xml:space="preserve">Prieš pradėdami vartoti šį vaistą, pasitarkite su gydytoju, jei </w:t>
      </w:r>
      <w:r>
        <w:rPr>
          <w:rFonts w:ascii="Times New Roman" w:eastAsia="Times New Roman" w:hAnsi="Times New Roman" w:cs="Times New Roman"/>
          <w:lang w:val="lt-LT" w:eastAsia="lt-LT"/>
        </w:rPr>
        <w:t xml:space="preserve">Jums </w:t>
      </w:r>
      <w:r w:rsidRPr="00BF348E">
        <w:rPr>
          <w:rFonts w:ascii="Times New Roman" w:eastAsia="Times New Roman" w:hAnsi="Times New Roman" w:cs="Times New Roman"/>
          <w:lang w:val="lt-LT" w:eastAsia="lt-LT"/>
        </w:rPr>
        <w:t>yra inkstų akmenų arba padidėjęs kalcio kiekis kraujyje.</w:t>
      </w:r>
    </w:p>
    <w:p w:rsidR="0029726B" w:rsidRDefault="0029726B" w:rsidP="0029726B">
      <w:pPr>
        <w:pStyle w:val="Pagrindinistekstas"/>
        <w:spacing w:after="0"/>
        <w:rPr>
          <w:rFonts w:eastAsia="Times New Roman"/>
          <w:snapToGrid w:val="0"/>
          <w:szCs w:val="22"/>
        </w:rPr>
      </w:pPr>
    </w:p>
    <w:p w:rsidR="0029726B" w:rsidRDefault="0029726B" w:rsidP="0029726B">
      <w:pPr>
        <w:pStyle w:val="Pagrindinistekstas"/>
        <w:spacing w:after="0"/>
      </w:pPr>
      <w:r>
        <w:t>Jeigu gydytojas Jums yra sakęs, kad netoleruojate kokių nors angliavandenių, kreipkitės į jį prieš pradėdami vartoti šį vaistą.</w:t>
      </w:r>
    </w:p>
    <w:p w:rsidR="0029726B" w:rsidRPr="00981E09" w:rsidRDefault="0029726B" w:rsidP="0029726B">
      <w:pPr>
        <w:pStyle w:val="Pagrindinistekstas"/>
        <w:spacing w:after="0"/>
        <w:rPr>
          <w:rFonts w:eastAsia="Times New Roman"/>
          <w:snapToGrid w:val="0"/>
          <w:szCs w:val="22"/>
        </w:rPr>
      </w:pPr>
    </w:p>
    <w:p w:rsidR="0029726B" w:rsidRPr="00981E09" w:rsidRDefault="0029726B" w:rsidP="0029726B">
      <w:pPr>
        <w:pStyle w:val="Pagrindinistekstas"/>
        <w:spacing w:after="0"/>
        <w:rPr>
          <w:rFonts w:eastAsia="Times New Roman"/>
          <w:snapToGrid w:val="0"/>
          <w:szCs w:val="22"/>
        </w:rPr>
      </w:pPr>
    </w:p>
    <w:p w:rsidR="0029726B" w:rsidRPr="00981E09" w:rsidRDefault="0029726B" w:rsidP="0029726B">
      <w:pPr>
        <w:pStyle w:val="Pagrindinistekstas"/>
        <w:numPr>
          <w:ilvl w:val="0"/>
          <w:numId w:val="1"/>
        </w:numPr>
        <w:spacing w:after="0"/>
        <w:ind w:left="567" w:hanging="567"/>
        <w:rPr>
          <w:rFonts w:eastAsia="Times New Roman"/>
          <w:b/>
          <w:szCs w:val="22"/>
        </w:rPr>
      </w:pPr>
      <w:r w:rsidRPr="00981E09">
        <w:rPr>
          <w:b/>
          <w:szCs w:val="22"/>
        </w:rPr>
        <w:t xml:space="preserve">Kaip vartoti </w:t>
      </w:r>
      <w:proofErr w:type="spellStart"/>
      <w:r w:rsidRPr="00981E09">
        <w:rPr>
          <w:rFonts w:eastAsia="Times New Roman"/>
          <w:b/>
          <w:szCs w:val="22"/>
        </w:rPr>
        <w:t>Gaviscon</w:t>
      </w:r>
      <w:proofErr w:type="spellEnd"/>
      <w:r w:rsidRPr="00981E09">
        <w:rPr>
          <w:rFonts w:eastAsia="Times New Roman"/>
          <w:b/>
          <w:szCs w:val="22"/>
        </w:rPr>
        <w:t xml:space="preserve"> </w:t>
      </w:r>
    </w:p>
    <w:p w:rsidR="0029726B" w:rsidRPr="00981E09" w:rsidRDefault="0029726B" w:rsidP="0029726B">
      <w:pPr>
        <w:pStyle w:val="Pagrindinistekstas"/>
        <w:spacing w:after="0"/>
        <w:rPr>
          <w:b/>
          <w:szCs w:val="22"/>
        </w:rPr>
      </w:pPr>
    </w:p>
    <w:p w:rsidR="0029726B" w:rsidRPr="00981E09" w:rsidRDefault="0029726B" w:rsidP="0029726B">
      <w:pPr>
        <w:pStyle w:val="Pagrindinistekstas"/>
        <w:spacing w:after="0"/>
        <w:rPr>
          <w:noProof/>
          <w:szCs w:val="22"/>
        </w:rPr>
      </w:pPr>
      <w:r w:rsidRPr="00981E09">
        <w:rPr>
          <w:noProof/>
          <w:szCs w:val="22"/>
        </w:rPr>
        <w:t>Visada vartokite šį vaistą tiksliai</w:t>
      </w:r>
      <w:r>
        <w:rPr>
          <w:noProof/>
          <w:szCs w:val="22"/>
        </w:rPr>
        <w:t>,</w:t>
      </w:r>
      <w:r w:rsidRPr="00981E09">
        <w:rPr>
          <w:noProof/>
          <w:szCs w:val="22"/>
        </w:rPr>
        <w:t xml:space="preserve"> kaip </w:t>
      </w:r>
      <w:r>
        <w:rPr>
          <w:noProof/>
          <w:szCs w:val="22"/>
        </w:rPr>
        <w:t>aprašyta</w:t>
      </w:r>
      <w:r w:rsidRPr="00981E09">
        <w:rPr>
          <w:noProof/>
          <w:szCs w:val="22"/>
        </w:rPr>
        <w:t xml:space="preserve"> šiame lapelyje arba kaip nurodė gydytojas arba vaistininkas.</w:t>
      </w:r>
      <w:r w:rsidRPr="00981E09">
        <w:rPr>
          <w:szCs w:val="22"/>
        </w:rPr>
        <w:t xml:space="preserve"> </w:t>
      </w:r>
      <w:r w:rsidRPr="00981E09">
        <w:rPr>
          <w:noProof/>
          <w:szCs w:val="22"/>
        </w:rPr>
        <w:t>Jeigu abejojate, kreipkitės į gydytoją arba vaistininką.</w:t>
      </w:r>
    </w:p>
    <w:p w:rsidR="0029726B" w:rsidRPr="00981E09" w:rsidRDefault="0029726B" w:rsidP="0029726B">
      <w:pPr>
        <w:pStyle w:val="Pagrindinistekstas"/>
        <w:spacing w:after="0"/>
        <w:rPr>
          <w:noProof/>
          <w:szCs w:val="22"/>
        </w:rPr>
      </w:pPr>
    </w:p>
    <w:p w:rsidR="0029726B" w:rsidRPr="00981E09" w:rsidRDefault="0029726B" w:rsidP="0029726B">
      <w:pPr>
        <w:pStyle w:val="Pagrindinistekstas"/>
        <w:spacing w:after="0"/>
        <w:rPr>
          <w:szCs w:val="22"/>
        </w:rPr>
      </w:pPr>
      <w:r w:rsidRPr="00981E09">
        <w:rPr>
          <w:noProof/>
          <w:szCs w:val="22"/>
        </w:rPr>
        <w:t xml:space="preserve">Vartoti per burną. </w:t>
      </w:r>
      <w:r w:rsidRPr="00981E09">
        <w:rPr>
          <w:szCs w:val="22"/>
        </w:rPr>
        <w:t xml:space="preserve">Prieš </w:t>
      </w:r>
      <w:r>
        <w:rPr>
          <w:szCs w:val="22"/>
        </w:rPr>
        <w:t>nuryjant gerai sukramtyti.</w:t>
      </w:r>
    </w:p>
    <w:p w:rsidR="0029726B" w:rsidRPr="00981E09" w:rsidRDefault="0029726B" w:rsidP="0029726B">
      <w:pPr>
        <w:pStyle w:val="Pagrindinistekstas"/>
        <w:spacing w:after="0"/>
        <w:rPr>
          <w:szCs w:val="22"/>
        </w:rPr>
      </w:pPr>
    </w:p>
    <w:p w:rsidR="0029726B" w:rsidRPr="00B30814" w:rsidRDefault="0029726B" w:rsidP="0029726B">
      <w:pPr>
        <w:spacing w:after="0" w:line="240" w:lineRule="auto"/>
        <w:rPr>
          <w:rFonts w:ascii="Times New Roman" w:eastAsia="Times New Roman" w:hAnsi="Times New Roman" w:cs="Times New Roman"/>
          <w:bCs/>
          <w:lang w:val="lt-LT" w:eastAsia="lt-LT"/>
        </w:rPr>
      </w:pPr>
      <w:r w:rsidRPr="00981E09">
        <w:rPr>
          <w:rFonts w:ascii="Times New Roman" w:eastAsia="Times New Roman" w:hAnsi="Times New Roman" w:cs="Times New Roman"/>
          <w:b/>
          <w:lang w:val="lt-LT" w:eastAsia="lt-LT"/>
        </w:rPr>
        <w:t xml:space="preserve">Suaugusiesiems ir </w:t>
      </w:r>
      <w:r>
        <w:rPr>
          <w:rFonts w:ascii="Times New Roman" w:eastAsia="Times New Roman" w:hAnsi="Times New Roman" w:cs="Times New Roman"/>
          <w:b/>
          <w:lang w:val="lt-LT" w:eastAsia="lt-LT"/>
        </w:rPr>
        <w:t xml:space="preserve">12 metų bei </w:t>
      </w:r>
      <w:r w:rsidRPr="00981E09">
        <w:rPr>
          <w:rFonts w:ascii="Times New Roman" w:eastAsia="Times New Roman" w:hAnsi="Times New Roman" w:cs="Times New Roman"/>
          <w:b/>
          <w:lang w:val="lt-LT" w:eastAsia="lt-LT"/>
        </w:rPr>
        <w:t xml:space="preserve">vyresniems vaikams: </w:t>
      </w:r>
      <w:r w:rsidRPr="00B30814">
        <w:rPr>
          <w:rFonts w:ascii="Times New Roman" w:eastAsia="Times New Roman" w:hAnsi="Times New Roman" w:cs="Times New Roman"/>
          <w:bCs/>
          <w:lang w:val="lt-LT" w:eastAsia="lt-LT"/>
        </w:rPr>
        <w:t xml:space="preserve">pasireiškus simptomams, gerkite </w:t>
      </w:r>
      <w:r w:rsidRPr="00D819DB">
        <w:rPr>
          <w:rFonts w:ascii="Times New Roman" w:eastAsia="Times New Roman" w:hAnsi="Times New Roman" w:cs="Times New Roman"/>
          <w:bCs/>
          <w:lang w:val="lt-LT" w:eastAsia="lt-LT"/>
        </w:rPr>
        <w:t>nuo dviejų iki keturių kramtomųjų tablečių</w:t>
      </w:r>
      <w:r w:rsidRPr="00B30814">
        <w:rPr>
          <w:rFonts w:ascii="Times New Roman" w:eastAsia="Times New Roman" w:hAnsi="Times New Roman" w:cs="Times New Roman"/>
          <w:bCs/>
          <w:lang w:val="lt-LT" w:eastAsia="lt-LT"/>
        </w:rPr>
        <w:t xml:space="preserve"> po valgio ir prieš miegą, iki keturių kartų per parą.</w:t>
      </w:r>
    </w:p>
    <w:p w:rsidR="0029726B" w:rsidRPr="00981E09" w:rsidRDefault="0029726B" w:rsidP="0029726B">
      <w:pPr>
        <w:spacing w:after="0" w:line="240" w:lineRule="auto"/>
        <w:rPr>
          <w:rFonts w:ascii="Times New Roman" w:eastAsia="Times New Roman" w:hAnsi="Times New Roman" w:cs="Times New Roman"/>
          <w:i/>
          <w:lang w:val="lt-LT" w:eastAsia="lt-LT"/>
        </w:rPr>
      </w:pPr>
    </w:p>
    <w:p w:rsidR="0029726B" w:rsidRDefault="0029726B" w:rsidP="0029726B">
      <w:pPr>
        <w:spacing w:after="0" w:line="240" w:lineRule="auto"/>
        <w:rPr>
          <w:rFonts w:ascii="Times New Roman" w:eastAsia="Times New Roman" w:hAnsi="Times New Roman" w:cs="Times New Roman"/>
          <w:lang w:val="lt-LT" w:eastAsia="lt-LT"/>
        </w:rPr>
      </w:pPr>
      <w:r w:rsidRPr="00981E09">
        <w:rPr>
          <w:rFonts w:ascii="Times New Roman" w:eastAsia="Times New Roman" w:hAnsi="Times New Roman" w:cs="Times New Roman"/>
          <w:b/>
          <w:lang w:val="lt-LT" w:eastAsia="lt-LT"/>
        </w:rPr>
        <w:t>Vaikams iki 12 metų</w:t>
      </w:r>
      <w:r>
        <w:rPr>
          <w:rFonts w:ascii="Times New Roman" w:eastAsia="Times New Roman" w:hAnsi="Times New Roman" w:cs="Times New Roman"/>
          <w:b/>
          <w:lang w:val="lt-LT" w:eastAsia="lt-LT"/>
        </w:rPr>
        <w:t>:</w:t>
      </w:r>
      <w:r w:rsidRPr="00981E09">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j</w:t>
      </w:r>
      <w:r w:rsidRPr="00162936">
        <w:rPr>
          <w:rFonts w:ascii="Times New Roman" w:eastAsia="Times New Roman" w:hAnsi="Times New Roman" w:cs="Times New Roman"/>
          <w:lang w:val="lt-LT" w:eastAsia="lt-LT"/>
        </w:rPr>
        <w:t xml:space="preserve">aunesnių </w:t>
      </w:r>
      <w:r>
        <w:rPr>
          <w:rFonts w:ascii="Times New Roman" w:eastAsia="Times New Roman" w:hAnsi="Times New Roman" w:cs="Times New Roman"/>
          <w:lang w:val="lt-LT" w:eastAsia="lt-LT"/>
        </w:rPr>
        <w:t>kaip</w:t>
      </w:r>
      <w:r w:rsidRPr="00162936">
        <w:rPr>
          <w:rFonts w:ascii="Times New Roman" w:eastAsia="Times New Roman" w:hAnsi="Times New Roman" w:cs="Times New Roman"/>
          <w:lang w:val="lt-LT" w:eastAsia="lt-LT"/>
        </w:rPr>
        <w:t xml:space="preserve"> 12 metų vaikų gydy</w:t>
      </w:r>
      <w:r>
        <w:rPr>
          <w:rFonts w:ascii="Times New Roman" w:eastAsia="Times New Roman" w:hAnsi="Times New Roman" w:cs="Times New Roman"/>
          <w:lang w:val="lt-LT" w:eastAsia="lt-LT"/>
        </w:rPr>
        <w:t>ti nerekomenduojama.</w:t>
      </w:r>
    </w:p>
    <w:p w:rsidR="0029726B" w:rsidRPr="00981E09" w:rsidRDefault="0029726B" w:rsidP="0029726B">
      <w:pPr>
        <w:spacing w:after="0" w:line="240" w:lineRule="auto"/>
        <w:rPr>
          <w:rFonts w:ascii="Times New Roman" w:eastAsia="Times New Roman" w:hAnsi="Times New Roman" w:cs="Times New Roman"/>
          <w:lang w:val="lt-LT" w:eastAsia="lt-LT"/>
        </w:rPr>
      </w:pPr>
    </w:p>
    <w:p w:rsidR="0029726B" w:rsidRPr="00981E09" w:rsidRDefault="0029726B" w:rsidP="0029726B">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981E09">
        <w:rPr>
          <w:rFonts w:ascii="Times New Roman" w:hAnsi="Times New Roman" w:cs="Times New Roman"/>
          <w:b/>
          <w:lang w:val="lt-LT"/>
        </w:rPr>
        <w:t xml:space="preserve">Ką daryti pavartojus per didelę </w:t>
      </w:r>
      <w:proofErr w:type="spellStart"/>
      <w:r w:rsidRPr="00981E09">
        <w:rPr>
          <w:rFonts w:ascii="Times New Roman" w:eastAsia="Times New Roman" w:hAnsi="Times New Roman" w:cs="Times New Roman"/>
          <w:b/>
          <w:lang w:val="lt-LT"/>
        </w:rPr>
        <w:t>Gaviscon</w:t>
      </w:r>
      <w:proofErr w:type="spellEnd"/>
      <w:r w:rsidRPr="00981E09">
        <w:rPr>
          <w:rFonts w:ascii="Times New Roman" w:eastAsia="Times New Roman" w:hAnsi="Times New Roman" w:cs="Times New Roman"/>
          <w:b/>
          <w:lang w:val="lt-LT"/>
        </w:rPr>
        <w:t xml:space="preserve"> </w:t>
      </w:r>
      <w:r w:rsidRPr="00981E09">
        <w:rPr>
          <w:rFonts w:ascii="Times New Roman" w:hAnsi="Times New Roman" w:cs="Times New Roman"/>
          <w:b/>
          <w:lang w:val="lt-LT"/>
        </w:rPr>
        <w:t>dozę</w:t>
      </w:r>
    </w:p>
    <w:p w:rsidR="0029726B" w:rsidRPr="00981E09" w:rsidRDefault="0029726B" w:rsidP="0029726B">
      <w:pPr>
        <w:keepNext/>
        <w:tabs>
          <w:tab w:val="left" w:pos="567"/>
        </w:tabs>
        <w:spacing w:after="0" w:line="260" w:lineRule="exact"/>
        <w:jc w:val="both"/>
        <w:outlineLvl w:val="3"/>
        <w:rPr>
          <w:rFonts w:ascii="Times New Roman" w:eastAsia="Times New Roman" w:hAnsi="Times New Roman" w:cs="Times New Roman"/>
          <w:bCs/>
          <w:snapToGrid w:val="0"/>
          <w:lang w:val="lt-LT" w:eastAsia="x-none"/>
        </w:rPr>
      </w:pPr>
      <w:r w:rsidRPr="00981E09">
        <w:rPr>
          <w:rFonts w:ascii="Times New Roman" w:eastAsia="Times New Roman" w:hAnsi="Times New Roman" w:cs="Times New Roman"/>
          <w:bCs/>
          <w:snapToGrid w:val="0"/>
          <w:lang w:val="lt-LT" w:eastAsia="x-none"/>
        </w:rPr>
        <w:t xml:space="preserve">Jei pavartojote per daug šio vaisto, </w:t>
      </w:r>
      <w:r>
        <w:rPr>
          <w:rFonts w:ascii="Times New Roman" w:eastAsia="Times New Roman" w:hAnsi="Times New Roman" w:cs="Times New Roman"/>
          <w:bCs/>
          <w:snapToGrid w:val="0"/>
          <w:lang w:val="lt-LT" w:eastAsia="x-none"/>
        </w:rPr>
        <w:t>mažai tikėtina, kad jis Jums pakenks.</w:t>
      </w:r>
      <w:r w:rsidRPr="00981E09">
        <w:rPr>
          <w:rFonts w:ascii="Times New Roman" w:eastAsia="Times New Roman" w:hAnsi="Times New Roman" w:cs="Times New Roman"/>
          <w:bCs/>
          <w:snapToGrid w:val="0"/>
          <w:lang w:val="lt-LT" w:eastAsia="x-none"/>
        </w:rPr>
        <w:t xml:space="preserve"> Tačiau </w:t>
      </w:r>
      <w:r>
        <w:rPr>
          <w:rFonts w:ascii="Times New Roman" w:eastAsia="Times New Roman" w:hAnsi="Times New Roman" w:cs="Times New Roman"/>
          <w:bCs/>
          <w:snapToGrid w:val="0"/>
          <w:lang w:val="lt-LT" w:eastAsia="x-none"/>
        </w:rPr>
        <w:t>Jūs</w:t>
      </w:r>
      <w:r w:rsidRPr="00981E09">
        <w:rPr>
          <w:rFonts w:ascii="Times New Roman" w:eastAsia="Times New Roman" w:hAnsi="Times New Roman" w:cs="Times New Roman"/>
          <w:bCs/>
          <w:snapToGrid w:val="0"/>
          <w:lang w:val="lt-LT" w:eastAsia="x-none"/>
        </w:rPr>
        <w:t xml:space="preserve"> galite </w:t>
      </w:r>
      <w:r>
        <w:rPr>
          <w:rFonts w:ascii="Times New Roman" w:eastAsia="Times New Roman" w:hAnsi="Times New Roman" w:cs="Times New Roman"/>
          <w:bCs/>
          <w:snapToGrid w:val="0"/>
          <w:lang w:val="lt-LT" w:eastAsia="x-none"/>
        </w:rPr>
        <w:t>jaustis</w:t>
      </w:r>
      <w:r w:rsidRPr="00981E09">
        <w:rPr>
          <w:rFonts w:ascii="Times New Roman" w:eastAsia="Times New Roman" w:hAnsi="Times New Roman" w:cs="Times New Roman"/>
          <w:bCs/>
          <w:snapToGrid w:val="0"/>
          <w:lang w:val="lt-LT" w:eastAsia="x-none"/>
        </w:rPr>
        <w:t xml:space="preserve"> išsipūtęs</w:t>
      </w:r>
      <w:r>
        <w:rPr>
          <w:rFonts w:ascii="Times New Roman" w:eastAsia="Times New Roman" w:hAnsi="Times New Roman" w:cs="Times New Roman"/>
          <w:bCs/>
          <w:snapToGrid w:val="0"/>
          <w:lang w:val="lt-LT" w:eastAsia="x-none"/>
        </w:rPr>
        <w:t xml:space="preserve"> bei jausti diskomfortą pilve</w:t>
      </w:r>
      <w:r w:rsidRPr="00981E09">
        <w:rPr>
          <w:rFonts w:ascii="Times New Roman" w:eastAsia="Times New Roman" w:hAnsi="Times New Roman" w:cs="Times New Roman"/>
          <w:bCs/>
          <w:snapToGrid w:val="0"/>
          <w:lang w:val="lt-LT" w:eastAsia="x-none"/>
        </w:rPr>
        <w:t xml:space="preserve">. Pasitarkite su savo gydytoju, jei tai </w:t>
      </w:r>
      <w:r>
        <w:rPr>
          <w:rFonts w:ascii="Times New Roman" w:eastAsia="Times New Roman" w:hAnsi="Times New Roman" w:cs="Times New Roman"/>
          <w:bCs/>
          <w:snapToGrid w:val="0"/>
          <w:lang w:val="lt-LT" w:eastAsia="x-none"/>
        </w:rPr>
        <w:t>nepraeina.</w:t>
      </w:r>
    </w:p>
    <w:p w:rsidR="0029726B" w:rsidRPr="00981E09" w:rsidRDefault="0029726B" w:rsidP="0029726B">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p>
    <w:p w:rsidR="0029726B" w:rsidRPr="00981E09" w:rsidRDefault="0029726B" w:rsidP="0029726B">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981E09">
        <w:rPr>
          <w:rFonts w:ascii="Times New Roman" w:eastAsia="Times New Roman" w:hAnsi="Times New Roman" w:cs="Times New Roman"/>
          <w:b/>
          <w:bCs/>
          <w:snapToGrid w:val="0"/>
          <w:lang w:val="lt-LT" w:eastAsia="x-none"/>
        </w:rPr>
        <w:t xml:space="preserve">Pamiršus pavartoti </w:t>
      </w:r>
      <w:proofErr w:type="spellStart"/>
      <w:r w:rsidRPr="00981E09">
        <w:rPr>
          <w:rFonts w:ascii="Times New Roman" w:eastAsia="Times New Roman" w:hAnsi="Times New Roman" w:cs="Times New Roman"/>
          <w:b/>
          <w:lang w:val="lt-LT"/>
        </w:rPr>
        <w:t>Gaviscon</w:t>
      </w:r>
      <w:proofErr w:type="spellEnd"/>
      <w:r w:rsidRPr="00981E09">
        <w:rPr>
          <w:rFonts w:ascii="Times New Roman" w:eastAsia="Times New Roman" w:hAnsi="Times New Roman" w:cs="Times New Roman"/>
          <w:b/>
          <w:lang w:val="lt-LT"/>
        </w:rPr>
        <w:t xml:space="preserve"> </w:t>
      </w:r>
    </w:p>
    <w:p w:rsidR="0029726B" w:rsidRPr="00981E09" w:rsidRDefault="0029726B" w:rsidP="0029726B">
      <w:pPr>
        <w:numPr>
          <w:ilvl w:val="12"/>
          <w:numId w:val="0"/>
        </w:numPr>
        <w:spacing w:after="0" w:line="240" w:lineRule="auto"/>
        <w:ind w:right="-2"/>
        <w:rPr>
          <w:rFonts w:ascii="Times New Roman" w:eastAsia="Times New Roman" w:hAnsi="Times New Roman" w:cs="Times New Roman"/>
          <w:noProof/>
          <w:snapToGrid w:val="0"/>
          <w:lang w:val="lt-LT"/>
        </w:rPr>
      </w:pPr>
      <w:r w:rsidRPr="00981E09">
        <w:rPr>
          <w:rFonts w:ascii="Times New Roman" w:eastAsia="Times New Roman" w:hAnsi="Times New Roman" w:cs="Times New Roman"/>
          <w:noProof/>
          <w:snapToGrid w:val="0"/>
          <w:lang w:val="lt-LT"/>
        </w:rPr>
        <w:t>Negalima vartoti dvigubos dozės norint kompensuoti praleistą dozę. Tiesiog vartokite vaistą kaip ankščiau.</w:t>
      </w:r>
    </w:p>
    <w:p w:rsidR="0029726B" w:rsidRPr="00981E09" w:rsidRDefault="0029726B" w:rsidP="0029726B">
      <w:pPr>
        <w:numPr>
          <w:ilvl w:val="12"/>
          <w:numId w:val="0"/>
        </w:numPr>
        <w:spacing w:after="0" w:line="240" w:lineRule="auto"/>
        <w:ind w:right="-2"/>
        <w:rPr>
          <w:rFonts w:ascii="Times New Roman" w:eastAsia="Times New Roman" w:hAnsi="Times New Roman" w:cs="Times New Roman"/>
          <w:noProof/>
          <w:snapToGrid w:val="0"/>
          <w:lang w:val="lt-LT"/>
        </w:rPr>
      </w:pPr>
    </w:p>
    <w:p w:rsidR="0029726B" w:rsidRPr="00981E09" w:rsidRDefault="0029726B" w:rsidP="0029726B">
      <w:pPr>
        <w:numPr>
          <w:ilvl w:val="12"/>
          <w:numId w:val="0"/>
        </w:numPr>
        <w:spacing w:after="0" w:line="240" w:lineRule="auto"/>
        <w:ind w:right="-2"/>
        <w:rPr>
          <w:rFonts w:ascii="Times New Roman" w:eastAsia="Times New Roman" w:hAnsi="Times New Roman" w:cs="Times New Roman"/>
          <w:noProof/>
          <w:snapToGrid w:val="0"/>
          <w:lang w:val="lt-LT"/>
        </w:rPr>
      </w:pPr>
    </w:p>
    <w:p w:rsidR="0029726B" w:rsidRPr="00981E09" w:rsidRDefault="0029726B" w:rsidP="0029726B">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981E09">
        <w:rPr>
          <w:rFonts w:ascii="Times New Roman" w:eastAsia="Times New Roman" w:hAnsi="Times New Roman" w:cs="Times New Roman"/>
          <w:b/>
          <w:bCs/>
          <w:snapToGrid w:val="0"/>
          <w:lang w:val="lt-LT" w:eastAsia="x-none"/>
        </w:rPr>
        <w:t>4.</w:t>
      </w:r>
      <w:r w:rsidRPr="00981E09">
        <w:rPr>
          <w:rFonts w:ascii="Times New Roman" w:eastAsia="Times New Roman" w:hAnsi="Times New Roman" w:cs="Times New Roman"/>
          <w:b/>
          <w:bCs/>
          <w:snapToGrid w:val="0"/>
          <w:lang w:val="lt-LT" w:eastAsia="x-none"/>
        </w:rPr>
        <w:tab/>
        <w:t>Galimas šalutinis poveikis</w:t>
      </w:r>
    </w:p>
    <w:p w:rsidR="0029726B" w:rsidRPr="00981E09" w:rsidRDefault="0029726B" w:rsidP="0029726B">
      <w:pPr>
        <w:numPr>
          <w:ilvl w:val="12"/>
          <w:numId w:val="0"/>
        </w:numPr>
        <w:spacing w:after="0" w:line="240" w:lineRule="auto"/>
        <w:ind w:right="-2"/>
        <w:rPr>
          <w:rFonts w:ascii="Times New Roman" w:hAnsi="Times New Roman" w:cs="Times New Roman"/>
          <w:noProof/>
          <w:lang w:val="lt-LT"/>
        </w:rPr>
      </w:pPr>
    </w:p>
    <w:p w:rsidR="0029726B" w:rsidRPr="00981E09" w:rsidRDefault="0029726B" w:rsidP="0029726B">
      <w:pPr>
        <w:numPr>
          <w:ilvl w:val="12"/>
          <w:numId w:val="0"/>
        </w:numPr>
        <w:spacing w:after="0" w:line="240" w:lineRule="auto"/>
        <w:ind w:right="-2"/>
        <w:rPr>
          <w:rFonts w:ascii="Times New Roman" w:eastAsia="Times New Roman" w:hAnsi="Times New Roman" w:cs="Times New Roman"/>
          <w:noProof/>
          <w:snapToGrid w:val="0"/>
          <w:lang w:val="lt-LT"/>
        </w:rPr>
      </w:pPr>
      <w:r w:rsidRPr="00981E09">
        <w:rPr>
          <w:rFonts w:ascii="Times New Roman" w:hAnsi="Times New Roman" w:cs="Times New Roman"/>
          <w:noProof/>
          <w:lang w:val="lt-LT"/>
        </w:rPr>
        <w:t>Šis vaistas, kaip ir visi kiti, gali sukelti šalutinį poveikį, nors jis pasireiškia ne visiems žmonėms.</w:t>
      </w:r>
    </w:p>
    <w:p w:rsidR="0029726B" w:rsidRPr="00981E09" w:rsidRDefault="0029726B" w:rsidP="0029726B">
      <w:pPr>
        <w:numPr>
          <w:ilvl w:val="12"/>
          <w:numId w:val="0"/>
        </w:numPr>
        <w:spacing w:after="0" w:line="240" w:lineRule="auto"/>
        <w:ind w:right="-2"/>
        <w:rPr>
          <w:rFonts w:ascii="Times New Roman" w:hAnsi="Times New Roman" w:cs="Times New Roman"/>
          <w:lang w:val="lt-LT"/>
        </w:rPr>
      </w:pPr>
    </w:p>
    <w:p w:rsidR="0029726B" w:rsidRPr="00981E09" w:rsidRDefault="0029726B" w:rsidP="0029726B">
      <w:pPr>
        <w:numPr>
          <w:ilvl w:val="12"/>
          <w:numId w:val="0"/>
        </w:numPr>
        <w:spacing w:after="0" w:line="240" w:lineRule="auto"/>
        <w:ind w:right="-2"/>
        <w:rPr>
          <w:rFonts w:ascii="Times New Roman" w:eastAsia="Times New Roman" w:hAnsi="Times New Roman" w:cs="Times New Roman"/>
          <w:noProof/>
          <w:snapToGrid w:val="0"/>
          <w:lang w:val="lt-LT"/>
        </w:rPr>
      </w:pPr>
      <w:r w:rsidRPr="00981E09">
        <w:rPr>
          <w:rFonts w:ascii="Times New Roman" w:hAnsi="Times New Roman" w:cs="Times New Roman"/>
          <w:lang w:val="lt-LT"/>
        </w:rPr>
        <w:t>Jei</w:t>
      </w:r>
      <w:r>
        <w:rPr>
          <w:rFonts w:ascii="Times New Roman" w:hAnsi="Times New Roman" w:cs="Times New Roman"/>
          <w:lang w:val="lt-LT"/>
        </w:rPr>
        <w:t>gu</w:t>
      </w:r>
      <w:r w:rsidRPr="00981E09">
        <w:rPr>
          <w:rFonts w:ascii="Times New Roman" w:hAnsi="Times New Roman" w:cs="Times New Roman"/>
          <w:lang w:val="lt-LT"/>
        </w:rPr>
        <w:t xml:space="preserve"> pasireiškė šie šalutiniai reiškiniai, nutraukite vaisto vartojimą ir nedelsdami kreipkitės į gydytoją.</w:t>
      </w:r>
    </w:p>
    <w:p w:rsidR="0029726B" w:rsidRPr="00981E09" w:rsidRDefault="0029726B" w:rsidP="0029726B">
      <w:pPr>
        <w:numPr>
          <w:ilvl w:val="12"/>
          <w:numId w:val="0"/>
        </w:numPr>
        <w:spacing w:after="0" w:line="240" w:lineRule="auto"/>
        <w:ind w:right="-2"/>
        <w:rPr>
          <w:rFonts w:ascii="Times New Roman" w:eastAsia="Times New Roman" w:hAnsi="Times New Roman" w:cs="Times New Roman"/>
          <w:noProof/>
          <w:snapToGrid w:val="0"/>
          <w:lang w:val="lt-LT"/>
        </w:rPr>
      </w:pPr>
    </w:p>
    <w:p w:rsidR="0029726B" w:rsidRPr="00EA703C" w:rsidRDefault="0029726B" w:rsidP="0029726B">
      <w:pPr>
        <w:numPr>
          <w:ilvl w:val="12"/>
          <w:numId w:val="0"/>
        </w:numPr>
        <w:spacing w:after="0" w:line="240" w:lineRule="auto"/>
        <w:ind w:right="-2"/>
        <w:rPr>
          <w:rFonts w:asciiTheme="majorBidi" w:hAnsiTheme="majorBidi" w:cstheme="majorBidi"/>
          <w:b/>
          <w:bCs/>
          <w:noProof/>
          <w:snapToGrid w:val="0"/>
          <w:lang w:val="lt-LT"/>
        </w:rPr>
      </w:pPr>
      <w:r w:rsidRPr="00BB28FE">
        <w:rPr>
          <w:rFonts w:asciiTheme="majorBidi" w:hAnsiTheme="majorBidi"/>
          <w:b/>
          <w:lang w:val="lt-LT"/>
        </w:rPr>
        <w:t>Labai reti šalutinio poveikio reiškiniai (gali pasireikšti rečiau kaip 1 iš 10 000 asmenų</w:t>
      </w:r>
      <w:r w:rsidRPr="00EA703C">
        <w:rPr>
          <w:rFonts w:asciiTheme="majorBidi" w:hAnsiTheme="majorBidi" w:cstheme="majorBidi"/>
          <w:b/>
          <w:bCs/>
          <w:noProof/>
          <w:snapToGrid w:val="0"/>
          <w:lang w:val="lt-LT"/>
        </w:rPr>
        <w:t>):</w:t>
      </w:r>
    </w:p>
    <w:p w:rsidR="0029726B" w:rsidRPr="00981E09" w:rsidRDefault="0029726B" w:rsidP="0029726B">
      <w:pPr>
        <w:numPr>
          <w:ilvl w:val="12"/>
          <w:numId w:val="0"/>
        </w:numPr>
        <w:spacing w:after="0" w:line="240" w:lineRule="auto"/>
        <w:ind w:right="-2"/>
        <w:rPr>
          <w:rFonts w:ascii="Times New Roman" w:eastAsia="Times New Roman" w:hAnsi="Times New Roman" w:cs="Times New Roman"/>
          <w:noProof/>
          <w:snapToGrid w:val="0"/>
          <w:lang w:val="lt-LT"/>
        </w:rPr>
      </w:pPr>
      <w:r w:rsidRPr="00981E09">
        <w:rPr>
          <w:rFonts w:ascii="Times New Roman" w:eastAsia="Times New Roman" w:hAnsi="Times New Roman" w:cs="Times New Roman"/>
          <w:noProof/>
          <w:snapToGrid w:val="0"/>
          <w:lang w:val="lt-LT"/>
        </w:rPr>
        <w:t>gali pasireikšti alergin</w:t>
      </w:r>
      <w:r>
        <w:rPr>
          <w:rFonts w:ascii="Times New Roman" w:eastAsia="Times New Roman" w:hAnsi="Times New Roman" w:cs="Times New Roman"/>
          <w:noProof/>
          <w:snapToGrid w:val="0"/>
          <w:lang w:val="lt-LT"/>
        </w:rPr>
        <w:t>e</w:t>
      </w:r>
      <w:r w:rsidRPr="00981E09">
        <w:rPr>
          <w:rFonts w:ascii="Times New Roman" w:eastAsia="Times New Roman" w:hAnsi="Times New Roman" w:cs="Times New Roman"/>
          <w:noProof/>
          <w:snapToGrid w:val="0"/>
          <w:lang w:val="lt-LT"/>
        </w:rPr>
        <w:t xml:space="preserve"> reakcija į sudedamąsias medžiagas. </w:t>
      </w:r>
      <w:r>
        <w:rPr>
          <w:rFonts w:ascii="Times New Roman" w:eastAsia="Times New Roman" w:hAnsi="Times New Roman" w:cs="Times New Roman"/>
          <w:noProof/>
          <w:snapToGrid w:val="0"/>
          <w:lang w:val="lt-LT"/>
        </w:rPr>
        <w:t>Gali pasireikšti tokie simptomai, kaip</w:t>
      </w:r>
      <w:r w:rsidRPr="00981E09">
        <w:rPr>
          <w:rFonts w:ascii="Times New Roman" w:eastAsia="Times New Roman" w:hAnsi="Times New Roman" w:cs="Times New Roman"/>
          <w:noProof/>
          <w:snapToGrid w:val="0"/>
          <w:lang w:val="lt-LT"/>
        </w:rPr>
        <w:t xml:space="preserve"> pilvo skausmas, viduriavimas, pykinimas, vėmimas, odos išbėrimas, niežėjimas, galvos svaigimas, veido, lūpų, liežuvio ar gerklės patinimas ir pasunkėjęs kvėpavimas.</w:t>
      </w:r>
    </w:p>
    <w:p w:rsidR="0029726B" w:rsidRPr="00981E09" w:rsidRDefault="0029726B" w:rsidP="0029726B">
      <w:pPr>
        <w:numPr>
          <w:ilvl w:val="12"/>
          <w:numId w:val="0"/>
        </w:numPr>
        <w:spacing w:after="0" w:line="240" w:lineRule="auto"/>
        <w:ind w:right="-2"/>
        <w:rPr>
          <w:rFonts w:ascii="Times New Roman" w:eastAsia="Times New Roman" w:hAnsi="Times New Roman" w:cs="Times New Roman"/>
          <w:noProof/>
          <w:snapToGrid w:val="0"/>
          <w:lang w:val="lt-LT"/>
        </w:rPr>
      </w:pPr>
    </w:p>
    <w:p w:rsidR="0029726B" w:rsidRDefault="0029726B" w:rsidP="0029726B">
      <w:pPr>
        <w:numPr>
          <w:ilvl w:val="12"/>
          <w:numId w:val="0"/>
        </w:numPr>
        <w:spacing w:after="0" w:line="240" w:lineRule="auto"/>
        <w:ind w:right="-2"/>
        <w:rPr>
          <w:rFonts w:ascii="Times New Roman" w:eastAsia="Times New Roman" w:hAnsi="Times New Roman" w:cs="Times New Roman"/>
          <w:noProof/>
          <w:snapToGrid w:val="0"/>
          <w:lang w:val="lt-LT"/>
        </w:rPr>
      </w:pPr>
      <w:r w:rsidRPr="00981E09">
        <w:rPr>
          <w:rFonts w:ascii="Times New Roman" w:eastAsia="Times New Roman" w:hAnsi="Times New Roman" w:cs="Times New Roman"/>
          <w:noProof/>
          <w:snapToGrid w:val="0"/>
          <w:lang w:val="lt-LT"/>
        </w:rPr>
        <w:t xml:space="preserve">Didelio kalcio karbonato </w:t>
      </w:r>
      <w:r w:rsidRPr="00383355">
        <w:rPr>
          <w:rFonts w:ascii="Times New Roman" w:eastAsia="Times New Roman" w:hAnsi="Times New Roman" w:cs="Times New Roman"/>
          <w:noProof/>
          <w:snapToGrid w:val="0"/>
          <w:lang w:val="lt-LT"/>
        </w:rPr>
        <w:t>(šio vaisto sud</w:t>
      </w:r>
      <w:r>
        <w:rPr>
          <w:rFonts w:ascii="Times New Roman" w:eastAsia="Times New Roman" w:hAnsi="Times New Roman" w:cs="Times New Roman"/>
          <w:noProof/>
          <w:snapToGrid w:val="0"/>
          <w:lang w:val="lt-LT"/>
        </w:rPr>
        <w:t xml:space="preserve">ėtyje esančios </w:t>
      </w:r>
      <w:r w:rsidRPr="00383355">
        <w:rPr>
          <w:rFonts w:ascii="Times New Roman" w:eastAsia="Times New Roman" w:hAnsi="Times New Roman" w:cs="Times New Roman"/>
          <w:noProof/>
          <w:snapToGrid w:val="0"/>
          <w:lang w:val="lt-LT"/>
        </w:rPr>
        <w:t>medžiagos)</w:t>
      </w:r>
      <w:r>
        <w:rPr>
          <w:rFonts w:ascii="Times New Roman" w:eastAsia="Times New Roman" w:hAnsi="Times New Roman" w:cs="Times New Roman"/>
          <w:noProof/>
          <w:snapToGrid w:val="0"/>
          <w:lang w:val="lt-LT"/>
        </w:rPr>
        <w:t xml:space="preserve"> </w:t>
      </w:r>
      <w:r w:rsidRPr="00981E09">
        <w:rPr>
          <w:rFonts w:ascii="Times New Roman" w:eastAsia="Times New Roman" w:hAnsi="Times New Roman" w:cs="Times New Roman"/>
          <w:noProof/>
          <w:snapToGrid w:val="0"/>
          <w:lang w:val="lt-LT"/>
        </w:rPr>
        <w:t xml:space="preserve">kiekio pavartojimas per burną gali pasireikšti kraujo pH padidėjimu (alkalozė), per </w:t>
      </w:r>
      <w:r>
        <w:rPr>
          <w:rFonts w:ascii="Times New Roman" w:eastAsia="Times New Roman" w:hAnsi="Times New Roman" w:cs="Times New Roman"/>
          <w:noProof/>
          <w:snapToGrid w:val="0"/>
          <w:lang w:val="lt-LT"/>
        </w:rPr>
        <w:t>dideliu</w:t>
      </w:r>
      <w:r w:rsidRPr="00981E09">
        <w:rPr>
          <w:rFonts w:ascii="Times New Roman" w:eastAsia="Times New Roman" w:hAnsi="Times New Roman" w:cs="Times New Roman"/>
          <w:noProof/>
          <w:snapToGrid w:val="0"/>
          <w:lang w:val="lt-LT"/>
        </w:rPr>
        <w:t xml:space="preserve"> kalcio </w:t>
      </w:r>
      <w:r>
        <w:rPr>
          <w:rFonts w:ascii="Times New Roman" w:eastAsia="Times New Roman" w:hAnsi="Times New Roman" w:cs="Times New Roman"/>
          <w:noProof/>
          <w:snapToGrid w:val="0"/>
          <w:lang w:val="lt-LT"/>
        </w:rPr>
        <w:t xml:space="preserve">kiekiu </w:t>
      </w:r>
      <w:r w:rsidRPr="00981E09">
        <w:rPr>
          <w:rFonts w:ascii="Times New Roman" w:eastAsia="Times New Roman" w:hAnsi="Times New Roman" w:cs="Times New Roman"/>
          <w:noProof/>
          <w:snapToGrid w:val="0"/>
          <w:lang w:val="lt-LT"/>
        </w:rPr>
        <w:t>kraujyje (hiperkalcemija), padidėjusia skrandžio rūgšties sekrecija ir vidurių užkietėjimu. Šie reiškiniai dažniausiai atsiranda po didesnės negu rekomenduojama dozės pavartojimo.</w:t>
      </w:r>
    </w:p>
    <w:p w:rsidR="0029726B" w:rsidRPr="00981E09" w:rsidRDefault="0029726B" w:rsidP="0029726B">
      <w:pPr>
        <w:numPr>
          <w:ilvl w:val="12"/>
          <w:numId w:val="0"/>
        </w:numPr>
        <w:spacing w:after="0" w:line="240" w:lineRule="auto"/>
        <w:ind w:right="-2"/>
        <w:rPr>
          <w:rFonts w:ascii="Times New Roman" w:hAnsi="Times New Roman" w:cs="Times New Roman"/>
          <w:b/>
          <w:noProof/>
          <w:lang w:val="lt-LT"/>
        </w:rPr>
      </w:pPr>
    </w:p>
    <w:p w:rsidR="0029726B" w:rsidRPr="00981E09" w:rsidRDefault="0029726B" w:rsidP="0029726B">
      <w:pPr>
        <w:numPr>
          <w:ilvl w:val="12"/>
          <w:numId w:val="0"/>
        </w:numPr>
        <w:spacing w:after="0" w:line="240" w:lineRule="auto"/>
        <w:rPr>
          <w:rFonts w:ascii="Times New Roman" w:eastAsia="Times New Roman" w:hAnsi="Times New Roman" w:cs="Times New Roman"/>
          <w:noProof/>
          <w:snapToGrid w:val="0"/>
          <w:lang w:val="lt-LT"/>
        </w:rPr>
      </w:pPr>
      <w:r w:rsidRPr="00981E09">
        <w:rPr>
          <w:rFonts w:ascii="Times New Roman" w:hAnsi="Times New Roman" w:cs="Times New Roman"/>
          <w:b/>
          <w:noProof/>
          <w:lang w:val="lt-LT"/>
        </w:rPr>
        <w:t>Pranešimas apie šalutinį poveikį</w:t>
      </w:r>
    </w:p>
    <w:p w:rsidR="0029726B" w:rsidRPr="003D77B8" w:rsidRDefault="0029726B" w:rsidP="0029726B">
      <w:pPr>
        <w:tabs>
          <w:tab w:val="left" w:pos="567"/>
        </w:tabs>
        <w:spacing w:after="0" w:line="260" w:lineRule="exact"/>
        <w:rPr>
          <w:rFonts w:asciiTheme="majorBidi" w:hAnsiTheme="majorBidi" w:cstheme="majorBidi"/>
          <w:snapToGrid w:val="0"/>
          <w:lang w:val="lt-LT"/>
        </w:rPr>
      </w:pPr>
    </w:p>
    <w:p w:rsidR="0029726B" w:rsidRPr="0052004C" w:rsidRDefault="0029726B" w:rsidP="0029726B">
      <w:pPr>
        <w:numPr>
          <w:ilvl w:val="12"/>
          <w:numId w:val="0"/>
        </w:numPr>
        <w:spacing w:after="0" w:line="240" w:lineRule="auto"/>
        <w:rPr>
          <w:rFonts w:asciiTheme="majorBidi" w:hAnsiTheme="majorBidi" w:cstheme="majorBidi"/>
          <w:lang w:val="lt-LT"/>
        </w:rPr>
      </w:pPr>
      <w:r w:rsidRPr="0052004C">
        <w:rPr>
          <w:rFonts w:asciiTheme="majorBidi" w:hAnsiTheme="majorBidi" w:cstheme="majorBidi"/>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52004C">
        <w:rPr>
          <w:rFonts w:asciiTheme="majorBidi" w:hAnsiTheme="majorBidi" w:cstheme="majorBidi"/>
          <w:color w:val="0000EE"/>
          <w:u w:val="single"/>
          <w:lang w:val="lt-LT" w:eastAsia="lt-LT"/>
        </w:rPr>
        <w:t>https://vvkt.lrv.lt/lt/</w:t>
      </w:r>
      <w:r w:rsidRPr="0052004C">
        <w:rPr>
          <w:rFonts w:asciiTheme="majorBidi" w:hAnsiTheme="majorBidi" w:cstheme="majorBidi"/>
          <w:lang w:val="lt-LT" w:eastAsia="lt-LT"/>
        </w:rPr>
        <w:t xml:space="preserve"> nurodytais būdais arba paskambinti nemokamu telefonu 8 800 73 568. Pranešdami apie šalutinį poveikį galite mums padėti gauti daugiau informacijos apie šio vaisto saugumą</w:t>
      </w:r>
      <w:r w:rsidRPr="0052004C">
        <w:rPr>
          <w:rFonts w:asciiTheme="majorBidi" w:hAnsiTheme="majorBidi" w:cstheme="majorBidi"/>
          <w:lang w:val="lt-LT"/>
        </w:rPr>
        <w:t>.</w:t>
      </w:r>
    </w:p>
    <w:p w:rsidR="0029726B" w:rsidRPr="0052004C" w:rsidRDefault="0029726B" w:rsidP="0029726B">
      <w:pPr>
        <w:numPr>
          <w:ilvl w:val="12"/>
          <w:numId w:val="0"/>
        </w:numPr>
        <w:spacing w:after="0" w:line="240" w:lineRule="auto"/>
        <w:rPr>
          <w:rFonts w:ascii="Times New Roman" w:eastAsia="Times New Roman" w:hAnsi="Times New Roman" w:cs="Times New Roman"/>
          <w:noProof/>
          <w:snapToGrid w:val="0"/>
          <w:lang w:val="lt-LT"/>
        </w:rPr>
      </w:pPr>
    </w:p>
    <w:p w:rsidR="0029726B" w:rsidRPr="00981E09" w:rsidRDefault="0029726B" w:rsidP="0029726B">
      <w:pPr>
        <w:numPr>
          <w:ilvl w:val="12"/>
          <w:numId w:val="0"/>
        </w:numPr>
        <w:spacing w:after="0" w:line="240" w:lineRule="auto"/>
        <w:rPr>
          <w:rFonts w:ascii="Times New Roman" w:eastAsia="Times New Roman" w:hAnsi="Times New Roman" w:cs="Times New Roman"/>
          <w:noProof/>
          <w:snapToGrid w:val="0"/>
          <w:lang w:val="lt-LT"/>
        </w:rPr>
      </w:pPr>
    </w:p>
    <w:p w:rsidR="0029726B" w:rsidRPr="00981E09" w:rsidRDefault="0029726B" w:rsidP="0029726B">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981E09">
        <w:rPr>
          <w:rFonts w:ascii="Times New Roman" w:eastAsia="Times New Roman" w:hAnsi="Times New Roman" w:cs="Times New Roman"/>
          <w:b/>
          <w:bCs/>
          <w:snapToGrid w:val="0"/>
          <w:lang w:val="lt-LT" w:eastAsia="x-none"/>
        </w:rPr>
        <w:t>5.</w:t>
      </w:r>
      <w:r w:rsidRPr="00981E09">
        <w:rPr>
          <w:rFonts w:ascii="Times New Roman" w:eastAsia="Times New Roman" w:hAnsi="Times New Roman" w:cs="Times New Roman"/>
          <w:b/>
          <w:bCs/>
          <w:snapToGrid w:val="0"/>
          <w:lang w:val="lt-LT" w:eastAsia="x-none"/>
        </w:rPr>
        <w:tab/>
        <w:t xml:space="preserve">Kaip laikyti </w:t>
      </w:r>
      <w:proofErr w:type="spellStart"/>
      <w:r w:rsidRPr="00981E09">
        <w:rPr>
          <w:rFonts w:ascii="Times New Roman" w:eastAsia="Times New Roman" w:hAnsi="Times New Roman" w:cs="Times New Roman"/>
          <w:b/>
          <w:lang w:val="lt-LT"/>
        </w:rPr>
        <w:t>Gaviscon</w:t>
      </w:r>
      <w:proofErr w:type="spellEnd"/>
      <w:r w:rsidRPr="00981E09">
        <w:rPr>
          <w:rFonts w:ascii="Times New Roman" w:eastAsia="Times New Roman" w:hAnsi="Times New Roman" w:cs="Times New Roman"/>
          <w:b/>
          <w:lang w:val="lt-LT"/>
        </w:rPr>
        <w:t xml:space="preserve"> </w:t>
      </w:r>
    </w:p>
    <w:p w:rsidR="0029726B" w:rsidRPr="00981E09" w:rsidRDefault="0029726B" w:rsidP="0029726B">
      <w:pPr>
        <w:numPr>
          <w:ilvl w:val="12"/>
          <w:numId w:val="0"/>
        </w:numPr>
        <w:spacing w:after="0" w:line="240" w:lineRule="auto"/>
        <w:ind w:right="-2"/>
        <w:rPr>
          <w:rFonts w:ascii="Times New Roman" w:eastAsia="Times New Roman" w:hAnsi="Times New Roman" w:cs="Times New Roman"/>
          <w:noProof/>
          <w:snapToGrid w:val="0"/>
          <w:lang w:val="lt-LT"/>
        </w:rPr>
      </w:pPr>
    </w:p>
    <w:p w:rsidR="0029726B" w:rsidRPr="00981E09" w:rsidRDefault="0029726B" w:rsidP="0029726B">
      <w:pPr>
        <w:numPr>
          <w:ilvl w:val="12"/>
          <w:numId w:val="0"/>
        </w:numPr>
        <w:spacing w:after="0" w:line="240" w:lineRule="auto"/>
        <w:ind w:right="-2"/>
        <w:rPr>
          <w:rFonts w:ascii="Times New Roman" w:hAnsi="Times New Roman" w:cs="Times New Roman"/>
          <w:noProof/>
          <w:lang w:val="lt-LT"/>
        </w:rPr>
      </w:pPr>
      <w:r w:rsidRPr="00981E09">
        <w:rPr>
          <w:rFonts w:ascii="Times New Roman" w:hAnsi="Times New Roman" w:cs="Times New Roman"/>
          <w:noProof/>
          <w:lang w:val="lt-LT"/>
        </w:rPr>
        <w:t>Šį vaistą laikykite vaikams nepastebimoje ir nepasiekiamoje vietoje.</w:t>
      </w:r>
    </w:p>
    <w:p w:rsidR="0029726B" w:rsidRPr="00981E09" w:rsidRDefault="0029726B" w:rsidP="0029726B">
      <w:pPr>
        <w:numPr>
          <w:ilvl w:val="12"/>
          <w:numId w:val="0"/>
        </w:numPr>
        <w:spacing w:after="0" w:line="240" w:lineRule="auto"/>
        <w:ind w:right="-2"/>
        <w:rPr>
          <w:rFonts w:ascii="Times New Roman" w:hAnsi="Times New Roman" w:cs="Times New Roman"/>
          <w:noProof/>
          <w:lang w:val="lt-LT"/>
        </w:rPr>
      </w:pPr>
    </w:p>
    <w:p w:rsidR="0029726B" w:rsidRPr="00981E09" w:rsidRDefault="0029726B" w:rsidP="0029726B">
      <w:pPr>
        <w:numPr>
          <w:ilvl w:val="12"/>
          <w:numId w:val="0"/>
        </w:numPr>
        <w:spacing w:after="0" w:line="240" w:lineRule="auto"/>
        <w:ind w:right="-2"/>
        <w:rPr>
          <w:rFonts w:ascii="Times New Roman" w:hAnsi="Times New Roman" w:cs="Times New Roman"/>
          <w:lang w:val="lt-LT"/>
        </w:rPr>
      </w:pPr>
      <w:r w:rsidRPr="00981E09">
        <w:rPr>
          <w:rFonts w:ascii="Times New Roman" w:hAnsi="Times New Roman" w:cs="Times New Roman"/>
          <w:lang w:val="lt-LT"/>
        </w:rPr>
        <w:t xml:space="preserve">Ant kartono dėžutės </w:t>
      </w:r>
      <w:r>
        <w:rPr>
          <w:rFonts w:ascii="Times New Roman" w:hAnsi="Times New Roman" w:cs="Times New Roman"/>
          <w:lang w:val="lt-LT"/>
        </w:rPr>
        <w:t xml:space="preserve">ir lizdinės plokštelės </w:t>
      </w:r>
      <w:r w:rsidRPr="00981E09">
        <w:rPr>
          <w:rFonts w:ascii="Times New Roman" w:hAnsi="Times New Roman" w:cs="Times New Roman"/>
          <w:lang w:val="lt-LT"/>
        </w:rPr>
        <w:t>po „</w:t>
      </w:r>
      <w:r>
        <w:rPr>
          <w:rFonts w:ascii="Times New Roman" w:hAnsi="Times New Roman" w:cs="Times New Roman"/>
          <w:lang w:val="lt-LT"/>
        </w:rPr>
        <w:t>EXP</w:t>
      </w:r>
      <w:r w:rsidRPr="00981E09">
        <w:rPr>
          <w:rFonts w:ascii="Times New Roman" w:hAnsi="Times New Roman" w:cs="Times New Roman"/>
          <w:lang w:val="lt-LT"/>
        </w:rPr>
        <w:t>“ nurodytam tinkamumo laikui pasibaigus, šio vaisto vartoti negalima. Vaistas tinkamas vartoti iki paskutinės nurodyto mėnesio dienos.</w:t>
      </w:r>
    </w:p>
    <w:p w:rsidR="0029726B" w:rsidRPr="00981E09" w:rsidRDefault="0029726B" w:rsidP="0029726B">
      <w:pPr>
        <w:spacing w:after="0" w:line="240" w:lineRule="auto"/>
        <w:jc w:val="both"/>
        <w:rPr>
          <w:rFonts w:ascii="Times New Roman" w:eastAsia="Times New Roman" w:hAnsi="Times New Roman" w:cs="Times New Roman"/>
          <w:lang w:val="lt-LT" w:eastAsia="lt-LT"/>
        </w:rPr>
      </w:pPr>
    </w:p>
    <w:p w:rsidR="0029726B" w:rsidRPr="00981E09" w:rsidRDefault="0029726B" w:rsidP="0029726B">
      <w:pPr>
        <w:spacing w:after="0" w:line="240" w:lineRule="auto"/>
        <w:jc w:val="both"/>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Laikyti ne aukštesnėje kaip 30 </w:t>
      </w:r>
      <w:r w:rsidRPr="00B725B4">
        <w:rPr>
          <w:rFonts w:ascii="Times New Roman" w:hAnsi="Times New Roman" w:cs="Times New Roman"/>
          <w:color w:val="4D5156"/>
          <w:shd w:val="clear" w:color="auto" w:fill="FFFFFF"/>
          <w:lang w:val="lt-LT"/>
        </w:rPr>
        <w:t>°</w:t>
      </w:r>
      <w:r w:rsidRPr="00B725B4">
        <w:rPr>
          <w:rStyle w:val="Emfaz"/>
          <w:rFonts w:ascii="Times New Roman" w:hAnsi="Times New Roman" w:cs="Times New Roman"/>
          <w:color w:val="5F6368"/>
          <w:shd w:val="clear" w:color="auto" w:fill="FFFFFF"/>
          <w:lang w:val="lt-LT"/>
        </w:rPr>
        <w:t>C</w:t>
      </w:r>
      <w:r w:rsidRPr="00981E09">
        <w:rPr>
          <w:rFonts w:ascii="Times New Roman" w:eastAsia="Times New Roman" w:hAnsi="Times New Roman" w:cs="Times New Roman"/>
          <w:lang w:val="lt-LT" w:eastAsia="lt-LT"/>
        </w:rPr>
        <w:t xml:space="preserve"> temperatūroje.</w:t>
      </w:r>
      <w:r>
        <w:rPr>
          <w:rFonts w:ascii="Times New Roman" w:eastAsia="Times New Roman" w:hAnsi="Times New Roman" w:cs="Times New Roman"/>
          <w:lang w:val="lt-LT" w:eastAsia="lt-LT"/>
        </w:rPr>
        <w:t xml:space="preserve"> Laikyti gamintojo pakuotėje, kad vaistas būtų apsaugotas nuo drėgmės.</w:t>
      </w:r>
    </w:p>
    <w:p w:rsidR="0029726B" w:rsidRPr="00981E09" w:rsidRDefault="0029726B" w:rsidP="0029726B">
      <w:pPr>
        <w:spacing w:after="0" w:line="240" w:lineRule="auto"/>
        <w:jc w:val="both"/>
        <w:rPr>
          <w:rFonts w:ascii="Times New Roman" w:hAnsi="Times New Roman" w:cs="Times New Roman"/>
          <w:noProof/>
          <w:lang w:val="lt-LT"/>
        </w:rPr>
      </w:pPr>
    </w:p>
    <w:p w:rsidR="0029726B" w:rsidRPr="00981E09" w:rsidRDefault="0029726B" w:rsidP="0029726B">
      <w:pPr>
        <w:spacing w:after="0" w:line="240" w:lineRule="auto"/>
        <w:jc w:val="both"/>
        <w:rPr>
          <w:rFonts w:ascii="Times New Roman" w:hAnsi="Times New Roman" w:cs="Times New Roman"/>
          <w:noProof/>
          <w:lang w:val="lt-LT"/>
        </w:rPr>
      </w:pPr>
      <w:r w:rsidRPr="00981E09">
        <w:rPr>
          <w:rFonts w:ascii="Times New Roman" w:hAnsi="Times New Roman" w:cs="Times New Roman"/>
          <w:noProof/>
          <w:lang w:val="lt-LT"/>
        </w:rPr>
        <w:t>Vaistų negalima išmesti į kanalizaciją arba su buitinėmis atliekomis.</w:t>
      </w:r>
      <w:r w:rsidRPr="00981E09">
        <w:rPr>
          <w:rFonts w:ascii="Times New Roman" w:hAnsi="Times New Roman" w:cs="Times New Roman"/>
          <w:lang w:val="lt-LT"/>
        </w:rPr>
        <w:t xml:space="preserve"> </w:t>
      </w:r>
      <w:r w:rsidRPr="00981E09">
        <w:rPr>
          <w:rFonts w:ascii="Times New Roman" w:hAnsi="Times New Roman" w:cs="Times New Roman"/>
          <w:noProof/>
          <w:lang w:val="lt-LT"/>
        </w:rPr>
        <w:t>Kaip išmesti nereikalingus vaistus, klauskite vaistininko.</w:t>
      </w:r>
      <w:r w:rsidRPr="00981E09">
        <w:rPr>
          <w:rFonts w:ascii="Times New Roman" w:hAnsi="Times New Roman" w:cs="Times New Roman"/>
          <w:lang w:val="lt-LT"/>
        </w:rPr>
        <w:t xml:space="preserve"> </w:t>
      </w:r>
      <w:r w:rsidRPr="00981E09">
        <w:rPr>
          <w:rFonts w:ascii="Times New Roman" w:hAnsi="Times New Roman" w:cs="Times New Roman"/>
          <w:noProof/>
          <w:lang w:val="lt-LT"/>
        </w:rPr>
        <w:t>Šios priemonės padės apsaugoti aplinką.</w:t>
      </w:r>
    </w:p>
    <w:p w:rsidR="0029726B" w:rsidRPr="00981E09" w:rsidRDefault="0029726B" w:rsidP="0029726B">
      <w:pPr>
        <w:spacing w:after="0" w:line="240" w:lineRule="auto"/>
        <w:jc w:val="both"/>
        <w:rPr>
          <w:rFonts w:ascii="Times New Roman" w:hAnsi="Times New Roman" w:cs="Times New Roman"/>
          <w:noProof/>
          <w:lang w:val="lt-LT"/>
        </w:rPr>
      </w:pPr>
    </w:p>
    <w:p w:rsidR="0029726B" w:rsidRPr="00981E09" w:rsidRDefault="0029726B" w:rsidP="0029726B">
      <w:pPr>
        <w:spacing w:after="0" w:line="240" w:lineRule="auto"/>
        <w:jc w:val="both"/>
        <w:rPr>
          <w:rFonts w:ascii="Times New Roman" w:hAnsi="Times New Roman" w:cs="Times New Roman"/>
          <w:noProof/>
          <w:lang w:val="lt-LT"/>
        </w:rPr>
      </w:pPr>
    </w:p>
    <w:p w:rsidR="0029726B" w:rsidRPr="00981E09" w:rsidRDefault="0029726B" w:rsidP="0029726B">
      <w:pPr>
        <w:numPr>
          <w:ilvl w:val="12"/>
          <w:numId w:val="0"/>
        </w:numPr>
        <w:tabs>
          <w:tab w:val="left" w:pos="567"/>
        </w:tabs>
        <w:spacing w:after="0" w:line="240" w:lineRule="auto"/>
        <w:outlineLvl w:val="0"/>
        <w:rPr>
          <w:rFonts w:ascii="Times New Roman" w:hAnsi="Times New Roman" w:cs="Times New Roman"/>
          <w:b/>
          <w:lang w:val="lt-LT"/>
        </w:rPr>
      </w:pPr>
      <w:r w:rsidRPr="00981E09">
        <w:rPr>
          <w:rFonts w:ascii="Times New Roman" w:hAnsi="Times New Roman" w:cs="Times New Roman"/>
          <w:b/>
          <w:lang w:val="lt-LT"/>
        </w:rPr>
        <w:t>6.</w:t>
      </w:r>
      <w:r w:rsidRPr="00981E09">
        <w:rPr>
          <w:rFonts w:ascii="Times New Roman" w:hAnsi="Times New Roman" w:cs="Times New Roman"/>
          <w:lang w:val="lt-LT"/>
        </w:rPr>
        <w:tab/>
      </w:r>
      <w:r w:rsidRPr="00981E09">
        <w:rPr>
          <w:rFonts w:ascii="Times New Roman" w:hAnsi="Times New Roman" w:cs="Times New Roman"/>
          <w:b/>
          <w:lang w:val="lt-LT"/>
        </w:rPr>
        <w:t>Pakuotės turinys ir kita informacija</w:t>
      </w:r>
    </w:p>
    <w:p w:rsidR="0029726B" w:rsidRPr="00981E09" w:rsidRDefault="0029726B" w:rsidP="0029726B">
      <w:pPr>
        <w:tabs>
          <w:tab w:val="left" w:pos="567"/>
        </w:tabs>
        <w:spacing w:after="0" w:line="240" w:lineRule="auto"/>
        <w:rPr>
          <w:rFonts w:ascii="Times New Roman" w:hAnsi="Times New Roman" w:cs="Times New Roman"/>
          <w:b/>
          <w:lang w:val="lt-LT"/>
        </w:rPr>
      </w:pPr>
    </w:p>
    <w:p w:rsidR="0029726B" w:rsidRPr="00981E09" w:rsidRDefault="0029726B" w:rsidP="0029726B">
      <w:pPr>
        <w:tabs>
          <w:tab w:val="left" w:pos="567"/>
        </w:tabs>
        <w:spacing w:after="0" w:line="240" w:lineRule="auto"/>
        <w:rPr>
          <w:rFonts w:ascii="Times New Roman" w:hAnsi="Times New Roman" w:cs="Times New Roman"/>
          <w:lang w:val="lt-LT"/>
        </w:rPr>
      </w:pPr>
      <w:proofErr w:type="spellStart"/>
      <w:r w:rsidRPr="00981E09">
        <w:rPr>
          <w:rFonts w:ascii="Times New Roman" w:eastAsia="Times New Roman" w:hAnsi="Times New Roman" w:cs="Times New Roman"/>
          <w:b/>
          <w:lang w:val="lt-LT"/>
        </w:rPr>
        <w:t>Gaviscon</w:t>
      </w:r>
      <w:proofErr w:type="spellEnd"/>
      <w:r w:rsidRPr="00981E09">
        <w:rPr>
          <w:rFonts w:ascii="Times New Roman" w:eastAsia="Times New Roman" w:hAnsi="Times New Roman" w:cs="Times New Roman"/>
          <w:b/>
          <w:lang w:val="lt-LT"/>
        </w:rPr>
        <w:t xml:space="preserve"> </w:t>
      </w:r>
      <w:r w:rsidRPr="00981E09">
        <w:rPr>
          <w:rFonts w:ascii="Times New Roman" w:hAnsi="Times New Roman" w:cs="Times New Roman"/>
          <w:b/>
          <w:lang w:val="lt-LT"/>
        </w:rPr>
        <w:t>sudėtis</w:t>
      </w:r>
    </w:p>
    <w:p w:rsidR="0029726B" w:rsidRPr="00981E09" w:rsidRDefault="0029726B" w:rsidP="0029726B">
      <w:pPr>
        <w:pStyle w:val="BT-EMEASMCA"/>
        <w:numPr>
          <w:ilvl w:val="0"/>
          <w:numId w:val="2"/>
        </w:numPr>
      </w:pPr>
      <w:r w:rsidRPr="00981E09">
        <w:rPr>
          <w:iCs/>
        </w:rPr>
        <w:t>Veikliosios medžiagos</w:t>
      </w:r>
      <w:r w:rsidRPr="00981E09">
        <w:t xml:space="preserve"> yra </w:t>
      </w:r>
      <w:r>
        <w:t xml:space="preserve">250 mg </w:t>
      </w:r>
      <w:r w:rsidRPr="00981E09">
        <w:t>natrio alginat</w:t>
      </w:r>
      <w:r>
        <w:t>o</w:t>
      </w:r>
      <w:r w:rsidRPr="00981E09">
        <w:t xml:space="preserve">, </w:t>
      </w:r>
      <w:r>
        <w:t xml:space="preserve">106,5 mg </w:t>
      </w:r>
      <w:r w:rsidRPr="00981E09">
        <w:t>natrio-vandenilio karbonat</w:t>
      </w:r>
      <w:r>
        <w:t>o</w:t>
      </w:r>
      <w:r w:rsidRPr="00981E09">
        <w:t xml:space="preserve"> ir </w:t>
      </w:r>
      <w:r>
        <w:t xml:space="preserve">187,5 mg </w:t>
      </w:r>
      <w:r w:rsidRPr="00981E09">
        <w:t>kalcio karbonat</w:t>
      </w:r>
      <w:r>
        <w:t>o.</w:t>
      </w:r>
      <w:r w:rsidRPr="00981E09">
        <w:t xml:space="preserve"> </w:t>
      </w:r>
    </w:p>
    <w:p w:rsidR="0029726B" w:rsidRPr="003D77B8" w:rsidRDefault="0029726B" w:rsidP="0029726B">
      <w:pPr>
        <w:pStyle w:val="Sraopastraipa"/>
        <w:spacing w:after="0" w:line="240" w:lineRule="auto"/>
        <w:ind w:left="786"/>
        <w:rPr>
          <w:rFonts w:ascii="Times New Roman" w:eastAsia="Times New Roman" w:hAnsi="Times New Roman" w:cs="Times New Roman"/>
          <w:lang w:val="lt-LT"/>
        </w:rPr>
      </w:pPr>
    </w:p>
    <w:p w:rsidR="0029726B" w:rsidRPr="003D77B8" w:rsidRDefault="0029726B" w:rsidP="0029726B">
      <w:pPr>
        <w:pStyle w:val="BT-EMEASMCA"/>
        <w:numPr>
          <w:ilvl w:val="0"/>
          <w:numId w:val="2"/>
        </w:numPr>
        <w:rPr>
          <w:snapToGrid w:val="0"/>
        </w:rPr>
      </w:pPr>
      <w:r w:rsidRPr="00981E09">
        <w:t>Pagalbinės medžiagos</w:t>
      </w:r>
      <w:r>
        <w:t xml:space="preserve"> yra</w:t>
      </w:r>
      <w:r w:rsidRPr="00981E09">
        <w:t xml:space="preserve"> </w:t>
      </w:r>
      <w:r>
        <w:t>k</w:t>
      </w:r>
      <w:r w:rsidRPr="00B30814">
        <w:t>silitolis</w:t>
      </w:r>
      <w:r>
        <w:t>, karmeliozės natrio druskos, m</w:t>
      </w:r>
      <w:r w:rsidRPr="00B30814">
        <w:t>agnio stearatas</w:t>
      </w:r>
      <w:r>
        <w:t>, makrogolis, manitolis (E 421), kopovidonas, a</w:t>
      </w:r>
      <w:r w:rsidRPr="00B30814">
        <w:rPr>
          <w:rFonts w:asciiTheme="majorBidi" w:hAnsiTheme="majorBidi" w:cstheme="majorBidi"/>
        </w:rPr>
        <w:t>cesulfamo kalio druska</w:t>
      </w:r>
      <w:r>
        <w:rPr>
          <w:rFonts w:asciiTheme="majorBidi" w:hAnsiTheme="majorBidi" w:cstheme="majorBidi"/>
        </w:rPr>
        <w:t>, a</w:t>
      </w:r>
      <w:r w:rsidRPr="003D77B8">
        <w:rPr>
          <w:snapToGrid w:val="0"/>
        </w:rPr>
        <w:t>spartamas (E</w:t>
      </w:r>
      <w:r>
        <w:rPr>
          <w:snapToGrid w:val="0"/>
        </w:rPr>
        <w:t> </w:t>
      </w:r>
      <w:r w:rsidRPr="003D77B8">
        <w:rPr>
          <w:snapToGrid w:val="0"/>
        </w:rPr>
        <w:t>951)</w:t>
      </w:r>
      <w:r>
        <w:rPr>
          <w:snapToGrid w:val="0"/>
        </w:rPr>
        <w:t xml:space="preserve">, </w:t>
      </w:r>
      <w:r>
        <w:rPr>
          <w:rFonts w:asciiTheme="majorBidi" w:hAnsiTheme="majorBidi" w:cstheme="majorBidi"/>
          <w:snapToGrid w:val="0"/>
        </w:rPr>
        <w:t>pipirmėčių</w:t>
      </w:r>
      <w:r w:rsidRPr="00B30814">
        <w:rPr>
          <w:rFonts w:asciiTheme="majorBidi" w:hAnsiTheme="majorBidi" w:cstheme="majorBidi"/>
          <w:snapToGrid w:val="0"/>
        </w:rPr>
        <w:t xml:space="preserve"> kvapioji medžiaga</w:t>
      </w:r>
      <w:r>
        <w:rPr>
          <w:rFonts w:asciiTheme="majorBidi" w:hAnsiTheme="majorBidi" w:cstheme="majorBidi"/>
          <w:snapToGrid w:val="0"/>
        </w:rPr>
        <w:t xml:space="preserve"> ir k</w:t>
      </w:r>
      <w:r w:rsidRPr="003D77B8">
        <w:rPr>
          <w:snapToGrid w:val="0"/>
        </w:rPr>
        <w:t>armosin</w:t>
      </w:r>
      <w:r>
        <w:rPr>
          <w:snapToGrid w:val="0"/>
        </w:rPr>
        <w:t>as</w:t>
      </w:r>
      <w:r w:rsidRPr="003D77B8">
        <w:rPr>
          <w:snapToGrid w:val="0"/>
        </w:rPr>
        <w:t xml:space="preserve"> (E</w:t>
      </w:r>
      <w:r>
        <w:rPr>
          <w:snapToGrid w:val="0"/>
        </w:rPr>
        <w:t> </w:t>
      </w:r>
      <w:r w:rsidRPr="003D77B8">
        <w:rPr>
          <w:snapToGrid w:val="0"/>
        </w:rPr>
        <w:t>122)</w:t>
      </w:r>
      <w:r>
        <w:rPr>
          <w:snapToGrid w:val="0"/>
        </w:rPr>
        <w:t>. Kvapiosios medžiagos sudėtyje yra sacharozės, maltodekstrino ir gumiarabiko.</w:t>
      </w:r>
    </w:p>
    <w:p w:rsidR="0029726B" w:rsidRPr="00981E09" w:rsidRDefault="0029726B" w:rsidP="0029726B">
      <w:pPr>
        <w:spacing w:after="0" w:line="240" w:lineRule="auto"/>
        <w:ind w:left="360"/>
        <w:rPr>
          <w:rFonts w:ascii="Times New Roman" w:hAnsi="Times New Roman" w:cs="Times New Roman"/>
          <w:b/>
          <w:lang w:val="lt-LT"/>
        </w:rPr>
      </w:pPr>
    </w:p>
    <w:p w:rsidR="0029726B" w:rsidRPr="00981E09" w:rsidRDefault="0029726B" w:rsidP="0029726B">
      <w:pPr>
        <w:spacing w:after="0" w:line="240" w:lineRule="auto"/>
        <w:ind w:left="360" w:hanging="360"/>
        <w:rPr>
          <w:rFonts w:ascii="Times New Roman" w:hAnsi="Times New Roman" w:cs="Times New Roman"/>
          <w:b/>
          <w:lang w:val="lt-LT"/>
        </w:rPr>
      </w:pPr>
      <w:proofErr w:type="spellStart"/>
      <w:r w:rsidRPr="00981E09">
        <w:rPr>
          <w:rFonts w:ascii="Times New Roman" w:eastAsia="Times New Roman" w:hAnsi="Times New Roman" w:cs="Times New Roman"/>
          <w:b/>
          <w:lang w:val="lt-LT"/>
        </w:rPr>
        <w:t>Gaviscon</w:t>
      </w:r>
      <w:proofErr w:type="spellEnd"/>
      <w:r w:rsidRPr="00981E09">
        <w:rPr>
          <w:rFonts w:ascii="Times New Roman" w:eastAsia="Times New Roman" w:hAnsi="Times New Roman" w:cs="Times New Roman"/>
          <w:b/>
          <w:lang w:val="lt-LT"/>
        </w:rPr>
        <w:t xml:space="preserve"> </w:t>
      </w:r>
      <w:r w:rsidRPr="00981E09">
        <w:rPr>
          <w:rFonts w:ascii="Times New Roman" w:hAnsi="Times New Roman" w:cs="Times New Roman"/>
          <w:b/>
          <w:lang w:val="lt-LT"/>
        </w:rPr>
        <w:t>išvaizda ir kiekis pakuotėje</w:t>
      </w:r>
    </w:p>
    <w:p w:rsidR="0029726B" w:rsidRPr="00981E09" w:rsidRDefault="0029726B" w:rsidP="0029726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Plokščia, apvali, </w:t>
      </w:r>
      <w:proofErr w:type="spellStart"/>
      <w:r w:rsidRPr="00D730A5">
        <w:rPr>
          <w:rFonts w:ascii="Times New Roman" w:eastAsia="Times New Roman" w:hAnsi="Times New Roman" w:cs="Times New Roman"/>
          <w:lang w:val="lt-LT" w:eastAsia="lt-LT"/>
        </w:rPr>
        <w:t>dvisluoksnė</w:t>
      </w:r>
      <w:proofErr w:type="spellEnd"/>
      <w:r>
        <w:rPr>
          <w:rFonts w:ascii="Times New Roman" w:eastAsia="Times New Roman" w:hAnsi="Times New Roman" w:cs="Times New Roman"/>
          <w:lang w:val="lt-LT" w:eastAsia="lt-LT"/>
        </w:rPr>
        <w:t>, pipirmėčių skonio ir aromato</w:t>
      </w:r>
      <w:r w:rsidRPr="00D730A5">
        <w:rPr>
          <w:rFonts w:ascii="Times New Roman" w:eastAsia="Times New Roman" w:hAnsi="Times New Roman" w:cs="Times New Roman"/>
          <w:lang w:val="lt-LT" w:eastAsia="lt-LT"/>
        </w:rPr>
        <w:t xml:space="preserve"> kramtomo</w:t>
      </w:r>
      <w:r>
        <w:rPr>
          <w:rFonts w:ascii="Times New Roman" w:eastAsia="Times New Roman" w:hAnsi="Times New Roman" w:cs="Times New Roman"/>
          <w:lang w:val="lt-LT" w:eastAsia="lt-LT"/>
        </w:rPr>
        <w:t>sios</w:t>
      </w:r>
      <w:r w:rsidRPr="00D730A5">
        <w:rPr>
          <w:rFonts w:ascii="Times New Roman" w:eastAsia="Times New Roman" w:hAnsi="Times New Roman" w:cs="Times New Roman"/>
          <w:lang w:val="lt-LT" w:eastAsia="lt-LT"/>
        </w:rPr>
        <w:t xml:space="preserve"> tabletė</w:t>
      </w:r>
      <w:r>
        <w:rPr>
          <w:rFonts w:ascii="Times New Roman" w:eastAsia="Times New Roman" w:hAnsi="Times New Roman" w:cs="Times New Roman"/>
          <w:lang w:val="lt-LT" w:eastAsia="lt-LT"/>
        </w:rPr>
        <w:t xml:space="preserve">s. Vienas kramtomosios tabletės sluoksnis yra rausvas ir šiek tiek </w:t>
      </w:r>
      <w:r w:rsidRPr="00D730A5">
        <w:rPr>
          <w:rFonts w:ascii="Times New Roman" w:eastAsia="Times New Roman" w:hAnsi="Times New Roman" w:cs="Times New Roman"/>
          <w:lang w:val="lt-LT" w:eastAsia="lt-LT"/>
        </w:rPr>
        <w:t xml:space="preserve">margas su </w:t>
      </w:r>
      <w:r>
        <w:rPr>
          <w:rFonts w:ascii="Times New Roman" w:eastAsia="Times New Roman" w:hAnsi="Times New Roman" w:cs="Times New Roman"/>
          <w:lang w:val="lt-LT" w:eastAsia="lt-LT"/>
        </w:rPr>
        <w:t xml:space="preserve">žyme GDA </w:t>
      </w:r>
      <w:r w:rsidRPr="00D730A5">
        <w:rPr>
          <w:rFonts w:ascii="Times New Roman" w:eastAsia="Times New Roman" w:hAnsi="Times New Roman" w:cs="Times New Roman"/>
          <w:lang w:val="lt-LT" w:eastAsia="lt-LT"/>
        </w:rPr>
        <w:t>pavirši</w:t>
      </w:r>
      <w:r>
        <w:rPr>
          <w:rFonts w:ascii="Times New Roman" w:eastAsia="Times New Roman" w:hAnsi="Times New Roman" w:cs="Times New Roman"/>
          <w:lang w:val="lt-LT" w:eastAsia="lt-LT"/>
        </w:rPr>
        <w:t>uje</w:t>
      </w:r>
      <w:r w:rsidRPr="00D730A5">
        <w:rPr>
          <w:rFonts w:ascii="Times New Roman" w:eastAsia="Times New Roman" w:hAnsi="Times New Roman" w:cs="Times New Roman"/>
          <w:lang w:val="lt-LT" w:eastAsia="lt-LT"/>
        </w:rPr>
        <w:t>, o kitas</w:t>
      </w:r>
      <w:r>
        <w:rPr>
          <w:rFonts w:ascii="Times New Roman" w:eastAsia="Times New Roman" w:hAnsi="Times New Roman" w:cs="Times New Roman"/>
          <w:lang w:val="lt-LT" w:eastAsia="lt-LT"/>
        </w:rPr>
        <w:t xml:space="preserve"> sluoksnis yra</w:t>
      </w:r>
      <w:r w:rsidRPr="00D730A5">
        <w:rPr>
          <w:rFonts w:ascii="Times New Roman" w:eastAsia="Times New Roman" w:hAnsi="Times New Roman" w:cs="Times New Roman"/>
          <w:lang w:val="lt-LT" w:eastAsia="lt-LT"/>
        </w:rPr>
        <w:t xml:space="preserve"> baltas su kardo ir apskritimo </w:t>
      </w:r>
      <w:r>
        <w:rPr>
          <w:rFonts w:ascii="Times New Roman" w:eastAsia="Times New Roman" w:hAnsi="Times New Roman" w:cs="Times New Roman"/>
          <w:lang w:val="lt-LT" w:eastAsia="lt-LT"/>
        </w:rPr>
        <w:t>žyme paviršiuje.</w:t>
      </w:r>
    </w:p>
    <w:p w:rsidR="0029726B" w:rsidRDefault="0029726B" w:rsidP="0029726B">
      <w:pPr>
        <w:spacing w:after="0" w:line="240" w:lineRule="auto"/>
        <w:jc w:val="both"/>
        <w:rPr>
          <w:rFonts w:ascii="Times New Roman" w:eastAsia="Times New Roman" w:hAnsi="Times New Roman" w:cs="Times New Roman"/>
          <w:lang w:val="lt-LT" w:eastAsia="lt-LT"/>
        </w:rPr>
      </w:pPr>
    </w:p>
    <w:p w:rsidR="0029726B" w:rsidRPr="007A05FD" w:rsidRDefault="0029726B" w:rsidP="0029726B">
      <w:pPr>
        <w:spacing w:after="0" w:line="240" w:lineRule="auto"/>
        <w:jc w:val="both"/>
        <w:rPr>
          <w:rStyle w:val="y2iqfc"/>
          <w:rFonts w:asciiTheme="majorBidi" w:hAnsiTheme="majorBidi" w:cstheme="majorBidi"/>
          <w:color w:val="202124"/>
          <w:lang w:val="lt-LT"/>
        </w:rPr>
      </w:pPr>
      <w:r>
        <w:rPr>
          <w:rStyle w:val="y2iqfc"/>
          <w:rFonts w:asciiTheme="majorBidi" w:hAnsiTheme="majorBidi" w:cstheme="majorBidi"/>
          <w:color w:val="202124"/>
          <w:lang w:val="lt-LT"/>
        </w:rPr>
        <w:t xml:space="preserve">Šis vaistas tiekiamas pakuotėmis po </w:t>
      </w:r>
      <w:r w:rsidRPr="00B30814">
        <w:rPr>
          <w:rStyle w:val="y2iqfc"/>
          <w:rFonts w:asciiTheme="majorBidi" w:hAnsiTheme="majorBidi" w:cstheme="majorBidi"/>
          <w:color w:val="202124"/>
          <w:lang w:val="lt-LT"/>
        </w:rPr>
        <w:t>4, 6, 8, 12, 16, 24, 32, 48, 60, 64, 80 ir 112 kramtom</w:t>
      </w:r>
      <w:r w:rsidRPr="00B30814">
        <w:rPr>
          <w:rStyle w:val="y2iqfc"/>
          <w:rFonts w:asciiTheme="majorBidi" w:hAnsiTheme="majorBidi" w:cstheme="majorBidi" w:hint="eastAsia"/>
          <w:color w:val="202124"/>
          <w:lang w:val="lt-LT"/>
        </w:rPr>
        <w:t>ų</w:t>
      </w:r>
      <w:r w:rsidRPr="00B30814">
        <w:rPr>
          <w:rStyle w:val="y2iqfc"/>
          <w:rFonts w:asciiTheme="majorBidi" w:hAnsiTheme="majorBidi" w:cstheme="majorBidi"/>
          <w:color w:val="202124"/>
          <w:lang w:val="lt-LT"/>
        </w:rPr>
        <w:t>j</w:t>
      </w:r>
      <w:r w:rsidRPr="00B30814">
        <w:rPr>
          <w:rStyle w:val="y2iqfc"/>
          <w:rFonts w:asciiTheme="majorBidi" w:hAnsiTheme="majorBidi" w:cstheme="majorBidi" w:hint="eastAsia"/>
          <w:color w:val="202124"/>
          <w:lang w:val="lt-LT"/>
        </w:rPr>
        <w:t>ų</w:t>
      </w:r>
      <w:r w:rsidRPr="00B30814">
        <w:rPr>
          <w:rStyle w:val="y2iqfc"/>
          <w:rFonts w:asciiTheme="majorBidi" w:hAnsiTheme="majorBidi" w:cstheme="majorBidi"/>
          <w:color w:val="202124"/>
          <w:lang w:val="lt-LT"/>
        </w:rPr>
        <w:t xml:space="preserve"> table</w:t>
      </w:r>
      <w:r w:rsidRPr="00B30814">
        <w:rPr>
          <w:rStyle w:val="y2iqfc"/>
          <w:rFonts w:asciiTheme="majorBidi" w:hAnsiTheme="majorBidi" w:cstheme="majorBidi" w:hint="eastAsia"/>
          <w:color w:val="202124"/>
          <w:lang w:val="lt-LT"/>
        </w:rPr>
        <w:t>č</w:t>
      </w:r>
      <w:r w:rsidRPr="00B30814">
        <w:rPr>
          <w:rStyle w:val="y2iqfc"/>
          <w:rFonts w:asciiTheme="majorBidi" w:hAnsiTheme="majorBidi" w:cstheme="majorBidi"/>
          <w:color w:val="202124"/>
          <w:lang w:val="lt-LT"/>
        </w:rPr>
        <w:t>i</w:t>
      </w:r>
      <w:r w:rsidRPr="00B30814">
        <w:rPr>
          <w:rStyle w:val="y2iqfc"/>
          <w:rFonts w:asciiTheme="majorBidi" w:hAnsiTheme="majorBidi" w:cstheme="majorBidi" w:hint="eastAsia"/>
          <w:color w:val="202124"/>
          <w:lang w:val="lt-LT"/>
        </w:rPr>
        <w:t>ų</w:t>
      </w:r>
      <w:r w:rsidRPr="007A05FD">
        <w:rPr>
          <w:rStyle w:val="y2iqfc"/>
          <w:rFonts w:asciiTheme="majorBidi" w:hAnsiTheme="majorBidi" w:cstheme="majorBidi"/>
          <w:color w:val="202124"/>
          <w:lang w:val="lt-LT"/>
        </w:rPr>
        <w:t>.</w:t>
      </w:r>
    </w:p>
    <w:p w:rsidR="0029726B" w:rsidRDefault="0029726B" w:rsidP="0029726B">
      <w:pPr>
        <w:spacing w:after="0" w:line="240" w:lineRule="auto"/>
        <w:jc w:val="both"/>
        <w:rPr>
          <w:rFonts w:ascii="Times New Roman" w:hAnsi="Times New Roman" w:cs="Times New Roman"/>
          <w:noProof/>
          <w:lang w:val="lt-LT"/>
        </w:rPr>
      </w:pPr>
    </w:p>
    <w:p w:rsidR="0029726B" w:rsidRPr="00981E09" w:rsidRDefault="0029726B" w:rsidP="0029726B">
      <w:pPr>
        <w:spacing w:after="0" w:line="240" w:lineRule="auto"/>
        <w:jc w:val="both"/>
        <w:rPr>
          <w:rFonts w:ascii="Times New Roman" w:eastAsia="Times New Roman" w:hAnsi="Times New Roman" w:cs="Times New Roman"/>
          <w:lang w:val="lt-LT" w:eastAsia="lt-LT"/>
        </w:rPr>
      </w:pPr>
      <w:r w:rsidRPr="00981E09">
        <w:rPr>
          <w:rFonts w:ascii="Times New Roman" w:hAnsi="Times New Roman" w:cs="Times New Roman"/>
          <w:noProof/>
          <w:lang w:val="lt-LT"/>
        </w:rPr>
        <w:t>Gali būti tiekiamos ne visų dydžių pakuotės.</w:t>
      </w:r>
    </w:p>
    <w:p w:rsidR="0029726B" w:rsidRPr="00981E09" w:rsidRDefault="0029726B" w:rsidP="0029726B">
      <w:pPr>
        <w:spacing w:after="0" w:line="240" w:lineRule="auto"/>
        <w:jc w:val="both"/>
        <w:rPr>
          <w:rFonts w:ascii="Times New Roman" w:eastAsia="Times New Roman" w:hAnsi="Times New Roman" w:cs="Times New Roman"/>
          <w:lang w:val="lt-LT" w:eastAsia="lt-LT"/>
        </w:rPr>
      </w:pPr>
    </w:p>
    <w:p w:rsidR="0029726B" w:rsidRPr="00981E09" w:rsidRDefault="0029726B" w:rsidP="0029726B">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981E09">
        <w:rPr>
          <w:rFonts w:ascii="Times New Roman" w:eastAsia="Times New Roman" w:hAnsi="Times New Roman" w:cs="Times New Roman"/>
          <w:b/>
          <w:bCs/>
          <w:snapToGrid w:val="0"/>
          <w:lang w:val="lt-LT" w:eastAsia="x-none"/>
        </w:rPr>
        <w:t>Registruotojas ir gamintojas</w:t>
      </w:r>
    </w:p>
    <w:p w:rsidR="0029726B" w:rsidRPr="00981E09" w:rsidRDefault="0029726B" w:rsidP="0029726B">
      <w:pPr>
        <w:numPr>
          <w:ilvl w:val="12"/>
          <w:numId w:val="0"/>
        </w:numPr>
        <w:spacing w:after="0" w:line="240" w:lineRule="auto"/>
        <w:ind w:right="-2"/>
        <w:rPr>
          <w:rFonts w:ascii="Times New Roman" w:eastAsia="Times New Roman" w:hAnsi="Times New Roman" w:cs="Times New Roman"/>
          <w:snapToGrid w:val="0"/>
          <w:lang w:val="lt-LT"/>
        </w:rPr>
      </w:pPr>
    </w:p>
    <w:p w:rsidR="0029726B" w:rsidRPr="003D77B8" w:rsidRDefault="0029726B" w:rsidP="0029726B">
      <w:pPr>
        <w:widowControl w:val="0"/>
        <w:tabs>
          <w:tab w:val="left" w:pos="567"/>
        </w:tabs>
        <w:spacing w:after="0" w:line="240" w:lineRule="auto"/>
        <w:rPr>
          <w:rFonts w:ascii="Times New Roman" w:hAnsi="Times New Roman" w:cs="Times New Roman"/>
          <w:bCs/>
          <w:lang w:val="lt-LT"/>
        </w:rPr>
      </w:pPr>
      <w:r w:rsidRPr="003D77B8">
        <w:rPr>
          <w:rFonts w:ascii="Times New Roman" w:hAnsi="Times New Roman" w:cs="Times New Roman"/>
          <w:bCs/>
          <w:lang w:val="lt-LT"/>
        </w:rPr>
        <w:t>Registruotojas</w:t>
      </w:r>
    </w:p>
    <w:p w:rsidR="0029726B" w:rsidRPr="00981E09" w:rsidRDefault="0029726B" w:rsidP="0029726B">
      <w:pPr>
        <w:widowControl w:val="0"/>
        <w:tabs>
          <w:tab w:val="left" w:pos="567"/>
        </w:tabs>
        <w:spacing w:after="0" w:line="240" w:lineRule="auto"/>
        <w:rPr>
          <w:rFonts w:ascii="Times New Roman" w:hAnsi="Times New Roman" w:cs="Times New Roman"/>
          <w:lang w:val="lt-LT"/>
        </w:rPr>
      </w:pPr>
      <w:proofErr w:type="spellStart"/>
      <w:r w:rsidRPr="00981E09">
        <w:rPr>
          <w:rFonts w:ascii="Times New Roman" w:hAnsi="Times New Roman" w:cs="Times New Roman"/>
          <w:lang w:val="lt-LT"/>
        </w:rPr>
        <w:t>Reckitt</w:t>
      </w:r>
      <w:proofErr w:type="spellEnd"/>
      <w:r w:rsidRPr="00981E09">
        <w:rPr>
          <w:rFonts w:ascii="Times New Roman" w:hAnsi="Times New Roman" w:cs="Times New Roman"/>
          <w:lang w:val="lt-LT"/>
        </w:rPr>
        <w:t xml:space="preserve"> </w:t>
      </w:r>
      <w:proofErr w:type="spellStart"/>
      <w:r w:rsidRPr="00981E09">
        <w:rPr>
          <w:rFonts w:ascii="Times New Roman" w:hAnsi="Times New Roman" w:cs="Times New Roman"/>
          <w:lang w:val="lt-LT"/>
        </w:rPr>
        <w:t>Benckiser</w:t>
      </w:r>
      <w:proofErr w:type="spellEnd"/>
      <w:r w:rsidRPr="00981E09">
        <w:rPr>
          <w:rFonts w:ascii="Times New Roman" w:hAnsi="Times New Roman" w:cs="Times New Roman"/>
          <w:lang w:val="lt-LT"/>
        </w:rPr>
        <w:t xml:space="preserve"> (</w:t>
      </w:r>
      <w:proofErr w:type="spellStart"/>
      <w:r w:rsidRPr="00981E09">
        <w:rPr>
          <w:rFonts w:ascii="Times New Roman" w:hAnsi="Times New Roman" w:cs="Times New Roman"/>
          <w:lang w:val="lt-LT"/>
        </w:rPr>
        <w:t>Poland</w:t>
      </w:r>
      <w:proofErr w:type="spellEnd"/>
      <w:r w:rsidRPr="00981E09">
        <w:rPr>
          <w:rFonts w:ascii="Times New Roman" w:hAnsi="Times New Roman" w:cs="Times New Roman"/>
          <w:lang w:val="lt-LT"/>
        </w:rPr>
        <w:t>) S.A.</w:t>
      </w:r>
    </w:p>
    <w:p w:rsidR="0029726B" w:rsidRPr="00981E09" w:rsidRDefault="0029726B" w:rsidP="0029726B">
      <w:pPr>
        <w:widowControl w:val="0"/>
        <w:tabs>
          <w:tab w:val="left" w:pos="567"/>
        </w:tabs>
        <w:spacing w:after="0" w:line="240" w:lineRule="auto"/>
        <w:rPr>
          <w:rFonts w:ascii="Times New Roman" w:hAnsi="Times New Roman" w:cs="Times New Roman"/>
          <w:lang w:val="lt-LT"/>
        </w:rPr>
      </w:pPr>
      <w:proofErr w:type="spellStart"/>
      <w:r w:rsidRPr="00981E09">
        <w:rPr>
          <w:rFonts w:ascii="Times New Roman" w:hAnsi="Times New Roman" w:cs="Times New Roman"/>
          <w:lang w:val="lt-LT"/>
        </w:rPr>
        <w:t>ul</w:t>
      </w:r>
      <w:proofErr w:type="spellEnd"/>
      <w:r w:rsidRPr="00981E09">
        <w:rPr>
          <w:rFonts w:ascii="Times New Roman" w:hAnsi="Times New Roman" w:cs="Times New Roman"/>
          <w:lang w:val="lt-LT"/>
        </w:rPr>
        <w:t xml:space="preserve">. </w:t>
      </w:r>
      <w:proofErr w:type="spellStart"/>
      <w:r w:rsidRPr="00981E09">
        <w:rPr>
          <w:rFonts w:ascii="Times New Roman" w:hAnsi="Times New Roman" w:cs="Times New Roman"/>
          <w:lang w:val="lt-LT"/>
        </w:rPr>
        <w:t>Okunin</w:t>
      </w:r>
      <w:proofErr w:type="spellEnd"/>
      <w:r w:rsidRPr="00981E09">
        <w:rPr>
          <w:rFonts w:ascii="Times New Roman" w:hAnsi="Times New Roman" w:cs="Times New Roman"/>
          <w:lang w:val="lt-LT"/>
        </w:rPr>
        <w:t xml:space="preserve"> 1</w:t>
      </w:r>
    </w:p>
    <w:p w:rsidR="0029726B" w:rsidRPr="00981E09" w:rsidRDefault="0029726B" w:rsidP="0029726B">
      <w:pPr>
        <w:widowControl w:val="0"/>
        <w:tabs>
          <w:tab w:val="left" w:pos="567"/>
        </w:tabs>
        <w:spacing w:after="0" w:line="240" w:lineRule="auto"/>
        <w:rPr>
          <w:rFonts w:ascii="Times New Roman" w:hAnsi="Times New Roman" w:cs="Times New Roman"/>
          <w:lang w:val="lt-LT"/>
        </w:rPr>
      </w:pPr>
      <w:r w:rsidRPr="00981E09">
        <w:rPr>
          <w:rFonts w:ascii="Times New Roman" w:hAnsi="Times New Roman" w:cs="Times New Roman"/>
          <w:lang w:val="lt-LT"/>
        </w:rPr>
        <w:t xml:space="preserve">05-100 </w:t>
      </w:r>
      <w:proofErr w:type="spellStart"/>
      <w:r w:rsidRPr="00981E09">
        <w:rPr>
          <w:rFonts w:ascii="Times New Roman" w:hAnsi="Times New Roman" w:cs="Times New Roman"/>
          <w:lang w:val="lt-LT"/>
        </w:rPr>
        <w:t>Nowy</w:t>
      </w:r>
      <w:proofErr w:type="spellEnd"/>
      <w:r w:rsidRPr="00981E09">
        <w:rPr>
          <w:rFonts w:ascii="Times New Roman" w:hAnsi="Times New Roman" w:cs="Times New Roman"/>
          <w:lang w:val="lt-LT"/>
        </w:rPr>
        <w:t xml:space="preserve"> </w:t>
      </w:r>
      <w:proofErr w:type="spellStart"/>
      <w:r w:rsidRPr="00981E09">
        <w:rPr>
          <w:rFonts w:ascii="Times New Roman" w:hAnsi="Times New Roman" w:cs="Times New Roman"/>
          <w:lang w:val="lt-LT"/>
        </w:rPr>
        <w:t>Dwór</w:t>
      </w:r>
      <w:proofErr w:type="spellEnd"/>
      <w:r w:rsidRPr="00981E09">
        <w:rPr>
          <w:rFonts w:ascii="Times New Roman" w:hAnsi="Times New Roman" w:cs="Times New Roman"/>
          <w:lang w:val="lt-LT"/>
        </w:rPr>
        <w:t xml:space="preserve"> </w:t>
      </w:r>
      <w:proofErr w:type="spellStart"/>
      <w:r w:rsidRPr="00981E09">
        <w:rPr>
          <w:rFonts w:ascii="Times New Roman" w:hAnsi="Times New Roman" w:cs="Times New Roman"/>
          <w:lang w:val="lt-LT"/>
        </w:rPr>
        <w:t>Mazowiecki</w:t>
      </w:r>
      <w:proofErr w:type="spellEnd"/>
    </w:p>
    <w:p w:rsidR="0029726B" w:rsidRPr="00981E09" w:rsidRDefault="0029726B" w:rsidP="0029726B">
      <w:pPr>
        <w:widowControl w:val="0"/>
        <w:tabs>
          <w:tab w:val="left" w:pos="567"/>
        </w:tabs>
        <w:spacing w:after="0" w:line="240" w:lineRule="auto"/>
        <w:rPr>
          <w:rFonts w:ascii="Times New Roman" w:hAnsi="Times New Roman" w:cs="Times New Roman"/>
          <w:lang w:val="lt-LT"/>
        </w:rPr>
      </w:pPr>
      <w:r w:rsidRPr="00981E09">
        <w:rPr>
          <w:rFonts w:ascii="Times New Roman" w:hAnsi="Times New Roman" w:cs="Times New Roman"/>
          <w:lang w:val="lt-LT"/>
        </w:rPr>
        <w:t>Lenkija</w:t>
      </w:r>
    </w:p>
    <w:p w:rsidR="0029726B" w:rsidRPr="00981E09" w:rsidRDefault="0029726B" w:rsidP="0029726B">
      <w:pPr>
        <w:widowControl w:val="0"/>
        <w:tabs>
          <w:tab w:val="left" w:pos="567"/>
        </w:tabs>
        <w:spacing w:after="0" w:line="240" w:lineRule="auto"/>
        <w:rPr>
          <w:rFonts w:ascii="Times New Roman" w:hAnsi="Times New Roman" w:cs="Times New Roman"/>
          <w:lang w:val="lt-LT"/>
        </w:rPr>
      </w:pPr>
    </w:p>
    <w:p w:rsidR="0029726B" w:rsidRPr="003D77B8" w:rsidRDefault="0029726B" w:rsidP="0029726B">
      <w:pPr>
        <w:widowControl w:val="0"/>
        <w:tabs>
          <w:tab w:val="left" w:pos="567"/>
        </w:tabs>
        <w:spacing w:after="0" w:line="240" w:lineRule="auto"/>
        <w:rPr>
          <w:rFonts w:ascii="Times New Roman" w:hAnsi="Times New Roman" w:cs="Times New Roman"/>
          <w:bCs/>
          <w:lang w:val="lt-LT"/>
        </w:rPr>
      </w:pPr>
      <w:r w:rsidRPr="003D77B8">
        <w:rPr>
          <w:rFonts w:ascii="Times New Roman" w:hAnsi="Times New Roman" w:cs="Times New Roman"/>
          <w:bCs/>
          <w:lang w:val="lt-LT"/>
        </w:rPr>
        <w:t>Gamintojas</w:t>
      </w:r>
    </w:p>
    <w:p w:rsidR="0029726B" w:rsidRPr="00B30814" w:rsidRDefault="0029726B" w:rsidP="0029726B">
      <w:pPr>
        <w:spacing w:after="0"/>
        <w:rPr>
          <w:rFonts w:asciiTheme="majorBidi" w:hAnsiTheme="majorBidi" w:cstheme="majorBidi"/>
          <w:lang w:val="lt-LT"/>
        </w:rPr>
      </w:pPr>
      <w:r w:rsidRPr="00B30814">
        <w:rPr>
          <w:rFonts w:asciiTheme="majorBidi" w:hAnsiTheme="majorBidi" w:cstheme="majorBidi"/>
          <w:lang w:val="lt-LT"/>
        </w:rPr>
        <w:t xml:space="preserve">RB NL </w:t>
      </w:r>
      <w:proofErr w:type="spellStart"/>
      <w:r w:rsidRPr="00B30814">
        <w:rPr>
          <w:rFonts w:asciiTheme="majorBidi" w:hAnsiTheme="majorBidi" w:cstheme="majorBidi"/>
          <w:lang w:val="lt-LT"/>
        </w:rPr>
        <w:t>Brands</w:t>
      </w:r>
      <w:proofErr w:type="spellEnd"/>
      <w:r w:rsidRPr="00B30814">
        <w:rPr>
          <w:rFonts w:asciiTheme="majorBidi" w:hAnsiTheme="majorBidi" w:cstheme="majorBidi"/>
          <w:lang w:val="lt-LT"/>
        </w:rPr>
        <w:t xml:space="preserve"> B.V.</w:t>
      </w:r>
    </w:p>
    <w:p w:rsidR="0029726B" w:rsidRPr="00B30814" w:rsidRDefault="0029726B" w:rsidP="0029726B">
      <w:pPr>
        <w:spacing w:after="0"/>
        <w:rPr>
          <w:rFonts w:asciiTheme="majorBidi" w:hAnsiTheme="majorBidi" w:cstheme="majorBidi"/>
          <w:lang w:val="lt-LT"/>
        </w:rPr>
      </w:pPr>
      <w:proofErr w:type="spellStart"/>
      <w:r w:rsidRPr="00B30814">
        <w:rPr>
          <w:rFonts w:asciiTheme="majorBidi" w:hAnsiTheme="majorBidi" w:cstheme="majorBidi"/>
          <w:lang w:val="lt-LT"/>
        </w:rPr>
        <w:t>Schiphol</w:t>
      </w:r>
      <w:proofErr w:type="spellEnd"/>
      <w:r w:rsidRPr="00B30814">
        <w:rPr>
          <w:rFonts w:asciiTheme="majorBidi" w:hAnsiTheme="majorBidi" w:cstheme="majorBidi"/>
          <w:lang w:val="lt-LT"/>
        </w:rPr>
        <w:t xml:space="preserve"> </w:t>
      </w:r>
      <w:proofErr w:type="spellStart"/>
      <w:r w:rsidRPr="00B30814">
        <w:rPr>
          <w:rFonts w:asciiTheme="majorBidi" w:hAnsiTheme="majorBidi" w:cstheme="majorBidi"/>
          <w:lang w:val="lt-LT"/>
        </w:rPr>
        <w:t>Boulevard</w:t>
      </w:r>
      <w:proofErr w:type="spellEnd"/>
      <w:r w:rsidRPr="00B30814">
        <w:rPr>
          <w:rFonts w:asciiTheme="majorBidi" w:hAnsiTheme="majorBidi" w:cstheme="majorBidi"/>
          <w:lang w:val="lt-LT"/>
        </w:rPr>
        <w:t xml:space="preserve"> 207</w:t>
      </w:r>
    </w:p>
    <w:p w:rsidR="0029726B" w:rsidRPr="00B30814" w:rsidRDefault="0029726B" w:rsidP="0029726B">
      <w:pPr>
        <w:spacing w:after="0"/>
        <w:rPr>
          <w:rFonts w:asciiTheme="majorBidi" w:hAnsiTheme="majorBidi" w:cstheme="majorBidi"/>
          <w:lang w:val="lt-LT"/>
        </w:rPr>
      </w:pPr>
      <w:r w:rsidRPr="00B30814">
        <w:rPr>
          <w:rFonts w:asciiTheme="majorBidi" w:hAnsiTheme="majorBidi" w:cstheme="majorBidi"/>
          <w:lang w:val="lt-LT"/>
        </w:rPr>
        <w:t xml:space="preserve">1118 BH </w:t>
      </w:r>
      <w:proofErr w:type="spellStart"/>
      <w:r w:rsidRPr="00B30814">
        <w:rPr>
          <w:rFonts w:asciiTheme="majorBidi" w:hAnsiTheme="majorBidi" w:cstheme="majorBidi"/>
          <w:lang w:val="lt-LT"/>
        </w:rPr>
        <w:t>Schiphol</w:t>
      </w:r>
      <w:proofErr w:type="spellEnd"/>
    </w:p>
    <w:p w:rsidR="0029726B" w:rsidRPr="00B30814" w:rsidRDefault="0029726B" w:rsidP="0029726B">
      <w:pPr>
        <w:spacing w:after="0"/>
        <w:rPr>
          <w:rFonts w:asciiTheme="majorBidi" w:hAnsiTheme="majorBidi" w:cstheme="majorBidi"/>
          <w:lang w:val="lt-LT"/>
        </w:rPr>
      </w:pPr>
      <w:r w:rsidRPr="00B30814">
        <w:rPr>
          <w:rFonts w:asciiTheme="majorBidi" w:hAnsiTheme="majorBidi" w:cstheme="majorBidi"/>
          <w:lang w:val="lt-LT"/>
        </w:rPr>
        <w:t>Nyderlandai</w:t>
      </w:r>
    </w:p>
    <w:p w:rsidR="0029726B" w:rsidRPr="00981E09" w:rsidRDefault="0029726B" w:rsidP="0029726B">
      <w:pPr>
        <w:widowControl w:val="0"/>
        <w:tabs>
          <w:tab w:val="left" w:pos="567"/>
        </w:tabs>
        <w:spacing w:after="0" w:line="240" w:lineRule="auto"/>
        <w:ind w:left="567" w:hanging="567"/>
        <w:rPr>
          <w:rFonts w:ascii="Times New Roman" w:hAnsi="Times New Roman" w:cs="Times New Roman"/>
          <w:lang w:val="lt-LT"/>
        </w:rPr>
      </w:pPr>
    </w:p>
    <w:p w:rsidR="0029726B" w:rsidRPr="00981E09" w:rsidRDefault="0029726B" w:rsidP="0029726B">
      <w:pPr>
        <w:widowControl w:val="0"/>
        <w:tabs>
          <w:tab w:val="left" w:pos="567"/>
        </w:tabs>
        <w:spacing w:after="0" w:line="240" w:lineRule="auto"/>
        <w:rPr>
          <w:rFonts w:ascii="Times New Roman" w:hAnsi="Times New Roman" w:cs="Times New Roman"/>
          <w:lang w:val="lt-LT"/>
        </w:rPr>
      </w:pPr>
      <w:r w:rsidRPr="00981E09">
        <w:rPr>
          <w:rFonts w:ascii="Times New Roman" w:hAnsi="Times New Roman" w:cs="Times New Roman"/>
          <w:lang w:val="lt-LT"/>
        </w:rPr>
        <w:t>Jeigu apie šį vaistą norite sužinoti daugiau, kreipkitės į vietinį registruotojo atstovą.</w:t>
      </w:r>
    </w:p>
    <w:p w:rsidR="0029726B" w:rsidRPr="00981E09" w:rsidRDefault="0029726B" w:rsidP="0029726B">
      <w:pPr>
        <w:tabs>
          <w:tab w:val="left" w:pos="0"/>
          <w:tab w:val="left" w:pos="567"/>
        </w:tabs>
        <w:spacing w:after="0" w:line="240" w:lineRule="auto"/>
        <w:rPr>
          <w:rFonts w:ascii="Times New Roman" w:eastAsia="Times New Roman" w:hAnsi="Times New Roman" w:cs="Times New Roman"/>
          <w:lang w:val="lt-LT"/>
        </w:rPr>
      </w:pPr>
    </w:p>
    <w:p w:rsidR="0029726B" w:rsidRPr="00981E09" w:rsidRDefault="0029726B" w:rsidP="0029726B">
      <w:pPr>
        <w:tabs>
          <w:tab w:val="left" w:pos="0"/>
          <w:tab w:val="left" w:pos="567"/>
        </w:tabs>
        <w:spacing w:after="0" w:line="240" w:lineRule="auto"/>
        <w:rPr>
          <w:rFonts w:ascii="Times New Roman" w:eastAsia="Times New Roman" w:hAnsi="Times New Roman" w:cs="Times New Roman"/>
          <w:lang w:val="lt-LT"/>
        </w:rPr>
      </w:pPr>
      <w:r w:rsidRPr="00981E09">
        <w:rPr>
          <w:rFonts w:ascii="Times New Roman" w:eastAsia="Times New Roman" w:hAnsi="Times New Roman" w:cs="Times New Roman"/>
          <w:lang w:val="lt-LT"/>
        </w:rPr>
        <w:t>UAB “Baltijos Bitė”</w:t>
      </w:r>
    </w:p>
    <w:p w:rsidR="0029726B" w:rsidRPr="00981E09" w:rsidRDefault="0029726B" w:rsidP="0029726B">
      <w:pPr>
        <w:tabs>
          <w:tab w:val="left" w:pos="0"/>
        </w:tabs>
        <w:spacing w:after="0" w:line="240" w:lineRule="auto"/>
        <w:rPr>
          <w:rFonts w:ascii="Times New Roman" w:eastAsia="Times New Roman" w:hAnsi="Times New Roman" w:cs="Times New Roman"/>
          <w:bCs/>
          <w:noProof/>
          <w:lang w:val="lt-LT"/>
        </w:rPr>
      </w:pPr>
      <w:r w:rsidRPr="00981E09">
        <w:rPr>
          <w:rFonts w:ascii="Times New Roman" w:eastAsia="Times New Roman" w:hAnsi="Times New Roman" w:cs="Times New Roman"/>
          <w:bCs/>
          <w:noProof/>
          <w:lang w:val="lt-LT"/>
        </w:rPr>
        <w:t>Vytauto pr. 2</w:t>
      </w:r>
      <w:r>
        <w:rPr>
          <w:rFonts w:ascii="Times New Roman" w:eastAsia="Times New Roman" w:hAnsi="Times New Roman" w:cs="Times New Roman"/>
          <w:bCs/>
          <w:noProof/>
          <w:lang w:val="lt-LT"/>
        </w:rPr>
        <w:t>7-203</w:t>
      </w:r>
    </w:p>
    <w:p w:rsidR="0029726B" w:rsidRPr="00981E09" w:rsidRDefault="0029726B" w:rsidP="0029726B">
      <w:pPr>
        <w:tabs>
          <w:tab w:val="left" w:pos="0"/>
        </w:tabs>
        <w:spacing w:after="0" w:line="240" w:lineRule="auto"/>
        <w:rPr>
          <w:rFonts w:ascii="Times New Roman" w:eastAsia="Times New Roman" w:hAnsi="Times New Roman" w:cs="Times New Roman"/>
          <w:bCs/>
          <w:noProof/>
          <w:lang w:val="lt-LT"/>
        </w:rPr>
      </w:pPr>
      <w:r w:rsidRPr="00981E09">
        <w:rPr>
          <w:rFonts w:ascii="Times New Roman" w:eastAsia="Times New Roman" w:hAnsi="Times New Roman" w:cs="Times New Roman"/>
          <w:bCs/>
          <w:noProof/>
          <w:lang w:val="lt-LT"/>
        </w:rPr>
        <w:t>LT-44352 Kaunas</w:t>
      </w:r>
    </w:p>
    <w:p w:rsidR="0029726B" w:rsidRPr="00981E09" w:rsidRDefault="0029726B" w:rsidP="0029726B">
      <w:pPr>
        <w:widowControl w:val="0"/>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981E09">
        <w:rPr>
          <w:rFonts w:ascii="Times New Roman" w:eastAsia="Times New Roman" w:hAnsi="Times New Roman" w:cs="Times New Roman"/>
          <w:lang w:val="lt-LT"/>
        </w:rPr>
        <w:t>Tel</w:t>
      </w:r>
      <w:r>
        <w:rPr>
          <w:rFonts w:ascii="Times New Roman" w:eastAsia="Times New Roman" w:hAnsi="Times New Roman" w:cs="Times New Roman"/>
          <w:lang w:val="lt-LT"/>
        </w:rPr>
        <w:t>.</w:t>
      </w:r>
      <w:r w:rsidRPr="00981E09">
        <w:rPr>
          <w:rFonts w:ascii="Times New Roman" w:eastAsia="Times New Roman" w:hAnsi="Times New Roman" w:cs="Times New Roman"/>
          <w:lang w:val="lt-LT"/>
        </w:rPr>
        <w:t xml:space="preserve"> +370 37 204896</w:t>
      </w:r>
    </w:p>
    <w:p w:rsidR="0029726B" w:rsidRPr="00981E09" w:rsidRDefault="0029726B" w:rsidP="0029726B">
      <w:pPr>
        <w:numPr>
          <w:ilvl w:val="12"/>
          <w:numId w:val="0"/>
        </w:numPr>
        <w:tabs>
          <w:tab w:val="left" w:pos="567"/>
        </w:tabs>
        <w:spacing w:after="0" w:line="260" w:lineRule="exact"/>
        <w:ind w:right="-2"/>
        <w:rPr>
          <w:rFonts w:ascii="Times New Roman" w:eastAsia="Times New Roman" w:hAnsi="Times New Roman" w:cs="Times New Roman"/>
          <w:snapToGrid w:val="0"/>
          <w:lang w:val="lt-LT"/>
        </w:rPr>
      </w:pPr>
    </w:p>
    <w:p w:rsidR="0029726B" w:rsidRPr="00981E09" w:rsidRDefault="0029726B" w:rsidP="0029726B">
      <w:pPr>
        <w:numPr>
          <w:ilvl w:val="12"/>
          <w:numId w:val="0"/>
        </w:numPr>
        <w:tabs>
          <w:tab w:val="left" w:pos="567"/>
        </w:tabs>
        <w:spacing w:after="0" w:line="260" w:lineRule="exact"/>
        <w:ind w:right="-2"/>
        <w:rPr>
          <w:rFonts w:ascii="Times New Roman" w:eastAsia="Times New Roman" w:hAnsi="Times New Roman" w:cs="Times New Roman"/>
          <w:snapToGrid w:val="0"/>
          <w:lang w:val="lt-LT"/>
        </w:rPr>
      </w:pPr>
      <w:r w:rsidRPr="00981E09">
        <w:rPr>
          <w:rFonts w:ascii="Times New Roman" w:eastAsia="Times New Roman" w:hAnsi="Times New Roman" w:cs="Times New Roman"/>
          <w:b/>
          <w:snapToGrid w:val="0"/>
          <w:lang w:val="lt-LT"/>
        </w:rPr>
        <w:t>Šis vaistas E</w:t>
      </w:r>
      <w:r>
        <w:rPr>
          <w:rFonts w:ascii="Times New Roman" w:eastAsia="Times New Roman" w:hAnsi="Times New Roman" w:cs="Times New Roman"/>
          <w:b/>
          <w:snapToGrid w:val="0"/>
          <w:lang w:val="lt-LT"/>
        </w:rPr>
        <w:t>uropos ekonominės erdvės</w:t>
      </w:r>
      <w:r w:rsidRPr="00981E09">
        <w:rPr>
          <w:rFonts w:ascii="Times New Roman" w:eastAsia="Times New Roman" w:hAnsi="Times New Roman" w:cs="Times New Roman"/>
          <w:b/>
          <w:snapToGrid w:val="0"/>
          <w:lang w:val="lt-LT"/>
        </w:rPr>
        <w:t xml:space="preserve"> valstybėse narėse registruotas tokiais pavadinimais</w:t>
      </w:r>
      <w:r w:rsidRPr="00981E09">
        <w:rPr>
          <w:rFonts w:ascii="Times New Roman" w:eastAsia="Times New Roman" w:hAnsi="Times New Roman" w:cs="Times New Roman"/>
          <w:snapToGrid w:val="0"/>
          <w:lang w:val="lt-LT"/>
        </w:rPr>
        <w:t>:</w:t>
      </w:r>
    </w:p>
    <w:p w:rsidR="0029726B" w:rsidRPr="00331B37" w:rsidRDefault="0029726B" w:rsidP="0029726B">
      <w:pPr>
        <w:tabs>
          <w:tab w:val="left" w:pos="567"/>
        </w:tabs>
        <w:spacing w:after="0" w:line="260" w:lineRule="exact"/>
        <w:ind w:left="567" w:hanging="567"/>
        <w:rPr>
          <w:rFonts w:asciiTheme="majorBidi" w:eastAsia="Times New Roman" w:hAnsiTheme="majorBidi" w:cstheme="majorBidi"/>
          <w:snapToGrid w:val="0"/>
          <w:lang w:val="lt-LT"/>
        </w:rPr>
      </w:pPr>
      <w:r w:rsidRPr="003D77B8">
        <w:rPr>
          <w:rFonts w:asciiTheme="majorBidi" w:hAnsiTheme="majorBidi" w:cstheme="majorBidi"/>
          <w:color w:val="000000"/>
          <w:lang w:val="lt-LT"/>
        </w:rPr>
        <w:t>Nyderlandai</w:t>
      </w:r>
      <w:r w:rsidRPr="003D77B8">
        <w:rPr>
          <w:rFonts w:asciiTheme="majorBidi" w:eastAsia="Times New Roman" w:hAnsiTheme="majorBidi" w:cstheme="majorBidi"/>
          <w:snapToGrid w:val="0"/>
          <w:lang w:val="lt-LT"/>
        </w:rPr>
        <w:tab/>
      </w:r>
      <w:proofErr w:type="spellStart"/>
      <w:r w:rsidRPr="00331B37">
        <w:rPr>
          <w:rFonts w:asciiTheme="majorBidi" w:hAnsiTheme="majorBidi" w:cstheme="majorBidi"/>
          <w:color w:val="000000"/>
          <w:lang w:val="lt-LT"/>
        </w:rPr>
        <w:t>Gaviscon</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Duo</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muntsmaak</w:t>
      </w:r>
      <w:proofErr w:type="spellEnd"/>
      <w:r w:rsidRPr="00331B37">
        <w:rPr>
          <w:rFonts w:asciiTheme="majorBidi" w:hAnsiTheme="majorBidi" w:cstheme="majorBidi"/>
          <w:color w:val="000000"/>
          <w:lang w:val="lt-LT"/>
        </w:rPr>
        <w:t xml:space="preserve"> 250 mg /106,5 mg/187,5 mg, </w:t>
      </w:r>
      <w:proofErr w:type="spellStart"/>
      <w:r w:rsidRPr="00331B37">
        <w:rPr>
          <w:rFonts w:asciiTheme="majorBidi" w:hAnsiTheme="majorBidi" w:cstheme="majorBidi"/>
          <w:color w:val="000000"/>
          <w:lang w:val="lt-LT"/>
        </w:rPr>
        <w:t>kauwtabletten</w:t>
      </w:r>
      <w:proofErr w:type="spellEnd"/>
    </w:p>
    <w:p w:rsidR="0029726B" w:rsidRPr="00331B37" w:rsidRDefault="0029726B" w:rsidP="0029726B">
      <w:pPr>
        <w:tabs>
          <w:tab w:val="left" w:pos="567"/>
        </w:tabs>
        <w:spacing w:after="0" w:line="260" w:lineRule="exact"/>
        <w:ind w:left="1276" w:hanging="1276"/>
        <w:rPr>
          <w:rFonts w:asciiTheme="majorBidi" w:eastAsia="Times New Roman" w:hAnsiTheme="majorBidi" w:cstheme="majorBidi"/>
          <w:snapToGrid w:val="0"/>
          <w:lang w:val="lt-LT"/>
        </w:rPr>
      </w:pPr>
      <w:r w:rsidRPr="00331B37">
        <w:rPr>
          <w:rFonts w:asciiTheme="majorBidi" w:eastAsia="Times New Roman" w:hAnsiTheme="majorBidi" w:cstheme="majorBidi"/>
          <w:snapToGrid w:val="0"/>
          <w:lang w:val="lt-LT"/>
        </w:rPr>
        <w:t>Austrija</w:t>
      </w:r>
      <w:r w:rsidRPr="00331B37">
        <w:rPr>
          <w:rFonts w:asciiTheme="majorBidi" w:eastAsia="Times New Roman" w:hAnsiTheme="majorBidi" w:cstheme="majorBidi"/>
          <w:snapToGrid w:val="0"/>
          <w:lang w:val="lt-LT"/>
        </w:rPr>
        <w:tab/>
      </w:r>
      <w:r>
        <w:rPr>
          <w:rFonts w:asciiTheme="majorBidi" w:eastAsia="Times New Roman" w:hAnsiTheme="majorBidi" w:cstheme="majorBidi"/>
          <w:snapToGrid w:val="0"/>
          <w:lang w:val="lt-LT"/>
        </w:rPr>
        <w:t xml:space="preserve"> </w:t>
      </w:r>
      <w:r w:rsidRPr="00331B37">
        <w:rPr>
          <w:rFonts w:asciiTheme="majorBidi" w:eastAsia="Times New Roman" w:hAnsiTheme="majorBidi" w:cstheme="majorBidi"/>
          <w:snapToGrid w:val="0"/>
          <w:lang w:val="lt-LT"/>
        </w:rPr>
        <w:t xml:space="preserve">GAVISCON DUAL MINTGESCHMACK 250 mg/106,5 mg/187,5 mg </w:t>
      </w:r>
      <w:proofErr w:type="spellStart"/>
      <w:r w:rsidRPr="00331B37">
        <w:rPr>
          <w:rFonts w:asciiTheme="majorBidi" w:eastAsia="Times New Roman" w:hAnsiTheme="majorBidi" w:cstheme="majorBidi"/>
          <w:snapToGrid w:val="0"/>
          <w:lang w:val="lt-LT"/>
        </w:rPr>
        <w:t>Kautabletten</w:t>
      </w:r>
      <w:proofErr w:type="spellEnd"/>
    </w:p>
    <w:p w:rsidR="0029726B" w:rsidRPr="00331B37" w:rsidRDefault="0029726B" w:rsidP="0029726B">
      <w:pPr>
        <w:tabs>
          <w:tab w:val="left" w:pos="567"/>
        </w:tabs>
        <w:spacing w:after="0" w:line="260" w:lineRule="exact"/>
        <w:ind w:left="567" w:hanging="567"/>
        <w:rPr>
          <w:rFonts w:asciiTheme="majorBidi" w:hAnsiTheme="majorBidi" w:cstheme="majorBidi"/>
          <w:color w:val="000000"/>
          <w:lang w:val="lt-LT"/>
        </w:rPr>
      </w:pPr>
      <w:r w:rsidRPr="00331B37">
        <w:rPr>
          <w:rFonts w:asciiTheme="majorBidi" w:eastAsia="Times New Roman" w:hAnsiTheme="majorBidi" w:cstheme="majorBidi"/>
          <w:snapToGrid w:val="0"/>
          <w:lang w:val="lt-LT"/>
        </w:rPr>
        <w:t>Bulgarija</w:t>
      </w:r>
      <w:r w:rsidRPr="00331B37">
        <w:rPr>
          <w:rFonts w:asciiTheme="majorBidi" w:eastAsia="Times New Roman" w:hAnsiTheme="majorBidi" w:cstheme="majorBidi"/>
          <w:snapToGrid w:val="0"/>
          <w:lang w:val="lt-LT"/>
        </w:rPr>
        <w:tab/>
      </w:r>
      <w:proofErr w:type="spellStart"/>
      <w:r w:rsidRPr="00331B37">
        <w:rPr>
          <w:rFonts w:asciiTheme="majorBidi" w:hAnsiTheme="majorBidi" w:cstheme="majorBidi"/>
          <w:color w:val="000000"/>
          <w:lang w:val="lt-LT"/>
        </w:rPr>
        <w:t>Gaviscon</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Double</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Action</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Peppermint</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chewable</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tablets</w:t>
      </w:r>
      <w:proofErr w:type="spellEnd"/>
      <w:r w:rsidRPr="00331B37">
        <w:rPr>
          <w:rFonts w:asciiTheme="majorBidi" w:hAnsiTheme="majorBidi" w:cstheme="majorBidi"/>
          <w:color w:val="000000"/>
          <w:lang w:val="lt-LT"/>
        </w:rPr>
        <w:t xml:space="preserve"> – </w:t>
      </w:r>
    </w:p>
    <w:p w:rsidR="0029726B" w:rsidRPr="00331B37" w:rsidRDefault="0029726B" w:rsidP="0029726B">
      <w:pPr>
        <w:tabs>
          <w:tab w:val="left" w:pos="567"/>
        </w:tabs>
        <w:spacing w:after="0" w:line="260" w:lineRule="exact"/>
        <w:ind w:left="567" w:hanging="567"/>
        <w:rPr>
          <w:rFonts w:asciiTheme="majorBidi" w:hAnsiTheme="majorBidi" w:cstheme="majorBidi"/>
          <w:color w:val="000000"/>
          <w:lang w:val="lt-LT"/>
        </w:rPr>
      </w:pPr>
      <w:r w:rsidRPr="00331B37">
        <w:rPr>
          <w:rFonts w:asciiTheme="majorBidi" w:eastAsia="Times New Roman" w:hAnsiTheme="majorBidi" w:cstheme="majorBidi"/>
          <w:snapToGrid w:val="0"/>
          <w:lang w:val="lt-LT"/>
        </w:rPr>
        <w:tab/>
      </w:r>
      <w:r w:rsidRPr="00331B37">
        <w:rPr>
          <w:rFonts w:asciiTheme="majorBidi" w:eastAsia="Times New Roman" w:hAnsiTheme="majorBidi" w:cstheme="majorBidi"/>
          <w:snapToGrid w:val="0"/>
          <w:lang w:val="lt-LT"/>
        </w:rPr>
        <w:tab/>
      </w:r>
      <w:r w:rsidRPr="00331B37">
        <w:rPr>
          <w:rFonts w:asciiTheme="majorBidi" w:eastAsia="Times New Roman" w:hAnsiTheme="majorBidi" w:cstheme="majorBidi"/>
          <w:snapToGrid w:val="0"/>
          <w:lang w:val="lt-LT"/>
        </w:rPr>
        <w:tab/>
      </w:r>
    </w:p>
    <w:p w:rsidR="0029726B" w:rsidRPr="00331B37" w:rsidRDefault="0029726B" w:rsidP="0029726B">
      <w:pPr>
        <w:tabs>
          <w:tab w:val="left" w:pos="567"/>
        </w:tabs>
        <w:spacing w:after="0" w:line="260" w:lineRule="exact"/>
        <w:ind w:hanging="567"/>
        <w:rPr>
          <w:rFonts w:asciiTheme="majorBidi" w:hAnsiTheme="majorBidi" w:cstheme="majorBidi"/>
          <w:color w:val="333333"/>
          <w:lang w:val="lt-LT"/>
        </w:rPr>
      </w:pPr>
      <w:r w:rsidRPr="00331B37">
        <w:rPr>
          <w:rFonts w:asciiTheme="majorBidi" w:hAnsiTheme="majorBidi" w:cstheme="majorBidi"/>
          <w:color w:val="000000"/>
          <w:lang w:val="lt-LT"/>
        </w:rPr>
        <w:tab/>
      </w:r>
      <w:r>
        <w:rPr>
          <w:rFonts w:asciiTheme="majorBidi" w:hAnsiTheme="majorBidi" w:cstheme="majorBidi"/>
          <w:color w:val="000000"/>
          <w:lang w:val="lt-LT"/>
        </w:rPr>
        <w:t>Danija</w:t>
      </w:r>
      <w:r>
        <w:rPr>
          <w:rFonts w:asciiTheme="majorBidi" w:hAnsiTheme="majorBidi" w:cstheme="majorBidi"/>
          <w:color w:val="000000"/>
          <w:lang w:val="lt-LT"/>
        </w:rPr>
        <w:tab/>
      </w:r>
      <w:proofErr w:type="spellStart"/>
      <w:r w:rsidRPr="00331B37">
        <w:rPr>
          <w:rFonts w:asciiTheme="majorBidi" w:hAnsiTheme="majorBidi" w:cstheme="majorBidi"/>
          <w:color w:val="333333"/>
          <w:lang w:val="lt-LT"/>
        </w:rPr>
        <w:t>Galieve</w:t>
      </w:r>
      <w:proofErr w:type="spellEnd"/>
      <w:r w:rsidRPr="00331B37">
        <w:rPr>
          <w:rFonts w:asciiTheme="majorBidi" w:hAnsiTheme="majorBidi" w:cstheme="majorBidi"/>
          <w:color w:val="333333"/>
          <w:lang w:val="lt-LT"/>
        </w:rPr>
        <w:t xml:space="preserve"> </w:t>
      </w:r>
      <w:proofErr w:type="spellStart"/>
      <w:r w:rsidRPr="00331B37">
        <w:rPr>
          <w:rFonts w:asciiTheme="majorBidi" w:hAnsiTheme="majorBidi" w:cstheme="majorBidi"/>
          <w:color w:val="333333"/>
          <w:lang w:val="lt-LT"/>
        </w:rPr>
        <w:t>Extra</w:t>
      </w:r>
      <w:proofErr w:type="spellEnd"/>
      <w:r w:rsidRPr="00331B37">
        <w:rPr>
          <w:rFonts w:asciiTheme="majorBidi" w:hAnsiTheme="majorBidi" w:cstheme="majorBidi"/>
          <w:color w:val="333333"/>
          <w:lang w:val="lt-LT"/>
        </w:rPr>
        <w:t xml:space="preserve"> </w:t>
      </w:r>
      <w:proofErr w:type="spellStart"/>
      <w:r w:rsidRPr="00331B37">
        <w:rPr>
          <w:rFonts w:asciiTheme="majorBidi" w:hAnsiTheme="majorBidi" w:cstheme="majorBidi"/>
          <w:color w:val="333333"/>
          <w:lang w:val="lt-LT"/>
        </w:rPr>
        <w:t>Peppermint</w:t>
      </w:r>
      <w:proofErr w:type="spellEnd"/>
    </w:p>
    <w:p w:rsidR="0029726B" w:rsidRPr="00331B37" w:rsidRDefault="0029726B" w:rsidP="0029726B">
      <w:pPr>
        <w:tabs>
          <w:tab w:val="left" w:pos="567"/>
        </w:tabs>
        <w:spacing w:after="0" w:line="260" w:lineRule="exact"/>
        <w:ind w:hanging="567"/>
        <w:rPr>
          <w:rFonts w:asciiTheme="majorBidi" w:hAnsiTheme="majorBidi" w:cstheme="majorBidi"/>
          <w:color w:val="000000"/>
          <w:lang w:val="lt-LT"/>
        </w:rPr>
      </w:pPr>
      <w:r w:rsidRPr="00331B37">
        <w:rPr>
          <w:rFonts w:asciiTheme="majorBidi" w:hAnsiTheme="majorBidi" w:cstheme="majorBidi"/>
          <w:color w:val="000000"/>
          <w:lang w:val="lt-LT"/>
        </w:rPr>
        <w:tab/>
      </w:r>
      <w:r>
        <w:rPr>
          <w:rFonts w:asciiTheme="majorBidi" w:hAnsiTheme="majorBidi" w:cstheme="majorBidi"/>
          <w:color w:val="000000"/>
          <w:lang w:val="lt-LT"/>
        </w:rPr>
        <w:t>Estija</w:t>
      </w:r>
      <w:r>
        <w:rPr>
          <w:rFonts w:asciiTheme="majorBidi" w:hAnsiTheme="majorBidi" w:cstheme="majorBidi"/>
          <w:color w:val="000000"/>
          <w:lang w:val="lt-LT"/>
        </w:rPr>
        <w:tab/>
      </w:r>
      <w:r>
        <w:rPr>
          <w:rFonts w:asciiTheme="majorBidi" w:hAnsiTheme="majorBidi" w:cstheme="majorBidi"/>
          <w:color w:val="000000"/>
          <w:lang w:val="lt-LT"/>
        </w:rPr>
        <w:tab/>
      </w:r>
      <w:proofErr w:type="spellStart"/>
      <w:r w:rsidRPr="00331B37">
        <w:rPr>
          <w:rFonts w:asciiTheme="majorBidi" w:hAnsiTheme="majorBidi" w:cstheme="majorBidi"/>
          <w:color w:val="000000"/>
          <w:lang w:val="lt-LT"/>
        </w:rPr>
        <w:t>Gaviscon</w:t>
      </w:r>
      <w:proofErr w:type="spellEnd"/>
    </w:p>
    <w:p w:rsidR="0029726B" w:rsidRPr="00331B37" w:rsidRDefault="0029726B" w:rsidP="0029726B">
      <w:pPr>
        <w:tabs>
          <w:tab w:val="left" w:pos="567"/>
        </w:tabs>
        <w:spacing w:after="0" w:line="260" w:lineRule="exact"/>
        <w:ind w:hanging="567"/>
        <w:rPr>
          <w:rFonts w:asciiTheme="majorBidi" w:hAnsiTheme="majorBidi" w:cstheme="majorBidi"/>
          <w:color w:val="333333"/>
          <w:lang w:val="lt-LT"/>
        </w:rPr>
      </w:pPr>
      <w:r w:rsidRPr="00331B37">
        <w:rPr>
          <w:rFonts w:asciiTheme="majorBidi" w:hAnsiTheme="majorBidi" w:cstheme="majorBidi"/>
          <w:color w:val="000000"/>
          <w:lang w:val="lt-LT"/>
        </w:rPr>
        <w:tab/>
        <w:t>Suomija</w:t>
      </w:r>
      <w:r w:rsidRPr="00331B37">
        <w:rPr>
          <w:rFonts w:asciiTheme="majorBidi" w:hAnsiTheme="majorBidi" w:cstheme="majorBidi"/>
          <w:color w:val="000000"/>
          <w:lang w:val="lt-LT"/>
        </w:rPr>
        <w:tab/>
      </w:r>
      <w:proofErr w:type="spellStart"/>
      <w:r w:rsidRPr="00331B37">
        <w:rPr>
          <w:rFonts w:asciiTheme="majorBidi" w:hAnsiTheme="majorBidi" w:cstheme="majorBidi"/>
          <w:color w:val="333333"/>
          <w:lang w:val="lt-LT"/>
        </w:rPr>
        <w:t>Galieve</w:t>
      </w:r>
      <w:proofErr w:type="spellEnd"/>
      <w:r w:rsidRPr="00331B37">
        <w:rPr>
          <w:rFonts w:asciiTheme="majorBidi" w:hAnsiTheme="majorBidi" w:cstheme="majorBidi"/>
          <w:color w:val="333333"/>
          <w:lang w:val="lt-LT"/>
        </w:rPr>
        <w:t xml:space="preserve"> </w:t>
      </w:r>
      <w:proofErr w:type="spellStart"/>
      <w:r w:rsidRPr="00331B37">
        <w:rPr>
          <w:rFonts w:asciiTheme="majorBidi" w:hAnsiTheme="majorBidi" w:cstheme="majorBidi"/>
          <w:color w:val="333333"/>
          <w:lang w:val="lt-LT"/>
        </w:rPr>
        <w:t>Dual</w:t>
      </w:r>
      <w:proofErr w:type="spellEnd"/>
      <w:r w:rsidRPr="00331B37">
        <w:rPr>
          <w:rFonts w:asciiTheme="majorBidi" w:hAnsiTheme="majorBidi" w:cstheme="majorBidi"/>
          <w:color w:val="333333"/>
          <w:lang w:val="lt-LT"/>
        </w:rPr>
        <w:t xml:space="preserve"> </w:t>
      </w:r>
      <w:proofErr w:type="spellStart"/>
      <w:r w:rsidRPr="00331B37">
        <w:rPr>
          <w:rFonts w:asciiTheme="majorBidi" w:hAnsiTheme="majorBidi" w:cstheme="majorBidi"/>
          <w:color w:val="333333"/>
          <w:lang w:val="lt-LT"/>
        </w:rPr>
        <w:t>Peppermint</w:t>
      </w:r>
      <w:proofErr w:type="spellEnd"/>
    </w:p>
    <w:p w:rsidR="0029726B" w:rsidRPr="00331B37" w:rsidRDefault="0029726B" w:rsidP="0029726B">
      <w:pPr>
        <w:tabs>
          <w:tab w:val="left" w:pos="567"/>
        </w:tabs>
        <w:spacing w:after="0" w:line="260" w:lineRule="exact"/>
        <w:ind w:left="1440" w:hanging="1440"/>
        <w:rPr>
          <w:rFonts w:asciiTheme="majorBidi" w:hAnsiTheme="majorBidi" w:cstheme="majorBidi"/>
          <w:color w:val="000000"/>
          <w:lang w:val="lt-LT"/>
        </w:rPr>
      </w:pPr>
      <w:r w:rsidRPr="00331B37">
        <w:rPr>
          <w:rFonts w:asciiTheme="majorBidi" w:hAnsiTheme="majorBidi" w:cstheme="majorBidi"/>
          <w:color w:val="000000"/>
          <w:lang w:val="lt-LT"/>
        </w:rPr>
        <w:t>Prancūzija</w:t>
      </w:r>
      <w:r w:rsidRPr="00331B37">
        <w:rPr>
          <w:rFonts w:asciiTheme="majorBidi" w:hAnsiTheme="majorBidi" w:cstheme="majorBidi"/>
          <w:color w:val="000000"/>
          <w:lang w:val="lt-LT"/>
        </w:rPr>
        <w:tab/>
      </w:r>
      <w:proofErr w:type="spellStart"/>
      <w:r w:rsidRPr="00331B37">
        <w:rPr>
          <w:rFonts w:asciiTheme="majorBidi" w:hAnsiTheme="majorBidi" w:cstheme="majorBidi"/>
          <w:lang w:val="lt-LT"/>
        </w:rPr>
        <w:t>Gaviscon</w:t>
      </w:r>
      <w:proofErr w:type="spellEnd"/>
      <w:r w:rsidRPr="00331B37">
        <w:rPr>
          <w:rFonts w:asciiTheme="majorBidi" w:hAnsiTheme="majorBidi" w:cstheme="majorBidi"/>
          <w:lang w:val="lt-LT"/>
        </w:rPr>
        <w:t xml:space="preserve"> </w:t>
      </w:r>
      <w:proofErr w:type="spellStart"/>
      <w:r w:rsidRPr="00331B37">
        <w:rPr>
          <w:rFonts w:asciiTheme="majorBidi" w:hAnsiTheme="majorBidi" w:cstheme="majorBidi"/>
          <w:lang w:val="lt-LT"/>
        </w:rPr>
        <w:t>Antiacide</w:t>
      </w:r>
      <w:proofErr w:type="spellEnd"/>
      <w:r w:rsidRPr="00331B37">
        <w:rPr>
          <w:rFonts w:asciiTheme="majorBidi" w:hAnsiTheme="majorBidi" w:cstheme="majorBidi"/>
          <w:lang w:val="lt-LT"/>
        </w:rPr>
        <w:t xml:space="preserve"> – </w:t>
      </w:r>
      <w:proofErr w:type="spellStart"/>
      <w:r w:rsidRPr="00331B37">
        <w:rPr>
          <w:rFonts w:asciiTheme="majorBidi" w:hAnsiTheme="majorBidi" w:cstheme="majorBidi"/>
          <w:lang w:val="lt-LT"/>
        </w:rPr>
        <w:t>Antireflux</w:t>
      </w:r>
      <w:proofErr w:type="spellEnd"/>
      <w:r w:rsidRPr="00331B37">
        <w:rPr>
          <w:rFonts w:asciiTheme="majorBidi" w:hAnsiTheme="majorBidi" w:cstheme="majorBidi"/>
          <w:color w:val="000000"/>
          <w:lang w:val="lt-LT"/>
        </w:rPr>
        <w:t> MENTHE</w:t>
      </w:r>
    </w:p>
    <w:p w:rsidR="0029726B" w:rsidRPr="00331B37" w:rsidRDefault="0029726B" w:rsidP="0029726B">
      <w:pPr>
        <w:tabs>
          <w:tab w:val="left" w:pos="567"/>
        </w:tabs>
        <w:spacing w:after="0" w:line="260" w:lineRule="exact"/>
        <w:ind w:left="1440" w:hanging="1440"/>
        <w:rPr>
          <w:rFonts w:asciiTheme="majorBidi" w:hAnsiTheme="majorBidi" w:cstheme="majorBidi"/>
          <w:color w:val="000000"/>
          <w:lang w:val="lt-LT"/>
        </w:rPr>
      </w:pPr>
      <w:r w:rsidRPr="00331B37">
        <w:rPr>
          <w:rFonts w:asciiTheme="majorBidi" w:hAnsiTheme="majorBidi" w:cstheme="majorBidi"/>
          <w:color w:val="000000"/>
          <w:lang w:val="lt-LT"/>
        </w:rPr>
        <w:t xml:space="preserve">SANS SUCRE, </w:t>
      </w:r>
      <w:proofErr w:type="spellStart"/>
      <w:r w:rsidRPr="00331B37">
        <w:rPr>
          <w:rFonts w:asciiTheme="majorBidi" w:hAnsiTheme="majorBidi" w:cstheme="majorBidi"/>
          <w:color w:val="000000"/>
          <w:lang w:val="lt-LT"/>
        </w:rPr>
        <w:t>comprimé</w:t>
      </w:r>
      <w:proofErr w:type="spellEnd"/>
      <w:r w:rsidRPr="00331B37">
        <w:rPr>
          <w:rFonts w:asciiTheme="majorBidi" w:hAnsiTheme="majorBidi" w:cstheme="majorBidi"/>
          <w:color w:val="000000"/>
          <w:lang w:val="lt-LT"/>
        </w:rPr>
        <w:t xml:space="preserve"> à </w:t>
      </w:r>
      <w:proofErr w:type="spellStart"/>
      <w:r w:rsidRPr="00331B37">
        <w:rPr>
          <w:rFonts w:asciiTheme="majorBidi" w:hAnsiTheme="majorBidi" w:cstheme="majorBidi"/>
          <w:color w:val="000000"/>
          <w:lang w:val="lt-LT"/>
        </w:rPr>
        <w:t>croquer</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édulcoré</w:t>
      </w:r>
      <w:proofErr w:type="spellEnd"/>
      <w:r w:rsidRPr="00331B37">
        <w:rPr>
          <w:rFonts w:asciiTheme="majorBidi" w:hAnsiTheme="majorBidi" w:cstheme="majorBidi"/>
          <w:color w:val="000000"/>
          <w:lang w:val="lt-LT"/>
        </w:rPr>
        <w:t xml:space="preserve"> à </w:t>
      </w:r>
      <w:proofErr w:type="spellStart"/>
      <w:r w:rsidRPr="00331B37">
        <w:rPr>
          <w:rFonts w:asciiTheme="majorBidi" w:hAnsiTheme="majorBidi" w:cstheme="majorBidi"/>
          <w:color w:val="000000"/>
          <w:lang w:val="lt-LT"/>
        </w:rPr>
        <w:t>l'aspartam</w:t>
      </w:r>
      <w:proofErr w:type="spellEnd"/>
      <w:r w:rsidRPr="00331B37">
        <w:rPr>
          <w:rFonts w:asciiTheme="majorBidi" w:hAnsiTheme="majorBidi" w:cstheme="majorBidi"/>
          <w:color w:val="000000"/>
          <w:lang w:val="lt-LT"/>
        </w:rPr>
        <w:t xml:space="preserve"> et à </w:t>
      </w:r>
      <w:proofErr w:type="spellStart"/>
      <w:r w:rsidRPr="00331B37">
        <w:rPr>
          <w:rFonts w:asciiTheme="majorBidi" w:hAnsiTheme="majorBidi" w:cstheme="majorBidi"/>
          <w:color w:val="000000"/>
          <w:lang w:val="lt-LT"/>
        </w:rPr>
        <w:t>l'acésulfame</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potassique</w:t>
      </w:r>
      <w:proofErr w:type="spellEnd"/>
    </w:p>
    <w:p w:rsidR="0029726B" w:rsidRPr="00331B37" w:rsidRDefault="0029726B" w:rsidP="0029726B">
      <w:pPr>
        <w:tabs>
          <w:tab w:val="left" w:pos="567"/>
        </w:tabs>
        <w:spacing w:after="0" w:line="260" w:lineRule="exact"/>
        <w:ind w:left="1440" w:hanging="1440"/>
        <w:rPr>
          <w:rFonts w:asciiTheme="majorBidi" w:hAnsiTheme="majorBidi" w:cstheme="majorBidi"/>
          <w:color w:val="000000"/>
          <w:lang w:val="lt-LT"/>
        </w:rPr>
      </w:pPr>
      <w:r w:rsidRPr="00331B37">
        <w:rPr>
          <w:rFonts w:asciiTheme="majorBidi" w:hAnsiTheme="majorBidi" w:cstheme="majorBidi"/>
          <w:color w:val="000000"/>
          <w:lang w:val="lt-LT"/>
        </w:rPr>
        <w:t>Vengrija</w:t>
      </w:r>
      <w:r w:rsidRPr="00331B37">
        <w:rPr>
          <w:rFonts w:asciiTheme="majorBidi" w:hAnsiTheme="majorBidi" w:cstheme="majorBidi"/>
          <w:color w:val="000000"/>
          <w:lang w:val="lt-LT"/>
        </w:rPr>
        <w:tab/>
        <w:t xml:space="preserve">GAVISCON FORTE </w:t>
      </w:r>
      <w:proofErr w:type="spellStart"/>
      <w:r w:rsidRPr="00331B37">
        <w:rPr>
          <w:rFonts w:asciiTheme="majorBidi" w:hAnsiTheme="majorBidi" w:cstheme="majorBidi"/>
          <w:color w:val="000000"/>
          <w:lang w:val="lt-LT"/>
        </w:rPr>
        <w:t>borsmenta</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ízű</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rágótabletta</w:t>
      </w:r>
      <w:proofErr w:type="spellEnd"/>
    </w:p>
    <w:p w:rsidR="0029726B" w:rsidRPr="00331B37" w:rsidRDefault="0029726B" w:rsidP="0029726B">
      <w:pPr>
        <w:tabs>
          <w:tab w:val="left" w:pos="567"/>
        </w:tabs>
        <w:spacing w:after="0" w:line="260" w:lineRule="exact"/>
        <w:ind w:left="1440" w:hanging="1440"/>
        <w:rPr>
          <w:rFonts w:asciiTheme="majorBidi" w:hAnsiTheme="majorBidi" w:cstheme="majorBidi"/>
          <w:color w:val="333333"/>
          <w:lang w:val="lt-LT"/>
        </w:rPr>
      </w:pPr>
      <w:r w:rsidRPr="00331B37">
        <w:rPr>
          <w:rFonts w:asciiTheme="majorBidi" w:hAnsiTheme="majorBidi" w:cstheme="majorBidi"/>
          <w:color w:val="000000"/>
          <w:lang w:val="lt-LT"/>
        </w:rPr>
        <w:t>Islandija</w:t>
      </w:r>
      <w:r w:rsidRPr="00331B37">
        <w:rPr>
          <w:rFonts w:asciiTheme="majorBidi" w:hAnsiTheme="majorBidi" w:cstheme="majorBidi"/>
          <w:color w:val="000000"/>
          <w:lang w:val="lt-LT"/>
        </w:rPr>
        <w:tab/>
      </w:r>
      <w:proofErr w:type="spellStart"/>
      <w:r w:rsidRPr="00331B37">
        <w:rPr>
          <w:rFonts w:asciiTheme="majorBidi" w:hAnsiTheme="majorBidi" w:cstheme="majorBidi"/>
          <w:color w:val="333333"/>
          <w:lang w:val="lt-LT"/>
        </w:rPr>
        <w:t>Galieve</w:t>
      </w:r>
      <w:proofErr w:type="spellEnd"/>
      <w:r w:rsidRPr="00331B37">
        <w:rPr>
          <w:rFonts w:asciiTheme="majorBidi" w:hAnsiTheme="majorBidi" w:cstheme="majorBidi"/>
          <w:color w:val="333333"/>
          <w:lang w:val="lt-LT"/>
        </w:rPr>
        <w:t xml:space="preserve"> Forte </w:t>
      </w:r>
      <w:proofErr w:type="spellStart"/>
      <w:r w:rsidRPr="00331B37">
        <w:rPr>
          <w:rFonts w:asciiTheme="majorBidi" w:hAnsiTheme="majorBidi" w:cstheme="majorBidi"/>
          <w:color w:val="333333"/>
          <w:lang w:val="lt-LT"/>
        </w:rPr>
        <w:t>piparmyntu</w:t>
      </w:r>
      <w:proofErr w:type="spellEnd"/>
      <w:r w:rsidRPr="00331B37">
        <w:rPr>
          <w:rFonts w:asciiTheme="majorBidi" w:hAnsiTheme="majorBidi" w:cstheme="majorBidi"/>
          <w:color w:val="333333"/>
          <w:lang w:val="lt-LT"/>
        </w:rPr>
        <w:t xml:space="preserve"> </w:t>
      </w:r>
      <w:proofErr w:type="spellStart"/>
      <w:r w:rsidRPr="00331B37">
        <w:rPr>
          <w:rFonts w:asciiTheme="majorBidi" w:hAnsiTheme="majorBidi" w:cstheme="majorBidi"/>
          <w:color w:val="333333"/>
          <w:lang w:val="lt-LT"/>
        </w:rPr>
        <w:t>tuggutöflur</w:t>
      </w:r>
      <w:proofErr w:type="spellEnd"/>
    </w:p>
    <w:p w:rsidR="0029726B" w:rsidRPr="00331B37" w:rsidRDefault="0029726B" w:rsidP="0029726B">
      <w:pPr>
        <w:tabs>
          <w:tab w:val="left" w:pos="567"/>
        </w:tabs>
        <w:spacing w:after="0" w:line="260" w:lineRule="exact"/>
        <w:ind w:left="1440" w:hanging="1440"/>
        <w:rPr>
          <w:rFonts w:asciiTheme="majorBidi" w:hAnsiTheme="majorBidi" w:cstheme="majorBidi"/>
          <w:color w:val="000000"/>
          <w:lang w:val="lt-LT"/>
        </w:rPr>
      </w:pPr>
      <w:r w:rsidRPr="00331B37">
        <w:rPr>
          <w:rFonts w:asciiTheme="majorBidi" w:hAnsiTheme="majorBidi" w:cstheme="majorBidi"/>
          <w:color w:val="333333"/>
          <w:lang w:val="lt-LT"/>
        </w:rPr>
        <w:t>Latvija</w:t>
      </w:r>
      <w:r w:rsidRPr="00331B37">
        <w:rPr>
          <w:rFonts w:asciiTheme="majorBidi" w:hAnsiTheme="majorBidi" w:cstheme="majorBidi"/>
          <w:color w:val="333333"/>
          <w:lang w:val="lt-LT"/>
        </w:rPr>
        <w:tab/>
      </w:r>
      <w:proofErr w:type="spellStart"/>
      <w:r w:rsidRPr="00331B37">
        <w:rPr>
          <w:rFonts w:asciiTheme="majorBidi" w:hAnsiTheme="majorBidi" w:cstheme="majorBidi"/>
          <w:color w:val="000000"/>
          <w:lang w:val="lt-LT"/>
        </w:rPr>
        <w:t>Gaviscon</w:t>
      </w:r>
      <w:proofErr w:type="spellEnd"/>
      <w:r w:rsidRPr="00331B37">
        <w:rPr>
          <w:rFonts w:asciiTheme="majorBidi" w:hAnsiTheme="majorBidi" w:cstheme="majorBidi"/>
          <w:color w:val="000000"/>
          <w:lang w:val="lt-LT"/>
        </w:rPr>
        <w:t xml:space="preserve"> 250 mg/106,50 mg/187,50 mg </w:t>
      </w:r>
      <w:proofErr w:type="spellStart"/>
      <w:r w:rsidRPr="00331B37">
        <w:rPr>
          <w:rFonts w:asciiTheme="majorBidi" w:hAnsiTheme="majorBidi" w:cstheme="majorBidi"/>
          <w:color w:val="000000"/>
          <w:lang w:val="lt-LT"/>
        </w:rPr>
        <w:t>košļājamās</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tablets</w:t>
      </w:r>
      <w:proofErr w:type="spellEnd"/>
    </w:p>
    <w:p w:rsidR="0029726B" w:rsidRPr="00331B37" w:rsidRDefault="0029726B" w:rsidP="0029726B">
      <w:pPr>
        <w:tabs>
          <w:tab w:val="left" w:pos="567"/>
        </w:tabs>
        <w:spacing w:after="0" w:line="260" w:lineRule="exact"/>
        <w:ind w:left="1440" w:hanging="1440"/>
        <w:rPr>
          <w:rFonts w:asciiTheme="majorBidi" w:hAnsiTheme="majorBidi" w:cstheme="majorBidi"/>
          <w:color w:val="000000"/>
          <w:lang w:val="lt-LT"/>
        </w:rPr>
      </w:pPr>
      <w:r w:rsidRPr="00331B37">
        <w:rPr>
          <w:rFonts w:asciiTheme="majorBidi" w:hAnsiTheme="majorBidi" w:cstheme="majorBidi"/>
          <w:color w:val="333333"/>
          <w:lang w:val="lt-LT"/>
        </w:rPr>
        <w:t>Lietuva</w:t>
      </w:r>
      <w:r w:rsidRPr="00331B37">
        <w:rPr>
          <w:rFonts w:asciiTheme="majorBidi" w:hAnsiTheme="majorBidi" w:cstheme="majorBidi"/>
          <w:color w:val="333333"/>
          <w:lang w:val="lt-LT"/>
        </w:rPr>
        <w:tab/>
      </w:r>
      <w:proofErr w:type="spellStart"/>
      <w:r w:rsidRPr="00331B37">
        <w:rPr>
          <w:rFonts w:asciiTheme="majorBidi" w:hAnsiTheme="majorBidi" w:cstheme="majorBidi"/>
          <w:color w:val="000000"/>
          <w:lang w:val="lt-LT"/>
        </w:rPr>
        <w:t>Gaviscon</w:t>
      </w:r>
      <w:proofErr w:type="spellEnd"/>
      <w:r w:rsidRPr="00331B37">
        <w:rPr>
          <w:rFonts w:asciiTheme="majorBidi" w:hAnsiTheme="majorBidi" w:cstheme="majorBidi"/>
          <w:color w:val="000000"/>
          <w:lang w:val="lt-LT"/>
        </w:rPr>
        <w:t xml:space="preserve"> 250 mg/106,5 mg/187,5 mg kramtomosios tabletės</w:t>
      </w:r>
    </w:p>
    <w:p w:rsidR="0029726B" w:rsidRPr="00331B37" w:rsidRDefault="0029726B" w:rsidP="0029726B">
      <w:pPr>
        <w:tabs>
          <w:tab w:val="left" w:pos="567"/>
        </w:tabs>
        <w:spacing w:after="0" w:line="260" w:lineRule="exact"/>
        <w:ind w:hanging="567"/>
        <w:rPr>
          <w:rFonts w:asciiTheme="majorBidi" w:hAnsiTheme="majorBidi" w:cstheme="majorBidi"/>
          <w:color w:val="333333"/>
          <w:lang w:val="lt-LT"/>
        </w:rPr>
      </w:pPr>
      <w:r w:rsidRPr="00331B37">
        <w:rPr>
          <w:rFonts w:asciiTheme="majorBidi" w:hAnsiTheme="majorBidi" w:cstheme="majorBidi"/>
          <w:color w:val="000000"/>
          <w:lang w:val="lt-LT"/>
        </w:rPr>
        <w:tab/>
        <w:t>Norvegija</w:t>
      </w:r>
      <w:r w:rsidRPr="00331B37">
        <w:rPr>
          <w:rFonts w:asciiTheme="majorBidi" w:hAnsiTheme="majorBidi" w:cstheme="majorBidi"/>
          <w:color w:val="000000"/>
          <w:lang w:val="lt-LT"/>
        </w:rPr>
        <w:tab/>
      </w:r>
      <w:r>
        <w:rPr>
          <w:rFonts w:asciiTheme="majorBidi" w:hAnsiTheme="majorBidi" w:cstheme="majorBidi"/>
          <w:color w:val="000000"/>
          <w:lang w:val="lt-LT"/>
        </w:rPr>
        <w:t xml:space="preserve">  </w:t>
      </w:r>
      <w:proofErr w:type="spellStart"/>
      <w:r w:rsidRPr="00331B37">
        <w:rPr>
          <w:rFonts w:asciiTheme="majorBidi" w:hAnsiTheme="majorBidi" w:cstheme="majorBidi"/>
          <w:color w:val="333333"/>
          <w:lang w:val="lt-LT"/>
        </w:rPr>
        <w:t>Galieve</w:t>
      </w:r>
      <w:proofErr w:type="spellEnd"/>
      <w:r w:rsidRPr="00331B37">
        <w:rPr>
          <w:rFonts w:asciiTheme="majorBidi" w:hAnsiTheme="majorBidi" w:cstheme="majorBidi"/>
          <w:color w:val="333333"/>
          <w:lang w:val="lt-LT"/>
        </w:rPr>
        <w:t xml:space="preserve"> Forte</w:t>
      </w:r>
    </w:p>
    <w:p w:rsidR="0029726B" w:rsidRPr="00331B37" w:rsidRDefault="0029726B" w:rsidP="0029726B">
      <w:pPr>
        <w:tabs>
          <w:tab w:val="left" w:pos="567"/>
        </w:tabs>
        <w:spacing w:after="0" w:line="260" w:lineRule="exact"/>
        <w:ind w:left="1440" w:hanging="1440"/>
        <w:rPr>
          <w:rFonts w:asciiTheme="majorBidi" w:hAnsiTheme="majorBidi" w:cstheme="majorBidi"/>
          <w:color w:val="000000"/>
          <w:lang w:val="lt-LT"/>
        </w:rPr>
      </w:pPr>
      <w:r w:rsidRPr="00331B37">
        <w:rPr>
          <w:rFonts w:asciiTheme="majorBidi" w:hAnsiTheme="majorBidi" w:cstheme="majorBidi"/>
          <w:color w:val="000000"/>
          <w:lang w:val="lt-LT"/>
        </w:rPr>
        <w:t>Lenkija</w:t>
      </w:r>
      <w:r w:rsidRPr="00331B37">
        <w:rPr>
          <w:rFonts w:asciiTheme="majorBidi" w:hAnsiTheme="majorBidi" w:cstheme="majorBidi"/>
          <w:color w:val="000000"/>
          <w:lang w:val="lt-LT"/>
        </w:rPr>
        <w:tab/>
      </w:r>
      <w:proofErr w:type="spellStart"/>
      <w:r w:rsidRPr="00331B37">
        <w:rPr>
          <w:rFonts w:asciiTheme="majorBidi" w:hAnsiTheme="majorBidi" w:cstheme="majorBidi"/>
          <w:color w:val="000000"/>
          <w:lang w:val="lt-LT"/>
        </w:rPr>
        <w:t>Gaviscon</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duo</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tab</w:t>
      </w:r>
      <w:proofErr w:type="spellEnd"/>
      <w:r w:rsidRPr="00331B37">
        <w:rPr>
          <w:rFonts w:asciiTheme="majorBidi" w:hAnsiTheme="majorBidi" w:cstheme="majorBidi"/>
          <w:color w:val="000000"/>
          <w:lang w:val="lt-LT"/>
        </w:rPr>
        <w:t xml:space="preserve"> o </w:t>
      </w:r>
      <w:proofErr w:type="spellStart"/>
      <w:r w:rsidRPr="00331B37">
        <w:rPr>
          <w:rFonts w:asciiTheme="majorBidi" w:hAnsiTheme="majorBidi" w:cstheme="majorBidi"/>
          <w:color w:val="000000"/>
          <w:lang w:val="lt-LT"/>
        </w:rPr>
        <w:t>smaku</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mięty</w:t>
      </w:r>
      <w:proofErr w:type="spellEnd"/>
    </w:p>
    <w:p w:rsidR="0029726B" w:rsidRPr="00331B37" w:rsidRDefault="0029726B" w:rsidP="0029726B">
      <w:pPr>
        <w:tabs>
          <w:tab w:val="left" w:pos="567"/>
        </w:tabs>
        <w:spacing w:after="0" w:line="260" w:lineRule="exact"/>
        <w:ind w:left="1440" w:hanging="1440"/>
        <w:rPr>
          <w:rFonts w:asciiTheme="majorBidi" w:hAnsiTheme="majorBidi" w:cstheme="majorBidi"/>
          <w:color w:val="000000"/>
          <w:lang w:val="lt-LT"/>
        </w:rPr>
      </w:pPr>
      <w:r w:rsidRPr="00331B37">
        <w:rPr>
          <w:rFonts w:asciiTheme="majorBidi" w:hAnsiTheme="majorBidi" w:cstheme="majorBidi"/>
          <w:color w:val="000000"/>
          <w:lang w:val="lt-LT"/>
        </w:rPr>
        <w:t>Portugalija</w:t>
      </w:r>
      <w:r w:rsidRPr="00331B37">
        <w:rPr>
          <w:rFonts w:asciiTheme="majorBidi" w:hAnsiTheme="majorBidi" w:cstheme="majorBidi"/>
          <w:color w:val="000000"/>
          <w:lang w:val="lt-LT"/>
        </w:rPr>
        <w:tab/>
      </w:r>
      <w:proofErr w:type="spellStart"/>
      <w:r w:rsidRPr="00331B37">
        <w:rPr>
          <w:rFonts w:asciiTheme="majorBidi" w:hAnsiTheme="majorBidi" w:cstheme="majorBidi"/>
          <w:color w:val="000000"/>
          <w:lang w:val="lt-LT"/>
        </w:rPr>
        <w:t>Gaviscon</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Duefet</w:t>
      </w:r>
      <w:proofErr w:type="spellEnd"/>
    </w:p>
    <w:p w:rsidR="0029726B" w:rsidRPr="00331B37" w:rsidRDefault="0029726B" w:rsidP="0029726B">
      <w:pPr>
        <w:tabs>
          <w:tab w:val="left" w:pos="567"/>
        </w:tabs>
        <w:spacing w:after="0" w:line="260" w:lineRule="exact"/>
        <w:ind w:left="1440" w:hanging="1440"/>
        <w:rPr>
          <w:rFonts w:asciiTheme="majorBidi" w:hAnsiTheme="majorBidi" w:cstheme="majorBidi"/>
          <w:color w:val="000000"/>
          <w:lang w:val="lt-LT"/>
        </w:rPr>
      </w:pPr>
      <w:r w:rsidRPr="00331B37">
        <w:rPr>
          <w:rFonts w:asciiTheme="majorBidi" w:hAnsiTheme="majorBidi" w:cstheme="majorBidi"/>
          <w:color w:val="000000"/>
          <w:lang w:val="lt-LT"/>
        </w:rPr>
        <w:t>Rumunija</w:t>
      </w:r>
      <w:r w:rsidRPr="00331B37">
        <w:rPr>
          <w:rFonts w:asciiTheme="majorBidi" w:hAnsiTheme="majorBidi" w:cstheme="majorBidi"/>
          <w:color w:val="000000"/>
          <w:lang w:val="lt-LT"/>
        </w:rPr>
        <w:tab/>
      </w:r>
      <w:proofErr w:type="spellStart"/>
      <w:r w:rsidRPr="00331B37">
        <w:rPr>
          <w:rFonts w:asciiTheme="majorBidi" w:hAnsiTheme="majorBidi" w:cstheme="majorBidi"/>
          <w:color w:val="000000"/>
          <w:lang w:val="lt-LT"/>
        </w:rPr>
        <w:t>Gaviscon</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DoubleAction</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Mentol</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comprimate</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masticabile</w:t>
      </w:r>
      <w:proofErr w:type="spellEnd"/>
    </w:p>
    <w:p w:rsidR="0029726B" w:rsidRPr="00981E09" w:rsidRDefault="0029726B" w:rsidP="0029726B">
      <w:pPr>
        <w:tabs>
          <w:tab w:val="left" w:pos="567"/>
        </w:tabs>
        <w:spacing w:after="0" w:line="260" w:lineRule="exact"/>
        <w:ind w:left="567" w:hanging="567"/>
        <w:rPr>
          <w:rFonts w:ascii="Times New Roman" w:eastAsia="Times New Roman" w:hAnsi="Times New Roman" w:cs="Times New Roman"/>
          <w:snapToGrid w:val="0"/>
          <w:lang w:val="lt-LT"/>
        </w:rPr>
      </w:pPr>
    </w:p>
    <w:p w:rsidR="0029726B" w:rsidRPr="00981E09" w:rsidRDefault="0029726B" w:rsidP="0029726B">
      <w:pPr>
        <w:numPr>
          <w:ilvl w:val="12"/>
          <w:numId w:val="0"/>
        </w:numPr>
        <w:spacing w:after="0" w:line="240" w:lineRule="auto"/>
        <w:ind w:right="-2"/>
        <w:rPr>
          <w:rFonts w:ascii="Times New Roman" w:eastAsia="Times New Roman" w:hAnsi="Times New Roman" w:cs="Times New Roman"/>
          <w:b/>
          <w:snapToGrid w:val="0"/>
          <w:lang w:val="lt-LT"/>
        </w:rPr>
      </w:pPr>
      <w:r w:rsidRPr="00981E09">
        <w:rPr>
          <w:rFonts w:ascii="Times New Roman" w:eastAsia="Times New Roman" w:hAnsi="Times New Roman" w:cs="Times New Roman"/>
          <w:b/>
          <w:snapToGrid w:val="0"/>
          <w:lang w:val="lt-LT"/>
        </w:rPr>
        <w:t xml:space="preserve">Šis pakuotės lapelis paskutinį kartą peržiūrėtas </w:t>
      </w:r>
      <w:r>
        <w:rPr>
          <w:rFonts w:ascii="Times New Roman" w:eastAsia="Times New Roman" w:hAnsi="Times New Roman" w:cs="Times New Roman"/>
          <w:b/>
          <w:snapToGrid w:val="0"/>
          <w:lang w:val="lt-LT"/>
        </w:rPr>
        <w:t>2024-12-06.</w:t>
      </w:r>
    </w:p>
    <w:p w:rsidR="0029726B" w:rsidRPr="00981E09" w:rsidRDefault="0029726B" w:rsidP="0029726B">
      <w:pPr>
        <w:spacing w:after="0" w:line="240" w:lineRule="auto"/>
        <w:jc w:val="both"/>
        <w:rPr>
          <w:rFonts w:ascii="Times New Roman" w:eastAsia="Times New Roman" w:hAnsi="Times New Roman" w:cs="Times New Roman"/>
          <w:lang w:val="lt-LT" w:eastAsia="lt-LT"/>
        </w:rPr>
      </w:pPr>
    </w:p>
    <w:p w:rsidR="0029726B" w:rsidRDefault="0029726B" w:rsidP="0029726B">
      <w:pPr>
        <w:spacing w:after="0" w:line="240" w:lineRule="auto"/>
        <w:jc w:val="both"/>
        <w:rPr>
          <w:rFonts w:ascii="Times New Roman" w:hAnsi="Times New Roman" w:cs="Times New Roman"/>
          <w:lang w:val="lt-LT"/>
        </w:rPr>
      </w:pPr>
    </w:p>
    <w:p w:rsidR="0029726B" w:rsidRPr="00981E09" w:rsidRDefault="0029726B" w:rsidP="0029726B">
      <w:pPr>
        <w:spacing w:after="0" w:line="240" w:lineRule="auto"/>
        <w:rPr>
          <w:rFonts w:ascii="Times New Roman" w:eastAsia="Times New Roman" w:hAnsi="Times New Roman" w:cs="Times New Roman"/>
          <w:lang w:val="lt-LT" w:eastAsia="lt-LT"/>
        </w:rPr>
      </w:pPr>
      <w:r w:rsidRPr="00981E09">
        <w:rPr>
          <w:rFonts w:ascii="Times New Roman" w:hAnsi="Times New Roman" w:cs="Times New Roman"/>
          <w:lang w:val="lt-LT"/>
        </w:rPr>
        <w:t>Išsami informacija apie šį vaistą pateikiama Valstybinės vaistų kontrolės tarnybos prie Lietuvos Respublikos sveikatos apsaugos ministerijos tinklalapyje</w:t>
      </w:r>
      <w:r w:rsidRPr="00BB28FE">
        <w:rPr>
          <w:rFonts w:ascii="Times New Roman" w:hAnsi="Times New Roman"/>
          <w:lang w:val="lt-LT"/>
        </w:rPr>
        <w:t xml:space="preserve"> </w:t>
      </w:r>
      <w:r w:rsidRPr="0052004C">
        <w:rPr>
          <w:rFonts w:asciiTheme="majorBidi" w:hAnsiTheme="majorBidi" w:cstheme="majorBidi"/>
          <w:color w:val="0000EE"/>
          <w:u w:val="single"/>
          <w:lang w:val="lt-LT" w:eastAsia="lt-LT"/>
        </w:rPr>
        <w:t>https://vvkt.lrv.lt/lt/</w:t>
      </w:r>
      <w:r w:rsidRPr="0052004C">
        <w:rPr>
          <w:rFonts w:asciiTheme="majorBidi" w:hAnsiTheme="majorBidi" w:cstheme="majorBidi"/>
          <w:lang w:val="lt-LT"/>
        </w:rPr>
        <w:t>.</w:t>
      </w:r>
    </w:p>
    <w:p w:rsidR="00BA6577" w:rsidRDefault="00BA6577">
      <w:bookmarkStart w:id="0" w:name="_GoBack"/>
      <w:bookmarkEnd w:id="0"/>
    </w:p>
    <w:sectPr w:rsidR="00BA6577" w:rsidSect="00C702E0">
      <w:headerReference w:type="default" r:id="rId5"/>
      <w:footerReference w:type="default" r:id="rId6"/>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03C" w:rsidRDefault="0029726B">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03C" w:rsidRDefault="002972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7F6DB2"/>
    <w:multiLevelType w:val="hybridMultilevel"/>
    <w:tmpl w:val="7A0C9F26"/>
    <w:lvl w:ilvl="0" w:tplc="5F907B52">
      <w:start w:val="202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F955258"/>
    <w:multiLevelType w:val="hybridMultilevel"/>
    <w:tmpl w:val="620A9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26B"/>
    <w:rsid w:val="00072F85"/>
    <w:rsid w:val="000A5E72"/>
    <w:rsid w:val="000A7B60"/>
    <w:rsid w:val="00181364"/>
    <w:rsid w:val="002945D9"/>
    <w:rsid w:val="0029726B"/>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374D7"/>
  <w15:chartTrackingRefBased/>
  <w15:docId w15:val="{6EB272EC-1BDF-487E-B8A7-2D160384A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9726B"/>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9726B"/>
    <w:pPr>
      <w:ind w:left="720"/>
      <w:contextualSpacing/>
    </w:pPr>
  </w:style>
  <w:style w:type="paragraph" w:styleId="Pagrindinistekstas">
    <w:name w:val="Body Text"/>
    <w:basedOn w:val="prastasis"/>
    <w:link w:val="PagrindinistekstasDiagrama"/>
    <w:rsid w:val="0029726B"/>
    <w:pPr>
      <w:spacing w:after="120" w:line="240" w:lineRule="auto"/>
    </w:pPr>
    <w:rPr>
      <w:rFonts w:ascii="Times New Roman" w:eastAsia="Calibri"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29726B"/>
    <w:rPr>
      <w:rFonts w:ascii="Times New Roman" w:eastAsia="Calibri" w:hAnsi="Times New Roman" w:cs="Times New Roman"/>
      <w:szCs w:val="20"/>
      <w:lang w:eastAsia="lt-LT"/>
    </w:rPr>
  </w:style>
  <w:style w:type="paragraph" w:customStyle="1" w:styleId="BT-EMEASMCA">
    <w:name w:val="BT- EMEA_SMCA"/>
    <w:basedOn w:val="prastasis"/>
    <w:autoRedefine/>
    <w:rsid w:val="0029726B"/>
    <w:pPr>
      <w:spacing w:after="0" w:line="240" w:lineRule="auto"/>
    </w:pPr>
    <w:rPr>
      <w:rFonts w:ascii="Times New Roman" w:eastAsia="Times New Roman" w:hAnsi="Times New Roman" w:cs="Times New Roman"/>
      <w:noProof/>
      <w:szCs w:val="20"/>
      <w:lang w:val="lt-LT" w:eastAsia="lt-LT"/>
    </w:rPr>
  </w:style>
  <w:style w:type="paragraph" w:customStyle="1" w:styleId="BTbEMEASMCA">
    <w:name w:val="BT(b) EMEA_SMCA"/>
    <w:basedOn w:val="prastasis"/>
    <w:autoRedefine/>
    <w:rsid w:val="0029726B"/>
    <w:pPr>
      <w:spacing w:after="0" w:line="240" w:lineRule="auto"/>
    </w:pPr>
    <w:rPr>
      <w:rFonts w:ascii="Times New Roman" w:eastAsia="Times New Roman" w:hAnsi="Times New Roman" w:cs="Times New Roman"/>
      <w:b/>
      <w:noProof/>
      <w:szCs w:val="20"/>
      <w:lang w:val="lt-LT" w:eastAsia="lt-LT"/>
    </w:rPr>
  </w:style>
  <w:style w:type="paragraph" w:styleId="Antrats">
    <w:name w:val="header"/>
    <w:basedOn w:val="prastasis"/>
    <w:link w:val="AntratsDiagrama"/>
    <w:uiPriority w:val="99"/>
    <w:unhideWhenUsed/>
    <w:rsid w:val="0029726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9726B"/>
    <w:rPr>
      <w:lang w:val="en-US"/>
    </w:rPr>
  </w:style>
  <w:style w:type="paragraph" w:styleId="Porat">
    <w:name w:val="footer"/>
    <w:basedOn w:val="prastasis"/>
    <w:link w:val="PoratDiagrama"/>
    <w:uiPriority w:val="99"/>
    <w:unhideWhenUsed/>
    <w:rsid w:val="0029726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9726B"/>
    <w:rPr>
      <w:lang w:val="en-US"/>
    </w:rPr>
  </w:style>
  <w:style w:type="character" w:customStyle="1" w:styleId="y2iqfc">
    <w:name w:val="y2iqfc"/>
    <w:basedOn w:val="Numatytasispastraiposriftas"/>
    <w:rsid w:val="0029726B"/>
  </w:style>
  <w:style w:type="character" w:styleId="Emfaz">
    <w:name w:val="Emphasis"/>
    <w:basedOn w:val="Numatytasispastraiposriftas"/>
    <w:uiPriority w:val="20"/>
    <w:qFormat/>
    <w:rsid w:val="002972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6582</Words>
  <Characters>3752</Characters>
  <Application>Microsoft Office Word</Application>
  <DocSecurity>0</DocSecurity>
  <Lines>31</Lines>
  <Paragraphs>20</Paragraphs>
  <ScaleCrop>false</ScaleCrop>
  <HeadingPairs>
    <vt:vector size="4" baseType="variant">
      <vt:variant>
        <vt:lpstr>Pavadinimas</vt:lpstr>
      </vt:variant>
      <vt:variant>
        <vt:i4>1</vt:i4>
      </vt:variant>
      <vt:variant>
        <vt:lpstr>Antraštės</vt:lpstr>
      </vt:variant>
      <vt:variant>
        <vt:i4>3</vt:i4>
      </vt:variant>
    </vt:vector>
  </HeadingPairs>
  <TitlesOfParts>
    <vt:vector size="4" baseType="lpstr">
      <vt:lpstr/>
      <vt:lpstr>        4.	Galimas šalutinis poveikis</vt:lpstr>
      <vt:lpstr>        5.	Kaip laikyti Gaviscon </vt:lpstr>
      <vt:lpstr>6.	Pakuotės turinys ir kita informacija</vt:lpstr>
    </vt:vector>
  </TitlesOfParts>
  <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2024-12-30T09:25:00Z</dcterms:created>
  <dcterms:modified xsi:type="dcterms:W3CDTF">2024-12-30T09:26:00Z</dcterms:modified>
</cp:coreProperties>
</file>