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CD4D" w14:textId="77777777" w:rsidR="004C17CB" w:rsidRPr="00BD2D35" w:rsidRDefault="002C1216">
      <w:pPr>
        <w:numPr>
          <w:ilvl w:val="12"/>
          <w:numId w:val="0"/>
        </w:numPr>
        <w:shd w:val="clear" w:color="auto" w:fill="FFFFFF"/>
        <w:tabs>
          <w:tab w:val="clear" w:pos="567"/>
          <w:tab w:val="left" w:pos="1296"/>
        </w:tabs>
        <w:spacing w:line="240" w:lineRule="auto"/>
        <w:jc w:val="center"/>
        <w:rPr>
          <w:b/>
          <w:szCs w:val="24"/>
          <w:lang w:val="lt-LT"/>
        </w:rPr>
      </w:pPr>
      <w:r w:rsidRPr="00BD2D35">
        <w:rPr>
          <w:b/>
          <w:szCs w:val="24"/>
          <w:lang w:val="lt-LT"/>
        </w:rPr>
        <w:t>Pakuotės lapelis: informacija pacientui</w:t>
      </w:r>
    </w:p>
    <w:p w14:paraId="1052B9D3" w14:textId="77777777" w:rsidR="004C17CB" w:rsidRPr="00BD2D35" w:rsidRDefault="004C17CB">
      <w:pPr>
        <w:numPr>
          <w:ilvl w:val="12"/>
          <w:numId w:val="0"/>
        </w:numPr>
        <w:shd w:val="clear" w:color="auto" w:fill="FFFFFF"/>
        <w:tabs>
          <w:tab w:val="clear" w:pos="567"/>
          <w:tab w:val="left" w:pos="1296"/>
        </w:tabs>
        <w:spacing w:line="240" w:lineRule="auto"/>
        <w:jc w:val="center"/>
        <w:rPr>
          <w:szCs w:val="24"/>
          <w:lang w:val="lt-LT"/>
        </w:rPr>
      </w:pPr>
    </w:p>
    <w:p w14:paraId="50AF9C9F" w14:textId="63F108B8" w:rsidR="004C17CB" w:rsidRPr="00BD2D35" w:rsidRDefault="006934D1">
      <w:pPr>
        <w:numPr>
          <w:ilvl w:val="12"/>
          <w:numId w:val="0"/>
        </w:numPr>
        <w:tabs>
          <w:tab w:val="clear" w:pos="567"/>
          <w:tab w:val="left" w:pos="1296"/>
        </w:tabs>
        <w:spacing w:line="240" w:lineRule="auto"/>
        <w:jc w:val="center"/>
        <w:rPr>
          <w:b/>
          <w:szCs w:val="24"/>
          <w:lang w:val="lt-LT"/>
        </w:rPr>
      </w:pPr>
      <w:proofErr w:type="spellStart"/>
      <w:r w:rsidRPr="00BD2D35">
        <w:rPr>
          <w:b/>
          <w:szCs w:val="24"/>
          <w:lang w:val="lt-LT"/>
        </w:rPr>
        <w:t>Ganirelix</w:t>
      </w:r>
      <w:proofErr w:type="spellEnd"/>
      <w:r w:rsidRPr="00BD2D35">
        <w:rPr>
          <w:b/>
          <w:szCs w:val="24"/>
          <w:lang w:val="lt-LT"/>
        </w:rPr>
        <w:t xml:space="preserve"> </w:t>
      </w:r>
      <w:proofErr w:type="spellStart"/>
      <w:r w:rsidRPr="00BD2D35">
        <w:rPr>
          <w:b/>
          <w:szCs w:val="24"/>
          <w:lang w:val="lt-LT"/>
        </w:rPr>
        <w:t>Theramex</w:t>
      </w:r>
      <w:proofErr w:type="spellEnd"/>
      <w:r w:rsidRPr="00BD2D35">
        <w:rPr>
          <w:b/>
          <w:szCs w:val="24"/>
          <w:lang w:val="lt-LT"/>
        </w:rPr>
        <w:t xml:space="preserve"> 0,25</w:t>
      </w:r>
      <w:r w:rsidR="004A09A8" w:rsidRPr="00BD2D35">
        <w:rPr>
          <w:b/>
          <w:szCs w:val="24"/>
          <w:lang w:val="lt-LT"/>
        </w:rPr>
        <w:t> </w:t>
      </w:r>
      <w:r w:rsidRPr="00BD2D35">
        <w:rPr>
          <w:b/>
          <w:szCs w:val="24"/>
          <w:lang w:val="lt-LT"/>
        </w:rPr>
        <w:t>mg/0,5</w:t>
      </w:r>
      <w:r w:rsidR="004A09A8" w:rsidRPr="00BD2D35">
        <w:rPr>
          <w:b/>
          <w:szCs w:val="24"/>
          <w:lang w:val="lt-LT"/>
        </w:rPr>
        <w:t> </w:t>
      </w:r>
      <w:r w:rsidRPr="00BD2D35">
        <w:rPr>
          <w:b/>
          <w:szCs w:val="24"/>
          <w:lang w:val="lt-LT"/>
        </w:rPr>
        <w:t>ml injekcinis tirpalas užpildytame švirkšte</w:t>
      </w:r>
    </w:p>
    <w:p w14:paraId="7C186D91" w14:textId="0EE99A8C" w:rsidR="004C17CB" w:rsidRPr="00BD2D35" w:rsidRDefault="006934D1">
      <w:pPr>
        <w:numPr>
          <w:ilvl w:val="12"/>
          <w:numId w:val="0"/>
        </w:numPr>
        <w:tabs>
          <w:tab w:val="clear" w:pos="567"/>
          <w:tab w:val="left" w:pos="1296"/>
        </w:tabs>
        <w:spacing w:line="240" w:lineRule="auto"/>
        <w:jc w:val="center"/>
        <w:rPr>
          <w:szCs w:val="24"/>
          <w:lang w:val="lt-LT"/>
        </w:rPr>
      </w:pPr>
      <w:proofErr w:type="spellStart"/>
      <w:r w:rsidRPr="00BD2D35">
        <w:rPr>
          <w:szCs w:val="24"/>
          <w:lang w:val="lt-LT"/>
        </w:rPr>
        <w:t>ganireliksas</w:t>
      </w:r>
      <w:proofErr w:type="spellEnd"/>
    </w:p>
    <w:p w14:paraId="5030481D" w14:textId="77777777" w:rsidR="004C17CB" w:rsidRPr="00BD2D35" w:rsidRDefault="004C17CB">
      <w:pPr>
        <w:tabs>
          <w:tab w:val="clear" w:pos="567"/>
          <w:tab w:val="left" w:pos="1296"/>
        </w:tabs>
        <w:spacing w:line="240" w:lineRule="auto"/>
        <w:ind w:right="-2"/>
        <w:rPr>
          <w:szCs w:val="24"/>
          <w:highlight w:val="yellow"/>
          <w:lang w:val="lt-LT"/>
        </w:rPr>
      </w:pPr>
    </w:p>
    <w:p w14:paraId="674B64DD" w14:textId="77777777" w:rsidR="004C17CB" w:rsidRPr="00BD2D35" w:rsidRDefault="002C1216">
      <w:pPr>
        <w:numPr>
          <w:ilvl w:val="12"/>
          <w:numId w:val="0"/>
        </w:numPr>
        <w:tabs>
          <w:tab w:val="clear" w:pos="567"/>
          <w:tab w:val="left" w:pos="1296"/>
        </w:tabs>
        <w:spacing w:line="240" w:lineRule="auto"/>
        <w:ind w:right="-2"/>
        <w:rPr>
          <w:b/>
          <w:szCs w:val="24"/>
          <w:lang w:val="lt-LT"/>
        </w:rPr>
      </w:pPr>
      <w:r w:rsidRPr="00BD2D35">
        <w:rPr>
          <w:b/>
          <w:szCs w:val="24"/>
          <w:lang w:val="lt-LT"/>
        </w:rPr>
        <w:t>Atidžiai perskaitykite visą šį lapelį, prieš pradėdami vartoti vaistą, nes jame pateikiama Jums svarbi informacija.</w:t>
      </w:r>
    </w:p>
    <w:p w14:paraId="52695471" w14:textId="77777777" w:rsidR="004C17CB" w:rsidRPr="00BD2D35" w:rsidRDefault="002C1216">
      <w:pPr>
        <w:numPr>
          <w:ilvl w:val="0"/>
          <w:numId w:val="7"/>
        </w:numPr>
        <w:spacing w:line="240" w:lineRule="auto"/>
        <w:ind w:left="567" w:hanging="567"/>
        <w:rPr>
          <w:szCs w:val="24"/>
          <w:lang w:val="lt-LT"/>
        </w:rPr>
      </w:pPr>
      <w:r w:rsidRPr="00BD2D35">
        <w:rPr>
          <w:szCs w:val="24"/>
          <w:lang w:val="lt-LT"/>
        </w:rPr>
        <w:t xml:space="preserve">Neišmeskite šio lapelio, nes vėl gali prireikti jį perskaityti. </w:t>
      </w:r>
    </w:p>
    <w:p w14:paraId="2DD94AF1" w14:textId="77777777" w:rsidR="004C17CB" w:rsidRPr="00BD2D35" w:rsidRDefault="002C1216">
      <w:pPr>
        <w:numPr>
          <w:ilvl w:val="0"/>
          <w:numId w:val="7"/>
        </w:numPr>
        <w:tabs>
          <w:tab w:val="clear" w:pos="567"/>
        </w:tabs>
        <w:snapToGrid/>
        <w:spacing w:line="240" w:lineRule="auto"/>
        <w:ind w:left="567" w:right="-2" w:hanging="567"/>
        <w:rPr>
          <w:szCs w:val="24"/>
          <w:lang w:val="lt-LT"/>
        </w:rPr>
      </w:pPr>
      <w:bookmarkStart w:id="0" w:name="_Hlk76752713"/>
      <w:r w:rsidRPr="00BD2D35">
        <w:rPr>
          <w:szCs w:val="24"/>
          <w:lang w:val="lt-LT"/>
        </w:rPr>
        <w:t>Jeigu kiltų daugiau klausimų, kreipkitės į gydytoją, vaistininką arba slaugytoją.</w:t>
      </w:r>
    </w:p>
    <w:p w14:paraId="041CDBDE" w14:textId="77777777" w:rsidR="004C17CB" w:rsidRPr="00BD2D35" w:rsidRDefault="002C1216">
      <w:pPr>
        <w:spacing w:line="240" w:lineRule="auto"/>
        <w:ind w:left="567" w:right="-2" w:hanging="567"/>
        <w:rPr>
          <w:szCs w:val="24"/>
          <w:lang w:val="lt-LT"/>
        </w:rPr>
      </w:pPr>
      <w:r w:rsidRPr="00BD2D35">
        <w:rPr>
          <w:szCs w:val="24"/>
          <w:lang w:val="lt-LT"/>
        </w:rPr>
        <w:t>-</w:t>
      </w:r>
      <w:r w:rsidRPr="00BD2D35">
        <w:rPr>
          <w:szCs w:val="24"/>
          <w:lang w:val="lt-LT"/>
        </w:rPr>
        <w:tab/>
        <w:t>Šis vaistas skirtas tik Jums, todėl kitiems žmonėms jo duoti negalima. Vaistas gali jiems pakenkti (net tiems, kurių ligos požymiai yra tokie patys kaip Jūsų).</w:t>
      </w:r>
    </w:p>
    <w:p w14:paraId="622B7EBB" w14:textId="77777777" w:rsidR="004C17CB" w:rsidRPr="00BD2D35" w:rsidRDefault="002C1216">
      <w:pPr>
        <w:numPr>
          <w:ilvl w:val="0"/>
          <w:numId w:val="7"/>
        </w:numPr>
        <w:snapToGrid/>
        <w:spacing w:line="240" w:lineRule="auto"/>
        <w:ind w:left="567" w:hanging="567"/>
        <w:rPr>
          <w:szCs w:val="24"/>
          <w:lang w:val="lt-LT"/>
        </w:rPr>
      </w:pPr>
      <w:r w:rsidRPr="00BD2D35">
        <w:rPr>
          <w:szCs w:val="24"/>
          <w:lang w:val="lt-LT"/>
        </w:rPr>
        <w:t>Jeigu pasireiškė šalutinis poveikis (net jeigu jis šiame lapelyje nenurodytas), kreipkitės į gydytoją, vaistininką arba slaugytoją. Žr. 4 skyrių.</w:t>
      </w:r>
      <w:bookmarkEnd w:id="0"/>
    </w:p>
    <w:p w14:paraId="39A9B6C8" w14:textId="77777777" w:rsidR="004C17CB" w:rsidRPr="00BD2D35" w:rsidRDefault="004C17CB">
      <w:pPr>
        <w:tabs>
          <w:tab w:val="clear" w:pos="567"/>
          <w:tab w:val="left" w:pos="1296"/>
        </w:tabs>
        <w:spacing w:line="240" w:lineRule="auto"/>
        <w:ind w:right="-2"/>
        <w:rPr>
          <w:szCs w:val="24"/>
          <w:lang w:val="lt-LT"/>
        </w:rPr>
      </w:pPr>
    </w:p>
    <w:p w14:paraId="3ED5F13F" w14:textId="77777777" w:rsidR="004C17CB" w:rsidRPr="00BD2D35" w:rsidRDefault="002C1216">
      <w:pPr>
        <w:pStyle w:val="Antrat4"/>
        <w:rPr>
          <w:rFonts w:ascii="Times New Roman" w:hAnsi="Times New Roman"/>
          <w:sz w:val="22"/>
          <w:lang w:val="lt-LT"/>
        </w:rPr>
      </w:pPr>
      <w:r w:rsidRPr="00BD2D35">
        <w:rPr>
          <w:rFonts w:ascii="Times New Roman" w:hAnsi="Times New Roman"/>
          <w:sz w:val="22"/>
          <w:lang w:val="lt-LT"/>
        </w:rPr>
        <w:t>Apie ką rašoma šiame lapelyje?</w:t>
      </w:r>
    </w:p>
    <w:p w14:paraId="3094C884" w14:textId="77777777" w:rsidR="004C17CB" w:rsidRPr="00BD2D35" w:rsidRDefault="004C17CB">
      <w:pPr>
        <w:numPr>
          <w:ilvl w:val="12"/>
          <w:numId w:val="0"/>
        </w:numPr>
        <w:tabs>
          <w:tab w:val="clear" w:pos="567"/>
          <w:tab w:val="left" w:pos="1296"/>
        </w:tabs>
        <w:spacing w:line="240" w:lineRule="auto"/>
        <w:ind w:left="284" w:right="-2"/>
        <w:rPr>
          <w:szCs w:val="24"/>
          <w:lang w:val="lt-LT"/>
        </w:rPr>
      </w:pPr>
    </w:p>
    <w:p w14:paraId="56DD467F" w14:textId="65D17138"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1.</w:t>
      </w:r>
      <w:r w:rsidRPr="00BD2D35">
        <w:rPr>
          <w:szCs w:val="24"/>
          <w:lang w:val="lt-LT"/>
        </w:rPr>
        <w:tab/>
      </w:r>
      <w:r w:rsidRPr="00BD2D35">
        <w:rPr>
          <w:lang w:val="lt-LT"/>
        </w:rPr>
        <w:t xml:space="preserve">Kas yra </w:t>
      </w:r>
      <w:proofErr w:type="spellStart"/>
      <w:r w:rsidR="006934D1" w:rsidRPr="00BD2D35">
        <w:rPr>
          <w:lang w:val="lt-LT"/>
        </w:rPr>
        <w:t>Ganirelix</w:t>
      </w:r>
      <w:proofErr w:type="spellEnd"/>
      <w:r w:rsidR="006934D1" w:rsidRPr="00BD2D35">
        <w:rPr>
          <w:lang w:val="lt-LT"/>
        </w:rPr>
        <w:t xml:space="preserve"> </w:t>
      </w:r>
      <w:proofErr w:type="spellStart"/>
      <w:r w:rsidR="006934D1" w:rsidRPr="00BD2D35">
        <w:rPr>
          <w:lang w:val="lt-LT"/>
        </w:rPr>
        <w:t>Theramex</w:t>
      </w:r>
      <w:proofErr w:type="spellEnd"/>
      <w:r w:rsidRPr="00BD2D35">
        <w:rPr>
          <w:lang w:val="lt-LT"/>
        </w:rPr>
        <w:t xml:space="preserve"> ir kam jis vartojamas</w:t>
      </w:r>
    </w:p>
    <w:p w14:paraId="01E6481D" w14:textId="3857FC02"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2.</w:t>
      </w:r>
      <w:r w:rsidRPr="00BD2D35">
        <w:rPr>
          <w:szCs w:val="24"/>
          <w:lang w:val="lt-LT"/>
        </w:rPr>
        <w:tab/>
        <w:t xml:space="preserve">Kas žinotina prieš vartojant </w:t>
      </w:r>
      <w:proofErr w:type="spellStart"/>
      <w:r w:rsidR="006934D1" w:rsidRPr="00BD2D35">
        <w:rPr>
          <w:szCs w:val="24"/>
          <w:lang w:val="lt-LT"/>
        </w:rPr>
        <w:t>Ganirelix</w:t>
      </w:r>
      <w:proofErr w:type="spellEnd"/>
      <w:r w:rsidR="006934D1" w:rsidRPr="00BD2D35">
        <w:rPr>
          <w:szCs w:val="24"/>
          <w:lang w:val="lt-LT"/>
        </w:rPr>
        <w:t xml:space="preserve"> </w:t>
      </w:r>
      <w:proofErr w:type="spellStart"/>
      <w:r w:rsidR="006934D1" w:rsidRPr="00BD2D35">
        <w:rPr>
          <w:szCs w:val="24"/>
          <w:lang w:val="lt-LT"/>
        </w:rPr>
        <w:t>Theramex</w:t>
      </w:r>
      <w:proofErr w:type="spellEnd"/>
    </w:p>
    <w:p w14:paraId="7A692911" w14:textId="77446E6A"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3.</w:t>
      </w:r>
      <w:r w:rsidRPr="00BD2D35">
        <w:rPr>
          <w:szCs w:val="24"/>
          <w:lang w:val="lt-LT"/>
        </w:rPr>
        <w:tab/>
        <w:t xml:space="preserve">Kaip vartoti </w:t>
      </w:r>
      <w:proofErr w:type="spellStart"/>
      <w:r w:rsidR="006934D1" w:rsidRPr="00BD2D35">
        <w:rPr>
          <w:szCs w:val="24"/>
          <w:lang w:val="lt-LT"/>
        </w:rPr>
        <w:t>Ganirelix</w:t>
      </w:r>
      <w:proofErr w:type="spellEnd"/>
      <w:r w:rsidR="006934D1" w:rsidRPr="00BD2D35">
        <w:rPr>
          <w:szCs w:val="24"/>
          <w:lang w:val="lt-LT"/>
        </w:rPr>
        <w:t xml:space="preserve"> </w:t>
      </w:r>
      <w:proofErr w:type="spellStart"/>
      <w:r w:rsidR="006934D1" w:rsidRPr="00BD2D35">
        <w:rPr>
          <w:szCs w:val="24"/>
          <w:lang w:val="lt-LT"/>
        </w:rPr>
        <w:t>Theramex</w:t>
      </w:r>
      <w:proofErr w:type="spellEnd"/>
    </w:p>
    <w:p w14:paraId="2F597BA6" w14:textId="77777777"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4.</w:t>
      </w:r>
      <w:r w:rsidRPr="00BD2D35">
        <w:rPr>
          <w:szCs w:val="24"/>
          <w:lang w:val="lt-LT"/>
        </w:rPr>
        <w:tab/>
      </w:r>
      <w:r w:rsidRPr="00BD2D35">
        <w:rPr>
          <w:lang w:val="lt-LT"/>
        </w:rPr>
        <w:t>Galimas šalutinis poveikis</w:t>
      </w:r>
    </w:p>
    <w:p w14:paraId="16E94D46" w14:textId="15C760CE"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5.</w:t>
      </w:r>
      <w:r w:rsidRPr="00BD2D35">
        <w:rPr>
          <w:szCs w:val="24"/>
          <w:lang w:val="lt-LT"/>
        </w:rPr>
        <w:tab/>
      </w:r>
      <w:r w:rsidRPr="00BD2D35">
        <w:rPr>
          <w:lang w:val="lt-LT"/>
        </w:rPr>
        <w:t xml:space="preserve">Kaip laikyti </w:t>
      </w:r>
      <w:proofErr w:type="spellStart"/>
      <w:r w:rsidR="006934D1" w:rsidRPr="00BD2D35">
        <w:rPr>
          <w:szCs w:val="24"/>
          <w:lang w:val="lt-LT"/>
        </w:rPr>
        <w:t>Ganirelix</w:t>
      </w:r>
      <w:proofErr w:type="spellEnd"/>
      <w:r w:rsidR="006934D1" w:rsidRPr="00BD2D35">
        <w:rPr>
          <w:szCs w:val="24"/>
          <w:lang w:val="lt-LT"/>
        </w:rPr>
        <w:t xml:space="preserve"> </w:t>
      </w:r>
      <w:proofErr w:type="spellStart"/>
      <w:r w:rsidR="006934D1" w:rsidRPr="00BD2D35">
        <w:rPr>
          <w:szCs w:val="24"/>
          <w:lang w:val="lt-LT"/>
        </w:rPr>
        <w:t>Theramex</w:t>
      </w:r>
      <w:proofErr w:type="spellEnd"/>
    </w:p>
    <w:p w14:paraId="0F46323A" w14:textId="77777777" w:rsidR="004C17CB" w:rsidRPr="00BD2D35" w:rsidRDefault="002C1216">
      <w:pPr>
        <w:numPr>
          <w:ilvl w:val="12"/>
          <w:numId w:val="0"/>
        </w:numPr>
        <w:tabs>
          <w:tab w:val="clear" w:pos="567"/>
          <w:tab w:val="left" w:pos="709"/>
        </w:tabs>
        <w:spacing w:line="240" w:lineRule="auto"/>
        <w:ind w:right="-2"/>
        <w:rPr>
          <w:szCs w:val="24"/>
          <w:lang w:val="lt-LT"/>
        </w:rPr>
      </w:pPr>
      <w:r w:rsidRPr="00BD2D35">
        <w:rPr>
          <w:szCs w:val="24"/>
          <w:lang w:val="lt-LT"/>
        </w:rPr>
        <w:t>6.</w:t>
      </w:r>
      <w:r w:rsidRPr="00BD2D35">
        <w:rPr>
          <w:szCs w:val="24"/>
          <w:lang w:val="lt-LT"/>
        </w:rPr>
        <w:tab/>
        <w:t>Pakuotės turinys ir kita informacija</w:t>
      </w:r>
    </w:p>
    <w:p w14:paraId="13018C9A" w14:textId="77777777" w:rsidR="004C17CB" w:rsidRPr="00BD2D35" w:rsidRDefault="004C17CB">
      <w:pPr>
        <w:numPr>
          <w:ilvl w:val="12"/>
          <w:numId w:val="0"/>
        </w:numPr>
        <w:tabs>
          <w:tab w:val="clear" w:pos="567"/>
          <w:tab w:val="left" w:pos="1296"/>
        </w:tabs>
        <w:spacing w:line="240" w:lineRule="auto"/>
        <w:ind w:right="-2"/>
        <w:rPr>
          <w:szCs w:val="24"/>
          <w:lang w:val="lt-LT"/>
        </w:rPr>
      </w:pPr>
    </w:p>
    <w:p w14:paraId="3D7BA5E5" w14:textId="77777777" w:rsidR="004C17CB" w:rsidRPr="00BD2D35" w:rsidRDefault="004C17CB">
      <w:pPr>
        <w:numPr>
          <w:ilvl w:val="12"/>
          <w:numId w:val="0"/>
        </w:numPr>
        <w:tabs>
          <w:tab w:val="clear" w:pos="567"/>
          <w:tab w:val="left" w:pos="1296"/>
        </w:tabs>
        <w:spacing w:line="240" w:lineRule="auto"/>
        <w:ind w:right="-2"/>
        <w:rPr>
          <w:szCs w:val="24"/>
          <w:lang w:val="lt-LT"/>
        </w:rPr>
      </w:pPr>
    </w:p>
    <w:p w14:paraId="4B9813A3" w14:textId="00FFDD2F" w:rsidR="004C17CB" w:rsidRPr="00BD2D35" w:rsidRDefault="002C1216" w:rsidP="004A09A8">
      <w:pPr>
        <w:rPr>
          <w:b/>
          <w:bCs/>
          <w:lang w:val="lt-LT"/>
        </w:rPr>
      </w:pPr>
      <w:r w:rsidRPr="00BD2D35">
        <w:rPr>
          <w:b/>
          <w:bCs/>
          <w:lang w:val="lt-LT"/>
        </w:rPr>
        <w:t>1.</w:t>
      </w:r>
      <w:r w:rsidRPr="00BD2D35">
        <w:rPr>
          <w:b/>
          <w:bCs/>
          <w:lang w:val="lt-LT"/>
        </w:rPr>
        <w:tab/>
        <w:t xml:space="preserve">Kas yra </w:t>
      </w:r>
      <w:proofErr w:type="spellStart"/>
      <w:r w:rsidR="006934D1" w:rsidRPr="00BD2D35">
        <w:rPr>
          <w:b/>
          <w:bCs/>
          <w:lang w:val="lt-LT"/>
        </w:rPr>
        <w:t>Ganirelix</w:t>
      </w:r>
      <w:proofErr w:type="spellEnd"/>
      <w:r w:rsidR="006934D1" w:rsidRPr="00BD2D35">
        <w:rPr>
          <w:b/>
          <w:bCs/>
          <w:lang w:val="lt-LT"/>
        </w:rPr>
        <w:t xml:space="preserve"> </w:t>
      </w:r>
      <w:proofErr w:type="spellStart"/>
      <w:r w:rsidR="006934D1" w:rsidRPr="00BD2D35">
        <w:rPr>
          <w:b/>
          <w:bCs/>
          <w:lang w:val="lt-LT"/>
        </w:rPr>
        <w:t>Theramex</w:t>
      </w:r>
      <w:proofErr w:type="spellEnd"/>
      <w:r w:rsidRPr="00BD2D35">
        <w:rPr>
          <w:b/>
          <w:bCs/>
          <w:lang w:val="lt-LT"/>
        </w:rPr>
        <w:t xml:space="preserve"> ir kam jis vartojamas</w:t>
      </w:r>
    </w:p>
    <w:p w14:paraId="24363F11" w14:textId="77777777" w:rsidR="004C17CB" w:rsidRPr="00BD2D35" w:rsidRDefault="004C17CB">
      <w:pPr>
        <w:numPr>
          <w:ilvl w:val="12"/>
          <w:numId w:val="0"/>
        </w:numPr>
        <w:tabs>
          <w:tab w:val="clear" w:pos="567"/>
          <w:tab w:val="left" w:pos="1296"/>
        </w:tabs>
        <w:spacing w:line="240" w:lineRule="auto"/>
        <w:ind w:right="-2"/>
        <w:rPr>
          <w:szCs w:val="24"/>
          <w:lang w:val="lt-LT"/>
        </w:rPr>
      </w:pPr>
    </w:p>
    <w:p w14:paraId="7587F6C9" w14:textId="41E5AC19" w:rsidR="006934D1" w:rsidRPr="00BD2D35" w:rsidRDefault="004A09A8" w:rsidP="006934D1">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szCs w:val="22"/>
          <w:lang w:val="lt-LT"/>
        </w:rPr>
        <w:t>Ganirelix</w:t>
      </w:r>
      <w:proofErr w:type="spellEnd"/>
      <w:r w:rsidRPr="00BD2D35">
        <w:rPr>
          <w:szCs w:val="22"/>
          <w:lang w:val="lt-LT"/>
        </w:rPr>
        <w:t xml:space="preserve"> </w:t>
      </w:r>
      <w:proofErr w:type="spellStart"/>
      <w:r w:rsidRPr="00BD2D35">
        <w:rPr>
          <w:szCs w:val="22"/>
          <w:lang w:val="lt-LT"/>
        </w:rPr>
        <w:t>Theramex</w:t>
      </w:r>
      <w:proofErr w:type="spellEnd"/>
      <w:r w:rsidRPr="00BD2D35">
        <w:rPr>
          <w:szCs w:val="22"/>
          <w:lang w:val="lt-LT"/>
        </w:rPr>
        <w:t xml:space="preserve"> sudėtyje yra veikliosios medžiagos </w:t>
      </w:r>
      <w:proofErr w:type="spellStart"/>
      <w:r w:rsidRPr="00BD2D35">
        <w:rPr>
          <w:szCs w:val="22"/>
          <w:lang w:val="lt-LT"/>
        </w:rPr>
        <w:t>ganirelikso</w:t>
      </w:r>
      <w:proofErr w:type="spellEnd"/>
      <w:r w:rsidRPr="00BD2D35">
        <w:rPr>
          <w:szCs w:val="22"/>
          <w:lang w:val="lt-LT"/>
        </w:rPr>
        <w:t xml:space="preserve"> ir jis priklauso vaistų grupei, </w:t>
      </w:r>
      <w:r w:rsidR="006934D1" w:rsidRPr="00BD2D35">
        <w:rPr>
          <w:rFonts w:eastAsiaTheme="minorHAnsi"/>
          <w:color w:val="000000"/>
          <w:szCs w:val="22"/>
          <w:lang w:val="lt-LT" w:bidi="bn-BD"/>
        </w:rPr>
        <w:t>vadinamai „</w:t>
      </w:r>
      <w:proofErr w:type="spellStart"/>
      <w:r w:rsidR="00373213">
        <w:rPr>
          <w:rFonts w:eastAsiaTheme="minorHAnsi"/>
          <w:color w:val="000000"/>
          <w:szCs w:val="22"/>
          <w:lang w:val="lt-LT" w:bidi="bn-BD"/>
        </w:rPr>
        <w:t>antigonadoliberi</w:t>
      </w:r>
      <w:r w:rsidR="00D05D69">
        <w:rPr>
          <w:rFonts w:eastAsiaTheme="minorHAnsi"/>
          <w:color w:val="000000"/>
          <w:szCs w:val="22"/>
          <w:lang w:val="lt-LT" w:bidi="bn-BD"/>
        </w:rPr>
        <w:t>nais</w:t>
      </w:r>
      <w:proofErr w:type="spellEnd"/>
      <w:r w:rsidR="006934D1" w:rsidRPr="00BD2D35">
        <w:rPr>
          <w:rFonts w:eastAsiaTheme="minorHAnsi"/>
          <w:color w:val="000000"/>
          <w:szCs w:val="22"/>
          <w:lang w:val="lt-LT" w:bidi="bn-BD"/>
        </w:rPr>
        <w:t xml:space="preserve">“, kurie veikia priešingai natūraliam </w:t>
      </w:r>
      <w:proofErr w:type="spellStart"/>
      <w:r w:rsidR="006934D1" w:rsidRPr="00BD2D35">
        <w:rPr>
          <w:rFonts w:eastAsiaTheme="minorHAnsi"/>
          <w:color w:val="000000"/>
          <w:szCs w:val="22"/>
          <w:lang w:val="lt-LT" w:bidi="bn-BD"/>
        </w:rPr>
        <w:t>gonado</w:t>
      </w:r>
      <w:r w:rsidR="00FB3C80">
        <w:rPr>
          <w:rFonts w:eastAsiaTheme="minorHAnsi"/>
          <w:color w:val="000000"/>
          <w:szCs w:val="22"/>
          <w:lang w:val="lt-LT" w:bidi="bn-BD"/>
        </w:rPr>
        <w:t>liberinui</w:t>
      </w:r>
      <w:proofErr w:type="spellEnd"/>
      <w:r w:rsidR="006934D1" w:rsidRPr="00BD2D35">
        <w:rPr>
          <w:rFonts w:eastAsiaTheme="minorHAnsi"/>
          <w:color w:val="000000"/>
          <w:szCs w:val="22"/>
          <w:lang w:val="lt-LT" w:bidi="bn-BD"/>
        </w:rPr>
        <w:t xml:space="preserve"> (</w:t>
      </w:r>
      <w:proofErr w:type="spellStart"/>
      <w:r w:rsidR="00FC33C0" w:rsidRPr="00BD2D35">
        <w:rPr>
          <w:rFonts w:eastAsiaTheme="minorHAnsi"/>
          <w:color w:val="000000"/>
          <w:szCs w:val="22"/>
          <w:lang w:val="lt-LT" w:bidi="bn-BD"/>
        </w:rPr>
        <w:t>Gn</w:t>
      </w:r>
      <w:r w:rsidR="00D05D69">
        <w:rPr>
          <w:rFonts w:eastAsiaTheme="minorHAnsi"/>
          <w:color w:val="000000"/>
          <w:szCs w:val="22"/>
          <w:lang w:val="lt-LT" w:bidi="bn-BD"/>
        </w:rPr>
        <w:t>L</w:t>
      </w:r>
      <w:proofErr w:type="spellEnd"/>
      <w:r w:rsidR="006934D1" w:rsidRPr="00BD2D35">
        <w:rPr>
          <w:rFonts w:eastAsiaTheme="minorHAnsi"/>
          <w:color w:val="000000"/>
          <w:szCs w:val="22"/>
          <w:lang w:val="lt-LT" w:bidi="bn-BD"/>
        </w:rPr>
        <w:t xml:space="preserve">). </w:t>
      </w:r>
      <w:proofErr w:type="spellStart"/>
      <w:r w:rsidR="00D05D69" w:rsidRPr="00BD2D35">
        <w:rPr>
          <w:rFonts w:eastAsiaTheme="minorHAnsi"/>
          <w:color w:val="000000"/>
          <w:szCs w:val="22"/>
          <w:lang w:val="lt-LT" w:bidi="bn-BD"/>
        </w:rPr>
        <w:t>Gn</w:t>
      </w:r>
      <w:r w:rsidR="00D05D69">
        <w:rPr>
          <w:rFonts w:eastAsiaTheme="minorHAnsi"/>
          <w:color w:val="000000"/>
          <w:szCs w:val="22"/>
          <w:lang w:val="lt-LT" w:bidi="bn-BD"/>
        </w:rPr>
        <w:t>L</w:t>
      </w:r>
      <w:proofErr w:type="spellEnd"/>
      <w:r w:rsidR="00D05D69" w:rsidRPr="00BD2D35">
        <w:rPr>
          <w:rFonts w:eastAsiaTheme="minorHAnsi"/>
          <w:color w:val="000000"/>
          <w:szCs w:val="22"/>
          <w:lang w:val="lt-LT" w:bidi="bn-BD"/>
        </w:rPr>
        <w:t xml:space="preserve"> </w:t>
      </w:r>
      <w:r w:rsidR="006934D1" w:rsidRPr="00BD2D35">
        <w:rPr>
          <w:rFonts w:eastAsiaTheme="minorHAnsi"/>
          <w:color w:val="000000"/>
          <w:szCs w:val="22"/>
          <w:lang w:val="lt-LT" w:bidi="bn-BD"/>
        </w:rPr>
        <w:t xml:space="preserve">reguliuoja </w:t>
      </w:r>
      <w:proofErr w:type="spellStart"/>
      <w:r w:rsidR="006934D1" w:rsidRPr="00BD2D35">
        <w:rPr>
          <w:rFonts w:eastAsiaTheme="minorHAnsi"/>
          <w:color w:val="000000"/>
          <w:szCs w:val="22"/>
          <w:lang w:val="lt-LT" w:bidi="bn-BD"/>
        </w:rPr>
        <w:t>gonadotropinų</w:t>
      </w:r>
      <w:proofErr w:type="spellEnd"/>
      <w:r w:rsidR="006934D1" w:rsidRPr="00BD2D35">
        <w:rPr>
          <w:rFonts w:eastAsiaTheme="minorHAnsi"/>
          <w:color w:val="000000"/>
          <w:szCs w:val="22"/>
          <w:lang w:val="lt-LT" w:bidi="bn-BD"/>
        </w:rPr>
        <w:t xml:space="preserve">, t. y. </w:t>
      </w:r>
      <w:proofErr w:type="spellStart"/>
      <w:r w:rsidR="006934D1" w:rsidRPr="00BD2D35">
        <w:rPr>
          <w:rFonts w:eastAsiaTheme="minorHAnsi"/>
          <w:color w:val="000000"/>
          <w:szCs w:val="22"/>
          <w:lang w:val="lt-LT" w:bidi="bn-BD"/>
        </w:rPr>
        <w:t>liuteinizuojančio</w:t>
      </w:r>
      <w:proofErr w:type="spellEnd"/>
      <w:r w:rsidR="006934D1" w:rsidRPr="00BD2D35">
        <w:rPr>
          <w:rFonts w:eastAsiaTheme="minorHAnsi"/>
          <w:color w:val="000000"/>
          <w:szCs w:val="22"/>
          <w:lang w:val="lt-LT" w:bidi="bn-BD"/>
        </w:rPr>
        <w:t xml:space="preserve"> hormono (LH) ir folikulus stimuliuojančio hormono (FSH) išskyrimą. </w:t>
      </w:r>
      <w:proofErr w:type="spellStart"/>
      <w:r w:rsidR="006934D1" w:rsidRPr="00BD2D35">
        <w:rPr>
          <w:rFonts w:eastAsiaTheme="minorHAnsi"/>
          <w:color w:val="000000"/>
          <w:szCs w:val="22"/>
          <w:lang w:val="lt-LT" w:bidi="bn-BD"/>
        </w:rPr>
        <w:t>Gonadotropinai</w:t>
      </w:r>
      <w:proofErr w:type="spellEnd"/>
      <w:r w:rsidR="006934D1" w:rsidRPr="00BD2D35">
        <w:rPr>
          <w:rFonts w:eastAsiaTheme="minorHAnsi"/>
          <w:color w:val="000000"/>
          <w:szCs w:val="22"/>
          <w:lang w:val="lt-LT" w:bidi="bn-BD"/>
        </w:rPr>
        <w:t xml:space="preserve"> yra svarbūs žmogaus vaisingumui ir dauginimosi funkcijai. Moterims FSH būtinas folikulų augimui ir brendimui kiaušidėse. Folikulai yra maži, apvalūs maišeliai, kuriuose yra kiaušinėlis. LH būtinas subrendusiam kiaušinėliui pasišalinti iš folikulo ir kiaušidės, t.</w:t>
      </w:r>
      <w:r w:rsidRPr="00BD2D35">
        <w:rPr>
          <w:rFonts w:eastAsiaTheme="minorHAnsi"/>
          <w:color w:val="000000"/>
          <w:szCs w:val="22"/>
          <w:lang w:val="lt-LT" w:bidi="bn-BD"/>
        </w:rPr>
        <w:t xml:space="preserve"> </w:t>
      </w:r>
      <w:r w:rsidR="006934D1" w:rsidRPr="00BD2D35">
        <w:rPr>
          <w:rFonts w:eastAsiaTheme="minorHAnsi"/>
          <w:color w:val="000000"/>
          <w:szCs w:val="22"/>
          <w:lang w:val="lt-LT" w:bidi="bn-BD"/>
        </w:rPr>
        <w:t xml:space="preserve">y. ovuliacijai. </w:t>
      </w:r>
      <w:proofErr w:type="spellStart"/>
      <w:r w:rsidR="006934D1" w:rsidRPr="00BD2D35">
        <w:rPr>
          <w:rFonts w:eastAsiaTheme="minorHAnsi"/>
          <w:color w:val="000000"/>
          <w:szCs w:val="22"/>
          <w:lang w:val="lt-LT" w:bidi="bn-BD"/>
        </w:rPr>
        <w:t>Ganirelix</w:t>
      </w:r>
      <w:proofErr w:type="spellEnd"/>
      <w:r w:rsidR="006934D1"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Theramex</w:t>
      </w:r>
      <w:proofErr w:type="spellEnd"/>
      <w:r w:rsidR="006934D1" w:rsidRPr="00BD2D35">
        <w:rPr>
          <w:rFonts w:eastAsiaTheme="minorHAnsi"/>
          <w:color w:val="000000"/>
          <w:szCs w:val="22"/>
          <w:lang w:val="lt-LT" w:bidi="bn-BD"/>
        </w:rPr>
        <w:t xml:space="preserve"> slopina </w:t>
      </w:r>
      <w:proofErr w:type="spellStart"/>
      <w:r w:rsidR="00D05D69" w:rsidRPr="00BD2D35">
        <w:rPr>
          <w:rFonts w:eastAsiaTheme="minorHAnsi"/>
          <w:color w:val="000000"/>
          <w:szCs w:val="22"/>
          <w:lang w:val="lt-LT" w:bidi="bn-BD"/>
        </w:rPr>
        <w:t>Gn</w:t>
      </w:r>
      <w:r w:rsidR="00D05D69">
        <w:rPr>
          <w:rFonts w:eastAsiaTheme="minorHAnsi"/>
          <w:color w:val="000000"/>
          <w:szCs w:val="22"/>
          <w:lang w:val="lt-LT" w:bidi="bn-BD"/>
        </w:rPr>
        <w:t>L</w:t>
      </w:r>
      <w:proofErr w:type="spellEnd"/>
      <w:r w:rsidR="00D05D69" w:rsidRPr="00BD2D35">
        <w:rPr>
          <w:rFonts w:eastAsiaTheme="minorHAnsi"/>
          <w:color w:val="000000"/>
          <w:szCs w:val="22"/>
          <w:lang w:val="lt-LT" w:bidi="bn-BD"/>
        </w:rPr>
        <w:t xml:space="preserve"> </w:t>
      </w:r>
      <w:r w:rsidR="006934D1" w:rsidRPr="00BD2D35">
        <w:rPr>
          <w:rFonts w:eastAsiaTheme="minorHAnsi"/>
          <w:color w:val="000000"/>
          <w:szCs w:val="22"/>
          <w:lang w:val="lt-LT" w:bidi="bn-BD"/>
        </w:rPr>
        <w:t xml:space="preserve">veikimą, todėl slopinamas </w:t>
      </w:r>
      <w:proofErr w:type="spellStart"/>
      <w:r w:rsidR="006934D1" w:rsidRPr="00BD2D35">
        <w:rPr>
          <w:rFonts w:eastAsiaTheme="minorHAnsi"/>
          <w:color w:val="000000"/>
          <w:szCs w:val="22"/>
          <w:lang w:val="lt-LT" w:bidi="bn-BD"/>
        </w:rPr>
        <w:t>gonadotropinų</w:t>
      </w:r>
      <w:proofErr w:type="spellEnd"/>
      <w:r w:rsidR="006934D1" w:rsidRPr="00BD2D35">
        <w:rPr>
          <w:rFonts w:eastAsiaTheme="minorHAnsi"/>
          <w:color w:val="000000"/>
          <w:szCs w:val="22"/>
          <w:lang w:val="lt-LT" w:bidi="bn-BD"/>
        </w:rPr>
        <w:t xml:space="preserve">, labiausiai LH, išskyrimas. </w:t>
      </w:r>
    </w:p>
    <w:p w14:paraId="24B4563B" w14:textId="77777777" w:rsidR="006934D1" w:rsidRPr="00BD2D35" w:rsidRDefault="006934D1" w:rsidP="006934D1">
      <w:pPr>
        <w:tabs>
          <w:tab w:val="clear" w:pos="567"/>
        </w:tabs>
        <w:autoSpaceDE w:val="0"/>
        <w:autoSpaceDN w:val="0"/>
        <w:adjustRightInd w:val="0"/>
        <w:snapToGrid/>
        <w:spacing w:line="240" w:lineRule="auto"/>
        <w:rPr>
          <w:rFonts w:eastAsiaTheme="minorHAnsi"/>
          <w:i/>
          <w:iCs/>
          <w:color w:val="000000"/>
          <w:szCs w:val="22"/>
          <w:lang w:val="lt-LT" w:bidi="bn-BD"/>
        </w:rPr>
      </w:pPr>
    </w:p>
    <w:p w14:paraId="7C1370DB" w14:textId="04A73480" w:rsidR="006934D1" w:rsidRPr="00BD2D35" w:rsidRDefault="006934D1" w:rsidP="006934D1">
      <w:pPr>
        <w:tabs>
          <w:tab w:val="clear" w:pos="567"/>
        </w:tabs>
        <w:autoSpaceDE w:val="0"/>
        <w:autoSpaceDN w:val="0"/>
        <w:adjustRightInd w:val="0"/>
        <w:snapToGrid/>
        <w:spacing w:line="240" w:lineRule="auto"/>
        <w:rPr>
          <w:rFonts w:eastAsiaTheme="minorHAnsi"/>
          <w:color w:val="000000"/>
          <w:szCs w:val="22"/>
          <w:u w:val="single"/>
          <w:lang w:val="lt-LT" w:bidi="bn-BD"/>
        </w:rPr>
      </w:pPr>
      <w:r w:rsidRPr="00BD2D35">
        <w:rPr>
          <w:rFonts w:eastAsiaTheme="minorHAnsi"/>
          <w:color w:val="000000"/>
          <w:szCs w:val="22"/>
          <w:u w:val="single"/>
          <w:lang w:val="lt-LT" w:bidi="bn-BD"/>
        </w:rPr>
        <w:t xml:space="preserve">Kam </w:t>
      </w:r>
      <w:proofErr w:type="spellStart"/>
      <w:r w:rsidRPr="00BD2D35">
        <w:rPr>
          <w:rFonts w:eastAsiaTheme="minorHAnsi"/>
          <w:color w:val="000000"/>
          <w:szCs w:val="22"/>
          <w:u w:val="single"/>
          <w:lang w:val="lt-LT" w:bidi="bn-BD"/>
        </w:rPr>
        <w:t>Ganirelix</w:t>
      </w:r>
      <w:proofErr w:type="spellEnd"/>
      <w:r w:rsidRPr="00BD2D35">
        <w:rPr>
          <w:rFonts w:eastAsiaTheme="minorHAnsi"/>
          <w:color w:val="000000"/>
          <w:szCs w:val="22"/>
          <w:u w:val="single"/>
          <w:lang w:val="lt-LT" w:bidi="bn-BD"/>
        </w:rPr>
        <w:t xml:space="preserve"> </w:t>
      </w:r>
      <w:proofErr w:type="spellStart"/>
      <w:r w:rsidR="004A09A8" w:rsidRPr="00BD2D35">
        <w:rPr>
          <w:rFonts w:eastAsiaTheme="minorHAnsi"/>
          <w:color w:val="000000"/>
          <w:szCs w:val="22"/>
          <w:u w:val="single"/>
          <w:lang w:val="lt-LT" w:bidi="bn-BD"/>
        </w:rPr>
        <w:t>Theramex</w:t>
      </w:r>
      <w:proofErr w:type="spellEnd"/>
      <w:r w:rsidRPr="00BD2D35">
        <w:rPr>
          <w:rFonts w:eastAsiaTheme="minorHAnsi"/>
          <w:color w:val="000000"/>
          <w:szCs w:val="22"/>
          <w:u w:val="single"/>
          <w:lang w:val="lt-LT" w:bidi="bn-BD"/>
        </w:rPr>
        <w:t xml:space="preserve"> vartojamas</w:t>
      </w:r>
    </w:p>
    <w:p w14:paraId="1D95D484" w14:textId="77777777" w:rsidR="004A09A8" w:rsidRPr="00BD2D35" w:rsidRDefault="004A09A8" w:rsidP="006934D1">
      <w:pPr>
        <w:tabs>
          <w:tab w:val="clear" w:pos="567"/>
        </w:tabs>
        <w:autoSpaceDE w:val="0"/>
        <w:autoSpaceDN w:val="0"/>
        <w:adjustRightInd w:val="0"/>
        <w:snapToGrid/>
        <w:spacing w:line="240" w:lineRule="auto"/>
        <w:rPr>
          <w:rFonts w:eastAsiaTheme="minorHAnsi"/>
          <w:color w:val="000000"/>
          <w:szCs w:val="22"/>
          <w:u w:val="single"/>
          <w:lang w:val="lt-LT" w:bidi="bn-BD"/>
        </w:rPr>
      </w:pPr>
    </w:p>
    <w:p w14:paraId="10DD7ADF" w14:textId="23080CD5" w:rsidR="006934D1" w:rsidRPr="00BD2D35" w:rsidRDefault="006934D1" w:rsidP="006934D1">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Darant moters apvaisinimą pagalbiniu būdu, įskaitant apvaisinimą </w:t>
      </w:r>
      <w:proofErr w:type="spellStart"/>
      <w:r w:rsidRPr="00BD2D35">
        <w:rPr>
          <w:rFonts w:eastAsiaTheme="minorHAnsi"/>
          <w:i/>
          <w:iCs/>
          <w:color w:val="000000"/>
          <w:szCs w:val="22"/>
          <w:lang w:val="lt-LT" w:bidi="bn-BD"/>
        </w:rPr>
        <w:t>in</w:t>
      </w:r>
      <w:proofErr w:type="spellEnd"/>
      <w:r w:rsidRPr="00BD2D35">
        <w:rPr>
          <w:rFonts w:eastAsiaTheme="minorHAnsi"/>
          <w:i/>
          <w:iCs/>
          <w:color w:val="000000"/>
          <w:szCs w:val="22"/>
          <w:lang w:val="lt-LT" w:bidi="bn-BD"/>
        </w:rPr>
        <w:t xml:space="preserve"> </w:t>
      </w:r>
      <w:proofErr w:type="spellStart"/>
      <w:r w:rsidRPr="00BD2D35">
        <w:rPr>
          <w:rFonts w:eastAsiaTheme="minorHAnsi"/>
          <w:i/>
          <w:iCs/>
          <w:color w:val="000000"/>
          <w:szCs w:val="22"/>
          <w:lang w:val="lt-LT" w:bidi="bn-BD"/>
        </w:rPr>
        <w:t>vitro</w:t>
      </w:r>
      <w:proofErr w:type="spellEnd"/>
      <w:r w:rsidRPr="00BD2D35">
        <w:rPr>
          <w:rFonts w:eastAsiaTheme="minorHAnsi"/>
          <w:i/>
          <w:iCs/>
          <w:color w:val="000000"/>
          <w:szCs w:val="22"/>
          <w:lang w:val="lt-LT" w:bidi="bn-BD"/>
        </w:rPr>
        <w:t xml:space="preserve"> </w:t>
      </w:r>
      <w:r w:rsidRPr="00BD2D35">
        <w:rPr>
          <w:rFonts w:eastAsiaTheme="minorHAnsi"/>
          <w:color w:val="000000"/>
          <w:szCs w:val="22"/>
          <w:lang w:val="lt-LT" w:bidi="bn-BD"/>
        </w:rPr>
        <w:t xml:space="preserve">(AIV) bei kitus būdus, kartais ovuliacija gali įvykti per anksti, todėl gali ženkliai sumažėti pastojimo tikimybė.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vartojamas siekiant išvengti priešlaikinės LH išsiskyrimo bangos, kuri gali sukelti priešlaikinį kiaušinėlio pašalinimą.</w:t>
      </w:r>
    </w:p>
    <w:p w14:paraId="44F6D401" w14:textId="77777777" w:rsidR="009A2156" w:rsidRPr="00BD2D35" w:rsidRDefault="009A2156" w:rsidP="006934D1">
      <w:pPr>
        <w:tabs>
          <w:tab w:val="clear" w:pos="567"/>
        </w:tabs>
        <w:autoSpaceDE w:val="0"/>
        <w:autoSpaceDN w:val="0"/>
        <w:adjustRightInd w:val="0"/>
        <w:snapToGrid/>
        <w:spacing w:line="240" w:lineRule="auto"/>
        <w:rPr>
          <w:rFonts w:eastAsiaTheme="minorHAnsi"/>
          <w:color w:val="000000"/>
          <w:szCs w:val="22"/>
          <w:lang w:val="lt-LT" w:bidi="bn-BD"/>
        </w:rPr>
      </w:pPr>
    </w:p>
    <w:p w14:paraId="2F40F10C" w14:textId="4C2FF2D2" w:rsidR="004C17CB" w:rsidRPr="00BD2D35" w:rsidRDefault="006934D1" w:rsidP="006934D1">
      <w:pPr>
        <w:numPr>
          <w:ilvl w:val="12"/>
          <w:numId w:val="0"/>
        </w:numPr>
        <w:tabs>
          <w:tab w:val="clear" w:pos="567"/>
          <w:tab w:val="left" w:pos="1296"/>
        </w:tabs>
        <w:spacing w:line="240" w:lineRule="auto"/>
        <w:ind w:right="-2"/>
        <w:rPr>
          <w:rFonts w:eastAsiaTheme="minorHAnsi"/>
          <w:color w:val="000000"/>
          <w:szCs w:val="22"/>
          <w:lang w:val="lt-LT" w:bidi="bn-BD"/>
        </w:rPr>
      </w:pPr>
      <w:r w:rsidRPr="00BD2D35">
        <w:rPr>
          <w:rFonts w:eastAsiaTheme="minorHAnsi"/>
          <w:color w:val="000000"/>
          <w:szCs w:val="22"/>
          <w:lang w:val="lt-LT" w:bidi="bn-BD"/>
        </w:rPr>
        <w:t xml:space="preserve">Klinikinių tyrimų metu </w:t>
      </w:r>
      <w:proofErr w:type="spellStart"/>
      <w:r w:rsidRPr="00BD2D35">
        <w:rPr>
          <w:rFonts w:eastAsiaTheme="minorHAnsi"/>
          <w:color w:val="000000"/>
          <w:szCs w:val="22"/>
          <w:lang w:val="lt-LT" w:bidi="bn-BD"/>
        </w:rPr>
        <w:t>ganireliksas</w:t>
      </w:r>
      <w:proofErr w:type="spellEnd"/>
      <w:r w:rsidRPr="00BD2D35">
        <w:rPr>
          <w:rFonts w:eastAsiaTheme="minorHAnsi"/>
          <w:color w:val="000000"/>
          <w:szCs w:val="22"/>
          <w:lang w:val="lt-LT" w:bidi="bn-BD"/>
        </w:rPr>
        <w:t xml:space="preserve"> vartotas kartu su </w:t>
      </w:r>
      <w:proofErr w:type="spellStart"/>
      <w:r w:rsidRPr="00BD2D35">
        <w:rPr>
          <w:rFonts w:eastAsiaTheme="minorHAnsi"/>
          <w:color w:val="000000"/>
          <w:szCs w:val="22"/>
          <w:lang w:val="lt-LT" w:bidi="bn-BD"/>
        </w:rPr>
        <w:t>rekombinantiniu</w:t>
      </w:r>
      <w:proofErr w:type="spellEnd"/>
      <w:r w:rsidRPr="00BD2D35">
        <w:rPr>
          <w:rFonts w:eastAsiaTheme="minorHAnsi"/>
          <w:color w:val="000000"/>
          <w:szCs w:val="22"/>
          <w:lang w:val="lt-LT" w:bidi="bn-BD"/>
        </w:rPr>
        <w:t xml:space="preserve"> folikulus stimuliuojančiu hormonu (FSH) arba ilgai veikiančiu folikulus stimuliuojančiu vaistu </w:t>
      </w:r>
      <w:proofErr w:type="spellStart"/>
      <w:r w:rsidRPr="00BD2D35">
        <w:rPr>
          <w:rFonts w:eastAsiaTheme="minorHAnsi"/>
          <w:color w:val="000000"/>
          <w:szCs w:val="22"/>
          <w:lang w:val="lt-LT" w:bidi="bn-BD"/>
        </w:rPr>
        <w:t>korifolitropinu</w:t>
      </w:r>
      <w:proofErr w:type="spellEnd"/>
      <w:r w:rsidRPr="00BD2D35">
        <w:rPr>
          <w:rFonts w:eastAsiaTheme="minorHAnsi"/>
          <w:color w:val="000000"/>
          <w:szCs w:val="22"/>
          <w:lang w:val="lt-LT" w:bidi="bn-BD"/>
        </w:rPr>
        <w:t xml:space="preserve"> alfa.</w:t>
      </w:r>
    </w:p>
    <w:p w14:paraId="66832E90" w14:textId="77777777" w:rsidR="009A2156" w:rsidRPr="00BD2D35" w:rsidRDefault="009A2156" w:rsidP="006934D1">
      <w:pPr>
        <w:numPr>
          <w:ilvl w:val="12"/>
          <w:numId w:val="0"/>
        </w:numPr>
        <w:tabs>
          <w:tab w:val="clear" w:pos="567"/>
          <w:tab w:val="left" w:pos="1296"/>
        </w:tabs>
        <w:spacing w:line="240" w:lineRule="auto"/>
        <w:ind w:right="-2"/>
        <w:rPr>
          <w:szCs w:val="24"/>
          <w:lang w:val="lt-LT"/>
        </w:rPr>
      </w:pPr>
    </w:p>
    <w:p w14:paraId="696C2FE6" w14:textId="77777777" w:rsidR="004C17CB" w:rsidRPr="00BD2D35" w:rsidRDefault="004C17CB">
      <w:pPr>
        <w:numPr>
          <w:ilvl w:val="12"/>
          <w:numId w:val="0"/>
        </w:numPr>
        <w:tabs>
          <w:tab w:val="clear" w:pos="567"/>
          <w:tab w:val="left" w:pos="1296"/>
        </w:tabs>
        <w:spacing w:line="240" w:lineRule="auto"/>
        <w:ind w:right="-2"/>
        <w:rPr>
          <w:szCs w:val="24"/>
          <w:lang w:val="lt-LT"/>
        </w:rPr>
      </w:pPr>
    </w:p>
    <w:p w14:paraId="767682E3" w14:textId="4FBE8555" w:rsidR="004C17CB" w:rsidRPr="00BD2D35" w:rsidRDefault="002C1216" w:rsidP="00C742F6">
      <w:pPr>
        <w:rPr>
          <w:b/>
          <w:bCs/>
          <w:lang w:val="lt-LT"/>
        </w:rPr>
      </w:pPr>
      <w:r w:rsidRPr="00BD2D35">
        <w:rPr>
          <w:b/>
          <w:bCs/>
          <w:lang w:val="lt-LT"/>
        </w:rPr>
        <w:t>2.</w:t>
      </w:r>
      <w:r w:rsidRPr="00BD2D35">
        <w:rPr>
          <w:b/>
          <w:bCs/>
          <w:lang w:val="lt-LT"/>
        </w:rPr>
        <w:tab/>
        <w:t xml:space="preserve">Kas žinotina prieš vartojant </w:t>
      </w:r>
      <w:proofErr w:type="spellStart"/>
      <w:r w:rsidR="006934D1" w:rsidRPr="00BD2D35">
        <w:rPr>
          <w:b/>
          <w:bCs/>
          <w:lang w:val="lt-LT"/>
        </w:rPr>
        <w:t>Ganirelix</w:t>
      </w:r>
      <w:proofErr w:type="spellEnd"/>
      <w:r w:rsidR="006934D1" w:rsidRPr="00BD2D35">
        <w:rPr>
          <w:b/>
          <w:bCs/>
          <w:lang w:val="lt-LT"/>
        </w:rPr>
        <w:t xml:space="preserve"> </w:t>
      </w:r>
      <w:proofErr w:type="spellStart"/>
      <w:r w:rsidR="006934D1" w:rsidRPr="00BD2D35">
        <w:rPr>
          <w:b/>
          <w:bCs/>
          <w:lang w:val="lt-LT"/>
        </w:rPr>
        <w:t>Theramex</w:t>
      </w:r>
      <w:proofErr w:type="spellEnd"/>
    </w:p>
    <w:p w14:paraId="3B8833BA" w14:textId="77777777" w:rsidR="004C17CB" w:rsidRPr="00BD2D35" w:rsidRDefault="004C17CB">
      <w:pPr>
        <w:numPr>
          <w:ilvl w:val="12"/>
          <w:numId w:val="0"/>
        </w:numPr>
        <w:tabs>
          <w:tab w:val="clear" w:pos="567"/>
          <w:tab w:val="left" w:pos="1296"/>
        </w:tabs>
        <w:spacing w:line="240" w:lineRule="auto"/>
        <w:ind w:right="-2"/>
        <w:rPr>
          <w:szCs w:val="24"/>
          <w:lang w:val="lt-LT"/>
        </w:rPr>
      </w:pPr>
    </w:p>
    <w:p w14:paraId="73354ABF" w14:textId="050E1DCB" w:rsidR="004C17CB" w:rsidRPr="00BD2D35" w:rsidRDefault="006934D1" w:rsidP="00C742F6">
      <w:pPr>
        <w:rPr>
          <w:b/>
          <w:bCs/>
          <w:lang w:val="lt-LT"/>
        </w:rPr>
      </w:pPr>
      <w:proofErr w:type="spellStart"/>
      <w:r w:rsidRPr="00BD2D35">
        <w:rPr>
          <w:b/>
          <w:bCs/>
          <w:lang w:val="lt-LT"/>
        </w:rPr>
        <w:t>Ganirelix</w:t>
      </w:r>
      <w:proofErr w:type="spellEnd"/>
      <w:r w:rsidRPr="00BD2D35">
        <w:rPr>
          <w:b/>
          <w:bCs/>
          <w:lang w:val="lt-LT"/>
        </w:rPr>
        <w:t xml:space="preserve"> </w:t>
      </w:r>
      <w:proofErr w:type="spellStart"/>
      <w:r w:rsidRPr="00BD2D35">
        <w:rPr>
          <w:b/>
          <w:bCs/>
          <w:lang w:val="lt-LT"/>
        </w:rPr>
        <w:t>Theramex</w:t>
      </w:r>
      <w:proofErr w:type="spellEnd"/>
      <w:r w:rsidR="002C1216" w:rsidRPr="00BD2D35">
        <w:rPr>
          <w:b/>
          <w:bCs/>
          <w:lang w:val="lt-LT"/>
        </w:rPr>
        <w:t xml:space="preserve"> vartoti draudžiama</w:t>
      </w:r>
    </w:p>
    <w:p w14:paraId="3D6CB0E0" w14:textId="40194193" w:rsidR="006934D1" w:rsidRPr="00BD2D35" w:rsidRDefault="006934D1" w:rsidP="006934D1">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yra alergija </w:t>
      </w:r>
      <w:proofErr w:type="spellStart"/>
      <w:r w:rsidRPr="00BD2D35">
        <w:rPr>
          <w:rFonts w:eastAsiaTheme="minorHAnsi"/>
          <w:color w:val="000000"/>
          <w:szCs w:val="22"/>
          <w:lang w:val="lt-LT" w:bidi="bn-BD"/>
        </w:rPr>
        <w:t>ganireliksui</w:t>
      </w:r>
      <w:proofErr w:type="spellEnd"/>
      <w:r w:rsidRPr="00BD2D35">
        <w:rPr>
          <w:rFonts w:eastAsiaTheme="minorHAnsi"/>
          <w:color w:val="000000"/>
          <w:szCs w:val="22"/>
          <w:lang w:val="lt-LT" w:bidi="bn-BD"/>
        </w:rPr>
        <w:t xml:space="preserve"> arba bet kuriai pagalbinei šio vaisto medžiagai (jos išvardytos 6</w:t>
      </w:r>
      <w:r w:rsidR="009A2156" w:rsidRPr="00BD2D35">
        <w:rPr>
          <w:rFonts w:eastAsiaTheme="minorHAnsi"/>
          <w:color w:val="000000"/>
          <w:szCs w:val="22"/>
          <w:lang w:val="lt-LT" w:bidi="bn-BD"/>
        </w:rPr>
        <w:t> </w:t>
      </w:r>
      <w:r w:rsidRPr="00BD2D35">
        <w:rPr>
          <w:rFonts w:eastAsiaTheme="minorHAnsi"/>
          <w:color w:val="000000"/>
          <w:szCs w:val="22"/>
          <w:lang w:val="lt-LT" w:bidi="bn-BD"/>
        </w:rPr>
        <w:t xml:space="preserve">skyriuje); </w:t>
      </w:r>
    </w:p>
    <w:p w14:paraId="291F8760" w14:textId="00FE89FC" w:rsidR="006934D1" w:rsidRPr="00BD2D35" w:rsidRDefault="006934D1" w:rsidP="006934D1">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yra </w:t>
      </w:r>
      <w:r w:rsidR="009A2156" w:rsidRPr="00BD2D35">
        <w:rPr>
          <w:rFonts w:eastAsiaTheme="minorHAnsi"/>
          <w:color w:val="000000"/>
          <w:szCs w:val="22"/>
          <w:lang w:val="lt-LT" w:bidi="bn-BD"/>
        </w:rPr>
        <w:t>alergija</w:t>
      </w:r>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gonado</w:t>
      </w:r>
      <w:r w:rsidR="00D05D69">
        <w:rPr>
          <w:rFonts w:eastAsiaTheme="minorHAnsi"/>
          <w:color w:val="000000"/>
          <w:szCs w:val="22"/>
          <w:lang w:val="lt-LT" w:bidi="bn-BD"/>
        </w:rPr>
        <w:t>liberinui</w:t>
      </w:r>
      <w:proofErr w:type="spellEnd"/>
      <w:r w:rsidRPr="00BD2D35">
        <w:rPr>
          <w:rFonts w:eastAsiaTheme="minorHAnsi"/>
          <w:color w:val="000000"/>
          <w:szCs w:val="22"/>
          <w:lang w:val="lt-LT" w:bidi="bn-BD"/>
        </w:rPr>
        <w:t xml:space="preserve"> (</w:t>
      </w:r>
      <w:proofErr w:type="spellStart"/>
      <w:r w:rsidR="00D05D69" w:rsidRPr="00BD2D35">
        <w:rPr>
          <w:rFonts w:eastAsiaTheme="minorHAnsi"/>
          <w:color w:val="000000"/>
          <w:szCs w:val="22"/>
          <w:lang w:val="lt-LT" w:bidi="bn-BD"/>
        </w:rPr>
        <w:t>Gn</w:t>
      </w:r>
      <w:r w:rsidR="00D05D69">
        <w:rPr>
          <w:rFonts w:eastAsiaTheme="minorHAnsi"/>
          <w:color w:val="000000"/>
          <w:szCs w:val="22"/>
          <w:lang w:val="lt-LT" w:bidi="bn-BD"/>
        </w:rPr>
        <w:t>L</w:t>
      </w:r>
      <w:proofErr w:type="spellEnd"/>
      <w:r w:rsidRPr="00BD2D35">
        <w:rPr>
          <w:rFonts w:eastAsiaTheme="minorHAnsi"/>
          <w:color w:val="000000"/>
          <w:szCs w:val="22"/>
          <w:lang w:val="lt-LT" w:bidi="bn-BD"/>
        </w:rPr>
        <w:t xml:space="preserve">) arba jo analogams; </w:t>
      </w:r>
    </w:p>
    <w:p w14:paraId="39993A61" w14:textId="7676E88B" w:rsidR="006934D1" w:rsidRPr="00BD2D35" w:rsidRDefault="006934D1" w:rsidP="006934D1">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Jūs sergate vidutinio sunkumo ar sunkia inkstų arba kepenų liga; </w:t>
      </w:r>
    </w:p>
    <w:p w14:paraId="4661602C" w14:textId="5D18789B" w:rsidR="006934D1" w:rsidRPr="00BD2D35" w:rsidRDefault="006934D1" w:rsidP="006934D1">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Jūs nėščia arba krūtimi maitinate kūdikį. </w:t>
      </w:r>
    </w:p>
    <w:p w14:paraId="5CBD30EB" w14:textId="20B35606" w:rsidR="004C17CB" w:rsidRPr="00BD2D35" w:rsidRDefault="004C17CB" w:rsidP="006934D1">
      <w:pPr>
        <w:numPr>
          <w:ilvl w:val="12"/>
          <w:numId w:val="0"/>
        </w:numPr>
        <w:spacing w:line="240" w:lineRule="auto"/>
        <w:ind w:left="567" w:hanging="567"/>
        <w:rPr>
          <w:szCs w:val="24"/>
          <w:lang w:val="lt-LT"/>
        </w:rPr>
      </w:pPr>
    </w:p>
    <w:p w14:paraId="610A9EA8" w14:textId="77777777" w:rsidR="004C17CB" w:rsidRPr="00BD2D35" w:rsidRDefault="002C1216" w:rsidP="009A2156">
      <w:pPr>
        <w:keepNext/>
        <w:rPr>
          <w:b/>
          <w:bCs/>
          <w:lang w:val="lt-LT"/>
        </w:rPr>
      </w:pPr>
      <w:r w:rsidRPr="00BD2D35">
        <w:rPr>
          <w:b/>
          <w:bCs/>
          <w:lang w:val="lt-LT"/>
        </w:rPr>
        <w:lastRenderedPageBreak/>
        <w:t>Įspėjimai ir atsargumo priemonės</w:t>
      </w:r>
    </w:p>
    <w:p w14:paraId="694D61A9" w14:textId="653033B9" w:rsidR="00C742F6" w:rsidRPr="00BD2D35" w:rsidRDefault="00C742F6" w:rsidP="009A2156">
      <w:pPr>
        <w:keepNext/>
        <w:tabs>
          <w:tab w:val="clear" w:pos="567"/>
          <w:tab w:val="left" w:pos="1296"/>
        </w:tabs>
        <w:spacing w:line="240" w:lineRule="auto"/>
        <w:rPr>
          <w:szCs w:val="24"/>
          <w:lang w:val="lt-LT"/>
        </w:rPr>
      </w:pPr>
      <w:r w:rsidRPr="00BD2D35">
        <w:rPr>
          <w:szCs w:val="22"/>
          <w:lang w:val="lt-LT"/>
        </w:rPr>
        <w:t xml:space="preserve">Pasitarkite su gydytoju, vaistininku arba slaugytoju, prieš pradėdami vartoti </w:t>
      </w:r>
      <w:proofErr w:type="spellStart"/>
      <w:r w:rsidRPr="00BD2D35">
        <w:rPr>
          <w:szCs w:val="22"/>
          <w:lang w:val="lt-LT"/>
        </w:rPr>
        <w:t>Ganirelix</w:t>
      </w:r>
      <w:proofErr w:type="spellEnd"/>
      <w:r w:rsidRPr="00BD2D35">
        <w:rPr>
          <w:szCs w:val="22"/>
          <w:lang w:val="lt-LT"/>
        </w:rPr>
        <w:t xml:space="preserve"> </w:t>
      </w:r>
      <w:proofErr w:type="spellStart"/>
      <w:r w:rsidR="004A09A8" w:rsidRPr="00BD2D35">
        <w:rPr>
          <w:szCs w:val="22"/>
          <w:lang w:val="lt-LT"/>
        </w:rPr>
        <w:t>Theramex</w:t>
      </w:r>
      <w:proofErr w:type="spellEnd"/>
      <w:r w:rsidRPr="00BD2D35">
        <w:rPr>
          <w:szCs w:val="22"/>
          <w:lang w:val="lt-LT"/>
        </w:rPr>
        <w:t xml:space="preserve">. </w:t>
      </w:r>
    </w:p>
    <w:p w14:paraId="3798B7F4" w14:textId="77777777" w:rsidR="009A2156" w:rsidRPr="00BD2D35" w:rsidRDefault="00C742F6" w:rsidP="00C742F6">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Jeigu Jums yra aktyvi alerginė būklė, apie tai pasakykite gydytojui. Atsižvelgęs į būklės sunkumą, gydytojas nuspręs, ar gydymo metu reikalinga papildoma stebėsena. Jau po pirmosios dozės buvo pastebėtos alerginės reakcijos. </w:t>
      </w:r>
    </w:p>
    <w:p w14:paraId="113A2E3F" w14:textId="77777777" w:rsidR="00275474" w:rsidRPr="00BD2D35" w:rsidRDefault="00C742F6" w:rsidP="00C742F6">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Pranešta apie išplitusias ir vietines alergines reakcijas – dilgėlinę bei veido, lūpų, liežuvio ir (ar) gerklės patinimą, dėl kurio gali pasunkėti kvėpavimas ir (ar) rijimas (vadinamoji </w:t>
      </w:r>
      <w:proofErr w:type="spellStart"/>
      <w:r w:rsidRPr="00BD2D35">
        <w:rPr>
          <w:rFonts w:eastAsiaTheme="minorHAnsi"/>
          <w:color w:val="000000"/>
          <w:szCs w:val="22"/>
          <w:lang w:val="lt-LT" w:bidi="bn-BD"/>
        </w:rPr>
        <w:t>angioneurozinė</w:t>
      </w:r>
      <w:proofErr w:type="spellEnd"/>
      <w:r w:rsidRPr="00BD2D35">
        <w:rPr>
          <w:rFonts w:eastAsiaTheme="minorHAnsi"/>
          <w:color w:val="000000"/>
          <w:szCs w:val="22"/>
          <w:lang w:val="lt-LT" w:bidi="bn-BD"/>
        </w:rPr>
        <w:t xml:space="preserve"> edema ir (ar) </w:t>
      </w:r>
      <w:proofErr w:type="spellStart"/>
      <w:r w:rsidRPr="00BD2D35">
        <w:rPr>
          <w:rFonts w:eastAsiaTheme="minorHAnsi"/>
          <w:color w:val="000000"/>
          <w:szCs w:val="22"/>
          <w:lang w:val="lt-LT" w:bidi="bn-BD"/>
        </w:rPr>
        <w:t>anafilaksija</w:t>
      </w:r>
      <w:proofErr w:type="spellEnd"/>
      <w:r w:rsidRPr="00BD2D35">
        <w:rPr>
          <w:rFonts w:eastAsiaTheme="minorHAnsi"/>
          <w:color w:val="000000"/>
          <w:szCs w:val="22"/>
          <w:lang w:val="lt-LT" w:bidi="bn-BD"/>
        </w:rPr>
        <w:t>, taip pat žr. 4</w:t>
      </w:r>
      <w:r w:rsidR="00275474" w:rsidRPr="00BD2D35">
        <w:rPr>
          <w:rFonts w:eastAsiaTheme="minorHAnsi"/>
          <w:color w:val="000000"/>
          <w:szCs w:val="22"/>
          <w:lang w:val="lt-LT" w:bidi="bn-BD"/>
        </w:rPr>
        <w:t> </w:t>
      </w:r>
      <w:r w:rsidRPr="00BD2D35">
        <w:rPr>
          <w:rFonts w:eastAsiaTheme="minorHAnsi"/>
          <w:color w:val="000000"/>
          <w:szCs w:val="22"/>
          <w:lang w:val="lt-LT" w:bidi="bn-BD"/>
        </w:rPr>
        <w:t xml:space="preserve">skyrių). Jeigu Jums pasireikštų alerginė reakcija, nutraukite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vartojimą ir nedelsdama kreipkitės medicininės pagalbos. </w:t>
      </w:r>
    </w:p>
    <w:p w14:paraId="24C107EA" w14:textId="66742848" w:rsidR="00C742F6" w:rsidRPr="00BD2D35" w:rsidRDefault="00C742F6" w:rsidP="00C742F6">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Stimuliuojant hormonais kiaušidžių funkciją arba po stimuliacijos, gali pasireikšti kiaušidžių </w:t>
      </w:r>
      <w:proofErr w:type="spellStart"/>
      <w:r w:rsidRPr="00BD2D35">
        <w:rPr>
          <w:rFonts w:eastAsiaTheme="minorHAnsi"/>
          <w:color w:val="000000"/>
          <w:szCs w:val="22"/>
          <w:lang w:val="lt-LT" w:bidi="bn-BD"/>
        </w:rPr>
        <w:t>hiperstimuliacijos</w:t>
      </w:r>
      <w:proofErr w:type="spellEnd"/>
      <w:r w:rsidRPr="00BD2D35">
        <w:rPr>
          <w:rFonts w:eastAsiaTheme="minorHAnsi"/>
          <w:color w:val="000000"/>
          <w:szCs w:val="22"/>
          <w:lang w:val="lt-LT" w:bidi="bn-BD"/>
        </w:rPr>
        <w:t xml:space="preserve"> sindromas. Šis sindromas atsiranda dėl </w:t>
      </w:r>
      <w:proofErr w:type="spellStart"/>
      <w:r w:rsidRPr="00BD2D35">
        <w:rPr>
          <w:rFonts w:eastAsiaTheme="minorHAnsi"/>
          <w:color w:val="000000"/>
          <w:szCs w:val="22"/>
          <w:lang w:val="lt-LT" w:bidi="bn-BD"/>
        </w:rPr>
        <w:t>gonadotropinų</w:t>
      </w:r>
      <w:proofErr w:type="spellEnd"/>
      <w:r w:rsidRPr="00BD2D35">
        <w:rPr>
          <w:rFonts w:eastAsiaTheme="minorHAnsi"/>
          <w:color w:val="000000"/>
          <w:szCs w:val="22"/>
          <w:lang w:val="lt-LT" w:bidi="bn-BD"/>
        </w:rPr>
        <w:t xml:space="preserve"> poveikio. Prašome perskaityti gydytojo skirto vaisto, kurio sudėtyje yra </w:t>
      </w:r>
      <w:proofErr w:type="spellStart"/>
      <w:r w:rsidRPr="00BD2D35">
        <w:rPr>
          <w:rFonts w:eastAsiaTheme="minorHAnsi"/>
          <w:color w:val="000000"/>
          <w:szCs w:val="22"/>
          <w:lang w:val="lt-LT" w:bidi="bn-BD"/>
        </w:rPr>
        <w:t>gonadotropinų</w:t>
      </w:r>
      <w:proofErr w:type="spellEnd"/>
      <w:r w:rsidRPr="00BD2D35">
        <w:rPr>
          <w:rFonts w:eastAsiaTheme="minorHAnsi"/>
          <w:color w:val="000000"/>
          <w:szCs w:val="22"/>
          <w:lang w:val="lt-LT" w:bidi="bn-BD"/>
        </w:rPr>
        <w:t xml:space="preserve">, pakuotės lapelį. </w:t>
      </w:r>
    </w:p>
    <w:p w14:paraId="2D028EEA" w14:textId="40002E50" w:rsidR="00C742F6" w:rsidRPr="00BD2D35" w:rsidRDefault="00C742F6" w:rsidP="00275474">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Po apvaisinimo pagalbiniu būdu, įgimtų sklaidos trūkumų atsiradimo galimybė gali būti šiek tiek didesnė, nei po fiziologinio pastojimo. Manoma, jog tai gali priklausyti nuo tėvų (pvz., moters amžiaus, tėvo spermos savybių) ir dauginio nėštumo. Sklaidos trūkumų atsiradimo galimybė, atliekant pagalbinį apvaisinimą vartojant </w:t>
      </w:r>
      <w:proofErr w:type="spellStart"/>
      <w:r w:rsidRPr="00BD2D35">
        <w:rPr>
          <w:rFonts w:eastAsiaTheme="minorHAnsi"/>
          <w:color w:val="000000"/>
          <w:szCs w:val="22"/>
          <w:lang w:val="lt-LT" w:bidi="bn-BD"/>
        </w:rPr>
        <w:t>ganireliksą</w:t>
      </w:r>
      <w:proofErr w:type="spellEnd"/>
      <w:r w:rsidRPr="00BD2D35">
        <w:rPr>
          <w:rFonts w:eastAsiaTheme="minorHAnsi"/>
          <w:color w:val="000000"/>
          <w:szCs w:val="22"/>
          <w:lang w:val="lt-LT" w:bidi="bn-BD"/>
        </w:rPr>
        <w:t xml:space="preserve">, nesiskiria nuo tokios galimybės pagalbinio apvaisinimo procedūrų metu naudojant kitus </w:t>
      </w:r>
      <w:proofErr w:type="spellStart"/>
      <w:r w:rsidRPr="00BD2D35">
        <w:rPr>
          <w:rFonts w:eastAsiaTheme="minorHAnsi"/>
          <w:color w:val="000000"/>
          <w:szCs w:val="22"/>
          <w:lang w:val="lt-LT" w:bidi="bn-BD"/>
        </w:rPr>
        <w:t>Gn</w:t>
      </w:r>
      <w:r w:rsidR="00762A6C">
        <w:rPr>
          <w:rFonts w:eastAsiaTheme="minorHAnsi"/>
          <w:color w:val="000000"/>
          <w:szCs w:val="22"/>
          <w:lang w:val="lt-LT" w:bidi="bn-BD"/>
        </w:rPr>
        <w:t>L</w:t>
      </w:r>
      <w:proofErr w:type="spellEnd"/>
      <w:r w:rsidRPr="00BD2D35">
        <w:rPr>
          <w:rFonts w:eastAsiaTheme="minorHAnsi"/>
          <w:color w:val="000000"/>
          <w:szCs w:val="22"/>
          <w:lang w:val="lt-LT" w:bidi="bn-BD"/>
        </w:rPr>
        <w:t xml:space="preserve"> analogus. </w:t>
      </w:r>
    </w:p>
    <w:p w14:paraId="40E45C23" w14:textId="77777777" w:rsidR="00C742F6" w:rsidRPr="00BD2D35" w:rsidRDefault="00C742F6" w:rsidP="00275474">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Moterims, kurių kiaušintakiai yra pažeisti, nėštumo užsimezgimo ne gimdoje (negimdinio nėštumo) pavojus yra šiek tiek didesnis. </w:t>
      </w:r>
    </w:p>
    <w:p w14:paraId="06493F8C" w14:textId="20D8C538" w:rsidR="004C17CB" w:rsidRPr="00BD2D35" w:rsidRDefault="00C742F6" w:rsidP="00275474">
      <w:pPr>
        <w:pStyle w:val="Sraopastraipa"/>
        <w:numPr>
          <w:ilvl w:val="0"/>
          <w:numId w:val="18"/>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Ar saugu ir veiksminga </w:t>
      </w:r>
      <w:proofErr w:type="spellStart"/>
      <w:r w:rsidR="00601505" w:rsidRPr="00BD2D35">
        <w:rPr>
          <w:szCs w:val="22"/>
          <w:lang w:val="lt-LT"/>
        </w:rPr>
        <w:t>Ganirelix</w:t>
      </w:r>
      <w:proofErr w:type="spellEnd"/>
      <w:r w:rsidR="00601505" w:rsidRPr="00BD2D35">
        <w:rPr>
          <w:szCs w:val="22"/>
          <w:lang w:val="lt-LT"/>
        </w:rPr>
        <w:t xml:space="preserve"> </w:t>
      </w:r>
      <w:proofErr w:type="spellStart"/>
      <w:r w:rsidR="00601505" w:rsidRPr="00BD2D35">
        <w:rPr>
          <w:szCs w:val="22"/>
          <w:lang w:val="lt-LT"/>
        </w:rPr>
        <w:t>Theramex</w:t>
      </w:r>
      <w:proofErr w:type="spellEnd"/>
      <w:r w:rsidRPr="00BD2D35">
        <w:rPr>
          <w:rFonts w:eastAsiaTheme="minorHAnsi"/>
          <w:color w:val="000000"/>
          <w:szCs w:val="22"/>
          <w:lang w:val="lt-LT" w:bidi="bn-BD"/>
        </w:rPr>
        <w:t xml:space="preserve"> gydyti mažiau nei 50</w:t>
      </w:r>
      <w:r w:rsidR="00601505" w:rsidRPr="00BD2D35">
        <w:rPr>
          <w:rFonts w:eastAsiaTheme="minorHAnsi"/>
          <w:color w:val="000000"/>
          <w:szCs w:val="22"/>
          <w:lang w:val="lt-LT" w:bidi="bn-BD"/>
        </w:rPr>
        <w:t> </w:t>
      </w:r>
      <w:r w:rsidRPr="00BD2D35">
        <w:rPr>
          <w:rFonts w:eastAsiaTheme="minorHAnsi"/>
          <w:color w:val="000000"/>
          <w:szCs w:val="22"/>
          <w:lang w:val="lt-LT" w:bidi="bn-BD"/>
        </w:rPr>
        <w:t>kg arba daugiau nei 90</w:t>
      </w:r>
      <w:r w:rsidR="00601505" w:rsidRPr="00BD2D35">
        <w:rPr>
          <w:rFonts w:eastAsiaTheme="minorHAnsi"/>
          <w:color w:val="000000"/>
          <w:szCs w:val="22"/>
          <w:lang w:val="lt-LT" w:bidi="bn-BD"/>
        </w:rPr>
        <w:t> </w:t>
      </w:r>
      <w:r w:rsidRPr="00BD2D35">
        <w:rPr>
          <w:rFonts w:eastAsiaTheme="minorHAnsi"/>
          <w:color w:val="000000"/>
          <w:szCs w:val="22"/>
          <w:lang w:val="lt-LT" w:bidi="bn-BD"/>
        </w:rPr>
        <w:t>kg sveriančias moteris, netirta. Kreipkitės į gydytoją dėl papildomos informacijos.</w:t>
      </w:r>
    </w:p>
    <w:p w14:paraId="4CAFC286" w14:textId="77777777" w:rsidR="00C742F6" w:rsidRPr="00BD2D35" w:rsidRDefault="00C742F6" w:rsidP="00C742F6">
      <w:pPr>
        <w:numPr>
          <w:ilvl w:val="12"/>
          <w:numId w:val="0"/>
        </w:numPr>
        <w:tabs>
          <w:tab w:val="clear" w:pos="567"/>
          <w:tab w:val="left" w:pos="1296"/>
        </w:tabs>
        <w:spacing w:line="240" w:lineRule="auto"/>
        <w:ind w:right="-2"/>
        <w:rPr>
          <w:szCs w:val="24"/>
          <w:lang w:val="lt-LT"/>
        </w:rPr>
      </w:pPr>
    </w:p>
    <w:p w14:paraId="43179814" w14:textId="77777777" w:rsidR="004C17CB" w:rsidRPr="00BD2D35" w:rsidRDefault="002C1216" w:rsidP="00C742F6">
      <w:pPr>
        <w:rPr>
          <w:b/>
          <w:bCs/>
          <w:lang w:val="lt-LT"/>
        </w:rPr>
      </w:pPr>
      <w:r w:rsidRPr="00BD2D35">
        <w:rPr>
          <w:b/>
          <w:bCs/>
          <w:lang w:val="lt-LT"/>
        </w:rPr>
        <w:t>Vaikams ir paaugliams</w:t>
      </w:r>
    </w:p>
    <w:p w14:paraId="4B8D618E" w14:textId="14E16BA0" w:rsidR="004C17CB" w:rsidRPr="00BD2D35" w:rsidRDefault="00C742F6">
      <w:pPr>
        <w:numPr>
          <w:ilvl w:val="12"/>
          <w:numId w:val="0"/>
        </w:numPr>
        <w:tabs>
          <w:tab w:val="clear" w:pos="567"/>
          <w:tab w:val="left" w:pos="1296"/>
        </w:tabs>
        <w:spacing w:line="240" w:lineRule="auto"/>
        <w:rPr>
          <w:szCs w:val="22"/>
          <w:lang w:val="lt-LT"/>
        </w:rPr>
      </w:pPr>
      <w:proofErr w:type="spellStart"/>
      <w:r w:rsidRPr="00BD2D35">
        <w:rPr>
          <w:szCs w:val="22"/>
          <w:lang w:val="lt-LT"/>
        </w:rPr>
        <w:t>Ganirelix</w:t>
      </w:r>
      <w:proofErr w:type="spellEnd"/>
      <w:r w:rsidRPr="00BD2D35">
        <w:rPr>
          <w:szCs w:val="22"/>
          <w:lang w:val="lt-LT"/>
        </w:rPr>
        <w:t xml:space="preserve"> </w:t>
      </w:r>
      <w:proofErr w:type="spellStart"/>
      <w:r w:rsidR="004A09A8" w:rsidRPr="00BD2D35">
        <w:rPr>
          <w:szCs w:val="22"/>
          <w:lang w:val="lt-LT"/>
        </w:rPr>
        <w:t>Theramex</w:t>
      </w:r>
      <w:proofErr w:type="spellEnd"/>
      <w:r w:rsidRPr="00BD2D35">
        <w:rPr>
          <w:szCs w:val="22"/>
          <w:lang w:val="lt-LT"/>
        </w:rPr>
        <w:t xml:space="preserve"> vaikų ar paauglių gydymui nevartojamas.</w:t>
      </w:r>
    </w:p>
    <w:p w14:paraId="548F229F" w14:textId="77777777" w:rsidR="00C742F6" w:rsidRPr="00BD2D35" w:rsidRDefault="00C742F6">
      <w:pPr>
        <w:numPr>
          <w:ilvl w:val="12"/>
          <w:numId w:val="0"/>
        </w:numPr>
        <w:tabs>
          <w:tab w:val="clear" w:pos="567"/>
          <w:tab w:val="left" w:pos="1296"/>
        </w:tabs>
        <w:spacing w:line="240" w:lineRule="auto"/>
        <w:rPr>
          <w:szCs w:val="24"/>
          <w:lang w:val="lt-LT"/>
        </w:rPr>
      </w:pPr>
    </w:p>
    <w:p w14:paraId="09E4749B" w14:textId="310946F4" w:rsidR="004C17CB" w:rsidRPr="00BD2D35" w:rsidRDefault="002C1216" w:rsidP="00C742F6">
      <w:pPr>
        <w:rPr>
          <w:b/>
          <w:bCs/>
          <w:lang w:val="lt-LT"/>
        </w:rPr>
      </w:pPr>
      <w:r w:rsidRPr="00BD2D35">
        <w:rPr>
          <w:b/>
          <w:bCs/>
          <w:lang w:val="lt-LT"/>
        </w:rPr>
        <w:t xml:space="preserve">Kiti vaistai ir </w:t>
      </w:r>
      <w:proofErr w:type="spellStart"/>
      <w:r w:rsidR="00601505" w:rsidRPr="00BD2D35">
        <w:rPr>
          <w:b/>
          <w:bCs/>
          <w:lang w:val="lt-LT"/>
        </w:rPr>
        <w:t>Ganirelix</w:t>
      </w:r>
      <w:proofErr w:type="spellEnd"/>
      <w:r w:rsidR="00601505" w:rsidRPr="00BD2D35">
        <w:rPr>
          <w:b/>
          <w:bCs/>
          <w:lang w:val="lt-LT"/>
        </w:rPr>
        <w:t xml:space="preserve"> </w:t>
      </w:r>
      <w:proofErr w:type="spellStart"/>
      <w:r w:rsidR="00601505" w:rsidRPr="00BD2D35">
        <w:rPr>
          <w:b/>
          <w:bCs/>
          <w:lang w:val="lt-LT"/>
        </w:rPr>
        <w:t>Theramex</w:t>
      </w:r>
      <w:proofErr w:type="spellEnd"/>
    </w:p>
    <w:p w14:paraId="49969918" w14:textId="5E5B1A4D" w:rsidR="004C17CB" w:rsidRPr="00BD2D35" w:rsidRDefault="00C742F6">
      <w:pPr>
        <w:numPr>
          <w:ilvl w:val="12"/>
          <w:numId w:val="0"/>
        </w:numPr>
        <w:tabs>
          <w:tab w:val="clear" w:pos="567"/>
          <w:tab w:val="left" w:pos="1296"/>
        </w:tabs>
        <w:spacing w:line="240" w:lineRule="auto"/>
        <w:ind w:right="-2"/>
        <w:rPr>
          <w:szCs w:val="22"/>
          <w:lang w:val="lt-LT"/>
        </w:rPr>
      </w:pPr>
      <w:r w:rsidRPr="00BD2D35">
        <w:rPr>
          <w:szCs w:val="22"/>
          <w:lang w:val="lt-LT"/>
        </w:rPr>
        <w:t>Jeigu vartojate ar neseniai vartojote kitų vaistų arba dėl to nesate tikri, apie tai pasakykite gydytojui arba vaistininkui.</w:t>
      </w:r>
    </w:p>
    <w:p w14:paraId="680CEDF0" w14:textId="77777777" w:rsidR="00C742F6" w:rsidRPr="00BD2D35" w:rsidRDefault="00C742F6">
      <w:pPr>
        <w:numPr>
          <w:ilvl w:val="12"/>
          <w:numId w:val="0"/>
        </w:numPr>
        <w:tabs>
          <w:tab w:val="clear" w:pos="567"/>
          <w:tab w:val="left" w:pos="1296"/>
        </w:tabs>
        <w:spacing w:line="240" w:lineRule="auto"/>
        <w:ind w:right="-2"/>
        <w:rPr>
          <w:szCs w:val="24"/>
          <w:lang w:val="lt-LT"/>
        </w:rPr>
      </w:pPr>
    </w:p>
    <w:p w14:paraId="63E321BE" w14:textId="6B00DEBE" w:rsidR="004C17CB" w:rsidRPr="00BD2D35" w:rsidRDefault="002C1216" w:rsidP="00C742F6">
      <w:pPr>
        <w:rPr>
          <w:b/>
          <w:bCs/>
          <w:lang w:val="lt-LT"/>
        </w:rPr>
      </w:pPr>
      <w:r w:rsidRPr="00BD2D35">
        <w:rPr>
          <w:b/>
          <w:bCs/>
          <w:lang w:val="lt-LT"/>
        </w:rPr>
        <w:t>Nėštumas</w:t>
      </w:r>
      <w:r w:rsidRPr="00BD2D35">
        <w:rPr>
          <w:b/>
          <w:bCs/>
          <w:szCs w:val="24"/>
          <w:lang w:val="lt-LT"/>
        </w:rPr>
        <w:t>,</w:t>
      </w:r>
      <w:r w:rsidRPr="00BD2D35">
        <w:rPr>
          <w:b/>
          <w:bCs/>
          <w:lang w:val="lt-LT"/>
        </w:rPr>
        <w:t xml:space="preserve"> žindymo laikotarpis ir vaisingumas</w:t>
      </w:r>
    </w:p>
    <w:p w14:paraId="0DDF8828" w14:textId="48BE9A0C" w:rsidR="00601505" w:rsidRPr="00BD2D35" w:rsidRDefault="00601505" w:rsidP="00C742F6">
      <w:pPr>
        <w:tabs>
          <w:tab w:val="clear" w:pos="567"/>
        </w:tabs>
        <w:autoSpaceDE w:val="0"/>
        <w:autoSpaceDN w:val="0"/>
        <w:adjustRightInd w:val="0"/>
        <w:snapToGrid/>
        <w:spacing w:line="240" w:lineRule="auto"/>
        <w:rPr>
          <w:szCs w:val="24"/>
          <w:lang w:val="lt-LT"/>
        </w:rPr>
      </w:pPr>
      <w:r w:rsidRPr="00BD2D35">
        <w:rPr>
          <w:szCs w:val="24"/>
          <w:lang w:val="lt-LT"/>
        </w:rPr>
        <w:t>Jeigu esate nėščia, žindote kūdikį, manote, kad galbūt esate nėščia, arba planuojate pastoti, tai prieš vartodama šį vaistą pasitarkite su gydytoju arba vaistininku.</w:t>
      </w:r>
    </w:p>
    <w:p w14:paraId="1D07A982" w14:textId="77777777" w:rsidR="00601505" w:rsidRPr="00BD2D35" w:rsidRDefault="00601505" w:rsidP="00C742F6">
      <w:pPr>
        <w:tabs>
          <w:tab w:val="clear" w:pos="567"/>
        </w:tabs>
        <w:autoSpaceDE w:val="0"/>
        <w:autoSpaceDN w:val="0"/>
        <w:adjustRightInd w:val="0"/>
        <w:snapToGrid/>
        <w:spacing w:line="240" w:lineRule="auto"/>
        <w:rPr>
          <w:rFonts w:eastAsiaTheme="minorHAnsi"/>
          <w:color w:val="000000"/>
          <w:szCs w:val="22"/>
          <w:lang w:val="lt-LT" w:bidi="bn-BD"/>
        </w:rPr>
      </w:pPr>
    </w:p>
    <w:p w14:paraId="35247254" w14:textId="249F49D0" w:rsidR="00C742F6" w:rsidRPr="00BD2D35" w:rsidRDefault="00601505" w:rsidP="00C742F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w:t>
      </w:r>
      <w:r w:rsidR="00C742F6" w:rsidRPr="00BD2D35">
        <w:rPr>
          <w:rFonts w:eastAsiaTheme="minorHAnsi"/>
          <w:color w:val="000000"/>
          <w:szCs w:val="22"/>
          <w:lang w:val="lt-LT" w:bidi="bn-BD"/>
        </w:rPr>
        <w:t>anirelix</w:t>
      </w:r>
      <w:proofErr w:type="spellEnd"/>
      <w:r w:rsidR="00C742F6"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00C742F6" w:rsidRPr="00BD2D35">
        <w:rPr>
          <w:rFonts w:eastAsiaTheme="minorHAnsi"/>
          <w:color w:val="000000"/>
          <w:szCs w:val="22"/>
          <w:lang w:val="lt-LT" w:bidi="bn-BD"/>
        </w:rPr>
        <w:t xml:space="preserve"> vartojamas moterims, kurioms sukeliama kontroliuojama kiaušidžių stimuliacija, darant apvaisinimą pagalbiniu būdu (PAB). </w:t>
      </w:r>
    </w:p>
    <w:p w14:paraId="60E504F9" w14:textId="77777777" w:rsidR="00601505" w:rsidRPr="00BD2D35" w:rsidRDefault="00601505" w:rsidP="00C742F6">
      <w:pPr>
        <w:tabs>
          <w:tab w:val="clear" w:pos="567"/>
        </w:tabs>
        <w:autoSpaceDE w:val="0"/>
        <w:autoSpaceDN w:val="0"/>
        <w:adjustRightInd w:val="0"/>
        <w:snapToGrid/>
        <w:spacing w:line="240" w:lineRule="auto"/>
        <w:rPr>
          <w:rFonts w:eastAsiaTheme="minorHAnsi"/>
          <w:color w:val="000000"/>
          <w:szCs w:val="22"/>
          <w:lang w:val="lt-LT" w:bidi="bn-BD"/>
        </w:rPr>
      </w:pPr>
    </w:p>
    <w:p w14:paraId="5242CE71" w14:textId="4BF3BEA1"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Nėštumo ir žindymo laikotarpiu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vartoti negalima. </w:t>
      </w:r>
    </w:p>
    <w:p w14:paraId="6D2CCEA7" w14:textId="77777777" w:rsidR="00C742F6" w:rsidRPr="00BD2D35" w:rsidRDefault="00C742F6" w:rsidP="00C742F6">
      <w:pPr>
        <w:numPr>
          <w:ilvl w:val="12"/>
          <w:numId w:val="0"/>
        </w:numPr>
        <w:tabs>
          <w:tab w:val="clear" w:pos="567"/>
          <w:tab w:val="left" w:pos="1296"/>
        </w:tabs>
        <w:spacing w:line="240" w:lineRule="auto"/>
        <w:rPr>
          <w:szCs w:val="24"/>
          <w:lang w:val="lt-LT"/>
        </w:rPr>
      </w:pPr>
    </w:p>
    <w:p w14:paraId="21B52A46" w14:textId="77777777" w:rsidR="004C17CB" w:rsidRPr="00BD2D35" w:rsidRDefault="002C1216" w:rsidP="00C742F6">
      <w:pPr>
        <w:rPr>
          <w:b/>
          <w:bCs/>
          <w:lang w:val="lt-LT"/>
        </w:rPr>
      </w:pPr>
      <w:r w:rsidRPr="00BD2D35">
        <w:rPr>
          <w:b/>
          <w:bCs/>
          <w:lang w:val="lt-LT"/>
        </w:rPr>
        <w:t>Vairavimas ir mechanizmų valdymas</w:t>
      </w:r>
    </w:p>
    <w:p w14:paraId="7409DCC6" w14:textId="5E517CDD" w:rsidR="004C17CB" w:rsidRPr="00BD2D35" w:rsidRDefault="00C742F6">
      <w:pPr>
        <w:pStyle w:val="Antrat4"/>
        <w:rPr>
          <w:rFonts w:ascii="Times New Roman" w:hAnsi="Times New Roman"/>
          <w:b w:val="0"/>
          <w:bCs w:val="0"/>
          <w:sz w:val="22"/>
          <w:szCs w:val="24"/>
          <w:lang w:val="lt-LT" w:eastAsia="en-US"/>
        </w:rPr>
      </w:pPr>
      <w:proofErr w:type="spellStart"/>
      <w:r w:rsidRPr="00BD2D35">
        <w:rPr>
          <w:rFonts w:ascii="Times New Roman" w:hAnsi="Times New Roman"/>
          <w:b w:val="0"/>
          <w:bCs w:val="0"/>
          <w:sz w:val="22"/>
          <w:szCs w:val="24"/>
          <w:lang w:val="lt-LT" w:eastAsia="en-US"/>
        </w:rPr>
        <w:t>Ganirelix</w:t>
      </w:r>
      <w:proofErr w:type="spellEnd"/>
      <w:r w:rsidRPr="00BD2D35">
        <w:rPr>
          <w:rFonts w:ascii="Times New Roman" w:hAnsi="Times New Roman"/>
          <w:b w:val="0"/>
          <w:bCs w:val="0"/>
          <w:sz w:val="22"/>
          <w:szCs w:val="24"/>
          <w:lang w:val="lt-LT" w:eastAsia="en-US"/>
        </w:rPr>
        <w:t xml:space="preserve"> </w:t>
      </w:r>
      <w:proofErr w:type="spellStart"/>
      <w:r w:rsidR="004A09A8" w:rsidRPr="00BD2D35">
        <w:rPr>
          <w:rFonts w:ascii="Times New Roman" w:hAnsi="Times New Roman"/>
          <w:b w:val="0"/>
          <w:bCs w:val="0"/>
          <w:sz w:val="22"/>
          <w:szCs w:val="24"/>
          <w:lang w:val="lt-LT" w:eastAsia="en-US"/>
        </w:rPr>
        <w:t>Theramex</w:t>
      </w:r>
      <w:proofErr w:type="spellEnd"/>
      <w:r w:rsidRPr="00BD2D35">
        <w:rPr>
          <w:rFonts w:ascii="Times New Roman" w:hAnsi="Times New Roman"/>
          <w:b w:val="0"/>
          <w:bCs w:val="0"/>
          <w:sz w:val="22"/>
          <w:szCs w:val="24"/>
          <w:lang w:val="lt-LT" w:eastAsia="en-US"/>
        </w:rPr>
        <w:t xml:space="preserve"> poveikis gebėjimui vairuoti ir valdyti mechanizmus netirtas.</w:t>
      </w:r>
    </w:p>
    <w:p w14:paraId="7BEFA729" w14:textId="77777777" w:rsidR="00C742F6" w:rsidRPr="00BD2D35" w:rsidRDefault="00C742F6" w:rsidP="00C742F6">
      <w:pPr>
        <w:rPr>
          <w:lang w:val="lt-LT"/>
        </w:rPr>
      </w:pPr>
    </w:p>
    <w:p w14:paraId="778410B9" w14:textId="07D054AA"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sudėtyje yra natrio </w:t>
      </w:r>
    </w:p>
    <w:p w14:paraId="66863B1D" w14:textId="04BF15FB" w:rsidR="004C17CB" w:rsidRPr="00BD2D35" w:rsidRDefault="00C742F6" w:rsidP="00C742F6">
      <w:pPr>
        <w:numPr>
          <w:ilvl w:val="12"/>
          <w:numId w:val="0"/>
        </w:numPr>
        <w:tabs>
          <w:tab w:val="clear" w:pos="567"/>
          <w:tab w:val="left" w:pos="1296"/>
        </w:tabs>
        <w:spacing w:line="240" w:lineRule="auto"/>
        <w:ind w:right="-2"/>
        <w:rPr>
          <w:rFonts w:eastAsiaTheme="minorHAnsi"/>
          <w:color w:val="000000"/>
          <w:szCs w:val="22"/>
          <w:lang w:val="lt-LT" w:bidi="bn-BD"/>
        </w:rPr>
      </w:pPr>
      <w:r w:rsidRPr="00BD2D35">
        <w:rPr>
          <w:rFonts w:eastAsiaTheme="minorHAnsi"/>
          <w:color w:val="000000"/>
          <w:szCs w:val="22"/>
          <w:lang w:val="lt-LT" w:bidi="bn-BD"/>
        </w:rPr>
        <w:t>Šio vaisto injekcijoje yra mažiau kaip 1</w:t>
      </w:r>
      <w:r w:rsidR="00601505" w:rsidRPr="00BD2D35">
        <w:rPr>
          <w:rFonts w:eastAsiaTheme="minorHAnsi"/>
          <w:color w:val="000000"/>
          <w:szCs w:val="22"/>
          <w:lang w:val="lt-LT" w:bidi="bn-BD"/>
        </w:rPr>
        <w:t> </w:t>
      </w:r>
      <w:proofErr w:type="spellStart"/>
      <w:r w:rsidRPr="00BD2D35">
        <w:rPr>
          <w:rFonts w:eastAsiaTheme="minorHAnsi"/>
          <w:color w:val="000000"/>
          <w:szCs w:val="22"/>
          <w:lang w:val="lt-LT" w:bidi="bn-BD"/>
        </w:rPr>
        <w:t>mmol</w:t>
      </w:r>
      <w:proofErr w:type="spellEnd"/>
      <w:r w:rsidRPr="00BD2D35">
        <w:rPr>
          <w:rFonts w:eastAsiaTheme="minorHAnsi"/>
          <w:color w:val="000000"/>
          <w:szCs w:val="22"/>
          <w:lang w:val="lt-LT" w:bidi="bn-BD"/>
        </w:rPr>
        <w:t xml:space="preserve"> (23</w:t>
      </w:r>
      <w:r w:rsidR="00601505" w:rsidRPr="00BD2D35">
        <w:rPr>
          <w:rFonts w:eastAsiaTheme="minorHAnsi"/>
          <w:color w:val="000000"/>
          <w:szCs w:val="22"/>
          <w:lang w:val="lt-LT" w:bidi="bn-BD"/>
        </w:rPr>
        <w:t> </w:t>
      </w:r>
      <w:r w:rsidRPr="00BD2D35">
        <w:rPr>
          <w:rFonts w:eastAsiaTheme="minorHAnsi"/>
          <w:color w:val="000000"/>
          <w:szCs w:val="22"/>
          <w:lang w:val="lt-LT" w:bidi="bn-BD"/>
        </w:rPr>
        <w:t>mg) natrio, t. y. jis beveik neturi reikšmės.</w:t>
      </w:r>
    </w:p>
    <w:p w14:paraId="31BAFE2C" w14:textId="77777777" w:rsidR="00601505" w:rsidRPr="00BD2D35" w:rsidRDefault="00601505" w:rsidP="00C742F6">
      <w:pPr>
        <w:numPr>
          <w:ilvl w:val="12"/>
          <w:numId w:val="0"/>
        </w:numPr>
        <w:tabs>
          <w:tab w:val="clear" w:pos="567"/>
          <w:tab w:val="left" w:pos="1296"/>
        </w:tabs>
        <w:spacing w:line="240" w:lineRule="auto"/>
        <w:ind w:right="-2"/>
        <w:rPr>
          <w:szCs w:val="24"/>
          <w:lang w:val="lt-LT"/>
        </w:rPr>
      </w:pPr>
    </w:p>
    <w:p w14:paraId="4696C4E4" w14:textId="77777777" w:rsidR="004C17CB" w:rsidRPr="00BD2D35" w:rsidRDefault="004C17CB">
      <w:pPr>
        <w:numPr>
          <w:ilvl w:val="12"/>
          <w:numId w:val="0"/>
        </w:numPr>
        <w:tabs>
          <w:tab w:val="clear" w:pos="567"/>
          <w:tab w:val="left" w:pos="1296"/>
        </w:tabs>
        <w:spacing w:line="240" w:lineRule="auto"/>
        <w:ind w:right="-2"/>
        <w:rPr>
          <w:szCs w:val="24"/>
          <w:lang w:val="lt-LT"/>
        </w:rPr>
      </w:pPr>
    </w:p>
    <w:p w14:paraId="6C3D316C" w14:textId="3DF62AF4" w:rsidR="004C17CB" w:rsidRPr="00BD2D35" w:rsidRDefault="002C1216" w:rsidP="00C742F6">
      <w:pPr>
        <w:rPr>
          <w:b/>
          <w:bCs/>
          <w:lang w:val="lt-LT"/>
        </w:rPr>
      </w:pPr>
      <w:r w:rsidRPr="00BD2D35">
        <w:rPr>
          <w:b/>
          <w:bCs/>
          <w:lang w:val="lt-LT"/>
        </w:rPr>
        <w:t>3.</w:t>
      </w:r>
      <w:r w:rsidRPr="00BD2D35">
        <w:rPr>
          <w:b/>
          <w:bCs/>
          <w:lang w:val="lt-LT"/>
        </w:rPr>
        <w:tab/>
        <w:t xml:space="preserve">Kaip vartoti </w:t>
      </w:r>
      <w:proofErr w:type="spellStart"/>
      <w:r w:rsidR="00C742F6" w:rsidRPr="00BD2D35">
        <w:rPr>
          <w:b/>
          <w:bCs/>
          <w:lang w:val="lt-LT"/>
        </w:rPr>
        <w:t>Ganirelix</w:t>
      </w:r>
      <w:proofErr w:type="spellEnd"/>
      <w:r w:rsidR="00C742F6" w:rsidRPr="00BD2D35">
        <w:rPr>
          <w:b/>
          <w:bCs/>
          <w:lang w:val="lt-LT"/>
        </w:rPr>
        <w:t xml:space="preserve"> </w:t>
      </w:r>
      <w:proofErr w:type="spellStart"/>
      <w:r w:rsidR="004A09A8" w:rsidRPr="00BD2D35">
        <w:rPr>
          <w:b/>
          <w:bCs/>
          <w:lang w:val="lt-LT"/>
        </w:rPr>
        <w:t>Theramex</w:t>
      </w:r>
      <w:proofErr w:type="spellEnd"/>
    </w:p>
    <w:p w14:paraId="2B1FB3FD" w14:textId="77777777" w:rsidR="00C742F6" w:rsidRPr="00BD2D35" w:rsidRDefault="00C742F6" w:rsidP="00C742F6">
      <w:pPr>
        <w:rPr>
          <w:lang w:val="lt-LT" w:eastAsia="x-none"/>
        </w:rPr>
      </w:pPr>
    </w:p>
    <w:p w14:paraId="21D95481" w14:textId="77777777" w:rsidR="000C12E5" w:rsidRPr="00BD2D35" w:rsidRDefault="000C12E5" w:rsidP="000C12E5">
      <w:pPr>
        <w:numPr>
          <w:ilvl w:val="12"/>
          <w:numId w:val="0"/>
        </w:numPr>
        <w:tabs>
          <w:tab w:val="clear" w:pos="567"/>
          <w:tab w:val="left" w:pos="1296"/>
        </w:tabs>
        <w:spacing w:line="240" w:lineRule="auto"/>
        <w:ind w:right="-2"/>
        <w:rPr>
          <w:szCs w:val="24"/>
          <w:lang w:val="lt-LT"/>
        </w:rPr>
      </w:pPr>
      <w:proofErr w:type="spellStart"/>
      <w:r w:rsidRPr="00BD2D35">
        <w:rPr>
          <w:szCs w:val="24"/>
          <w:lang w:val="lt-LT"/>
        </w:rPr>
        <w:t>Ganirelix</w:t>
      </w:r>
      <w:proofErr w:type="spellEnd"/>
      <w:r w:rsidRPr="00BD2D35">
        <w:rPr>
          <w:szCs w:val="24"/>
          <w:lang w:val="lt-LT"/>
        </w:rPr>
        <w:t xml:space="preserve"> </w:t>
      </w:r>
      <w:proofErr w:type="spellStart"/>
      <w:r w:rsidRPr="00BD2D35">
        <w:rPr>
          <w:szCs w:val="24"/>
          <w:lang w:val="lt-LT"/>
        </w:rPr>
        <w:t>Theramex</w:t>
      </w:r>
      <w:proofErr w:type="spellEnd"/>
      <w:r w:rsidRPr="00BD2D35">
        <w:rPr>
          <w:szCs w:val="24"/>
          <w:lang w:val="lt-LT"/>
        </w:rPr>
        <w:t xml:space="preserve"> vartojamas kaip viena iš sudedamųjų gydymo dalių, darant moters apvaisinimą pagalbiniu būdu, įskaitant apvaisinimą </w:t>
      </w:r>
      <w:proofErr w:type="spellStart"/>
      <w:r w:rsidRPr="00BD2D35">
        <w:rPr>
          <w:i/>
          <w:iCs/>
          <w:szCs w:val="24"/>
          <w:lang w:val="lt-LT"/>
        </w:rPr>
        <w:t>in</w:t>
      </w:r>
      <w:proofErr w:type="spellEnd"/>
      <w:r w:rsidRPr="00BD2D35">
        <w:rPr>
          <w:i/>
          <w:iCs/>
          <w:szCs w:val="24"/>
          <w:lang w:val="lt-LT"/>
        </w:rPr>
        <w:t xml:space="preserve"> </w:t>
      </w:r>
      <w:proofErr w:type="spellStart"/>
      <w:r w:rsidRPr="00BD2D35">
        <w:rPr>
          <w:i/>
          <w:iCs/>
          <w:szCs w:val="24"/>
          <w:lang w:val="lt-LT"/>
        </w:rPr>
        <w:t>vitro</w:t>
      </w:r>
      <w:proofErr w:type="spellEnd"/>
      <w:r w:rsidRPr="00BD2D35">
        <w:rPr>
          <w:szCs w:val="24"/>
          <w:lang w:val="lt-LT"/>
        </w:rPr>
        <w:t xml:space="preserve"> (AIV).</w:t>
      </w:r>
    </w:p>
    <w:p w14:paraId="298BA3F1" w14:textId="752A750F" w:rsidR="000C12E5" w:rsidRPr="00BD2D35" w:rsidRDefault="000C12E5" w:rsidP="000C12E5">
      <w:pPr>
        <w:numPr>
          <w:ilvl w:val="12"/>
          <w:numId w:val="0"/>
        </w:numPr>
        <w:tabs>
          <w:tab w:val="clear" w:pos="567"/>
          <w:tab w:val="left" w:pos="1296"/>
        </w:tabs>
        <w:spacing w:line="240" w:lineRule="auto"/>
        <w:ind w:right="-2"/>
        <w:rPr>
          <w:bCs/>
          <w:szCs w:val="28"/>
          <w:lang w:val="lt-LT" w:eastAsia="x-none"/>
        </w:rPr>
      </w:pPr>
      <w:r w:rsidRPr="00BD2D35">
        <w:rPr>
          <w:bCs/>
          <w:szCs w:val="28"/>
          <w:lang w:val="lt-LT" w:eastAsia="x-none"/>
        </w:rPr>
        <w:t>Injekcijas Jūs atliksite pati, todėl gydytojas paaiškins, ką turite daryti.</w:t>
      </w:r>
    </w:p>
    <w:p w14:paraId="327A7614" w14:textId="78D9AA05" w:rsidR="00C742F6" w:rsidRPr="00BD2D35" w:rsidRDefault="00C742F6" w:rsidP="00C742F6">
      <w:pPr>
        <w:numPr>
          <w:ilvl w:val="12"/>
          <w:numId w:val="0"/>
        </w:numPr>
        <w:tabs>
          <w:tab w:val="clear" w:pos="567"/>
          <w:tab w:val="left" w:pos="1296"/>
        </w:tabs>
        <w:spacing w:line="240" w:lineRule="auto"/>
        <w:ind w:right="-2"/>
        <w:rPr>
          <w:szCs w:val="24"/>
          <w:lang w:val="lt-LT"/>
        </w:rPr>
      </w:pPr>
      <w:r w:rsidRPr="00BD2D35">
        <w:rPr>
          <w:szCs w:val="24"/>
          <w:lang w:val="lt-LT"/>
        </w:rPr>
        <w:t>Visada vartokite šį vaistą tiksliai kaip nurodė gydytojas arba vaistininkas. Jeigu abejojate, kreipkitės į gydytoją arba vaistininką.</w:t>
      </w:r>
    </w:p>
    <w:p w14:paraId="515C7F78" w14:textId="16D270B2" w:rsidR="000C12E5" w:rsidRPr="00BD2D35" w:rsidRDefault="000C12E5" w:rsidP="00C742F6">
      <w:pPr>
        <w:numPr>
          <w:ilvl w:val="12"/>
          <w:numId w:val="0"/>
        </w:numPr>
        <w:tabs>
          <w:tab w:val="clear" w:pos="567"/>
          <w:tab w:val="left" w:pos="1296"/>
        </w:tabs>
        <w:spacing w:line="240" w:lineRule="auto"/>
        <w:ind w:right="-2"/>
        <w:rPr>
          <w:szCs w:val="24"/>
          <w:lang w:val="lt-LT"/>
        </w:rPr>
      </w:pPr>
    </w:p>
    <w:p w14:paraId="2CF0D40E" w14:textId="68727BC9" w:rsidR="000C12E5" w:rsidRPr="00BD2D35" w:rsidRDefault="000C12E5" w:rsidP="00C742F6">
      <w:pPr>
        <w:numPr>
          <w:ilvl w:val="12"/>
          <w:numId w:val="0"/>
        </w:numPr>
        <w:tabs>
          <w:tab w:val="clear" w:pos="567"/>
          <w:tab w:val="left" w:pos="1296"/>
        </w:tabs>
        <w:spacing w:line="240" w:lineRule="auto"/>
        <w:ind w:right="-2"/>
        <w:rPr>
          <w:b/>
          <w:bCs/>
          <w:szCs w:val="24"/>
          <w:lang w:val="lt-LT"/>
        </w:rPr>
      </w:pPr>
      <w:r w:rsidRPr="00BD2D35">
        <w:rPr>
          <w:b/>
          <w:bCs/>
          <w:szCs w:val="24"/>
          <w:lang w:val="lt-LT"/>
        </w:rPr>
        <w:t>1 etapas</w:t>
      </w:r>
    </w:p>
    <w:p w14:paraId="1E886253" w14:textId="77777777" w:rsidR="00EE5312"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Kiaušides FSH arba </w:t>
      </w:r>
      <w:proofErr w:type="spellStart"/>
      <w:r w:rsidRPr="00BD2D35">
        <w:rPr>
          <w:rFonts w:eastAsiaTheme="minorHAnsi"/>
          <w:color w:val="000000"/>
          <w:szCs w:val="22"/>
          <w:lang w:val="lt-LT" w:bidi="bn-BD"/>
        </w:rPr>
        <w:t>korifolitropinu</w:t>
      </w:r>
      <w:proofErr w:type="spellEnd"/>
      <w:r w:rsidRPr="00BD2D35">
        <w:rPr>
          <w:rFonts w:eastAsiaTheme="minorHAnsi"/>
          <w:color w:val="000000"/>
          <w:szCs w:val="22"/>
          <w:lang w:val="lt-LT" w:bidi="bn-BD"/>
        </w:rPr>
        <w:t xml:space="preserve"> galima pradėti stimuliuoti 2-ąją - 3-ąją mėnesinių dieną. </w:t>
      </w:r>
    </w:p>
    <w:p w14:paraId="1428D007" w14:textId="77777777" w:rsidR="00EE5312" w:rsidRPr="00BD2D35" w:rsidRDefault="00EE5312" w:rsidP="00C742F6">
      <w:pPr>
        <w:tabs>
          <w:tab w:val="clear" w:pos="567"/>
        </w:tabs>
        <w:autoSpaceDE w:val="0"/>
        <w:autoSpaceDN w:val="0"/>
        <w:adjustRightInd w:val="0"/>
        <w:snapToGrid/>
        <w:spacing w:line="240" w:lineRule="auto"/>
        <w:rPr>
          <w:rFonts w:eastAsiaTheme="minorHAnsi"/>
          <w:color w:val="000000"/>
          <w:szCs w:val="22"/>
          <w:lang w:val="lt-LT" w:bidi="bn-BD"/>
        </w:rPr>
      </w:pPr>
    </w:p>
    <w:p w14:paraId="5278F56A" w14:textId="056BD075" w:rsidR="00EE5312" w:rsidRPr="00BD2D35" w:rsidRDefault="00EE5312"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lastRenderedPageBreak/>
        <w:t>2 etapas</w:t>
      </w:r>
    </w:p>
    <w:p w14:paraId="35EC82B2" w14:textId="65288B90"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Pradedant nuo 5-osios ar 6-osios stimuliacijos dienos, </w:t>
      </w:r>
      <w:proofErr w:type="spellStart"/>
      <w:r w:rsidR="00EE5312" w:rsidRPr="00BD2D35">
        <w:rPr>
          <w:rFonts w:eastAsiaTheme="minorHAnsi"/>
          <w:color w:val="000000"/>
          <w:szCs w:val="22"/>
          <w:lang w:val="lt-LT" w:bidi="bn-BD"/>
        </w:rPr>
        <w:t>Ganirelix</w:t>
      </w:r>
      <w:proofErr w:type="spellEnd"/>
      <w:r w:rsidR="00EE5312" w:rsidRPr="00BD2D35">
        <w:rPr>
          <w:rFonts w:eastAsiaTheme="minorHAnsi"/>
          <w:color w:val="000000"/>
          <w:szCs w:val="22"/>
          <w:lang w:val="lt-LT" w:bidi="bn-BD"/>
        </w:rPr>
        <w:t xml:space="preserve"> </w:t>
      </w:r>
      <w:proofErr w:type="spellStart"/>
      <w:r w:rsidR="00EE5312" w:rsidRPr="00BD2D35">
        <w:rPr>
          <w:rFonts w:eastAsiaTheme="minorHAnsi"/>
          <w:color w:val="000000"/>
          <w:szCs w:val="22"/>
          <w:lang w:val="lt-LT" w:bidi="bn-BD"/>
        </w:rPr>
        <w:t>Theramex</w:t>
      </w:r>
      <w:proofErr w:type="spellEnd"/>
      <w:r w:rsidR="00EE5312" w:rsidRPr="00BD2D35">
        <w:rPr>
          <w:rFonts w:eastAsiaTheme="minorHAnsi"/>
          <w:color w:val="000000"/>
          <w:szCs w:val="22"/>
          <w:lang w:val="lt-LT" w:bidi="bn-BD"/>
        </w:rPr>
        <w:t xml:space="preserve"> švirkšto turinį (0,25 mg) reikia suleisti </w:t>
      </w:r>
      <w:r w:rsidR="00257F75" w:rsidRPr="00BD2D35">
        <w:rPr>
          <w:rFonts w:eastAsiaTheme="minorHAnsi"/>
          <w:color w:val="000000"/>
          <w:szCs w:val="22"/>
          <w:lang w:val="lt-LT" w:bidi="bn-BD"/>
        </w:rPr>
        <w:t>į sluoksnį iškart</w:t>
      </w:r>
      <w:r w:rsidR="00EE5312" w:rsidRPr="00BD2D35">
        <w:rPr>
          <w:rFonts w:eastAsiaTheme="minorHAnsi"/>
          <w:color w:val="000000"/>
          <w:szCs w:val="22"/>
          <w:lang w:val="lt-LT" w:bidi="bn-BD"/>
        </w:rPr>
        <w:t xml:space="preserve"> </w:t>
      </w:r>
      <w:r w:rsidRPr="00BD2D35">
        <w:rPr>
          <w:rFonts w:eastAsiaTheme="minorHAnsi"/>
          <w:color w:val="000000"/>
          <w:szCs w:val="22"/>
          <w:lang w:val="lt-LT" w:bidi="bn-BD"/>
        </w:rPr>
        <w:t xml:space="preserve">po oda kartą per parą. Atsižvelgęs į kiaušidžių atsaką, gydytojas gali nurodyti pradėti gydyti kitu laiku. </w:t>
      </w:r>
    </w:p>
    <w:p w14:paraId="21609A34" w14:textId="77777777" w:rsidR="00EE5312" w:rsidRPr="00BD2D35" w:rsidRDefault="00EE5312" w:rsidP="00C742F6">
      <w:pPr>
        <w:tabs>
          <w:tab w:val="clear" w:pos="567"/>
        </w:tabs>
        <w:autoSpaceDE w:val="0"/>
        <w:autoSpaceDN w:val="0"/>
        <w:adjustRightInd w:val="0"/>
        <w:snapToGrid/>
        <w:spacing w:line="240" w:lineRule="auto"/>
        <w:rPr>
          <w:rFonts w:eastAsiaTheme="minorHAnsi"/>
          <w:color w:val="000000"/>
          <w:szCs w:val="22"/>
          <w:lang w:val="lt-LT" w:bidi="bn-BD"/>
        </w:rPr>
      </w:pPr>
    </w:p>
    <w:p w14:paraId="4D5EAFB8" w14:textId="40F28801"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ir FSH reikėtų suleisti maždaug tuo pačiu metu, tačiau jų maišyti negalima ir reikia suleisti į skirtingas vietas.</w:t>
      </w:r>
    </w:p>
    <w:p w14:paraId="335856AC" w14:textId="77777777" w:rsidR="00257F75" w:rsidRPr="00BD2D35" w:rsidRDefault="00257F75" w:rsidP="00C742F6">
      <w:pPr>
        <w:tabs>
          <w:tab w:val="clear" w:pos="567"/>
        </w:tabs>
        <w:autoSpaceDE w:val="0"/>
        <w:autoSpaceDN w:val="0"/>
        <w:adjustRightInd w:val="0"/>
        <w:snapToGrid/>
        <w:spacing w:line="240" w:lineRule="auto"/>
        <w:rPr>
          <w:rFonts w:eastAsiaTheme="minorHAnsi"/>
          <w:color w:val="000000"/>
          <w:szCs w:val="22"/>
          <w:lang w:val="lt-LT" w:bidi="bn-BD"/>
        </w:rPr>
      </w:pPr>
    </w:p>
    <w:p w14:paraId="376A952B" w14:textId="77777777" w:rsidR="00257F75"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reikia leisti kasdien tol, kol atsiranda reikiamo dydžio reikiamas folikulų kiekis.</w:t>
      </w:r>
    </w:p>
    <w:p w14:paraId="2C99750A" w14:textId="77777777" w:rsidR="00257F75" w:rsidRPr="00BD2D35" w:rsidRDefault="00257F75" w:rsidP="00C742F6">
      <w:pPr>
        <w:tabs>
          <w:tab w:val="clear" w:pos="567"/>
        </w:tabs>
        <w:autoSpaceDE w:val="0"/>
        <w:autoSpaceDN w:val="0"/>
        <w:adjustRightInd w:val="0"/>
        <w:snapToGrid/>
        <w:spacing w:line="240" w:lineRule="auto"/>
        <w:rPr>
          <w:rFonts w:eastAsiaTheme="minorHAnsi"/>
          <w:color w:val="000000"/>
          <w:szCs w:val="22"/>
          <w:lang w:val="lt-LT" w:bidi="bn-BD"/>
        </w:rPr>
      </w:pPr>
    </w:p>
    <w:p w14:paraId="5D601FF6" w14:textId="77777777" w:rsidR="00257F75" w:rsidRPr="00BD2D35" w:rsidRDefault="00257F75"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3 etapas</w:t>
      </w:r>
    </w:p>
    <w:p w14:paraId="30FB47A7" w14:textId="129D36A4"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Galutinai kiaušinėliai folikuluose subrandinami žmogaus </w:t>
      </w:r>
      <w:proofErr w:type="spellStart"/>
      <w:r w:rsidRPr="00BD2D35">
        <w:rPr>
          <w:rFonts w:eastAsiaTheme="minorHAnsi"/>
          <w:color w:val="000000"/>
          <w:szCs w:val="22"/>
          <w:lang w:val="lt-LT" w:bidi="bn-BD"/>
        </w:rPr>
        <w:t>chorioniniu</w:t>
      </w:r>
      <w:proofErr w:type="spellEnd"/>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gonadotropinu</w:t>
      </w:r>
      <w:proofErr w:type="spellEnd"/>
      <w:r w:rsidRPr="00BD2D35">
        <w:rPr>
          <w:rFonts w:eastAsiaTheme="minorHAnsi"/>
          <w:color w:val="000000"/>
          <w:szCs w:val="22"/>
          <w:lang w:val="lt-LT" w:bidi="bn-BD"/>
        </w:rPr>
        <w:t xml:space="preserve"> (</w:t>
      </w:r>
      <w:proofErr w:type="spellStart"/>
      <w:r w:rsidRPr="00BD2D35">
        <w:rPr>
          <w:rFonts w:eastAsiaTheme="minorHAnsi"/>
          <w:color w:val="000000"/>
          <w:szCs w:val="22"/>
          <w:lang w:val="lt-LT" w:bidi="bn-BD"/>
        </w:rPr>
        <w:t>žChG</w:t>
      </w:r>
      <w:proofErr w:type="spellEnd"/>
      <w:r w:rsidRPr="00BD2D35">
        <w:rPr>
          <w:rFonts w:eastAsiaTheme="minorHAnsi"/>
          <w:color w:val="000000"/>
          <w:szCs w:val="22"/>
          <w:lang w:val="lt-LT" w:bidi="bn-BD"/>
        </w:rPr>
        <w:t xml:space="preserve">). Intervalas tarp dviejų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injekcijų bei tarp paskutinės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injekcijos ir </w:t>
      </w:r>
      <w:proofErr w:type="spellStart"/>
      <w:r w:rsidRPr="00BD2D35">
        <w:rPr>
          <w:rFonts w:eastAsiaTheme="minorHAnsi"/>
          <w:color w:val="000000"/>
          <w:szCs w:val="22"/>
          <w:lang w:val="lt-LT" w:bidi="bn-BD"/>
        </w:rPr>
        <w:t>žChG</w:t>
      </w:r>
      <w:proofErr w:type="spellEnd"/>
      <w:r w:rsidRPr="00BD2D35">
        <w:rPr>
          <w:rFonts w:eastAsiaTheme="minorHAnsi"/>
          <w:color w:val="000000"/>
          <w:szCs w:val="22"/>
          <w:lang w:val="lt-LT" w:bidi="bn-BD"/>
        </w:rPr>
        <w:t xml:space="preserve"> injekcijos neturi būti ilgesnis kaip 30</w:t>
      </w:r>
      <w:r w:rsidR="00257F75" w:rsidRPr="00BD2D35">
        <w:rPr>
          <w:rFonts w:eastAsiaTheme="minorHAnsi"/>
          <w:color w:val="000000"/>
          <w:szCs w:val="22"/>
          <w:lang w:val="lt-LT" w:bidi="bn-BD"/>
        </w:rPr>
        <w:t> </w:t>
      </w:r>
      <w:r w:rsidRPr="00BD2D35">
        <w:rPr>
          <w:rFonts w:eastAsiaTheme="minorHAnsi"/>
          <w:color w:val="000000"/>
          <w:szCs w:val="22"/>
          <w:lang w:val="lt-LT" w:bidi="bn-BD"/>
        </w:rPr>
        <w:t>valandų, nes priešingu atveju, ovuliacija (t.</w:t>
      </w:r>
      <w:r w:rsidR="00257F75" w:rsidRPr="00BD2D35">
        <w:rPr>
          <w:rFonts w:eastAsiaTheme="minorHAnsi"/>
          <w:color w:val="000000"/>
          <w:szCs w:val="22"/>
          <w:lang w:val="lt-LT" w:bidi="bn-BD"/>
        </w:rPr>
        <w:t xml:space="preserve"> </w:t>
      </w:r>
      <w:r w:rsidRPr="00BD2D35">
        <w:rPr>
          <w:rFonts w:eastAsiaTheme="minorHAnsi"/>
          <w:color w:val="000000"/>
          <w:szCs w:val="22"/>
          <w:lang w:val="lt-LT" w:bidi="bn-BD"/>
        </w:rPr>
        <w:t xml:space="preserve">y. kiaušinėlio pasišalinimas) gali įvykti prieš laiką. Vadinasi, </w:t>
      </w:r>
      <w:r w:rsidRPr="00BD2D35">
        <w:rPr>
          <w:rFonts w:eastAsiaTheme="minorHAnsi"/>
          <w:b/>
          <w:bCs/>
          <w:color w:val="000000"/>
          <w:szCs w:val="22"/>
          <w:lang w:val="lt-LT" w:bidi="bn-BD"/>
        </w:rPr>
        <w:t>jeigu</w:t>
      </w:r>
      <w:r w:rsidRPr="00BD2D35">
        <w:rPr>
          <w:rFonts w:eastAsiaTheme="minorHAnsi"/>
          <w:color w:val="000000"/>
          <w:szCs w:val="22"/>
          <w:lang w:val="lt-LT" w:bidi="bn-BD"/>
        </w:rPr>
        <w:t xml:space="preserve"> </w:t>
      </w: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leidžiama ryte</w:t>
      </w:r>
      <w:r w:rsidRPr="00BD2D35">
        <w:rPr>
          <w:rFonts w:eastAsiaTheme="minorHAnsi"/>
          <w:color w:val="000000"/>
          <w:szCs w:val="22"/>
          <w:lang w:val="lt-LT" w:bidi="bn-BD"/>
        </w:rPr>
        <w:t xml:space="preserve">, jo reikia leisti visą gydymo </w:t>
      </w:r>
      <w:proofErr w:type="spellStart"/>
      <w:r w:rsidRPr="00BD2D35">
        <w:rPr>
          <w:rFonts w:eastAsiaTheme="minorHAnsi"/>
          <w:color w:val="000000"/>
          <w:szCs w:val="22"/>
          <w:lang w:val="lt-LT" w:bidi="bn-BD"/>
        </w:rPr>
        <w:t>gonadotropinu</w:t>
      </w:r>
      <w:proofErr w:type="spellEnd"/>
      <w:r w:rsidRPr="00BD2D35">
        <w:rPr>
          <w:rFonts w:eastAsiaTheme="minorHAnsi"/>
          <w:color w:val="000000"/>
          <w:szCs w:val="22"/>
          <w:lang w:val="lt-LT" w:bidi="bn-BD"/>
        </w:rPr>
        <w:t xml:space="preserve"> laikotarpį, įskaitant ir ovuliacijos dieną. </w:t>
      </w:r>
    </w:p>
    <w:p w14:paraId="56B5F488" w14:textId="4B41307F" w:rsidR="00C742F6" w:rsidRPr="00BD2D35" w:rsidRDefault="00C742F6" w:rsidP="00C742F6">
      <w:pPr>
        <w:numPr>
          <w:ilvl w:val="12"/>
          <w:numId w:val="0"/>
        </w:numPr>
        <w:tabs>
          <w:tab w:val="clear" w:pos="567"/>
          <w:tab w:val="left" w:pos="1296"/>
        </w:tabs>
        <w:spacing w:line="240" w:lineRule="auto"/>
        <w:ind w:right="-2"/>
        <w:rPr>
          <w:rFonts w:eastAsiaTheme="minorHAnsi"/>
          <w:color w:val="000000"/>
          <w:szCs w:val="22"/>
          <w:lang w:val="lt-LT" w:bidi="bn-BD"/>
        </w:rPr>
      </w:pPr>
      <w:r w:rsidRPr="00BD2D35">
        <w:rPr>
          <w:rFonts w:eastAsiaTheme="minorHAnsi"/>
          <w:b/>
          <w:bCs/>
          <w:color w:val="000000"/>
          <w:szCs w:val="22"/>
          <w:lang w:val="lt-LT" w:bidi="bn-BD"/>
        </w:rPr>
        <w:t xml:space="preserve">Jeigu </w:t>
      </w: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leidžiama popietės metu</w:t>
      </w:r>
      <w:r w:rsidRPr="00BD2D35">
        <w:rPr>
          <w:rFonts w:eastAsiaTheme="minorHAnsi"/>
          <w:color w:val="000000"/>
          <w:szCs w:val="22"/>
          <w:lang w:val="lt-LT" w:bidi="bn-BD"/>
        </w:rPr>
        <w:t xml:space="preserve"> − paskutinį kartą jo reikia leisti dienos prieš ovuliaciją popietę.</w:t>
      </w:r>
    </w:p>
    <w:p w14:paraId="6450F881" w14:textId="77777777" w:rsidR="00257F75" w:rsidRPr="00BD2D35" w:rsidRDefault="00257F75" w:rsidP="00C742F6">
      <w:pPr>
        <w:numPr>
          <w:ilvl w:val="12"/>
          <w:numId w:val="0"/>
        </w:numPr>
        <w:tabs>
          <w:tab w:val="clear" w:pos="567"/>
          <w:tab w:val="left" w:pos="1296"/>
        </w:tabs>
        <w:spacing w:line="240" w:lineRule="auto"/>
        <w:ind w:right="-2"/>
        <w:rPr>
          <w:rFonts w:eastAsiaTheme="minorHAnsi"/>
          <w:b/>
          <w:bCs/>
          <w:color w:val="000000"/>
          <w:szCs w:val="22"/>
          <w:lang w:val="lt-LT" w:bidi="bn-BD"/>
        </w:rPr>
      </w:pPr>
    </w:p>
    <w:p w14:paraId="5B97A7A2" w14:textId="0BA216CA" w:rsidR="00C742F6" w:rsidRPr="00BD2D35" w:rsidRDefault="00257F75" w:rsidP="00C742F6">
      <w:pPr>
        <w:numPr>
          <w:ilvl w:val="12"/>
          <w:numId w:val="0"/>
        </w:numPr>
        <w:tabs>
          <w:tab w:val="clear" w:pos="567"/>
          <w:tab w:val="left" w:pos="1296"/>
        </w:tabs>
        <w:spacing w:line="240" w:lineRule="auto"/>
        <w:ind w:right="-2"/>
        <w:rPr>
          <w:rFonts w:eastAsiaTheme="minorHAnsi"/>
          <w:b/>
          <w:bCs/>
          <w:color w:val="000000"/>
          <w:szCs w:val="22"/>
          <w:lang w:val="lt-LT" w:bidi="bn-BD"/>
        </w:rPr>
      </w:pPr>
      <w:r w:rsidRPr="00BD2D35">
        <w:rPr>
          <w:rFonts w:eastAsiaTheme="minorHAnsi"/>
          <w:b/>
          <w:bCs/>
          <w:color w:val="000000"/>
          <w:szCs w:val="22"/>
          <w:lang w:val="lt-LT" w:bidi="bn-BD"/>
        </w:rPr>
        <w:t>Vartojimo instrukcija</w:t>
      </w:r>
    </w:p>
    <w:p w14:paraId="199887E5" w14:textId="77777777" w:rsidR="00257F75" w:rsidRPr="00BD2D35" w:rsidRDefault="00257F75" w:rsidP="00C742F6">
      <w:pPr>
        <w:numPr>
          <w:ilvl w:val="12"/>
          <w:numId w:val="0"/>
        </w:numPr>
        <w:tabs>
          <w:tab w:val="clear" w:pos="567"/>
          <w:tab w:val="left" w:pos="1296"/>
        </w:tabs>
        <w:spacing w:line="240" w:lineRule="auto"/>
        <w:ind w:right="-2"/>
        <w:rPr>
          <w:rFonts w:eastAsiaTheme="minorHAnsi"/>
          <w:color w:val="000000"/>
          <w:szCs w:val="22"/>
          <w:lang w:val="lt-LT" w:bidi="bn-BD"/>
        </w:rPr>
      </w:pPr>
    </w:p>
    <w:p w14:paraId="11A8C225" w14:textId="77777777"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Prieš pradedant vartoti šio vaisto, labai svarbu atidžiai perskaityti ir tiksliai laikytis detalios vartojimo instrukcijos, pateiktos šio pakuotės lapelio pabaigoje. </w:t>
      </w:r>
    </w:p>
    <w:p w14:paraId="53D7E534" w14:textId="77777777" w:rsidR="00257F75" w:rsidRPr="00BD2D35" w:rsidRDefault="00257F75" w:rsidP="00C742F6">
      <w:pPr>
        <w:tabs>
          <w:tab w:val="clear" w:pos="567"/>
        </w:tabs>
        <w:autoSpaceDE w:val="0"/>
        <w:autoSpaceDN w:val="0"/>
        <w:adjustRightInd w:val="0"/>
        <w:snapToGrid/>
        <w:spacing w:line="240" w:lineRule="auto"/>
        <w:rPr>
          <w:rFonts w:eastAsiaTheme="minorHAnsi"/>
          <w:i/>
          <w:iCs/>
          <w:color w:val="000000"/>
          <w:szCs w:val="22"/>
          <w:lang w:val="lt-LT" w:bidi="bn-BD"/>
        </w:rPr>
      </w:pPr>
    </w:p>
    <w:p w14:paraId="6D02FF9D" w14:textId="77777777"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Injekcijos vieta</w:t>
      </w:r>
    </w:p>
    <w:p w14:paraId="586B84CB" w14:textId="7C83F2B5" w:rsidR="00C742F6"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tiekiamas užpildytais švirkštais</w:t>
      </w:r>
      <w:r w:rsidR="00257F75" w:rsidRPr="00BD2D35">
        <w:rPr>
          <w:rFonts w:eastAsiaTheme="minorHAnsi"/>
          <w:color w:val="000000"/>
          <w:szCs w:val="22"/>
          <w:lang w:val="lt-LT" w:bidi="bn-BD"/>
        </w:rPr>
        <w:t>, kuriuose yra viena dozė</w:t>
      </w:r>
      <w:r w:rsidRPr="00BD2D35">
        <w:rPr>
          <w:rFonts w:eastAsiaTheme="minorHAnsi"/>
          <w:color w:val="000000"/>
          <w:szCs w:val="22"/>
          <w:lang w:val="lt-LT" w:bidi="bn-BD"/>
        </w:rPr>
        <w:t xml:space="preserve">. </w:t>
      </w:r>
      <w:r w:rsidR="00257F75" w:rsidRPr="00BD2D35">
        <w:rPr>
          <w:rFonts w:eastAsiaTheme="minorHAnsi"/>
          <w:color w:val="000000"/>
          <w:szCs w:val="22"/>
          <w:lang w:val="lt-LT" w:bidi="bn-BD"/>
        </w:rPr>
        <w:t>Švirkšto turinį</w:t>
      </w:r>
      <w:r w:rsidRPr="00BD2D35">
        <w:rPr>
          <w:rFonts w:eastAsiaTheme="minorHAnsi"/>
          <w:color w:val="000000"/>
          <w:szCs w:val="22"/>
          <w:lang w:val="lt-LT" w:bidi="bn-BD"/>
        </w:rPr>
        <w:t xml:space="preserve"> reikia lėtai</w:t>
      </w:r>
      <w:r w:rsidR="00257F75" w:rsidRPr="00BD2D35">
        <w:rPr>
          <w:rFonts w:eastAsiaTheme="minorHAnsi"/>
          <w:color w:val="000000"/>
          <w:szCs w:val="22"/>
          <w:lang w:val="lt-LT" w:bidi="bn-BD"/>
        </w:rPr>
        <w:t xml:space="preserve"> suleisti į sluoksnį iškart </w:t>
      </w:r>
      <w:r w:rsidRPr="00BD2D35">
        <w:rPr>
          <w:rFonts w:eastAsiaTheme="minorHAnsi"/>
          <w:color w:val="000000"/>
          <w:szCs w:val="22"/>
          <w:lang w:val="lt-LT" w:bidi="bn-BD"/>
        </w:rPr>
        <w:t xml:space="preserve">po oda, geriau šlaunies srityje. Prieš injekciją tirpalą būtina apžiūrėti. Jeigu jis neskaidrus arba jame yra dalelių, vartoti negalima. Užpildytame švirkšte Jūs galite pastebėti oro burbuliuką (-ų). Tai tikėtinas radinys, todėl oro burbuliuko (-ų) pašalinti nereikia. Jeigu vaisto leidžiasi pati moteris arba jos partneris, būtina tiksliai laikytis toliau pateiktos vartojimo instrukcijos. Su kitais vaistais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maišyti negalima. </w:t>
      </w:r>
    </w:p>
    <w:p w14:paraId="5AAE9FA6" w14:textId="77777777"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Injekcijos vietos paruošimas</w:t>
      </w:r>
    </w:p>
    <w:p w14:paraId="2F905A50" w14:textId="503AF212" w:rsidR="00C742F6"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Pradžioje reikia gerai nusiplauti rankas muilu ir vandeniu, po to </w:t>
      </w:r>
      <w:r w:rsidR="00B6098E" w:rsidRPr="00BD2D35">
        <w:rPr>
          <w:rFonts w:eastAsiaTheme="minorHAnsi"/>
          <w:color w:val="000000"/>
          <w:szCs w:val="22"/>
          <w:lang w:val="lt-LT" w:bidi="bn-BD"/>
        </w:rPr>
        <w:t>–</w:t>
      </w:r>
      <w:r w:rsidRPr="00BD2D35">
        <w:rPr>
          <w:rFonts w:eastAsiaTheme="minorHAnsi"/>
          <w:color w:val="000000"/>
          <w:szCs w:val="22"/>
          <w:lang w:val="lt-LT" w:bidi="bn-BD"/>
        </w:rPr>
        <w:t xml:space="preserve"> nuvalyti injekcijos vietą dezinfekuojamuoju tirpalu (pvz., alkoholiu), kad ant odos neliktų bakterijų. Odą reikia dezinfekuoti maždaug 5</w:t>
      </w:r>
      <w:r w:rsidR="00B6098E" w:rsidRPr="00BD2D35">
        <w:rPr>
          <w:rFonts w:eastAsiaTheme="minorHAnsi"/>
          <w:color w:val="000000"/>
          <w:szCs w:val="22"/>
          <w:lang w:val="lt-LT" w:bidi="bn-BD"/>
        </w:rPr>
        <w:t> </w:t>
      </w:r>
      <w:r w:rsidRPr="00BD2D35">
        <w:rPr>
          <w:rFonts w:eastAsiaTheme="minorHAnsi"/>
          <w:color w:val="000000"/>
          <w:szCs w:val="22"/>
          <w:lang w:val="lt-LT" w:bidi="bn-BD"/>
        </w:rPr>
        <w:t xml:space="preserve">cm spinduliu aplink adatos dūrio vietą ir vieną minutę palaukti, kad nudžiūtų. </w:t>
      </w:r>
    </w:p>
    <w:p w14:paraId="7CF6AD6B" w14:textId="77777777"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Adatos dūrimas</w:t>
      </w:r>
    </w:p>
    <w:p w14:paraId="36D0977E" w14:textId="77777777" w:rsidR="00B6098E"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Nuimkite adatos dangtelį. </w:t>
      </w:r>
      <w:r w:rsidR="00B6098E" w:rsidRPr="00BD2D35">
        <w:rPr>
          <w:rFonts w:eastAsiaTheme="minorHAnsi"/>
          <w:color w:val="000000"/>
          <w:szCs w:val="22"/>
          <w:lang w:val="lt-LT" w:bidi="bn-BD"/>
        </w:rPr>
        <w:t>Švelniai suimkite švarią odos vietą, kad susidarytų odos raukšlė</w:t>
      </w:r>
      <w:r w:rsidRPr="00BD2D35">
        <w:rPr>
          <w:rFonts w:eastAsiaTheme="minorHAnsi"/>
          <w:color w:val="000000"/>
          <w:szCs w:val="22"/>
          <w:lang w:val="lt-LT" w:bidi="bn-BD"/>
        </w:rPr>
        <w:t xml:space="preserve">. Adata įsmeigiama prie pakeltos odos raukšlės pagrindo 45° kampu jos paviršiui. </w:t>
      </w:r>
    </w:p>
    <w:p w14:paraId="074B3944" w14:textId="77777777" w:rsidR="00B6098E" w:rsidRPr="00BD2D35" w:rsidRDefault="00B6098E" w:rsidP="00B6098E">
      <w:pPr>
        <w:pStyle w:val="Sraopastraipa"/>
        <w:tabs>
          <w:tab w:val="clear" w:pos="567"/>
        </w:tabs>
        <w:autoSpaceDE w:val="0"/>
        <w:autoSpaceDN w:val="0"/>
        <w:adjustRightInd w:val="0"/>
        <w:snapToGrid/>
        <w:spacing w:line="240" w:lineRule="auto"/>
        <w:jc w:val="center"/>
        <w:rPr>
          <w:rFonts w:eastAsiaTheme="minorHAnsi"/>
          <w:color w:val="000000"/>
          <w:szCs w:val="22"/>
          <w:lang w:val="lt-LT" w:bidi="bn-BD"/>
        </w:rPr>
      </w:pPr>
      <w:r w:rsidRPr="00BD2D35">
        <w:rPr>
          <w:noProof/>
          <w:lang w:val="lt-LT" w:eastAsia="lt-LT"/>
        </w:rPr>
        <w:drawing>
          <wp:inline distT="0" distB="0" distL="0" distR="0" wp14:anchorId="7B509184" wp14:editId="54FBEA45">
            <wp:extent cx="2613660" cy="1712595"/>
            <wp:effectExtent l="19050" t="19050" r="15240" b="209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082"/>
                    <a:stretch>
                      <a:fillRect/>
                    </a:stretch>
                  </pic:blipFill>
                  <pic:spPr bwMode="auto">
                    <a:xfrm>
                      <a:off x="0" y="0"/>
                      <a:ext cx="2613660" cy="1712595"/>
                    </a:xfrm>
                    <a:prstGeom prst="rect">
                      <a:avLst/>
                    </a:prstGeom>
                    <a:noFill/>
                    <a:ln w="6350" cmpd="sng">
                      <a:solidFill>
                        <a:srgbClr val="000000"/>
                      </a:solidFill>
                      <a:miter lim="800000"/>
                      <a:headEnd/>
                      <a:tailEnd/>
                    </a:ln>
                    <a:effectLst/>
                  </pic:spPr>
                </pic:pic>
              </a:graphicData>
            </a:graphic>
          </wp:inline>
        </w:drawing>
      </w:r>
    </w:p>
    <w:p w14:paraId="2FB42647" w14:textId="6BE09E92" w:rsidR="00C742F6" w:rsidRPr="00BD2D35" w:rsidRDefault="00C742F6" w:rsidP="00B6098E">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Kiekvieną kartą vaisto turi būti suleidžiama į kitą vietą.</w:t>
      </w:r>
    </w:p>
    <w:p w14:paraId="712974EB" w14:textId="77777777"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 xml:space="preserve">Tikrinimas, ar adata įdurta tinkamai </w:t>
      </w:r>
    </w:p>
    <w:p w14:paraId="3C6546EA" w14:textId="7DA04546" w:rsidR="00C742F6"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Įsmeigus adatą, reikia švelniai patraukti švirkšto stūmoklį. Jeigu į švirkštą įsiurbiama kraujo, vadinasi, adata yra kraujagyslėje. Tokiu atveju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negalima leisti, adatą reikia ištraukti, po to injekcijos vietą užspausti dezinfekuojamuoju tirpalu suvilgytu tamponu. </w:t>
      </w:r>
      <w:r w:rsidRPr="00BD2D35">
        <w:rPr>
          <w:rFonts w:eastAsiaTheme="minorHAnsi"/>
          <w:color w:val="000000"/>
          <w:szCs w:val="22"/>
          <w:lang w:val="lt-LT" w:bidi="bn-BD"/>
        </w:rPr>
        <w:lastRenderedPageBreak/>
        <w:t>Kraujavimas turėtų sustoti per 1–2 minutes. Švirkštas, į kurį įsiurbta kraujo, naudoti netinka, jį reikia išmesti ir imti naują.</w:t>
      </w:r>
    </w:p>
    <w:p w14:paraId="31ABC03B" w14:textId="24FA6882" w:rsidR="00B6098E" w:rsidRPr="00BD2D35" w:rsidRDefault="00C742F6" w:rsidP="00340D78">
      <w:pPr>
        <w:pStyle w:val="Sraopastraipa"/>
        <w:numPr>
          <w:ilvl w:val="0"/>
          <w:numId w:val="19"/>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Tirpalo suleidimas</w:t>
      </w:r>
    </w:p>
    <w:p w14:paraId="0132FDA4" w14:textId="3F23C5A1" w:rsidR="00C742F6" w:rsidRPr="00BD2D35" w:rsidRDefault="00C742F6" w:rsidP="00B6098E">
      <w:pPr>
        <w:pStyle w:val="Sraopastraipa"/>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Adatą įdūrus tinkamai, galima tirpalą suleisti lėtai ir tolygiai stumiant švirkšto stūmoklį. Taip suleidus audiniai nebus pažeisti.</w:t>
      </w:r>
    </w:p>
    <w:p w14:paraId="26ED34E7" w14:textId="5A505A18" w:rsidR="00B6098E" w:rsidRPr="00BD2D35" w:rsidRDefault="00C742F6" w:rsidP="00B6098E">
      <w:pPr>
        <w:pStyle w:val="Sraopastraipa"/>
        <w:numPr>
          <w:ilvl w:val="0"/>
          <w:numId w:val="19"/>
        </w:num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Švirkšto ištraukimas</w:t>
      </w:r>
      <w:r w:rsidR="00B6098E" w:rsidRPr="00BD2D35">
        <w:rPr>
          <w:rFonts w:eastAsiaTheme="minorHAnsi"/>
          <w:b/>
          <w:bCs/>
          <w:color w:val="000000"/>
          <w:szCs w:val="22"/>
          <w:lang w:val="lt-LT" w:bidi="bn-BD"/>
        </w:rPr>
        <w:t xml:space="preserve"> </w:t>
      </w:r>
    </w:p>
    <w:p w14:paraId="77D767E5" w14:textId="0ABB9BB0" w:rsidR="00C742F6" w:rsidRPr="00BD2D35" w:rsidRDefault="00C742F6" w:rsidP="00B6098E">
      <w:pPr>
        <w:pStyle w:val="Sraopastraipa"/>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color w:val="000000"/>
          <w:szCs w:val="22"/>
          <w:lang w:val="lt-LT" w:bidi="bn-BD"/>
        </w:rPr>
        <w:t>Švirkštą reikia ištraukti greitai</w:t>
      </w:r>
      <w:r w:rsidR="00B6098E" w:rsidRPr="00BD2D35">
        <w:rPr>
          <w:rFonts w:eastAsiaTheme="minorHAnsi"/>
          <w:color w:val="000000"/>
          <w:szCs w:val="22"/>
          <w:lang w:val="lt-LT" w:bidi="bn-BD"/>
        </w:rPr>
        <w:t>. P</w:t>
      </w:r>
      <w:r w:rsidRPr="00BD2D35">
        <w:rPr>
          <w:rFonts w:eastAsiaTheme="minorHAnsi"/>
          <w:color w:val="000000"/>
          <w:szCs w:val="22"/>
          <w:lang w:val="lt-LT" w:bidi="bn-BD"/>
        </w:rPr>
        <w:t>o to injekcijos vietą užspausti dezinfekuojamuoju tirpalu suvilgytu tamponu. Užpildytas švirkštas turi būti naudojamas tik vieną kartą</w:t>
      </w:r>
      <w:r w:rsidRPr="00BD2D35">
        <w:rPr>
          <w:rFonts w:eastAsiaTheme="minorHAnsi"/>
          <w:b/>
          <w:bCs/>
          <w:color w:val="000000"/>
          <w:szCs w:val="22"/>
          <w:lang w:val="lt-LT" w:bidi="bn-BD"/>
        </w:rPr>
        <w:t>.</w:t>
      </w:r>
    </w:p>
    <w:p w14:paraId="6C037AC7" w14:textId="68358963" w:rsidR="00C742F6" w:rsidRPr="00BD2D35" w:rsidRDefault="00B6098E" w:rsidP="00B6098E">
      <w:pPr>
        <w:numPr>
          <w:ilvl w:val="12"/>
          <w:numId w:val="0"/>
        </w:numPr>
        <w:tabs>
          <w:tab w:val="clear" w:pos="567"/>
          <w:tab w:val="left" w:pos="1296"/>
        </w:tabs>
        <w:spacing w:line="240" w:lineRule="auto"/>
        <w:ind w:right="-2"/>
        <w:jc w:val="center"/>
        <w:rPr>
          <w:bCs/>
          <w:szCs w:val="28"/>
          <w:lang w:val="lt-LT" w:eastAsia="x-none"/>
        </w:rPr>
      </w:pPr>
      <w:r w:rsidRPr="00BD2D35">
        <w:rPr>
          <w:noProof/>
          <w:lang w:val="lt-LT" w:eastAsia="lt-LT"/>
        </w:rPr>
        <w:drawing>
          <wp:inline distT="0" distB="0" distL="0" distR="0" wp14:anchorId="6BC1E685" wp14:editId="09A5EA6C">
            <wp:extent cx="1630680" cy="1296670"/>
            <wp:effectExtent l="19050" t="19050" r="26670" b="177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0680" cy="1296670"/>
                    </a:xfrm>
                    <a:prstGeom prst="rect">
                      <a:avLst/>
                    </a:prstGeom>
                    <a:noFill/>
                    <a:ln w="6350" cmpd="sng">
                      <a:solidFill>
                        <a:srgbClr val="000000"/>
                      </a:solidFill>
                      <a:miter lim="800000"/>
                      <a:headEnd/>
                      <a:tailEnd/>
                    </a:ln>
                    <a:effectLst/>
                  </pic:spPr>
                </pic:pic>
              </a:graphicData>
            </a:graphic>
          </wp:inline>
        </w:drawing>
      </w:r>
    </w:p>
    <w:p w14:paraId="68E484B0" w14:textId="77777777" w:rsidR="00B6098E" w:rsidRPr="00BD2D35" w:rsidRDefault="00B6098E" w:rsidP="00C742F6">
      <w:pPr>
        <w:numPr>
          <w:ilvl w:val="12"/>
          <w:numId w:val="0"/>
        </w:numPr>
        <w:tabs>
          <w:tab w:val="clear" w:pos="567"/>
          <w:tab w:val="left" w:pos="1296"/>
        </w:tabs>
        <w:spacing w:line="240" w:lineRule="auto"/>
        <w:ind w:right="-2"/>
        <w:rPr>
          <w:bCs/>
          <w:szCs w:val="28"/>
          <w:lang w:val="lt-LT" w:eastAsia="x-none"/>
        </w:rPr>
      </w:pPr>
    </w:p>
    <w:p w14:paraId="6210C35F" w14:textId="4FBF0F61" w:rsidR="004C17CB" w:rsidRPr="00BD2D35" w:rsidRDefault="002C1216" w:rsidP="00B6098E">
      <w:pPr>
        <w:rPr>
          <w:b/>
          <w:bCs/>
          <w:lang w:val="lt-LT"/>
        </w:rPr>
      </w:pPr>
      <w:r w:rsidRPr="00BD2D35">
        <w:rPr>
          <w:b/>
          <w:bCs/>
          <w:lang w:val="lt-LT"/>
        </w:rPr>
        <w:t xml:space="preserve">Ką daryti pavartojus per didelę </w:t>
      </w:r>
      <w:proofErr w:type="spellStart"/>
      <w:r w:rsidR="00C742F6" w:rsidRPr="00BD2D35">
        <w:rPr>
          <w:b/>
          <w:bCs/>
          <w:lang w:val="lt-LT"/>
        </w:rPr>
        <w:t>Ganirelix</w:t>
      </w:r>
      <w:proofErr w:type="spellEnd"/>
      <w:r w:rsidR="00C742F6" w:rsidRPr="00BD2D35">
        <w:rPr>
          <w:b/>
          <w:bCs/>
          <w:lang w:val="lt-LT"/>
        </w:rPr>
        <w:t xml:space="preserve"> </w:t>
      </w:r>
      <w:proofErr w:type="spellStart"/>
      <w:r w:rsidR="004A09A8" w:rsidRPr="00BD2D35">
        <w:rPr>
          <w:b/>
          <w:bCs/>
          <w:lang w:val="lt-LT"/>
        </w:rPr>
        <w:t>Theramex</w:t>
      </w:r>
      <w:proofErr w:type="spellEnd"/>
      <w:r w:rsidR="00C742F6" w:rsidRPr="00BD2D35">
        <w:rPr>
          <w:b/>
          <w:bCs/>
          <w:lang w:val="lt-LT"/>
        </w:rPr>
        <w:t xml:space="preserve"> dozę</w:t>
      </w:r>
    </w:p>
    <w:p w14:paraId="57D94A66" w14:textId="0E2221F2" w:rsidR="004C17CB" w:rsidRPr="00BD2D35" w:rsidRDefault="00C742F6">
      <w:pPr>
        <w:numPr>
          <w:ilvl w:val="12"/>
          <w:numId w:val="0"/>
        </w:numPr>
        <w:tabs>
          <w:tab w:val="clear" w:pos="567"/>
          <w:tab w:val="left" w:pos="1296"/>
        </w:tabs>
        <w:spacing w:line="240" w:lineRule="auto"/>
        <w:ind w:right="-2"/>
        <w:rPr>
          <w:szCs w:val="22"/>
          <w:lang w:val="lt-LT"/>
        </w:rPr>
      </w:pPr>
      <w:r w:rsidRPr="00BD2D35">
        <w:rPr>
          <w:szCs w:val="22"/>
          <w:lang w:val="lt-LT"/>
        </w:rPr>
        <w:t>Kreipkitės į gydytoją.</w:t>
      </w:r>
    </w:p>
    <w:p w14:paraId="4E7CEDB8" w14:textId="77777777" w:rsidR="00C742F6" w:rsidRPr="00BD2D35" w:rsidRDefault="00C742F6">
      <w:pPr>
        <w:numPr>
          <w:ilvl w:val="12"/>
          <w:numId w:val="0"/>
        </w:numPr>
        <w:tabs>
          <w:tab w:val="clear" w:pos="567"/>
          <w:tab w:val="left" w:pos="1296"/>
        </w:tabs>
        <w:spacing w:line="240" w:lineRule="auto"/>
        <w:ind w:right="-2"/>
        <w:rPr>
          <w:szCs w:val="24"/>
          <w:lang w:val="lt-LT"/>
        </w:rPr>
      </w:pPr>
    </w:p>
    <w:p w14:paraId="662148FA" w14:textId="6428E823"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 xml:space="preserve">Pamiršus pavartoti </w:t>
      </w: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w:t>
      </w:r>
    </w:p>
    <w:p w14:paraId="25F97B49" w14:textId="77777777"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Pamirštą dozę susileiskite tuoj pat, kai tik prisiminsite. </w:t>
      </w:r>
    </w:p>
    <w:p w14:paraId="6EFB588A" w14:textId="77777777"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Negalima suleisti dvigubos dozės, norint kompensuoti praleistą dozę. </w:t>
      </w:r>
    </w:p>
    <w:p w14:paraId="3B8088BD" w14:textId="6EFC58C1"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Jeigu prisiminsite praėjus daugiau negu 6</w:t>
      </w:r>
      <w:r w:rsidR="00B6098E" w:rsidRPr="00BD2D35">
        <w:rPr>
          <w:rFonts w:eastAsiaTheme="minorHAnsi"/>
          <w:color w:val="000000"/>
          <w:szCs w:val="22"/>
          <w:lang w:val="lt-LT" w:bidi="bn-BD"/>
        </w:rPr>
        <w:t> </w:t>
      </w:r>
      <w:r w:rsidRPr="00BD2D35">
        <w:rPr>
          <w:rFonts w:eastAsiaTheme="minorHAnsi"/>
          <w:color w:val="000000"/>
          <w:szCs w:val="22"/>
          <w:lang w:val="lt-LT" w:bidi="bn-BD"/>
        </w:rPr>
        <w:t>valandoms (t. y. intervalas tarp dviejų injekcijų tampa ilgesnis nei 30</w:t>
      </w:r>
      <w:r w:rsidR="00B6098E" w:rsidRPr="00BD2D35">
        <w:rPr>
          <w:rFonts w:eastAsiaTheme="minorHAnsi"/>
          <w:color w:val="000000"/>
          <w:szCs w:val="22"/>
          <w:lang w:val="lt-LT" w:bidi="bn-BD"/>
        </w:rPr>
        <w:t> </w:t>
      </w:r>
      <w:r w:rsidRPr="00BD2D35">
        <w:rPr>
          <w:rFonts w:eastAsiaTheme="minorHAnsi"/>
          <w:color w:val="000000"/>
          <w:szCs w:val="22"/>
          <w:lang w:val="lt-LT" w:bidi="bn-BD"/>
        </w:rPr>
        <w:t>valandų), vaisto susileiskite tuoj pat ir</w:t>
      </w:r>
      <w:r w:rsidRPr="00BD2D35">
        <w:rPr>
          <w:rFonts w:eastAsiaTheme="minorHAnsi"/>
          <w:b/>
          <w:bCs/>
          <w:color w:val="000000"/>
          <w:szCs w:val="22"/>
          <w:lang w:val="lt-LT" w:bidi="bn-BD"/>
        </w:rPr>
        <w:t xml:space="preserve"> </w:t>
      </w:r>
      <w:r w:rsidRPr="00BD2D35">
        <w:rPr>
          <w:rFonts w:eastAsiaTheme="minorHAnsi"/>
          <w:color w:val="000000"/>
          <w:szCs w:val="22"/>
          <w:lang w:val="lt-LT" w:bidi="bn-BD"/>
        </w:rPr>
        <w:t>kreipkitės į gydytoją patarimo.</w:t>
      </w:r>
    </w:p>
    <w:p w14:paraId="61E5CC30" w14:textId="77777777" w:rsidR="00B6098E" w:rsidRPr="00BD2D35" w:rsidRDefault="00B6098E" w:rsidP="00C742F6">
      <w:pPr>
        <w:tabs>
          <w:tab w:val="clear" w:pos="567"/>
        </w:tabs>
        <w:autoSpaceDE w:val="0"/>
        <w:autoSpaceDN w:val="0"/>
        <w:adjustRightInd w:val="0"/>
        <w:snapToGrid/>
        <w:spacing w:line="240" w:lineRule="auto"/>
        <w:rPr>
          <w:rFonts w:eastAsiaTheme="minorHAnsi"/>
          <w:color w:val="000000"/>
          <w:szCs w:val="22"/>
          <w:lang w:val="lt-LT" w:bidi="bn-BD"/>
        </w:rPr>
      </w:pPr>
    </w:p>
    <w:p w14:paraId="4D0A95FF" w14:textId="1411C691"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b/>
          <w:bCs/>
          <w:color w:val="000000"/>
          <w:szCs w:val="22"/>
          <w:lang w:val="lt-LT" w:bidi="bn-BD"/>
        </w:rPr>
        <w:t xml:space="preserve">Nustojus vartoti </w:t>
      </w:r>
      <w:proofErr w:type="spellStart"/>
      <w:r w:rsidRPr="00BD2D35">
        <w:rPr>
          <w:rFonts w:eastAsiaTheme="minorHAnsi"/>
          <w:b/>
          <w:bCs/>
          <w:color w:val="000000"/>
          <w:szCs w:val="22"/>
          <w:lang w:val="lt-LT" w:bidi="bn-BD"/>
        </w:rPr>
        <w:t>Ganirelix</w:t>
      </w:r>
      <w:proofErr w:type="spellEnd"/>
      <w:r w:rsidRPr="00BD2D35">
        <w:rPr>
          <w:rFonts w:eastAsiaTheme="minorHAnsi"/>
          <w:b/>
          <w:bCs/>
          <w:color w:val="000000"/>
          <w:szCs w:val="22"/>
          <w:lang w:val="lt-LT" w:bidi="bn-BD"/>
        </w:rPr>
        <w:t xml:space="preserve"> </w:t>
      </w:r>
      <w:proofErr w:type="spellStart"/>
      <w:r w:rsidR="004A09A8" w:rsidRPr="00BD2D35">
        <w:rPr>
          <w:rFonts w:eastAsiaTheme="minorHAnsi"/>
          <w:b/>
          <w:bCs/>
          <w:color w:val="000000"/>
          <w:szCs w:val="22"/>
          <w:lang w:val="lt-LT" w:bidi="bn-BD"/>
        </w:rPr>
        <w:t>Theramex</w:t>
      </w:r>
      <w:proofErr w:type="spellEnd"/>
      <w:r w:rsidRPr="00BD2D35">
        <w:rPr>
          <w:rFonts w:eastAsiaTheme="minorHAnsi"/>
          <w:b/>
          <w:bCs/>
          <w:color w:val="000000"/>
          <w:szCs w:val="22"/>
          <w:lang w:val="lt-LT" w:bidi="bn-BD"/>
        </w:rPr>
        <w:t xml:space="preserve"> </w:t>
      </w:r>
    </w:p>
    <w:p w14:paraId="2A294196" w14:textId="25C54C8D"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Nenustokite vartoti </w:t>
      </w:r>
      <w:proofErr w:type="spellStart"/>
      <w:r w:rsidRPr="00BD2D35">
        <w:rPr>
          <w:rFonts w:eastAsiaTheme="minorHAnsi"/>
          <w:color w:val="000000"/>
          <w:szCs w:val="22"/>
          <w:lang w:val="lt-LT" w:bidi="bn-BD"/>
        </w:rPr>
        <w:t>Ganirelix</w:t>
      </w:r>
      <w:proofErr w:type="spellEnd"/>
      <w:r w:rsidRPr="00BD2D35">
        <w:rPr>
          <w:rFonts w:eastAsiaTheme="minorHAnsi"/>
          <w:color w:val="000000"/>
          <w:szCs w:val="22"/>
          <w:lang w:val="lt-LT" w:bidi="bn-BD"/>
        </w:rPr>
        <w:t xml:space="preserve"> </w:t>
      </w:r>
      <w:proofErr w:type="spellStart"/>
      <w:r w:rsidR="004A09A8" w:rsidRPr="00BD2D35">
        <w:rPr>
          <w:rFonts w:eastAsiaTheme="minorHAnsi"/>
          <w:color w:val="000000"/>
          <w:szCs w:val="22"/>
          <w:lang w:val="lt-LT" w:bidi="bn-BD"/>
        </w:rPr>
        <w:t>Theramex</w:t>
      </w:r>
      <w:proofErr w:type="spellEnd"/>
      <w:r w:rsidRPr="00BD2D35">
        <w:rPr>
          <w:rFonts w:eastAsiaTheme="minorHAnsi"/>
          <w:color w:val="000000"/>
          <w:szCs w:val="22"/>
          <w:lang w:val="lt-LT" w:bidi="bn-BD"/>
        </w:rPr>
        <w:t xml:space="preserve"> be gydytojo leidimo, nes tai gali paveikti gydymo rezultatus.</w:t>
      </w:r>
    </w:p>
    <w:p w14:paraId="1D1681C9" w14:textId="77777777" w:rsidR="00B6098E" w:rsidRPr="00BD2D35" w:rsidRDefault="00B6098E" w:rsidP="00C742F6">
      <w:pPr>
        <w:tabs>
          <w:tab w:val="clear" w:pos="567"/>
        </w:tabs>
        <w:autoSpaceDE w:val="0"/>
        <w:autoSpaceDN w:val="0"/>
        <w:adjustRightInd w:val="0"/>
        <w:snapToGrid/>
        <w:spacing w:line="240" w:lineRule="auto"/>
        <w:rPr>
          <w:rFonts w:eastAsiaTheme="minorHAnsi"/>
          <w:color w:val="000000"/>
          <w:szCs w:val="22"/>
          <w:lang w:val="lt-LT" w:bidi="bn-BD"/>
        </w:rPr>
      </w:pPr>
    </w:p>
    <w:p w14:paraId="4FDE7A4E" w14:textId="0BC5EB31" w:rsidR="004C17CB" w:rsidRPr="00BD2D35" w:rsidRDefault="00C742F6" w:rsidP="00C742F6">
      <w:pPr>
        <w:numPr>
          <w:ilvl w:val="12"/>
          <w:numId w:val="0"/>
        </w:numPr>
        <w:tabs>
          <w:tab w:val="clear" w:pos="567"/>
          <w:tab w:val="left" w:pos="1296"/>
        </w:tabs>
        <w:spacing w:line="240" w:lineRule="auto"/>
        <w:rPr>
          <w:szCs w:val="24"/>
          <w:lang w:val="lt-LT"/>
        </w:rPr>
      </w:pPr>
      <w:r w:rsidRPr="00BD2D35">
        <w:rPr>
          <w:rFonts w:eastAsiaTheme="minorHAnsi"/>
          <w:color w:val="000000"/>
          <w:szCs w:val="22"/>
          <w:lang w:val="lt-LT" w:bidi="bn-BD"/>
        </w:rPr>
        <w:t>Jeigu kiltų daugiau klausimų dėl šio vaisto vartojimo, kreipkitės į gydytoją arba vaistininką arba slaugytoją.</w:t>
      </w:r>
    </w:p>
    <w:p w14:paraId="2506E086" w14:textId="29BD6933" w:rsidR="004C17CB" w:rsidRPr="00BD2D35" w:rsidRDefault="004C17CB">
      <w:pPr>
        <w:numPr>
          <w:ilvl w:val="12"/>
          <w:numId w:val="0"/>
        </w:numPr>
        <w:tabs>
          <w:tab w:val="clear" w:pos="567"/>
          <w:tab w:val="left" w:pos="1296"/>
        </w:tabs>
        <w:spacing w:line="240" w:lineRule="auto"/>
        <w:rPr>
          <w:szCs w:val="24"/>
          <w:lang w:val="lt-LT"/>
        </w:rPr>
      </w:pPr>
    </w:p>
    <w:p w14:paraId="627997E7" w14:textId="77777777" w:rsidR="00C742F6" w:rsidRPr="00BD2D35" w:rsidRDefault="00C742F6">
      <w:pPr>
        <w:numPr>
          <w:ilvl w:val="12"/>
          <w:numId w:val="0"/>
        </w:numPr>
        <w:tabs>
          <w:tab w:val="clear" w:pos="567"/>
          <w:tab w:val="left" w:pos="1296"/>
        </w:tabs>
        <w:spacing w:line="240" w:lineRule="auto"/>
        <w:rPr>
          <w:szCs w:val="24"/>
          <w:lang w:val="lt-LT"/>
        </w:rPr>
      </w:pPr>
    </w:p>
    <w:p w14:paraId="13E03486" w14:textId="77777777" w:rsidR="004C17CB" w:rsidRPr="00BD2D35" w:rsidRDefault="002C1216" w:rsidP="00C742F6">
      <w:pPr>
        <w:keepNext/>
        <w:rPr>
          <w:b/>
          <w:bCs/>
          <w:lang w:val="lt-LT"/>
        </w:rPr>
      </w:pPr>
      <w:r w:rsidRPr="00BD2D35">
        <w:rPr>
          <w:b/>
          <w:bCs/>
          <w:lang w:val="lt-LT"/>
        </w:rPr>
        <w:t>4.</w:t>
      </w:r>
      <w:r w:rsidRPr="00BD2D35">
        <w:rPr>
          <w:b/>
          <w:bCs/>
          <w:lang w:val="lt-LT"/>
        </w:rPr>
        <w:tab/>
        <w:t>Galimas šalutinis poveikis</w:t>
      </w:r>
    </w:p>
    <w:p w14:paraId="1B4BA2DE" w14:textId="77777777" w:rsidR="004C17CB" w:rsidRPr="00BD2D35" w:rsidRDefault="004C17CB" w:rsidP="00C742F6">
      <w:pPr>
        <w:keepNext/>
        <w:rPr>
          <w:szCs w:val="24"/>
          <w:lang w:val="lt-LT"/>
        </w:rPr>
      </w:pPr>
    </w:p>
    <w:p w14:paraId="08499EAA" w14:textId="77777777" w:rsidR="00C742F6" w:rsidRPr="00BD2D35" w:rsidRDefault="002C1216" w:rsidP="00C742F6">
      <w:pPr>
        <w:keepNext/>
        <w:rPr>
          <w:szCs w:val="24"/>
          <w:lang w:val="lt-LT"/>
        </w:rPr>
      </w:pPr>
      <w:r w:rsidRPr="00BD2D35">
        <w:rPr>
          <w:szCs w:val="24"/>
          <w:lang w:val="lt-LT"/>
        </w:rPr>
        <w:t xml:space="preserve">Šis vaistas, kaip ir visi kiti, gali sukelti šalutinį poveikį, nors jis pasireiškia ne visiems žmonėms. </w:t>
      </w:r>
    </w:p>
    <w:p w14:paraId="5FADBB1F" w14:textId="77777777" w:rsidR="00C742F6" w:rsidRPr="00BD2D35" w:rsidRDefault="00C742F6" w:rsidP="00C742F6">
      <w:pPr>
        <w:keepNext/>
        <w:rPr>
          <w:szCs w:val="24"/>
          <w:lang w:val="lt-LT"/>
        </w:rPr>
      </w:pPr>
    </w:p>
    <w:p w14:paraId="0544EDAC" w14:textId="2C2F8ED3" w:rsidR="00C742F6" w:rsidRPr="00BD2D35" w:rsidRDefault="00C742F6"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Labai dažn</w:t>
      </w:r>
      <w:r w:rsidR="00C14E4C">
        <w:rPr>
          <w:rFonts w:eastAsiaTheme="minorHAnsi"/>
          <w:b/>
          <w:bCs/>
          <w:color w:val="000000"/>
          <w:szCs w:val="22"/>
          <w:lang w:val="lt-LT" w:bidi="bn-BD"/>
        </w:rPr>
        <w:t>i šalutinio poveikio</w:t>
      </w:r>
      <w:r w:rsidR="000F46C2">
        <w:rPr>
          <w:rFonts w:eastAsiaTheme="minorHAnsi"/>
          <w:b/>
          <w:bCs/>
          <w:color w:val="000000"/>
          <w:szCs w:val="22"/>
          <w:lang w:val="lt-LT" w:bidi="bn-BD"/>
        </w:rPr>
        <w:t xml:space="preserve"> </w:t>
      </w:r>
      <w:r w:rsidR="00C14E4C">
        <w:rPr>
          <w:rFonts w:eastAsiaTheme="minorHAnsi"/>
          <w:b/>
          <w:bCs/>
          <w:color w:val="000000"/>
          <w:szCs w:val="22"/>
          <w:lang w:val="lt-LT" w:bidi="bn-BD"/>
        </w:rPr>
        <w:t>reiškin</w:t>
      </w:r>
      <w:r w:rsidR="000F46C2">
        <w:rPr>
          <w:rFonts w:eastAsiaTheme="minorHAnsi"/>
          <w:b/>
          <w:bCs/>
          <w:color w:val="000000"/>
          <w:szCs w:val="22"/>
          <w:lang w:val="lt-LT" w:bidi="bn-BD"/>
        </w:rPr>
        <w:t>i</w:t>
      </w:r>
      <w:r w:rsidR="00C14E4C">
        <w:rPr>
          <w:rFonts w:eastAsiaTheme="minorHAnsi"/>
          <w:b/>
          <w:bCs/>
          <w:color w:val="000000"/>
          <w:szCs w:val="22"/>
          <w:lang w:val="lt-LT" w:bidi="bn-BD"/>
        </w:rPr>
        <w:t>ai</w:t>
      </w:r>
      <w:r w:rsidRPr="00BD2D35">
        <w:rPr>
          <w:rFonts w:eastAsiaTheme="minorHAnsi"/>
          <w:b/>
          <w:bCs/>
          <w:color w:val="000000"/>
          <w:szCs w:val="22"/>
          <w:lang w:val="lt-LT" w:bidi="bn-BD"/>
        </w:rPr>
        <w:t xml:space="preserve"> (gali pasireikšti </w:t>
      </w:r>
      <w:r w:rsidR="000F46C2">
        <w:rPr>
          <w:rFonts w:eastAsiaTheme="minorHAnsi"/>
          <w:b/>
          <w:bCs/>
          <w:color w:val="000000"/>
          <w:szCs w:val="22"/>
          <w:lang w:val="lt-LT" w:bidi="bn-BD"/>
        </w:rPr>
        <w:t>ne rečiau</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 xml:space="preserve">kaip 1 iš 10 </w:t>
      </w:r>
      <w:r w:rsidR="000F46C2">
        <w:rPr>
          <w:rFonts w:eastAsiaTheme="minorHAnsi"/>
          <w:b/>
          <w:bCs/>
          <w:color w:val="000000"/>
          <w:szCs w:val="22"/>
          <w:lang w:val="lt-LT" w:bidi="bn-BD"/>
        </w:rPr>
        <w:t>asmenų</w:t>
      </w:r>
      <w:r w:rsidRPr="00BD2D35">
        <w:rPr>
          <w:rFonts w:eastAsiaTheme="minorHAnsi"/>
          <w:b/>
          <w:bCs/>
          <w:color w:val="000000"/>
          <w:szCs w:val="22"/>
          <w:lang w:val="lt-LT" w:bidi="bn-BD"/>
        </w:rPr>
        <w:t xml:space="preserve">) </w:t>
      </w:r>
    </w:p>
    <w:p w14:paraId="05D44914" w14:textId="3E2C1EF7" w:rsidR="00C742F6" w:rsidRPr="00BD2D35" w:rsidRDefault="00C742F6" w:rsidP="00340D78">
      <w:pPr>
        <w:pStyle w:val="Sraopastraipa"/>
        <w:numPr>
          <w:ilvl w:val="0"/>
          <w:numId w:val="19"/>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Injekcijos vietoje pasireiškianti lokali odos reakcija (daugiausia paraudimas, pasireiškiantis kartu su patinimu arba be jo). Ji paprastai išnyksta per 4 valandas po injekcijos. </w:t>
      </w:r>
    </w:p>
    <w:p w14:paraId="3DACBBB4" w14:textId="77777777" w:rsidR="00FD307E" w:rsidRPr="00BD2D35" w:rsidRDefault="00FD307E" w:rsidP="00FD307E">
      <w:pPr>
        <w:tabs>
          <w:tab w:val="clear" w:pos="567"/>
        </w:tabs>
        <w:autoSpaceDE w:val="0"/>
        <w:autoSpaceDN w:val="0"/>
        <w:adjustRightInd w:val="0"/>
        <w:snapToGrid/>
        <w:spacing w:line="240" w:lineRule="auto"/>
        <w:rPr>
          <w:rFonts w:eastAsiaTheme="minorHAnsi"/>
          <w:color w:val="000000"/>
          <w:szCs w:val="22"/>
          <w:lang w:val="lt-LT" w:bidi="bn-BD"/>
        </w:rPr>
      </w:pPr>
    </w:p>
    <w:p w14:paraId="3C044395" w14:textId="0E072007" w:rsidR="00C742F6" w:rsidRPr="00BD2D35" w:rsidRDefault="00C742F6"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Nedažn</w:t>
      </w:r>
      <w:r w:rsidR="000F46C2">
        <w:rPr>
          <w:rFonts w:eastAsiaTheme="minorHAnsi"/>
          <w:b/>
          <w:bCs/>
          <w:color w:val="000000"/>
          <w:szCs w:val="22"/>
          <w:lang w:val="lt-LT" w:bidi="bn-BD"/>
        </w:rPr>
        <w:t>i šalutinio poveikio reiškiniai</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 xml:space="preserve">(gali pasireikšti </w:t>
      </w:r>
      <w:r w:rsidR="000F46C2">
        <w:rPr>
          <w:rFonts w:eastAsiaTheme="minorHAnsi"/>
          <w:b/>
          <w:bCs/>
          <w:color w:val="000000"/>
          <w:szCs w:val="22"/>
          <w:lang w:val="lt-LT" w:bidi="bn-BD"/>
        </w:rPr>
        <w:t>rečiau</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 xml:space="preserve">kaip 1 iš 100 </w:t>
      </w:r>
      <w:r w:rsidR="000F46C2">
        <w:rPr>
          <w:rFonts w:eastAsiaTheme="minorHAnsi"/>
          <w:b/>
          <w:bCs/>
          <w:color w:val="000000"/>
          <w:szCs w:val="22"/>
          <w:lang w:val="lt-LT" w:bidi="bn-BD"/>
        </w:rPr>
        <w:t>asmenų</w:t>
      </w:r>
      <w:r w:rsidRPr="00BD2D35">
        <w:rPr>
          <w:rFonts w:eastAsiaTheme="minorHAnsi"/>
          <w:b/>
          <w:bCs/>
          <w:color w:val="000000"/>
          <w:szCs w:val="22"/>
          <w:lang w:val="lt-LT" w:bidi="bn-BD"/>
        </w:rPr>
        <w:t xml:space="preserve">) </w:t>
      </w:r>
    </w:p>
    <w:p w14:paraId="0AA17144" w14:textId="2A5CB279" w:rsidR="00C742F6" w:rsidRPr="00BD2D35" w:rsidRDefault="00C742F6" w:rsidP="00FD307E">
      <w:pPr>
        <w:pStyle w:val="Sraopastraipa"/>
        <w:numPr>
          <w:ilvl w:val="0"/>
          <w:numId w:val="20"/>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Galvos skausmas. </w:t>
      </w:r>
    </w:p>
    <w:p w14:paraId="6E82F1C7" w14:textId="0EC39614" w:rsidR="00C742F6" w:rsidRPr="00BD2D35" w:rsidRDefault="00C742F6" w:rsidP="00FD307E">
      <w:pPr>
        <w:pStyle w:val="Sraopastraipa"/>
        <w:numPr>
          <w:ilvl w:val="0"/>
          <w:numId w:val="20"/>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Pykinimas. </w:t>
      </w:r>
    </w:p>
    <w:p w14:paraId="30824259" w14:textId="07AAA99B" w:rsidR="00C742F6" w:rsidRPr="00BD2D35" w:rsidRDefault="00FD307E" w:rsidP="00FD307E">
      <w:pPr>
        <w:pStyle w:val="Sraopastraipa"/>
        <w:numPr>
          <w:ilvl w:val="0"/>
          <w:numId w:val="20"/>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Negalavimas</w:t>
      </w:r>
      <w:r w:rsidR="00C742F6" w:rsidRPr="00BD2D35">
        <w:rPr>
          <w:rFonts w:eastAsiaTheme="minorHAnsi"/>
          <w:color w:val="000000"/>
          <w:szCs w:val="22"/>
          <w:lang w:val="lt-LT" w:bidi="bn-BD"/>
        </w:rPr>
        <w:t xml:space="preserve"> (</w:t>
      </w:r>
      <w:r w:rsidRPr="00BD2D35">
        <w:rPr>
          <w:rFonts w:eastAsiaTheme="minorHAnsi"/>
          <w:color w:val="000000"/>
          <w:szCs w:val="22"/>
          <w:lang w:val="lt-LT" w:bidi="bn-BD"/>
        </w:rPr>
        <w:t>bendras blogumo jausmas, bloga savijauta</w:t>
      </w:r>
      <w:r w:rsidR="00C742F6" w:rsidRPr="00BD2D35">
        <w:rPr>
          <w:rFonts w:eastAsiaTheme="minorHAnsi"/>
          <w:color w:val="000000"/>
          <w:szCs w:val="22"/>
          <w:lang w:val="lt-LT" w:bidi="bn-BD"/>
        </w:rPr>
        <w:t xml:space="preserve">). </w:t>
      </w:r>
    </w:p>
    <w:p w14:paraId="393956C2" w14:textId="77777777" w:rsidR="00FD307E" w:rsidRPr="00BD2D35" w:rsidRDefault="00FD307E" w:rsidP="00FD307E">
      <w:pPr>
        <w:tabs>
          <w:tab w:val="clear" w:pos="567"/>
        </w:tabs>
        <w:autoSpaceDE w:val="0"/>
        <w:autoSpaceDN w:val="0"/>
        <w:adjustRightInd w:val="0"/>
        <w:snapToGrid/>
        <w:spacing w:line="240" w:lineRule="auto"/>
        <w:rPr>
          <w:rFonts w:eastAsiaTheme="minorHAnsi"/>
          <w:color w:val="000000"/>
          <w:szCs w:val="22"/>
          <w:lang w:val="lt-LT" w:bidi="bn-BD"/>
        </w:rPr>
      </w:pPr>
    </w:p>
    <w:p w14:paraId="10382F45" w14:textId="4D16523E" w:rsidR="00C742F6" w:rsidRPr="00BD2D35" w:rsidRDefault="00C742F6" w:rsidP="00C742F6">
      <w:pPr>
        <w:tabs>
          <w:tab w:val="clear" w:pos="567"/>
        </w:tabs>
        <w:autoSpaceDE w:val="0"/>
        <w:autoSpaceDN w:val="0"/>
        <w:adjustRightInd w:val="0"/>
        <w:snapToGrid/>
        <w:spacing w:line="240" w:lineRule="auto"/>
        <w:rPr>
          <w:rFonts w:eastAsiaTheme="minorHAnsi"/>
          <w:b/>
          <w:bCs/>
          <w:color w:val="000000"/>
          <w:szCs w:val="22"/>
          <w:lang w:val="lt-LT" w:bidi="bn-BD"/>
        </w:rPr>
      </w:pPr>
      <w:r w:rsidRPr="00BD2D35">
        <w:rPr>
          <w:rFonts w:eastAsiaTheme="minorHAnsi"/>
          <w:b/>
          <w:bCs/>
          <w:color w:val="000000"/>
          <w:szCs w:val="22"/>
          <w:lang w:val="lt-LT" w:bidi="bn-BD"/>
        </w:rPr>
        <w:t>Labai ret</w:t>
      </w:r>
      <w:r w:rsidR="000F46C2">
        <w:rPr>
          <w:rFonts w:eastAsiaTheme="minorHAnsi"/>
          <w:b/>
          <w:bCs/>
          <w:color w:val="000000"/>
          <w:szCs w:val="22"/>
          <w:lang w:val="lt-LT" w:bidi="bn-BD"/>
        </w:rPr>
        <w:t>i</w:t>
      </w:r>
      <w:r w:rsidR="000F46C2" w:rsidRPr="000F46C2">
        <w:rPr>
          <w:rFonts w:eastAsiaTheme="minorHAnsi"/>
          <w:b/>
          <w:bCs/>
          <w:color w:val="000000"/>
          <w:szCs w:val="22"/>
          <w:lang w:val="lt-LT" w:bidi="bn-BD"/>
        </w:rPr>
        <w:t xml:space="preserve"> </w:t>
      </w:r>
      <w:r w:rsidR="000F46C2">
        <w:rPr>
          <w:rFonts w:eastAsiaTheme="minorHAnsi"/>
          <w:b/>
          <w:bCs/>
          <w:color w:val="000000"/>
          <w:szCs w:val="22"/>
          <w:lang w:val="lt-LT" w:bidi="bn-BD"/>
        </w:rPr>
        <w:t>šalutinio poveikio reiškiniai</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 xml:space="preserve">(gali pasireikšti </w:t>
      </w:r>
      <w:r w:rsidR="000F46C2">
        <w:rPr>
          <w:rFonts w:eastAsiaTheme="minorHAnsi"/>
          <w:b/>
          <w:bCs/>
          <w:color w:val="000000"/>
          <w:szCs w:val="22"/>
          <w:lang w:val="lt-LT" w:bidi="bn-BD"/>
        </w:rPr>
        <w:t>rečiau</w:t>
      </w:r>
      <w:r w:rsidR="000F46C2" w:rsidRPr="00BD2D35">
        <w:rPr>
          <w:rFonts w:eastAsiaTheme="minorHAnsi"/>
          <w:b/>
          <w:bCs/>
          <w:color w:val="000000"/>
          <w:szCs w:val="22"/>
          <w:lang w:val="lt-LT" w:bidi="bn-BD"/>
        </w:rPr>
        <w:t xml:space="preserve"> </w:t>
      </w:r>
      <w:r w:rsidRPr="00BD2D35">
        <w:rPr>
          <w:rFonts w:eastAsiaTheme="minorHAnsi"/>
          <w:b/>
          <w:bCs/>
          <w:color w:val="000000"/>
          <w:szCs w:val="22"/>
          <w:lang w:val="lt-LT" w:bidi="bn-BD"/>
        </w:rPr>
        <w:t>kaip 1 iš 10</w:t>
      </w:r>
      <w:r w:rsidR="00FD307E" w:rsidRPr="00BD2D35">
        <w:rPr>
          <w:rFonts w:eastAsiaTheme="minorHAnsi"/>
          <w:b/>
          <w:bCs/>
          <w:color w:val="000000"/>
          <w:szCs w:val="22"/>
          <w:lang w:val="lt-LT" w:bidi="bn-BD"/>
        </w:rPr>
        <w:t> </w:t>
      </w:r>
      <w:r w:rsidRPr="00BD2D35">
        <w:rPr>
          <w:rFonts w:eastAsiaTheme="minorHAnsi"/>
          <w:b/>
          <w:bCs/>
          <w:color w:val="000000"/>
          <w:szCs w:val="22"/>
          <w:lang w:val="lt-LT" w:bidi="bn-BD"/>
        </w:rPr>
        <w:t xml:space="preserve">000 </w:t>
      </w:r>
      <w:r w:rsidR="000F46C2">
        <w:rPr>
          <w:rFonts w:eastAsiaTheme="minorHAnsi"/>
          <w:b/>
          <w:bCs/>
          <w:color w:val="000000"/>
          <w:szCs w:val="22"/>
          <w:lang w:val="lt-LT" w:bidi="bn-BD"/>
        </w:rPr>
        <w:t>asmenų</w:t>
      </w:r>
      <w:r w:rsidRPr="00BD2D35">
        <w:rPr>
          <w:rFonts w:eastAsiaTheme="minorHAnsi"/>
          <w:b/>
          <w:bCs/>
          <w:color w:val="000000"/>
          <w:szCs w:val="22"/>
          <w:lang w:val="lt-LT" w:bidi="bn-BD"/>
        </w:rPr>
        <w:t xml:space="preserve">) </w:t>
      </w:r>
    </w:p>
    <w:p w14:paraId="567A22DC" w14:textId="07921C25" w:rsidR="00C742F6" w:rsidRPr="00BD2D35" w:rsidRDefault="00C742F6" w:rsidP="00FD307E">
      <w:pPr>
        <w:pStyle w:val="Sraopastraipa"/>
        <w:numPr>
          <w:ilvl w:val="0"/>
          <w:numId w:val="20"/>
        </w:numPr>
        <w:tabs>
          <w:tab w:val="clear" w:pos="567"/>
        </w:tabs>
        <w:autoSpaceDE w:val="0"/>
        <w:autoSpaceDN w:val="0"/>
        <w:adjustRightInd w:val="0"/>
        <w:snapToGrid/>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Užfiksuota alerginių reakcijų, net po pirmos dozės: </w:t>
      </w:r>
    </w:p>
    <w:p w14:paraId="269845FD" w14:textId="4CBB5F05"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išbėrimas; </w:t>
      </w:r>
    </w:p>
    <w:p w14:paraId="3AC1BC40" w14:textId="30351D43"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veido patinimas; </w:t>
      </w:r>
    </w:p>
    <w:p w14:paraId="355FA5B6" w14:textId="6296E55C"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pasunkėjęs kvėpavimas (dusulys); </w:t>
      </w:r>
    </w:p>
    <w:p w14:paraId="31651561" w14:textId="3387E65E"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veido, lūpų, liežuvio ir (ar) gerklės patinimas, dėl kurio gali pasunkėti kvėpavimas ir (ar) rijimas (</w:t>
      </w:r>
      <w:proofErr w:type="spellStart"/>
      <w:r w:rsidRPr="00BD2D35">
        <w:rPr>
          <w:rFonts w:eastAsiaTheme="minorHAnsi"/>
          <w:color w:val="000000"/>
          <w:szCs w:val="22"/>
          <w:lang w:val="lt-LT" w:bidi="bn-BD"/>
        </w:rPr>
        <w:t>angioneurozinė</w:t>
      </w:r>
      <w:proofErr w:type="spellEnd"/>
      <w:r w:rsidRPr="00BD2D35">
        <w:rPr>
          <w:rFonts w:eastAsiaTheme="minorHAnsi"/>
          <w:color w:val="000000"/>
          <w:szCs w:val="22"/>
          <w:lang w:val="lt-LT" w:bidi="bn-BD"/>
        </w:rPr>
        <w:t xml:space="preserve"> edema ir (ar) </w:t>
      </w:r>
      <w:proofErr w:type="spellStart"/>
      <w:r w:rsidRPr="00BD2D35">
        <w:rPr>
          <w:rFonts w:eastAsiaTheme="minorHAnsi"/>
          <w:color w:val="000000"/>
          <w:szCs w:val="22"/>
          <w:lang w:val="lt-LT" w:bidi="bn-BD"/>
        </w:rPr>
        <w:t>anafilaksija</w:t>
      </w:r>
      <w:proofErr w:type="spellEnd"/>
      <w:r w:rsidRPr="00BD2D35">
        <w:rPr>
          <w:rFonts w:eastAsiaTheme="minorHAnsi"/>
          <w:color w:val="000000"/>
          <w:szCs w:val="22"/>
          <w:lang w:val="lt-LT" w:bidi="bn-BD"/>
        </w:rPr>
        <w:t xml:space="preserve">); </w:t>
      </w:r>
    </w:p>
    <w:p w14:paraId="0DF1F10D" w14:textId="0F9D6852" w:rsidR="00C742F6" w:rsidRPr="00BD2D35" w:rsidRDefault="00C742F6" w:rsidP="00FD307E">
      <w:pPr>
        <w:pStyle w:val="Sraopastraipa"/>
        <w:numPr>
          <w:ilvl w:val="0"/>
          <w:numId w:val="22"/>
        </w:num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dilgėlinė. </w:t>
      </w:r>
    </w:p>
    <w:p w14:paraId="39572D79" w14:textId="77777777" w:rsidR="00FD307E" w:rsidRPr="00BD2D35" w:rsidRDefault="00FD307E" w:rsidP="00C742F6">
      <w:pPr>
        <w:spacing w:line="240" w:lineRule="auto"/>
        <w:rPr>
          <w:rFonts w:eastAsiaTheme="minorHAnsi"/>
          <w:color w:val="000000"/>
          <w:szCs w:val="22"/>
          <w:lang w:val="lt-LT" w:bidi="bn-BD"/>
        </w:rPr>
      </w:pPr>
    </w:p>
    <w:p w14:paraId="61032E88" w14:textId="77777777" w:rsidR="00FD307E" w:rsidRPr="00BD2D35" w:rsidRDefault="00C742F6" w:rsidP="00FD307E">
      <w:pPr>
        <w:keepNext/>
        <w:spacing w:line="240" w:lineRule="auto"/>
        <w:rPr>
          <w:rFonts w:eastAsiaTheme="minorHAnsi"/>
          <w:color w:val="000000"/>
          <w:szCs w:val="22"/>
          <w:lang w:val="lt-LT" w:bidi="bn-BD"/>
        </w:rPr>
      </w:pPr>
      <w:r w:rsidRPr="00BD2D35">
        <w:rPr>
          <w:rFonts w:eastAsiaTheme="minorHAnsi"/>
          <w:color w:val="000000"/>
          <w:szCs w:val="22"/>
          <w:lang w:val="lt-LT" w:bidi="bn-BD"/>
        </w:rPr>
        <w:lastRenderedPageBreak/>
        <w:t xml:space="preserve">Be to, galimas poveikis, atsirandantis dėl kontroliuojamos kiaušidžių </w:t>
      </w:r>
      <w:proofErr w:type="spellStart"/>
      <w:r w:rsidRPr="00BD2D35">
        <w:rPr>
          <w:rFonts w:eastAsiaTheme="minorHAnsi"/>
          <w:color w:val="000000"/>
          <w:szCs w:val="22"/>
          <w:lang w:val="lt-LT" w:bidi="bn-BD"/>
        </w:rPr>
        <w:t>hiperstimuliacijos</w:t>
      </w:r>
      <w:proofErr w:type="spellEnd"/>
      <w:r w:rsidRPr="00BD2D35">
        <w:rPr>
          <w:rFonts w:eastAsiaTheme="minorHAnsi"/>
          <w:color w:val="000000"/>
          <w:szCs w:val="22"/>
          <w:lang w:val="lt-LT" w:bidi="bn-BD"/>
        </w:rPr>
        <w:t>, pvz.</w:t>
      </w:r>
      <w:r w:rsidR="00FD307E" w:rsidRPr="00BD2D35">
        <w:rPr>
          <w:rFonts w:eastAsiaTheme="minorHAnsi"/>
          <w:color w:val="000000"/>
          <w:szCs w:val="22"/>
          <w:lang w:val="lt-LT" w:bidi="bn-BD"/>
        </w:rPr>
        <w:t>:</w:t>
      </w:r>
    </w:p>
    <w:p w14:paraId="4D626C4A" w14:textId="37DE47FC" w:rsidR="00FD307E" w:rsidRPr="00BD2D35" w:rsidRDefault="00C742F6" w:rsidP="00FD307E">
      <w:pPr>
        <w:pStyle w:val="Sraopastraipa"/>
        <w:keepNext/>
        <w:numPr>
          <w:ilvl w:val="0"/>
          <w:numId w:val="23"/>
        </w:numPr>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pilvo skausmas</w:t>
      </w:r>
      <w:r w:rsidR="00FD307E" w:rsidRPr="00BD2D35">
        <w:rPr>
          <w:rFonts w:eastAsiaTheme="minorHAnsi"/>
          <w:color w:val="000000"/>
          <w:szCs w:val="22"/>
          <w:lang w:val="lt-LT" w:bidi="bn-BD"/>
        </w:rPr>
        <w:t>;</w:t>
      </w:r>
      <w:r w:rsidRPr="00BD2D35">
        <w:rPr>
          <w:rFonts w:eastAsiaTheme="minorHAnsi"/>
          <w:color w:val="000000"/>
          <w:szCs w:val="22"/>
          <w:lang w:val="lt-LT" w:bidi="bn-BD"/>
        </w:rPr>
        <w:t xml:space="preserve"> </w:t>
      </w:r>
    </w:p>
    <w:p w14:paraId="44918550" w14:textId="657C5427" w:rsidR="00FD307E" w:rsidRPr="00BD2D35" w:rsidRDefault="00C742F6" w:rsidP="00FD307E">
      <w:pPr>
        <w:pStyle w:val="Sraopastraipa"/>
        <w:keepNext/>
        <w:numPr>
          <w:ilvl w:val="0"/>
          <w:numId w:val="23"/>
        </w:numPr>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 xml:space="preserve">kiaušidžių </w:t>
      </w:r>
      <w:proofErr w:type="spellStart"/>
      <w:r w:rsidRPr="00BD2D35">
        <w:rPr>
          <w:rFonts w:eastAsiaTheme="minorHAnsi"/>
          <w:color w:val="000000"/>
          <w:szCs w:val="22"/>
          <w:lang w:val="lt-LT" w:bidi="bn-BD"/>
        </w:rPr>
        <w:t>hiperstimuliacijos</w:t>
      </w:r>
      <w:proofErr w:type="spellEnd"/>
      <w:r w:rsidRPr="00BD2D35">
        <w:rPr>
          <w:rFonts w:eastAsiaTheme="minorHAnsi"/>
          <w:color w:val="000000"/>
          <w:szCs w:val="22"/>
          <w:lang w:val="lt-LT" w:bidi="bn-BD"/>
        </w:rPr>
        <w:t xml:space="preserve"> sindromas (KHSS)</w:t>
      </w:r>
      <w:r w:rsidR="00FD307E" w:rsidRPr="00BD2D35">
        <w:rPr>
          <w:rFonts w:eastAsiaTheme="minorHAnsi"/>
          <w:color w:val="000000"/>
          <w:szCs w:val="22"/>
          <w:lang w:val="lt-LT" w:bidi="bn-BD"/>
        </w:rPr>
        <w:t xml:space="preserve"> (KHSS pasireiškia, kai Jūsų kiaušidės pernelyg reaguoja į vartojamus vaistus nuo nevaisingumo);</w:t>
      </w:r>
    </w:p>
    <w:p w14:paraId="0A8FAC9D" w14:textId="6DB5528D" w:rsidR="00FD307E" w:rsidRPr="00BD2D35" w:rsidRDefault="00C742F6" w:rsidP="00FD307E">
      <w:pPr>
        <w:pStyle w:val="Sraopastraipa"/>
        <w:numPr>
          <w:ilvl w:val="0"/>
          <w:numId w:val="23"/>
        </w:numPr>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negimdinis nėštumas (kai embrionas vystosi ne gimdoje)</w:t>
      </w:r>
      <w:r w:rsidR="00FD307E" w:rsidRPr="00BD2D35">
        <w:rPr>
          <w:rFonts w:eastAsiaTheme="minorHAnsi"/>
          <w:color w:val="000000"/>
          <w:szCs w:val="22"/>
          <w:lang w:val="lt-LT" w:bidi="bn-BD"/>
        </w:rPr>
        <w:t>;</w:t>
      </w:r>
    </w:p>
    <w:p w14:paraId="784A7E56" w14:textId="44DDC127" w:rsidR="004C17CB" w:rsidRPr="00BD2D35" w:rsidRDefault="00C742F6" w:rsidP="00FD307E">
      <w:pPr>
        <w:pStyle w:val="Sraopastraipa"/>
        <w:numPr>
          <w:ilvl w:val="0"/>
          <w:numId w:val="23"/>
        </w:numPr>
        <w:spacing w:line="240" w:lineRule="auto"/>
        <w:ind w:left="567" w:hanging="567"/>
        <w:rPr>
          <w:rFonts w:eastAsiaTheme="minorHAnsi"/>
          <w:color w:val="000000"/>
          <w:szCs w:val="22"/>
          <w:lang w:val="lt-LT" w:bidi="bn-BD"/>
        </w:rPr>
      </w:pPr>
      <w:r w:rsidRPr="00BD2D35">
        <w:rPr>
          <w:rFonts w:eastAsiaTheme="minorHAnsi"/>
          <w:color w:val="000000"/>
          <w:szCs w:val="22"/>
          <w:lang w:val="lt-LT" w:bidi="bn-BD"/>
        </w:rPr>
        <w:t>persileidimas (žr. FSH preparato, kuriuo Jūs gydoma, pakuotės lapelį).</w:t>
      </w:r>
    </w:p>
    <w:p w14:paraId="2F9A5642" w14:textId="602CEB20" w:rsidR="00C742F6" w:rsidRPr="00BD2D35" w:rsidRDefault="00C742F6" w:rsidP="00C742F6">
      <w:pPr>
        <w:spacing w:line="240" w:lineRule="auto"/>
        <w:rPr>
          <w:szCs w:val="24"/>
          <w:lang w:val="lt-LT"/>
        </w:rPr>
      </w:pPr>
    </w:p>
    <w:p w14:paraId="364506DD" w14:textId="069012CF" w:rsidR="00FD307E" w:rsidRPr="00BD2D35" w:rsidRDefault="00FD307E" w:rsidP="00C742F6">
      <w:pPr>
        <w:spacing w:line="240" w:lineRule="auto"/>
        <w:rPr>
          <w:szCs w:val="24"/>
          <w:lang w:val="lt-LT"/>
        </w:rPr>
      </w:pPr>
      <w:r w:rsidRPr="00BD2D35">
        <w:rPr>
          <w:szCs w:val="24"/>
          <w:lang w:val="lt-LT"/>
        </w:rPr>
        <w:t xml:space="preserve">Vienu atveju po pirmosios </w:t>
      </w:r>
      <w:proofErr w:type="spellStart"/>
      <w:r w:rsidRPr="00BD2D35">
        <w:rPr>
          <w:szCs w:val="24"/>
          <w:lang w:val="lt-LT"/>
        </w:rPr>
        <w:t>ganirelikso</w:t>
      </w:r>
      <w:proofErr w:type="spellEnd"/>
      <w:r w:rsidRPr="00BD2D35">
        <w:rPr>
          <w:szCs w:val="24"/>
          <w:lang w:val="lt-LT"/>
        </w:rPr>
        <w:t xml:space="preserve"> dozės pasunkėjo esamas išbėrimas (egzema).</w:t>
      </w:r>
    </w:p>
    <w:p w14:paraId="602E399A" w14:textId="77777777" w:rsidR="00FD307E" w:rsidRPr="00BD2D35" w:rsidRDefault="00FD307E" w:rsidP="00C742F6">
      <w:pPr>
        <w:spacing w:line="240" w:lineRule="auto"/>
        <w:rPr>
          <w:szCs w:val="24"/>
          <w:lang w:val="lt-LT"/>
        </w:rPr>
      </w:pPr>
    </w:p>
    <w:p w14:paraId="5CDDB20F" w14:textId="77777777" w:rsidR="004C17CB" w:rsidRPr="00BD2D35" w:rsidRDefault="002C1216">
      <w:pPr>
        <w:spacing w:line="240" w:lineRule="auto"/>
        <w:rPr>
          <w:b/>
          <w:szCs w:val="24"/>
          <w:lang w:val="lt-LT"/>
        </w:rPr>
      </w:pPr>
      <w:r w:rsidRPr="00BD2D35">
        <w:rPr>
          <w:b/>
          <w:szCs w:val="24"/>
          <w:lang w:val="lt-LT"/>
        </w:rPr>
        <w:t>Pranešimas apie šalutinį poveikį</w:t>
      </w:r>
    </w:p>
    <w:p w14:paraId="4004DD5D" w14:textId="798CC64F" w:rsidR="004C17CB" w:rsidRPr="00BD2D35" w:rsidRDefault="002C1216">
      <w:pPr>
        <w:rPr>
          <w:szCs w:val="24"/>
          <w:lang w:val="lt-LT"/>
        </w:rPr>
      </w:pPr>
      <w:r w:rsidRPr="00BD2D35">
        <w:rPr>
          <w:lang w:val="lt-LT"/>
        </w:rPr>
        <w:t xml:space="preserve">Jeigu pasireiškė šalutinis poveikis, įskaitant šiame lapelyje nenurodytą, pasakykite gydytojui, vaistininkui arba slaugytojui. </w:t>
      </w:r>
      <w:r w:rsidR="00CA6CC1" w:rsidRPr="00AD197E">
        <w:rPr>
          <w:szCs w:val="22"/>
          <w:lang w:val="lt-LT" w:eastAsia="lt-LT"/>
        </w:rPr>
        <w:t xml:space="preserve">Pranešimą apie šalutinį poveikį galite užpildyti ir pateikti Valstybinės vaistų kontrolės tarnybos prie Lietuvos Respublikos sveikatos apsaugos ministerijos tinklalapyje </w:t>
      </w:r>
      <w:r w:rsidR="00CA6CC1" w:rsidRPr="00AD197E">
        <w:rPr>
          <w:color w:val="0000EE"/>
          <w:szCs w:val="22"/>
          <w:u w:val="single"/>
          <w:lang w:val="lt-LT" w:eastAsia="lt-LT"/>
        </w:rPr>
        <w:t>https://vvkt.lrv.lt/lt/</w:t>
      </w:r>
      <w:r w:rsidR="00CA6CC1" w:rsidRPr="00AD197E">
        <w:rPr>
          <w:szCs w:val="22"/>
          <w:lang w:val="lt-LT" w:eastAsia="lt-LT"/>
        </w:rPr>
        <w:t xml:space="preserve"> nurodytais būdais arba paskambinti nemokamu telefonu </w:t>
      </w:r>
      <w:r w:rsidR="00CA6CC1">
        <w:rPr>
          <w:szCs w:val="22"/>
          <w:lang w:val="lt-LT" w:eastAsia="lt-LT"/>
        </w:rPr>
        <w:t>+370</w:t>
      </w:r>
      <w:r w:rsidR="00CA6CC1" w:rsidRPr="00AD197E">
        <w:rPr>
          <w:szCs w:val="22"/>
          <w:lang w:val="lt-LT" w:eastAsia="lt-LT"/>
        </w:rPr>
        <w:t xml:space="preserve"> 800 73 568. Pranešdami apie šalutinį poveikį galite mums padėti gauti daugiau informacijos apie šio vaisto saugumą</w:t>
      </w:r>
      <w:r w:rsidRPr="00BD2D35">
        <w:rPr>
          <w:lang w:val="lt-LT"/>
        </w:rPr>
        <w:t>.</w:t>
      </w:r>
    </w:p>
    <w:p w14:paraId="15AD128D" w14:textId="77777777" w:rsidR="004C17CB" w:rsidRPr="00BD2D35" w:rsidRDefault="004C17CB">
      <w:pPr>
        <w:ind w:right="-449"/>
        <w:rPr>
          <w:szCs w:val="24"/>
          <w:lang w:val="lt-LT"/>
        </w:rPr>
      </w:pPr>
    </w:p>
    <w:p w14:paraId="2BAD75ED" w14:textId="77777777" w:rsidR="004C17CB" w:rsidRPr="00BD2D35" w:rsidRDefault="004C17CB">
      <w:pPr>
        <w:ind w:right="-449"/>
        <w:rPr>
          <w:szCs w:val="24"/>
          <w:lang w:val="lt-LT"/>
        </w:rPr>
      </w:pPr>
    </w:p>
    <w:p w14:paraId="3891E29C" w14:textId="5EBE13CA" w:rsidR="004C17CB" w:rsidRPr="00BD2D35" w:rsidRDefault="002C1216" w:rsidP="00C742F6">
      <w:pPr>
        <w:rPr>
          <w:b/>
          <w:bCs/>
          <w:lang w:val="lt-LT"/>
        </w:rPr>
      </w:pPr>
      <w:r w:rsidRPr="00BD2D35">
        <w:rPr>
          <w:b/>
          <w:bCs/>
          <w:lang w:val="lt-LT"/>
        </w:rPr>
        <w:t>5.</w:t>
      </w:r>
      <w:r w:rsidRPr="00BD2D35">
        <w:rPr>
          <w:b/>
          <w:bCs/>
          <w:lang w:val="lt-LT"/>
        </w:rPr>
        <w:tab/>
        <w:t xml:space="preserve">Kaip laikyti </w:t>
      </w:r>
      <w:proofErr w:type="spellStart"/>
      <w:r w:rsidR="00C742F6" w:rsidRPr="00BD2D35">
        <w:rPr>
          <w:b/>
          <w:bCs/>
          <w:lang w:val="lt-LT"/>
        </w:rPr>
        <w:t>Ganirelix</w:t>
      </w:r>
      <w:proofErr w:type="spellEnd"/>
      <w:r w:rsidR="00C742F6" w:rsidRPr="00BD2D35">
        <w:rPr>
          <w:b/>
          <w:bCs/>
          <w:lang w:val="lt-LT"/>
        </w:rPr>
        <w:t xml:space="preserve"> </w:t>
      </w:r>
      <w:proofErr w:type="spellStart"/>
      <w:r w:rsidR="004A09A8" w:rsidRPr="00BD2D35">
        <w:rPr>
          <w:b/>
          <w:bCs/>
          <w:lang w:val="lt-LT"/>
        </w:rPr>
        <w:t>Theramex</w:t>
      </w:r>
      <w:proofErr w:type="spellEnd"/>
    </w:p>
    <w:p w14:paraId="4FAF4886" w14:textId="77777777" w:rsidR="004C17CB" w:rsidRPr="00BD2D35" w:rsidRDefault="004C17CB">
      <w:pPr>
        <w:numPr>
          <w:ilvl w:val="12"/>
          <w:numId w:val="0"/>
        </w:numPr>
        <w:tabs>
          <w:tab w:val="clear" w:pos="567"/>
          <w:tab w:val="left" w:pos="1296"/>
        </w:tabs>
        <w:spacing w:line="240" w:lineRule="auto"/>
        <w:ind w:right="-2"/>
        <w:rPr>
          <w:szCs w:val="24"/>
          <w:lang w:val="lt-LT"/>
        </w:rPr>
      </w:pPr>
    </w:p>
    <w:p w14:paraId="127E0BF5" w14:textId="77777777" w:rsidR="004C17CB" w:rsidRPr="00BD2D35" w:rsidRDefault="002C1216">
      <w:pPr>
        <w:numPr>
          <w:ilvl w:val="12"/>
          <w:numId w:val="0"/>
        </w:numPr>
        <w:tabs>
          <w:tab w:val="clear" w:pos="567"/>
          <w:tab w:val="left" w:pos="1296"/>
        </w:tabs>
        <w:spacing w:line="240" w:lineRule="auto"/>
        <w:ind w:right="-2"/>
        <w:rPr>
          <w:szCs w:val="24"/>
          <w:lang w:val="lt-LT"/>
        </w:rPr>
      </w:pPr>
      <w:r w:rsidRPr="00BD2D35">
        <w:rPr>
          <w:szCs w:val="24"/>
          <w:lang w:val="lt-LT"/>
        </w:rPr>
        <w:t>Šį vaistą laikykite vaikams nepastebimoje ir nepasiekiamoje vietoje.</w:t>
      </w:r>
    </w:p>
    <w:p w14:paraId="089D703A" w14:textId="77777777" w:rsidR="004C17CB" w:rsidRPr="00BD2D35" w:rsidRDefault="004C17CB">
      <w:pPr>
        <w:numPr>
          <w:ilvl w:val="12"/>
          <w:numId w:val="0"/>
        </w:numPr>
        <w:tabs>
          <w:tab w:val="clear" w:pos="567"/>
          <w:tab w:val="left" w:pos="1296"/>
        </w:tabs>
        <w:spacing w:line="240" w:lineRule="auto"/>
        <w:ind w:right="-2"/>
        <w:rPr>
          <w:szCs w:val="24"/>
          <w:lang w:val="lt-LT"/>
        </w:rPr>
      </w:pPr>
    </w:p>
    <w:p w14:paraId="1AE719B8" w14:textId="77777777" w:rsidR="004C17CB" w:rsidRPr="00BD2D35" w:rsidRDefault="002C1216">
      <w:pPr>
        <w:numPr>
          <w:ilvl w:val="12"/>
          <w:numId w:val="0"/>
        </w:numPr>
        <w:tabs>
          <w:tab w:val="clear" w:pos="567"/>
          <w:tab w:val="left" w:pos="1296"/>
        </w:tabs>
        <w:spacing w:line="240" w:lineRule="auto"/>
        <w:ind w:right="-2"/>
        <w:rPr>
          <w:szCs w:val="24"/>
          <w:lang w:val="lt-LT"/>
        </w:rPr>
      </w:pPr>
      <w:r w:rsidRPr="00BD2D35">
        <w:rPr>
          <w:szCs w:val="24"/>
          <w:lang w:val="lt-LT"/>
        </w:rPr>
        <w:t>Šiam vaistui specialių laikymo sąlygų nereikia</w:t>
      </w:r>
      <w:r w:rsidRPr="00BD2D35">
        <w:rPr>
          <w:snapToGrid w:val="0"/>
          <w:lang w:val="lt-LT"/>
        </w:rPr>
        <w:t>.</w:t>
      </w:r>
    </w:p>
    <w:p w14:paraId="2ED2679C" w14:textId="77777777" w:rsidR="004C17CB" w:rsidRPr="00BD2D35" w:rsidRDefault="004C17CB">
      <w:pPr>
        <w:numPr>
          <w:ilvl w:val="12"/>
          <w:numId w:val="0"/>
        </w:numPr>
        <w:tabs>
          <w:tab w:val="clear" w:pos="567"/>
          <w:tab w:val="left" w:pos="1296"/>
        </w:tabs>
        <w:spacing w:line="240" w:lineRule="auto"/>
        <w:ind w:right="-2"/>
        <w:rPr>
          <w:szCs w:val="24"/>
          <w:lang w:val="lt-LT"/>
        </w:rPr>
      </w:pPr>
    </w:p>
    <w:p w14:paraId="58DD9540" w14:textId="4D2080FB" w:rsidR="004C17CB" w:rsidRPr="00BD2D35" w:rsidRDefault="002C1216">
      <w:pPr>
        <w:numPr>
          <w:ilvl w:val="12"/>
          <w:numId w:val="0"/>
        </w:numPr>
        <w:tabs>
          <w:tab w:val="clear" w:pos="567"/>
          <w:tab w:val="left" w:pos="1296"/>
        </w:tabs>
        <w:spacing w:line="240" w:lineRule="auto"/>
        <w:ind w:right="-2"/>
        <w:rPr>
          <w:szCs w:val="24"/>
          <w:lang w:val="lt-LT"/>
        </w:rPr>
      </w:pPr>
      <w:r w:rsidRPr="00BD2D35">
        <w:rPr>
          <w:szCs w:val="24"/>
          <w:lang w:val="lt-LT"/>
        </w:rPr>
        <w:t>Ant dėžutės</w:t>
      </w:r>
      <w:r w:rsidRPr="00BD2D35">
        <w:rPr>
          <w:lang w:val="lt-LT"/>
        </w:rPr>
        <w:t xml:space="preserve"> </w:t>
      </w:r>
      <w:r w:rsidR="005B3891" w:rsidRPr="00BD2D35">
        <w:rPr>
          <w:szCs w:val="24"/>
          <w:lang w:val="lt-LT"/>
        </w:rPr>
        <w:t xml:space="preserve">ir etiketės </w:t>
      </w:r>
      <w:r w:rsidRPr="00BD2D35">
        <w:rPr>
          <w:szCs w:val="24"/>
          <w:lang w:val="lt-LT"/>
        </w:rPr>
        <w:t xml:space="preserve">po „EXP“ nurodytam tinkamumo laikui pasibaigus, šio vaisto vartoti negalima. Vaistas tinkamas vartoti iki paskutinės nurodyto mėnesio dienos. </w:t>
      </w:r>
    </w:p>
    <w:p w14:paraId="47B3A053" w14:textId="77777777" w:rsidR="004C17CB" w:rsidRPr="00BD2D35" w:rsidRDefault="004C17CB">
      <w:pPr>
        <w:numPr>
          <w:ilvl w:val="12"/>
          <w:numId w:val="0"/>
        </w:numPr>
        <w:tabs>
          <w:tab w:val="clear" w:pos="567"/>
          <w:tab w:val="left" w:pos="1296"/>
        </w:tabs>
        <w:spacing w:line="240" w:lineRule="auto"/>
        <w:ind w:right="-2"/>
        <w:rPr>
          <w:szCs w:val="24"/>
          <w:lang w:val="lt-LT"/>
        </w:rPr>
      </w:pPr>
    </w:p>
    <w:p w14:paraId="37D7A6F3" w14:textId="77777777" w:rsidR="00C251E9" w:rsidRPr="00BD2D35" w:rsidRDefault="00C251E9" w:rsidP="00C742F6">
      <w:pPr>
        <w:tabs>
          <w:tab w:val="clear" w:pos="567"/>
        </w:tabs>
        <w:autoSpaceDE w:val="0"/>
        <w:autoSpaceDN w:val="0"/>
        <w:adjustRightInd w:val="0"/>
        <w:snapToGrid/>
        <w:spacing w:line="240" w:lineRule="auto"/>
        <w:rPr>
          <w:lang w:val="lt-LT"/>
        </w:rPr>
      </w:pPr>
      <w:r w:rsidRPr="00BD2D35">
        <w:rPr>
          <w:lang w:val="lt-LT"/>
        </w:rPr>
        <w:t>Šiam vaistui specialių laikymo sąlygų nereikia.</w:t>
      </w:r>
    </w:p>
    <w:p w14:paraId="1109F5B7" w14:textId="77777777" w:rsidR="00C251E9" w:rsidRPr="00BD2D35" w:rsidRDefault="00C251E9" w:rsidP="00C742F6">
      <w:pPr>
        <w:tabs>
          <w:tab w:val="clear" w:pos="567"/>
        </w:tabs>
        <w:autoSpaceDE w:val="0"/>
        <w:autoSpaceDN w:val="0"/>
        <w:adjustRightInd w:val="0"/>
        <w:snapToGrid/>
        <w:spacing w:line="240" w:lineRule="auto"/>
        <w:rPr>
          <w:lang w:val="lt-LT"/>
        </w:rPr>
      </w:pPr>
    </w:p>
    <w:p w14:paraId="16583CF3" w14:textId="672C9975" w:rsidR="00C742F6" w:rsidRPr="00BD2D35" w:rsidRDefault="00C742F6" w:rsidP="00C742F6">
      <w:pPr>
        <w:tabs>
          <w:tab w:val="clear" w:pos="567"/>
        </w:tabs>
        <w:autoSpaceDE w:val="0"/>
        <w:autoSpaceDN w:val="0"/>
        <w:adjustRightInd w:val="0"/>
        <w:snapToGrid/>
        <w:spacing w:line="240" w:lineRule="auto"/>
        <w:rPr>
          <w:rFonts w:eastAsiaTheme="minorHAnsi"/>
          <w:color w:val="000000"/>
          <w:szCs w:val="22"/>
          <w:lang w:val="lt-LT" w:bidi="bn-BD"/>
        </w:rPr>
      </w:pPr>
      <w:r w:rsidRPr="00BD2D35">
        <w:rPr>
          <w:rFonts w:eastAsiaTheme="minorHAnsi"/>
          <w:color w:val="000000"/>
          <w:szCs w:val="22"/>
          <w:lang w:val="lt-LT" w:bidi="bn-BD"/>
        </w:rPr>
        <w:t xml:space="preserve">Prieš vartojimą švirkštą reikia apžiūrėti. Galima vartoti tik skaidrų tirpalą, kuriame nėra dalelių ir kurio pakuotė nebuvo pažeista. </w:t>
      </w:r>
    </w:p>
    <w:p w14:paraId="7E462EBD" w14:textId="77777777" w:rsidR="00C742F6" w:rsidRPr="00BD2D35" w:rsidRDefault="00C742F6" w:rsidP="00C742F6">
      <w:pPr>
        <w:numPr>
          <w:ilvl w:val="12"/>
          <w:numId w:val="0"/>
        </w:numPr>
        <w:tabs>
          <w:tab w:val="clear" w:pos="567"/>
          <w:tab w:val="left" w:pos="1296"/>
        </w:tabs>
        <w:spacing w:line="240" w:lineRule="auto"/>
        <w:ind w:right="-2"/>
        <w:rPr>
          <w:rFonts w:eastAsiaTheme="minorHAnsi"/>
          <w:color w:val="000000"/>
          <w:szCs w:val="22"/>
          <w:lang w:val="lt-LT" w:bidi="bn-BD"/>
        </w:rPr>
      </w:pPr>
    </w:p>
    <w:p w14:paraId="511A7574" w14:textId="48765275" w:rsidR="004C17CB" w:rsidRPr="00BD2D35" w:rsidRDefault="002C1216" w:rsidP="00C742F6">
      <w:pPr>
        <w:numPr>
          <w:ilvl w:val="12"/>
          <w:numId w:val="0"/>
        </w:numPr>
        <w:tabs>
          <w:tab w:val="clear" w:pos="567"/>
          <w:tab w:val="left" w:pos="1296"/>
        </w:tabs>
        <w:spacing w:line="240" w:lineRule="auto"/>
        <w:ind w:right="-2"/>
        <w:rPr>
          <w:szCs w:val="24"/>
          <w:lang w:val="lt-LT"/>
        </w:rPr>
      </w:pPr>
      <w:r w:rsidRPr="00BD2D35">
        <w:rPr>
          <w:szCs w:val="24"/>
          <w:lang w:val="lt-LT"/>
        </w:rPr>
        <w:t>Vaistų negalima išmesti į kanalizaciją arba su buitinėmis atliekomis. Kaip išmesti nereikalingus vaistus, klauskite vaistininko. Šios priemonės padės apsaugoti aplinką.</w:t>
      </w:r>
    </w:p>
    <w:p w14:paraId="7F18D328" w14:textId="77777777" w:rsidR="004C17CB" w:rsidRPr="00BD2D35" w:rsidRDefault="004C17CB">
      <w:pPr>
        <w:numPr>
          <w:ilvl w:val="12"/>
          <w:numId w:val="0"/>
        </w:numPr>
        <w:tabs>
          <w:tab w:val="clear" w:pos="567"/>
          <w:tab w:val="left" w:pos="1296"/>
        </w:tabs>
        <w:spacing w:line="240" w:lineRule="auto"/>
        <w:ind w:right="-2"/>
        <w:rPr>
          <w:szCs w:val="24"/>
          <w:lang w:val="lt-LT"/>
        </w:rPr>
      </w:pPr>
    </w:p>
    <w:p w14:paraId="76699492" w14:textId="77777777" w:rsidR="004C17CB" w:rsidRPr="00BD2D35" w:rsidRDefault="004C17CB">
      <w:pPr>
        <w:numPr>
          <w:ilvl w:val="12"/>
          <w:numId w:val="0"/>
        </w:numPr>
        <w:tabs>
          <w:tab w:val="clear" w:pos="567"/>
          <w:tab w:val="left" w:pos="1296"/>
        </w:tabs>
        <w:spacing w:line="240" w:lineRule="auto"/>
        <w:ind w:right="-2"/>
        <w:rPr>
          <w:szCs w:val="24"/>
          <w:lang w:val="lt-LT"/>
        </w:rPr>
      </w:pPr>
    </w:p>
    <w:p w14:paraId="4B75ACBC" w14:textId="77777777" w:rsidR="004C17CB" w:rsidRPr="00BD2D35" w:rsidRDefault="002C1216" w:rsidP="00C742F6">
      <w:pPr>
        <w:rPr>
          <w:b/>
          <w:bCs/>
          <w:lang w:val="lt-LT"/>
        </w:rPr>
      </w:pPr>
      <w:r w:rsidRPr="00BD2D35">
        <w:rPr>
          <w:b/>
          <w:bCs/>
          <w:lang w:val="lt-LT"/>
        </w:rPr>
        <w:t>6.</w:t>
      </w:r>
      <w:r w:rsidRPr="00BD2D35">
        <w:rPr>
          <w:b/>
          <w:bCs/>
          <w:lang w:val="lt-LT"/>
        </w:rPr>
        <w:tab/>
        <w:t>Pakuotės turinys ir kita informacija</w:t>
      </w:r>
    </w:p>
    <w:p w14:paraId="7C708056" w14:textId="77777777" w:rsidR="004C17CB" w:rsidRPr="00BD2D35" w:rsidRDefault="004C17CB">
      <w:pPr>
        <w:numPr>
          <w:ilvl w:val="12"/>
          <w:numId w:val="0"/>
        </w:numPr>
        <w:tabs>
          <w:tab w:val="clear" w:pos="567"/>
          <w:tab w:val="left" w:pos="1296"/>
        </w:tabs>
        <w:spacing w:line="240" w:lineRule="auto"/>
        <w:rPr>
          <w:szCs w:val="24"/>
          <w:lang w:val="lt-LT"/>
        </w:rPr>
      </w:pPr>
    </w:p>
    <w:p w14:paraId="02F84D7F" w14:textId="467AB4E9" w:rsidR="004C17CB" w:rsidRPr="00BD2D35" w:rsidRDefault="00C742F6" w:rsidP="00C742F6">
      <w:pPr>
        <w:rPr>
          <w:b/>
          <w:bCs/>
          <w:lang w:val="lt-LT"/>
        </w:rPr>
      </w:pPr>
      <w:proofErr w:type="spellStart"/>
      <w:r w:rsidRPr="00BD2D35">
        <w:rPr>
          <w:b/>
          <w:bCs/>
          <w:lang w:val="lt-LT"/>
        </w:rPr>
        <w:t>Ganirelix</w:t>
      </w:r>
      <w:proofErr w:type="spellEnd"/>
      <w:r w:rsidRPr="00BD2D35">
        <w:rPr>
          <w:b/>
          <w:bCs/>
          <w:lang w:val="lt-LT"/>
        </w:rPr>
        <w:t xml:space="preserve"> </w:t>
      </w:r>
      <w:proofErr w:type="spellStart"/>
      <w:r w:rsidR="004A09A8" w:rsidRPr="00BD2D35">
        <w:rPr>
          <w:b/>
          <w:bCs/>
          <w:lang w:val="lt-LT"/>
        </w:rPr>
        <w:t>Theramex</w:t>
      </w:r>
      <w:proofErr w:type="spellEnd"/>
      <w:r w:rsidRPr="00BD2D35">
        <w:rPr>
          <w:b/>
          <w:bCs/>
          <w:lang w:val="lt-LT"/>
        </w:rPr>
        <w:t xml:space="preserve"> </w:t>
      </w:r>
      <w:r w:rsidR="002C1216" w:rsidRPr="00BD2D35">
        <w:rPr>
          <w:b/>
          <w:bCs/>
          <w:lang w:val="lt-LT"/>
        </w:rPr>
        <w:t>sudėtis</w:t>
      </w:r>
    </w:p>
    <w:p w14:paraId="0AC1A422" w14:textId="3ACF6CAA" w:rsidR="004C17CB" w:rsidRPr="00BD2D35" w:rsidRDefault="002C1216" w:rsidP="00C251E9">
      <w:pPr>
        <w:numPr>
          <w:ilvl w:val="0"/>
          <w:numId w:val="8"/>
        </w:numPr>
        <w:tabs>
          <w:tab w:val="clear" w:pos="567"/>
        </w:tabs>
        <w:spacing w:line="240" w:lineRule="auto"/>
        <w:ind w:left="567" w:right="-2" w:hanging="567"/>
        <w:rPr>
          <w:szCs w:val="24"/>
          <w:lang w:val="lt-LT"/>
        </w:rPr>
      </w:pPr>
      <w:r w:rsidRPr="00BD2D35">
        <w:rPr>
          <w:szCs w:val="24"/>
          <w:lang w:val="lt-LT"/>
        </w:rPr>
        <w:t>Veiklioji medžiaga yra</w:t>
      </w:r>
      <w:r w:rsidRPr="00BD2D35">
        <w:rPr>
          <w:lang w:val="lt-LT"/>
        </w:rPr>
        <w:t xml:space="preserve"> </w:t>
      </w:r>
      <w:proofErr w:type="spellStart"/>
      <w:r w:rsidR="00C742F6" w:rsidRPr="00BD2D35">
        <w:rPr>
          <w:szCs w:val="24"/>
          <w:lang w:val="lt-LT"/>
        </w:rPr>
        <w:t>ganireliksas</w:t>
      </w:r>
      <w:proofErr w:type="spellEnd"/>
      <w:r w:rsidR="00C251E9" w:rsidRPr="00BD2D35">
        <w:rPr>
          <w:szCs w:val="24"/>
          <w:lang w:val="lt-LT"/>
        </w:rPr>
        <w:t xml:space="preserve">. Kiekviename užpildytame švirkšte yra 0,5 ml vandeninio tirpalo, kuriame yra 0,25 mg </w:t>
      </w:r>
      <w:proofErr w:type="spellStart"/>
      <w:r w:rsidR="00C251E9" w:rsidRPr="00BD2D35">
        <w:rPr>
          <w:szCs w:val="24"/>
          <w:lang w:val="lt-LT"/>
        </w:rPr>
        <w:t>ganirelikso</w:t>
      </w:r>
      <w:proofErr w:type="spellEnd"/>
      <w:r w:rsidR="00C251E9" w:rsidRPr="00BD2D35">
        <w:rPr>
          <w:szCs w:val="24"/>
          <w:lang w:val="lt-LT"/>
        </w:rPr>
        <w:t xml:space="preserve"> (acetato </w:t>
      </w:r>
      <w:r w:rsidR="00053AF5" w:rsidRPr="00BD2D35">
        <w:rPr>
          <w:szCs w:val="24"/>
          <w:lang w:val="lt-LT"/>
        </w:rPr>
        <w:t>pavidalu</w:t>
      </w:r>
      <w:r w:rsidR="00C251E9" w:rsidRPr="00BD2D35">
        <w:rPr>
          <w:szCs w:val="24"/>
          <w:lang w:val="lt-LT"/>
        </w:rPr>
        <w:t>).</w:t>
      </w:r>
    </w:p>
    <w:p w14:paraId="48549A58" w14:textId="00D03BD8" w:rsidR="004C17CB" w:rsidRPr="00BD2D35" w:rsidRDefault="002C1216" w:rsidP="00C251E9">
      <w:pPr>
        <w:numPr>
          <w:ilvl w:val="0"/>
          <w:numId w:val="8"/>
        </w:numPr>
        <w:tabs>
          <w:tab w:val="clear" w:pos="567"/>
        </w:tabs>
        <w:spacing w:line="240" w:lineRule="auto"/>
        <w:ind w:left="567" w:right="-2" w:hanging="567"/>
        <w:rPr>
          <w:szCs w:val="24"/>
          <w:lang w:val="lt-LT"/>
        </w:rPr>
      </w:pPr>
      <w:r w:rsidRPr="00BD2D35">
        <w:rPr>
          <w:szCs w:val="24"/>
          <w:lang w:val="lt-LT"/>
        </w:rPr>
        <w:t>Pagalbinės medžiagos</w:t>
      </w:r>
      <w:r w:rsidR="00C742F6" w:rsidRPr="00BD2D35">
        <w:rPr>
          <w:szCs w:val="24"/>
          <w:lang w:val="lt-LT"/>
        </w:rPr>
        <w:t xml:space="preserve"> yra ledinė acto rūgštis, </w:t>
      </w:r>
      <w:proofErr w:type="spellStart"/>
      <w:r w:rsidR="00C742F6" w:rsidRPr="00BD2D35">
        <w:rPr>
          <w:szCs w:val="24"/>
          <w:lang w:val="lt-LT"/>
        </w:rPr>
        <w:t>manitolis</w:t>
      </w:r>
      <w:proofErr w:type="spellEnd"/>
      <w:r w:rsidR="00C742F6" w:rsidRPr="00BD2D35">
        <w:rPr>
          <w:szCs w:val="24"/>
          <w:lang w:val="lt-LT"/>
        </w:rPr>
        <w:t xml:space="preserve"> ir injekcinis vanduo. Tirpalo pH (rūgštingumo matas) koreguoti gal</w:t>
      </w:r>
      <w:r w:rsidR="00053AF5" w:rsidRPr="00BD2D35">
        <w:rPr>
          <w:szCs w:val="24"/>
          <w:lang w:val="lt-LT"/>
        </w:rPr>
        <w:t>ėjo</w:t>
      </w:r>
      <w:r w:rsidR="00C742F6" w:rsidRPr="00BD2D35">
        <w:rPr>
          <w:szCs w:val="24"/>
          <w:lang w:val="lt-LT"/>
        </w:rPr>
        <w:t xml:space="preserve"> būti naudotas natrio hidroksidas </w:t>
      </w:r>
      <w:r w:rsidR="00053AF5" w:rsidRPr="00BD2D35">
        <w:rPr>
          <w:szCs w:val="24"/>
          <w:lang w:val="lt-LT"/>
        </w:rPr>
        <w:t>ir ledinė acto rūgštis</w:t>
      </w:r>
      <w:r w:rsidRPr="00BD2D35">
        <w:rPr>
          <w:szCs w:val="24"/>
          <w:lang w:val="lt-LT"/>
        </w:rPr>
        <w:t>.</w:t>
      </w:r>
    </w:p>
    <w:p w14:paraId="70B1F3F0" w14:textId="77777777" w:rsidR="004C17CB" w:rsidRPr="00BD2D35" w:rsidRDefault="004C17CB">
      <w:pPr>
        <w:tabs>
          <w:tab w:val="clear" w:pos="567"/>
          <w:tab w:val="left" w:pos="1296"/>
        </w:tabs>
        <w:spacing w:line="240" w:lineRule="auto"/>
        <w:ind w:right="-2"/>
        <w:rPr>
          <w:szCs w:val="24"/>
          <w:lang w:val="lt-LT"/>
        </w:rPr>
      </w:pPr>
    </w:p>
    <w:p w14:paraId="75E83373" w14:textId="317BEC2A" w:rsidR="004C17CB" w:rsidRPr="00BD2D35" w:rsidRDefault="00C742F6" w:rsidP="00C742F6">
      <w:pPr>
        <w:rPr>
          <w:b/>
          <w:bCs/>
          <w:lang w:val="lt-LT"/>
        </w:rPr>
      </w:pPr>
      <w:proofErr w:type="spellStart"/>
      <w:r w:rsidRPr="00BD2D35">
        <w:rPr>
          <w:b/>
          <w:bCs/>
          <w:lang w:val="lt-LT"/>
        </w:rPr>
        <w:t>Ganirelix</w:t>
      </w:r>
      <w:proofErr w:type="spellEnd"/>
      <w:r w:rsidRPr="00BD2D35">
        <w:rPr>
          <w:b/>
          <w:bCs/>
          <w:lang w:val="lt-LT"/>
        </w:rPr>
        <w:t xml:space="preserve"> </w:t>
      </w:r>
      <w:proofErr w:type="spellStart"/>
      <w:r w:rsidR="004A09A8" w:rsidRPr="00BD2D35">
        <w:rPr>
          <w:b/>
          <w:bCs/>
          <w:lang w:val="lt-LT"/>
        </w:rPr>
        <w:t>Theramex</w:t>
      </w:r>
      <w:proofErr w:type="spellEnd"/>
      <w:r w:rsidR="002C1216" w:rsidRPr="00BD2D35">
        <w:rPr>
          <w:b/>
          <w:bCs/>
          <w:lang w:val="lt-LT"/>
        </w:rPr>
        <w:t xml:space="preserve"> išvaizda ir kiekis pakuotėje</w:t>
      </w:r>
    </w:p>
    <w:p w14:paraId="680AA6F4" w14:textId="49F45D6D" w:rsidR="004C17CB" w:rsidRPr="00BD2D35" w:rsidRDefault="00053AF5">
      <w:pPr>
        <w:rPr>
          <w:szCs w:val="24"/>
          <w:lang w:val="lt-LT"/>
        </w:rPr>
      </w:pPr>
      <w:proofErr w:type="spellStart"/>
      <w:r w:rsidRPr="00BD2D35">
        <w:rPr>
          <w:szCs w:val="24"/>
          <w:lang w:val="lt-LT"/>
        </w:rPr>
        <w:t>Ganirelix</w:t>
      </w:r>
      <w:proofErr w:type="spellEnd"/>
      <w:r w:rsidRPr="00BD2D35">
        <w:rPr>
          <w:szCs w:val="24"/>
          <w:lang w:val="lt-LT"/>
        </w:rPr>
        <w:t xml:space="preserve"> </w:t>
      </w:r>
      <w:proofErr w:type="spellStart"/>
      <w:r w:rsidRPr="00BD2D35">
        <w:rPr>
          <w:szCs w:val="24"/>
          <w:lang w:val="lt-LT"/>
        </w:rPr>
        <w:t>Theramex</w:t>
      </w:r>
      <w:proofErr w:type="spellEnd"/>
      <w:r w:rsidRPr="00BD2D35">
        <w:rPr>
          <w:szCs w:val="24"/>
          <w:lang w:val="lt-LT"/>
        </w:rPr>
        <w:t xml:space="preserve"> </w:t>
      </w:r>
      <w:r w:rsidR="002C1216" w:rsidRPr="00BD2D35">
        <w:rPr>
          <w:szCs w:val="24"/>
          <w:lang w:val="lt-LT"/>
        </w:rPr>
        <w:t xml:space="preserve">yra </w:t>
      </w:r>
      <w:r w:rsidRPr="00BD2D35">
        <w:rPr>
          <w:szCs w:val="24"/>
          <w:lang w:val="lt-LT"/>
        </w:rPr>
        <w:t>skaidrus ir bespalvis vandeninis injekcinis tirpalas. Tirpalas yra paruoštas vartoti ir skirtas leisti po oda</w:t>
      </w:r>
      <w:r w:rsidR="002C1216" w:rsidRPr="00BD2D35">
        <w:rPr>
          <w:szCs w:val="24"/>
          <w:lang w:val="lt-LT"/>
        </w:rPr>
        <w:t>.</w:t>
      </w:r>
    </w:p>
    <w:p w14:paraId="3EB0FB70" w14:textId="77777777" w:rsidR="00053AF5" w:rsidRPr="00BD2D35" w:rsidRDefault="00053AF5">
      <w:pPr>
        <w:rPr>
          <w:szCs w:val="24"/>
          <w:lang w:val="lt-LT"/>
        </w:rPr>
      </w:pPr>
    </w:p>
    <w:p w14:paraId="6F1F8576" w14:textId="77777777" w:rsidR="00053AF5" w:rsidRPr="00BD2D35" w:rsidRDefault="00053AF5" w:rsidP="00053AF5">
      <w:pPr>
        <w:tabs>
          <w:tab w:val="clear" w:pos="567"/>
          <w:tab w:val="left" w:pos="1296"/>
        </w:tabs>
        <w:spacing w:line="240" w:lineRule="auto"/>
        <w:rPr>
          <w:szCs w:val="24"/>
          <w:lang w:val="lt-LT"/>
        </w:rPr>
      </w:pPr>
      <w:proofErr w:type="spellStart"/>
      <w:r w:rsidRPr="00BD2D35">
        <w:rPr>
          <w:szCs w:val="24"/>
          <w:lang w:val="lt-LT"/>
        </w:rPr>
        <w:t>Ganirelix</w:t>
      </w:r>
      <w:proofErr w:type="spellEnd"/>
      <w:r w:rsidRPr="00BD2D35">
        <w:rPr>
          <w:szCs w:val="24"/>
          <w:lang w:val="lt-LT"/>
        </w:rPr>
        <w:t xml:space="preserve"> </w:t>
      </w:r>
      <w:proofErr w:type="spellStart"/>
      <w:r w:rsidRPr="00BD2D35">
        <w:rPr>
          <w:szCs w:val="24"/>
          <w:lang w:val="lt-LT"/>
        </w:rPr>
        <w:t>Theramex</w:t>
      </w:r>
      <w:proofErr w:type="spellEnd"/>
      <w:r w:rsidRPr="00BD2D35">
        <w:rPr>
          <w:szCs w:val="24"/>
          <w:lang w:val="lt-LT"/>
        </w:rPr>
        <w:t xml:space="preserve"> tiekiamas pakuotėmis po 1 arba 5 užpildytus švirkštus su injekcinėmis adatomis (27 G), kaip nurodyta toliau: </w:t>
      </w:r>
    </w:p>
    <w:p w14:paraId="59E9051A" w14:textId="042734C1" w:rsidR="00053AF5" w:rsidRPr="00BD2D35" w:rsidRDefault="00053AF5" w:rsidP="00053AF5">
      <w:pPr>
        <w:pStyle w:val="Sraopastraipa"/>
        <w:numPr>
          <w:ilvl w:val="0"/>
          <w:numId w:val="17"/>
        </w:numPr>
        <w:tabs>
          <w:tab w:val="clear" w:pos="567"/>
          <w:tab w:val="left" w:pos="1296"/>
        </w:tabs>
        <w:spacing w:line="240" w:lineRule="auto"/>
        <w:rPr>
          <w:szCs w:val="24"/>
          <w:lang w:val="lt-LT"/>
        </w:rPr>
      </w:pPr>
      <w:r w:rsidRPr="00BD2D35">
        <w:rPr>
          <w:szCs w:val="24"/>
          <w:lang w:val="lt-LT"/>
        </w:rPr>
        <w:t>1 užpildytas švirkštas;</w:t>
      </w:r>
    </w:p>
    <w:p w14:paraId="5B7596BA" w14:textId="77777777" w:rsidR="00053AF5" w:rsidRPr="00BD2D35" w:rsidRDefault="00053AF5" w:rsidP="00053AF5">
      <w:pPr>
        <w:pStyle w:val="Sraopastraipa"/>
        <w:numPr>
          <w:ilvl w:val="0"/>
          <w:numId w:val="17"/>
        </w:numPr>
        <w:tabs>
          <w:tab w:val="clear" w:pos="567"/>
          <w:tab w:val="left" w:pos="1296"/>
        </w:tabs>
        <w:spacing w:line="240" w:lineRule="auto"/>
        <w:rPr>
          <w:szCs w:val="24"/>
          <w:lang w:val="lt-LT"/>
        </w:rPr>
      </w:pPr>
      <w:r w:rsidRPr="00BD2D35">
        <w:rPr>
          <w:szCs w:val="24"/>
          <w:lang w:val="lt-LT"/>
        </w:rPr>
        <w:t>5 užpildyti švirkštai.</w:t>
      </w:r>
    </w:p>
    <w:p w14:paraId="3DA41FB6" w14:textId="0613FDC7" w:rsidR="004C17CB" w:rsidRPr="00BD2D35" w:rsidRDefault="004C17CB">
      <w:pPr>
        <w:rPr>
          <w:szCs w:val="24"/>
          <w:lang w:val="lt-LT"/>
        </w:rPr>
      </w:pPr>
    </w:p>
    <w:p w14:paraId="47FB780F" w14:textId="2C9379EE" w:rsidR="00C742F6" w:rsidRPr="00BD2D35" w:rsidRDefault="00C742F6" w:rsidP="00C742F6">
      <w:pPr>
        <w:rPr>
          <w:rFonts w:eastAsiaTheme="minorHAnsi"/>
          <w:color w:val="000000"/>
          <w:szCs w:val="22"/>
          <w:lang w:val="lt-LT" w:bidi="bn-BD"/>
        </w:rPr>
      </w:pPr>
      <w:r w:rsidRPr="00BD2D35">
        <w:rPr>
          <w:rFonts w:eastAsiaTheme="minorHAnsi"/>
          <w:color w:val="000000"/>
          <w:szCs w:val="22"/>
          <w:lang w:val="lt-LT" w:bidi="bn-BD"/>
        </w:rPr>
        <w:t>Gali būti tiekiamos ne visų dydžių pakuotės.</w:t>
      </w:r>
    </w:p>
    <w:p w14:paraId="30B97B8D" w14:textId="77777777" w:rsidR="00C742F6" w:rsidRPr="00BD2D35" w:rsidRDefault="00C742F6" w:rsidP="00C742F6">
      <w:pPr>
        <w:rPr>
          <w:szCs w:val="24"/>
          <w:lang w:val="lt-LT"/>
        </w:rPr>
      </w:pPr>
    </w:p>
    <w:p w14:paraId="5C61608F" w14:textId="77777777" w:rsidR="004C17CB" w:rsidRPr="00BD2D35" w:rsidRDefault="002C1216">
      <w:pPr>
        <w:pStyle w:val="Antrat4"/>
        <w:rPr>
          <w:rFonts w:ascii="Times New Roman" w:hAnsi="Times New Roman"/>
          <w:sz w:val="22"/>
          <w:lang w:val="lt-LT"/>
        </w:rPr>
      </w:pPr>
      <w:r w:rsidRPr="00BD2D35">
        <w:rPr>
          <w:rFonts w:ascii="Times New Roman" w:hAnsi="Times New Roman"/>
          <w:sz w:val="22"/>
          <w:lang w:val="lt-LT"/>
        </w:rPr>
        <w:t>Registruotojas ir gamintojas</w:t>
      </w:r>
    </w:p>
    <w:p w14:paraId="1EC226D1" w14:textId="77777777" w:rsidR="004C17CB" w:rsidRPr="00BD2D35" w:rsidRDefault="004C17CB">
      <w:pPr>
        <w:numPr>
          <w:ilvl w:val="12"/>
          <w:numId w:val="0"/>
        </w:numPr>
        <w:tabs>
          <w:tab w:val="clear" w:pos="567"/>
          <w:tab w:val="left" w:pos="1296"/>
        </w:tabs>
        <w:spacing w:line="240" w:lineRule="auto"/>
        <w:ind w:right="-2"/>
        <w:rPr>
          <w:szCs w:val="24"/>
          <w:lang w:val="lt-LT"/>
        </w:rPr>
      </w:pPr>
    </w:p>
    <w:p w14:paraId="1957E3BD" w14:textId="77777777" w:rsidR="004C17CB" w:rsidRPr="00BD2D35" w:rsidRDefault="002C1216">
      <w:pPr>
        <w:numPr>
          <w:ilvl w:val="12"/>
          <w:numId w:val="0"/>
        </w:numPr>
        <w:tabs>
          <w:tab w:val="clear" w:pos="567"/>
          <w:tab w:val="left" w:pos="1296"/>
        </w:tabs>
        <w:spacing w:line="240" w:lineRule="auto"/>
        <w:ind w:right="-2"/>
        <w:rPr>
          <w:b/>
          <w:bCs/>
          <w:szCs w:val="24"/>
          <w:lang w:val="lt-LT"/>
        </w:rPr>
      </w:pPr>
      <w:r w:rsidRPr="00BD2D35">
        <w:rPr>
          <w:b/>
          <w:bCs/>
          <w:lang w:val="lt-LT"/>
        </w:rPr>
        <w:lastRenderedPageBreak/>
        <w:t>Registruotojas</w:t>
      </w:r>
    </w:p>
    <w:p w14:paraId="12A8B395" w14:textId="77777777" w:rsidR="004A09A8" w:rsidRPr="00BD2D35" w:rsidRDefault="004A09A8" w:rsidP="004A09A8">
      <w:pPr>
        <w:tabs>
          <w:tab w:val="clear" w:pos="567"/>
        </w:tabs>
        <w:spacing w:line="240" w:lineRule="auto"/>
        <w:rPr>
          <w:lang w:val="lt-LT"/>
        </w:rPr>
      </w:pPr>
      <w:proofErr w:type="spellStart"/>
      <w:r w:rsidRPr="00BD2D35">
        <w:rPr>
          <w:lang w:val="lt-LT"/>
        </w:rPr>
        <w:t>Theramex</w:t>
      </w:r>
      <w:proofErr w:type="spellEnd"/>
      <w:r w:rsidRPr="00BD2D35">
        <w:rPr>
          <w:lang w:val="lt-LT"/>
        </w:rPr>
        <w:t xml:space="preserve"> </w:t>
      </w:r>
      <w:proofErr w:type="spellStart"/>
      <w:r w:rsidRPr="00BD2D35">
        <w:rPr>
          <w:lang w:val="lt-LT"/>
        </w:rPr>
        <w:t>Ireland</w:t>
      </w:r>
      <w:proofErr w:type="spellEnd"/>
      <w:r w:rsidRPr="00BD2D35">
        <w:rPr>
          <w:lang w:val="lt-LT"/>
        </w:rPr>
        <w:t xml:space="preserve"> </w:t>
      </w:r>
      <w:proofErr w:type="spellStart"/>
      <w:r w:rsidRPr="00BD2D35">
        <w:rPr>
          <w:lang w:val="lt-LT"/>
        </w:rPr>
        <w:t>Ltd</w:t>
      </w:r>
      <w:proofErr w:type="spellEnd"/>
    </w:p>
    <w:p w14:paraId="6CFE1845" w14:textId="77777777" w:rsidR="004A09A8" w:rsidRPr="00BD2D35" w:rsidRDefault="004A09A8" w:rsidP="004A09A8">
      <w:pPr>
        <w:tabs>
          <w:tab w:val="clear" w:pos="567"/>
        </w:tabs>
        <w:spacing w:line="240" w:lineRule="auto"/>
        <w:rPr>
          <w:lang w:val="lt-LT"/>
        </w:rPr>
      </w:pPr>
      <w:r w:rsidRPr="00BD2D35">
        <w:rPr>
          <w:lang w:val="lt-LT"/>
        </w:rPr>
        <w:t xml:space="preserve">3rd </w:t>
      </w:r>
      <w:proofErr w:type="spellStart"/>
      <w:r w:rsidRPr="00BD2D35">
        <w:rPr>
          <w:lang w:val="lt-LT"/>
        </w:rPr>
        <w:t>Floor</w:t>
      </w:r>
      <w:proofErr w:type="spellEnd"/>
      <w:r w:rsidRPr="00BD2D35">
        <w:rPr>
          <w:lang w:val="lt-LT"/>
        </w:rPr>
        <w:t xml:space="preserve">, </w:t>
      </w:r>
      <w:proofErr w:type="spellStart"/>
      <w:r w:rsidRPr="00BD2D35">
        <w:rPr>
          <w:lang w:val="lt-LT"/>
        </w:rPr>
        <w:t>Kilmore</w:t>
      </w:r>
      <w:proofErr w:type="spellEnd"/>
      <w:r w:rsidRPr="00BD2D35">
        <w:rPr>
          <w:lang w:val="lt-LT"/>
        </w:rPr>
        <w:t xml:space="preserve"> </w:t>
      </w:r>
      <w:proofErr w:type="spellStart"/>
      <w:r w:rsidRPr="00BD2D35">
        <w:rPr>
          <w:lang w:val="lt-LT"/>
        </w:rPr>
        <w:t>House</w:t>
      </w:r>
      <w:proofErr w:type="spellEnd"/>
      <w:r w:rsidRPr="00BD2D35">
        <w:rPr>
          <w:lang w:val="lt-LT"/>
        </w:rPr>
        <w:t>,</w:t>
      </w:r>
    </w:p>
    <w:p w14:paraId="6AF5F14C" w14:textId="77777777" w:rsidR="004A09A8" w:rsidRPr="00BD2D35" w:rsidRDefault="004A09A8" w:rsidP="004A09A8">
      <w:pPr>
        <w:tabs>
          <w:tab w:val="clear" w:pos="567"/>
        </w:tabs>
        <w:spacing w:line="240" w:lineRule="auto"/>
        <w:rPr>
          <w:lang w:val="lt-LT"/>
        </w:rPr>
      </w:pPr>
      <w:proofErr w:type="spellStart"/>
      <w:r w:rsidRPr="00BD2D35">
        <w:rPr>
          <w:lang w:val="lt-LT"/>
        </w:rPr>
        <w:t>Park</w:t>
      </w:r>
      <w:proofErr w:type="spellEnd"/>
      <w:r w:rsidRPr="00BD2D35">
        <w:rPr>
          <w:lang w:val="lt-LT"/>
        </w:rPr>
        <w:t xml:space="preserve"> Lane, </w:t>
      </w:r>
      <w:proofErr w:type="spellStart"/>
      <w:r w:rsidRPr="00BD2D35">
        <w:rPr>
          <w:lang w:val="lt-LT"/>
        </w:rPr>
        <w:t>Spencer</w:t>
      </w:r>
      <w:proofErr w:type="spellEnd"/>
      <w:r w:rsidRPr="00BD2D35">
        <w:rPr>
          <w:lang w:val="lt-LT"/>
        </w:rPr>
        <w:t xml:space="preserve"> </w:t>
      </w:r>
      <w:proofErr w:type="spellStart"/>
      <w:r w:rsidRPr="00BD2D35">
        <w:rPr>
          <w:lang w:val="lt-LT"/>
        </w:rPr>
        <w:t>Dock</w:t>
      </w:r>
      <w:proofErr w:type="spellEnd"/>
      <w:r w:rsidRPr="00BD2D35">
        <w:rPr>
          <w:lang w:val="lt-LT"/>
        </w:rPr>
        <w:t xml:space="preserve">, </w:t>
      </w:r>
    </w:p>
    <w:p w14:paraId="7836CF8A" w14:textId="77777777" w:rsidR="004A09A8" w:rsidRPr="00BD2D35" w:rsidRDefault="004A09A8" w:rsidP="004A09A8">
      <w:pPr>
        <w:tabs>
          <w:tab w:val="clear" w:pos="567"/>
        </w:tabs>
        <w:spacing w:line="240" w:lineRule="auto"/>
        <w:rPr>
          <w:lang w:val="lt-LT"/>
        </w:rPr>
      </w:pPr>
      <w:r w:rsidRPr="00BD2D35">
        <w:rPr>
          <w:lang w:val="lt-LT"/>
        </w:rPr>
        <w:t>Dublin 1</w:t>
      </w:r>
    </w:p>
    <w:p w14:paraId="69C4E6BA" w14:textId="77777777" w:rsidR="004A09A8" w:rsidRPr="00BD2D35" w:rsidRDefault="004A09A8" w:rsidP="004A09A8">
      <w:pPr>
        <w:tabs>
          <w:tab w:val="clear" w:pos="567"/>
        </w:tabs>
        <w:spacing w:line="240" w:lineRule="auto"/>
        <w:rPr>
          <w:lang w:val="lt-LT"/>
        </w:rPr>
      </w:pPr>
      <w:r w:rsidRPr="00BD2D35">
        <w:rPr>
          <w:lang w:val="lt-LT"/>
        </w:rPr>
        <w:t xml:space="preserve">D01 YE64 </w:t>
      </w:r>
    </w:p>
    <w:p w14:paraId="41D468AD" w14:textId="77777777" w:rsidR="004A09A8" w:rsidRPr="00BD2D35" w:rsidRDefault="004A09A8" w:rsidP="004A09A8">
      <w:pPr>
        <w:autoSpaceDE w:val="0"/>
        <w:autoSpaceDN w:val="0"/>
        <w:adjustRightInd w:val="0"/>
        <w:spacing w:line="240" w:lineRule="auto"/>
        <w:rPr>
          <w:lang w:val="lt-LT"/>
        </w:rPr>
      </w:pPr>
      <w:r w:rsidRPr="00BD2D35">
        <w:rPr>
          <w:lang w:val="lt-LT"/>
        </w:rPr>
        <w:t>Airija</w:t>
      </w:r>
    </w:p>
    <w:p w14:paraId="510148F7" w14:textId="77777777" w:rsidR="004C17CB" w:rsidRPr="00BD2D35" w:rsidRDefault="004C17CB">
      <w:pPr>
        <w:numPr>
          <w:ilvl w:val="12"/>
          <w:numId w:val="0"/>
        </w:numPr>
        <w:tabs>
          <w:tab w:val="clear" w:pos="567"/>
          <w:tab w:val="left" w:pos="1296"/>
        </w:tabs>
        <w:spacing w:line="240" w:lineRule="auto"/>
        <w:ind w:right="-2"/>
        <w:rPr>
          <w:szCs w:val="24"/>
          <w:lang w:val="lt-LT"/>
        </w:rPr>
      </w:pPr>
    </w:p>
    <w:p w14:paraId="3958FEFA" w14:textId="77777777" w:rsidR="004C17CB" w:rsidRPr="00BD2D35" w:rsidRDefault="002C1216">
      <w:pPr>
        <w:numPr>
          <w:ilvl w:val="12"/>
          <w:numId w:val="0"/>
        </w:numPr>
        <w:tabs>
          <w:tab w:val="clear" w:pos="567"/>
          <w:tab w:val="left" w:pos="1296"/>
        </w:tabs>
        <w:spacing w:line="240" w:lineRule="auto"/>
        <w:ind w:right="-2"/>
        <w:rPr>
          <w:b/>
          <w:bCs/>
          <w:szCs w:val="24"/>
          <w:lang w:val="lt-LT"/>
        </w:rPr>
      </w:pPr>
      <w:r w:rsidRPr="00BD2D35">
        <w:rPr>
          <w:b/>
          <w:bCs/>
          <w:szCs w:val="24"/>
          <w:lang w:val="lt-LT"/>
        </w:rPr>
        <w:t>Gamintojas</w:t>
      </w:r>
    </w:p>
    <w:p w14:paraId="0DDB9FE9" w14:textId="77777777" w:rsidR="004A09A8" w:rsidRPr="00BD2D35" w:rsidRDefault="004A09A8" w:rsidP="004A09A8">
      <w:pPr>
        <w:rPr>
          <w:szCs w:val="24"/>
          <w:lang w:val="lt-LT"/>
        </w:rPr>
      </w:pPr>
      <w:proofErr w:type="spellStart"/>
      <w:r w:rsidRPr="00BD2D35">
        <w:rPr>
          <w:szCs w:val="24"/>
          <w:lang w:val="lt-LT"/>
        </w:rPr>
        <w:t>Gp-Pharm</w:t>
      </w:r>
      <w:proofErr w:type="spellEnd"/>
      <w:r w:rsidRPr="00BD2D35">
        <w:rPr>
          <w:szCs w:val="24"/>
          <w:lang w:val="lt-LT"/>
        </w:rPr>
        <w:t xml:space="preserve"> S.A.</w:t>
      </w:r>
    </w:p>
    <w:p w14:paraId="3D927234" w14:textId="77777777" w:rsidR="004A09A8" w:rsidRPr="00BD2D35" w:rsidRDefault="004A09A8" w:rsidP="004A09A8">
      <w:pPr>
        <w:rPr>
          <w:szCs w:val="24"/>
          <w:lang w:val="lt-LT"/>
        </w:rPr>
      </w:pPr>
      <w:proofErr w:type="spellStart"/>
      <w:r w:rsidRPr="00BD2D35">
        <w:rPr>
          <w:szCs w:val="24"/>
          <w:lang w:val="lt-LT"/>
        </w:rPr>
        <w:t>Placa</w:t>
      </w:r>
      <w:proofErr w:type="spellEnd"/>
      <w:r w:rsidRPr="00BD2D35">
        <w:rPr>
          <w:szCs w:val="24"/>
          <w:lang w:val="lt-LT"/>
        </w:rPr>
        <w:t xml:space="preserve"> Europa 9-11, Planta 13</w:t>
      </w:r>
    </w:p>
    <w:p w14:paraId="36341673" w14:textId="77777777" w:rsidR="004A09A8" w:rsidRPr="00BD2D35" w:rsidRDefault="004A09A8" w:rsidP="004A09A8">
      <w:pPr>
        <w:rPr>
          <w:szCs w:val="24"/>
          <w:lang w:val="lt-LT"/>
        </w:rPr>
      </w:pPr>
      <w:r w:rsidRPr="00BD2D35">
        <w:rPr>
          <w:szCs w:val="24"/>
          <w:lang w:val="lt-LT"/>
        </w:rPr>
        <w:t xml:space="preserve">08908 </w:t>
      </w:r>
      <w:proofErr w:type="spellStart"/>
      <w:r w:rsidRPr="00BD2D35">
        <w:rPr>
          <w:szCs w:val="24"/>
          <w:lang w:val="lt-LT"/>
        </w:rPr>
        <w:t>L'Hospitalet</w:t>
      </w:r>
      <w:proofErr w:type="spellEnd"/>
      <w:r w:rsidRPr="00BD2D35">
        <w:rPr>
          <w:szCs w:val="24"/>
          <w:lang w:val="lt-LT"/>
        </w:rPr>
        <w:t xml:space="preserve"> De </w:t>
      </w:r>
      <w:proofErr w:type="spellStart"/>
      <w:r w:rsidRPr="00BD2D35">
        <w:rPr>
          <w:szCs w:val="24"/>
          <w:lang w:val="lt-LT"/>
        </w:rPr>
        <w:t>Llobregat</w:t>
      </w:r>
      <w:proofErr w:type="spellEnd"/>
    </w:p>
    <w:p w14:paraId="074E004A" w14:textId="77777777" w:rsidR="004A09A8" w:rsidRPr="00BD2D35" w:rsidRDefault="004A09A8" w:rsidP="004A09A8">
      <w:pPr>
        <w:rPr>
          <w:szCs w:val="24"/>
          <w:lang w:val="lt-LT"/>
        </w:rPr>
      </w:pPr>
      <w:proofErr w:type="spellStart"/>
      <w:r w:rsidRPr="00BD2D35">
        <w:rPr>
          <w:szCs w:val="24"/>
          <w:lang w:val="lt-LT"/>
        </w:rPr>
        <w:t>Barcelona</w:t>
      </w:r>
      <w:proofErr w:type="spellEnd"/>
    </w:p>
    <w:p w14:paraId="566DC76F" w14:textId="77777777" w:rsidR="004A09A8" w:rsidRPr="00BD2D35" w:rsidRDefault="004A09A8" w:rsidP="004A09A8">
      <w:pPr>
        <w:rPr>
          <w:szCs w:val="24"/>
          <w:lang w:val="lt-LT"/>
        </w:rPr>
      </w:pPr>
      <w:r w:rsidRPr="00BD2D35">
        <w:rPr>
          <w:szCs w:val="24"/>
          <w:lang w:val="lt-LT"/>
        </w:rPr>
        <w:t>Ispanija</w:t>
      </w:r>
    </w:p>
    <w:p w14:paraId="4CF25567" w14:textId="73B60C0C" w:rsidR="004C17CB" w:rsidRPr="00BD2D35" w:rsidRDefault="004C17CB">
      <w:pPr>
        <w:numPr>
          <w:ilvl w:val="12"/>
          <w:numId w:val="0"/>
        </w:numPr>
        <w:tabs>
          <w:tab w:val="clear" w:pos="567"/>
          <w:tab w:val="left" w:pos="1296"/>
        </w:tabs>
        <w:spacing w:line="240" w:lineRule="auto"/>
        <w:ind w:right="-2"/>
        <w:rPr>
          <w:szCs w:val="24"/>
          <w:lang w:val="lt-LT"/>
        </w:rPr>
      </w:pPr>
    </w:p>
    <w:p w14:paraId="29F92830" w14:textId="7315336E" w:rsidR="00C742F6" w:rsidRPr="00BD2D35" w:rsidRDefault="00C742F6">
      <w:pPr>
        <w:numPr>
          <w:ilvl w:val="12"/>
          <w:numId w:val="0"/>
        </w:numPr>
        <w:tabs>
          <w:tab w:val="clear" w:pos="567"/>
          <w:tab w:val="left" w:pos="1296"/>
        </w:tabs>
        <w:spacing w:line="240" w:lineRule="auto"/>
        <w:ind w:right="-2"/>
        <w:rPr>
          <w:b/>
          <w:lang w:val="lt-LT"/>
        </w:rPr>
      </w:pPr>
      <w:r w:rsidRPr="00BD2D35">
        <w:rPr>
          <w:b/>
          <w:lang w:val="lt-LT"/>
        </w:rPr>
        <w:t>Šis vaistas Europos ekonominės erdvės valstybėse narėse registruotas tokiais pavadinimais:</w:t>
      </w:r>
    </w:p>
    <w:p w14:paraId="4FEB323E" w14:textId="77777777" w:rsidR="00C742F6" w:rsidRPr="00BD2D35" w:rsidRDefault="00C742F6">
      <w:pPr>
        <w:numPr>
          <w:ilvl w:val="12"/>
          <w:numId w:val="0"/>
        </w:numPr>
        <w:tabs>
          <w:tab w:val="clear" w:pos="567"/>
          <w:tab w:val="left" w:pos="1296"/>
        </w:tabs>
        <w:spacing w:line="240" w:lineRule="auto"/>
        <w:ind w:right="-2"/>
        <w:rPr>
          <w:b/>
          <w:lang w:val="lt-LT"/>
        </w:rPr>
      </w:pPr>
    </w:p>
    <w:tbl>
      <w:tblPr>
        <w:tblStyle w:val="Lentelstinklelis"/>
        <w:tblW w:w="0" w:type="auto"/>
        <w:tblLook w:val="04A0" w:firstRow="1" w:lastRow="0" w:firstColumn="1" w:lastColumn="0" w:noHBand="0" w:noVBand="1"/>
      </w:tblPr>
      <w:tblGrid>
        <w:gridCol w:w="1696"/>
        <w:gridCol w:w="7364"/>
      </w:tblGrid>
      <w:tr w:rsidR="00C742F6" w:rsidRPr="00BD2D35" w14:paraId="385F52EA" w14:textId="77777777" w:rsidTr="004A09A8">
        <w:tc>
          <w:tcPr>
            <w:tcW w:w="1696" w:type="dxa"/>
          </w:tcPr>
          <w:p w14:paraId="3310E236" w14:textId="2C4551CA" w:rsidR="00C742F6" w:rsidRPr="00BD2D35" w:rsidRDefault="00C742F6">
            <w:pPr>
              <w:numPr>
                <w:ilvl w:val="12"/>
                <w:numId w:val="0"/>
              </w:numPr>
              <w:tabs>
                <w:tab w:val="clear" w:pos="567"/>
                <w:tab w:val="left" w:pos="1296"/>
              </w:tabs>
              <w:spacing w:line="240" w:lineRule="auto"/>
              <w:ind w:right="-2"/>
              <w:rPr>
                <w:b/>
                <w:bCs/>
                <w:szCs w:val="24"/>
                <w:lang w:val="lt-LT"/>
              </w:rPr>
            </w:pPr>
            <w:r w:rsidRPr="00BD2D35">
              <w:rPr>
                <w:b/>
                <w:bCs/>
                <w:lang w:val="lt-LT"/>
              </w:rPr>
              <w:t>Valstybės narės pavadinimas</w:t>
            </w:r>
          </w:p>
        </w:tc>
        <w:tc>
          <w:tcPr>
            <w:tcW w:w="7364" w:type="dxa"/>
          </w:tcPr>
          <w:p w14:paraId="29C2FC8C" w14:textId="3103E72D" w:rsidR="00C742F6" w:rsidRPr="00BD2D35" w:rsidRDefault="00C742F6">
            <w:pPr>
              <w:numPr>
                <w:ilvl w:val="12"/>
                <w:numId w:val="0"/>
              </w:numPr>
              <w:tabs>
                <w:tab w:val="clear" w:pos="567"/>
                <w:tab w:val="left" w:pos="1296"/>
              </w:tabs>
              <w:spacing w:line="240" w:lineRule="auto"/>
              <w:ind w:right="-2"/>
              <w:rPr>
                <w:b/>
                <w:bCs/>
                <w:szCs w:val="24"/>
                <w:lang w:val="lt-LT"/>
              </w:rPr>
            </w:pPr>
            <w:r w:rsidRPr="00BD2D35">
              <w:rPr>
                <w:b/>
                <w:bCs/>
                <w:lang w:val="lt-LT"/>
              </w:rPr>
              <w:t>Vaisto pavadinimas</w:t>
            </w:r>
          </w:p>
        </w:tc>
      </w:tr>
      <w:tr w:rsidR="00C742F6" w:rsidRPr="00BD2D35" w14:paraId="0CE97FBD" w14:textId="77777777" w:rsidTr="004A09A8">
        <w:tc>
          <w:tcPr>
            <w:tcW w:w="1696" w:type="dxa"/>
          </w:tcPr>
          <w:p w14:paraId="68DA6A87" w14:textId="136F7744" w:rsidR="00C742F6" w:rsidRPr="00BD2D35" w:rsidRDefault="00C742F6">
            <w:pPr>
              <w:numPr>
                <w:ilvl w:val="12"/>
                <w:numId w:val="0"/>
              </w:numPr>
              <w:tabs>
                <w:tab w:val="clear" w:pos="567"/>
                <w:tab w:val="left" w:pos="1296"/>
              </w:tabs>
              <w:spacing w:line="240" w:lineRule="auto"/>
              <w:ind w:right="-2"/>
              <w:rPr>
                <w:lang w:val="lt-LT"/>
              </w:rPr>
            </w:pPr>
            <w:r w:rsidRPr="00BD2D35">
              <w:rPr>
                <w:lang w:val="lt-LT"/>
              </w:rPr>
              <w:t>Austrija</w:t>
            </w:r>
          </w:p>
        </w:tc>
        <w:tc>
          <w:tcPr>
            <w:tcW w:w="7364" w:type="dxa"/>
          </w:tcPr>
          <w:p w14:paraId="1E35B18F" w14:textId="127800EC" w:rsidR="00C742F6" w:rsidRPr="00BD2D35" w:rsidRDefault="00C742F6">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mg/0,5 ml </w:t>
            </w:r>
            <w:proofErr w:type="spellStart"/>
            <w:r w:rsidRPr="00BD2D35">
              <w:rPr>
                <w:lang w:val="lt-LT"/>
              </w:rPr>
              <w:t>Injektionslösung</w:t>
            </w:r>
            <w:proofErr w:type="spellEnd"/>
            <w:r w:rsidRPr="00BD2D35">
              <w:rPr>
                <w:lang w:val="lt-LT"/>
              </w:rPr>
              <w:t xml:space="preserve"> </w:t>
            </w:r>
            <w:proofErr w:type="spellStart"/>
            <w:r w:rsidRPr="00BD2D35">
              <w:rPr>
                <w:lang w:val="lt-LT"/>
              </w:rPr>
              <w:t>in</w:t>
            </w:r>
            <w:proofErr w:type="spellEnd"/>
            <w:r w:rsidRPr="00BD2D35">
              <w:rPr>
                <w:lang w:val="lt-LT"/>
              </w:rPr>
              <w:t xml:space="preserve"> </w:t>
            </w:r>
            <w:proofErr w:type="spellStart"/>
            <w:r w:rsidRPr="00BD2D35">
              <w:rPr>
                <w:lang w:val="lt-LT"/>
              </w:rPr>
              <w:t>einer</w:t>
            </w:r>
            <w:proofErr w:type="spellEnd"/>
            <w:r w:rsidRPr="00BD2D35">
              <w:rPr>
                <w:lang w:val="lt-LT"/>
              </w:rPr>
              <w:t xml:space="preserve"> </w:t>
            </w:r>
            <w:proofErr w:type="spellStart"/>
            <w:r w:rsidRPr="00BD2D35">
              <w:rPr>
                <w:lang w:val="lt-LT"/>
              </w:rPr>
              <w:t>Fertigspritze</w:t>
            </w:r>
            <w:proofErr w:type="spellEnd"/>
          </w:p>
        </w:tc>
      </w:tr>
      <w:tr w:rsidR="00C742F6" w:rsidRPr="00A74C5A" w14:paraId="502CD577" w14:textId="77777777" w:rsidTr="004A09A8">
        <w:tc>
          <w:tcPr>
            <w:tcW w:w="1696" w:type="dxa"/>
          </w:tcPr>
          <w:p w14:paraId="59DE8ECF" w14:textId="65BBAA94" w:rsidR="00C742F6" w:rsidRPr="00BD2D35" w:rsidRDefault="00C742F6">
            <w:pPr>
              <w:numPr>
                <w:ilvl w:val="12"/>
                <w:numId w:val="0"/>
              </w:numPr>
              <w:tabs>
                <w:tab w:val="clear" w:pos="567"/>
                <w:tab w:val="left" w:pos="1296"/>
              </w:tabs>
              <w:spacing w:line="240" w:lineRule="auto"/>
              <w:ind w:right="-2"/>
              <w:rPr>
                <w:lang w:val="lt-LT"/>
              </w:rPr>
            </w:pPr>
            <w:r w:rsidRPr="00BD2D35">
              <w:rPr>
                <w:lang w:val="lt-LT"/>
              </w:rPr>
              <w:t>Bulgarija</w:t>
            </w:r>
          </w:p>
        </w:tc>
        <w:tc>
          <w:tcPr>
            <w:tcW w:w="7364" w:type="dxa"/>
          </w:tcPr>
          <w:p w14:paraId="4A1985BF" w14:textId="4ABFD651" w:rsidR="00C742F6" w:rsidRPr="00BD2D35" w:rsidRDefault="00C742F6">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Инжекционен</w:t>
            </w:r>
            <w:proofErr w:type="spellEnd"/>
            <w:r w:rsidRPr="00BD2D35">
              <w:rPr>
                <w:lang w:val="lt-LT"/>
              </w:rPr>
              <w:t xml:space="preserve"> </w:t>
            </w:r>
            <w:proofErr w:type="spellStart"/>
            <w:r w:rsidRPr="00BD2D35">
              <w:rPr>
                <w:lang w:val="lt-LT"/>
              </w:rPr>
              <w:t>разтвор</w:t>
            </w:r>
            <w:proofErr w:type="spellEnd"/>
            <w:r w:rsidRPr="00BD2D35">
              <w:rPr>
                <w:lang w:val="lt-LT"/>
              </w:rPr>
              <w:t xml:space="preserve"> в </w:t>
            </w:r>
            <w:proofErr w:type="spellStart"/>
            <w:r w:rsidRPr="00BD2D35">
              <w:rPr>
                <w:lang w:val="lt-LT"/>
              </w:rPr>
              <w:t>предварително</w:t>
            </w:r>
            <w:proofErr w:type="spellEnd"/>
            <w:r w:rsidRPr="00BD2D35">
              <w:rPr>
                <w:lang w:val="lt-LT"/>
              </w:rPr>
              <w:t xml:space="preserve"> </w:t>
            </w:r>
            <w:proofErr w:type="spellStart"/>
            <w:r w:rsidRPr="00BD2D35">
              <w:rPr>
                <w:lang w:val="lt-LT"/>
              </w:rPr>
              <w:t>напълнена</w:t>
            </w:r>
            <w:proofErr w:type="spellEnd"/>
            <w:r w:rsidRPr="00BD2D35">
              <w:rPr>
                <w:lang w:val="lt-LT"/>
              </w:rPr>
              <w:t xml:space="preserve"> </w:t>
            </w:r>
            <w:proofErr w:type="spellStart"/>
            <w:r w:rsidRPr="00BD2D35">
              <w:rPr>
                <w:lang w:val="lt-LT"/>
              </w:rPr>
              <w:t>спринцовка</w:t>
            </w:r>
            <w:proofErr w:type="spellEnd"/>
          </w:p>
        </w:tc>
      </w:tr>
      <w:tr w:rsidR="00C742F6" w:rsidRPr="00BD2D35" w14:paraId="69ACB614" w14:textId="77777777" w:rsidTr="004A09A8">
        <w:tc>
          <w:tcPr>
            <w:tcW w:w="1696" w:type="dxa"/>
          </w:tcPr>
          <w:p w14:paraId="525FC909" w14:textId="4E4630C5" w:rsidR="00C742F6" w:rsidRPr="00BD2D35" w:rsidRDefault="00C742F6">
            <w:pPr>
              <w:numPr>
                <w:ilvl w:val="12"/>
                <w:numId w:val="0"/>
              </w:numPr>
              <w:tabs>
                <w:tab w:val="clear" w:pos="567"/>
                <w:tab w:val="left" w:pos="1296"/>
              </w:tabs>
              <w:spacing w:line="240" w:lineRule="auto"/>
              <w:ind w:right="-2"/>
              <w:rPr>
                <w:lang w:val="lt-LT"/>
              </w:rPr>
            </w:pPr>
            <w:r w:rsidRPr="00BD2D35">
              <w:rPr>
                <w:lang w:val="lt-LT"/>
              </w:rPr>
              <w:t>Vokietija</w:t>
            </w:r>
          </w:p>
        </w:tc>
        <w:tc>
          <w:tcPr>
            <w:tcW w:w="7364" w:type="dxa"/>
          </w:tcPr>
          <w:p w14:paraId="3FB04DFD" w14:textId="7D7E1516" w:rsidR="00C742F6" w:rsidRPr="00BD2D35" w:rsidRDefault="00C742F6">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Injektionslösung</w:t>
            </w:r>
            <w:proofErr w:type="spellEnd"/>
            <w:r w:rsidRPr="00BD2D35">
              <w:rPr>
                <w:lang w:val="lt-LT"/>
              </w:rPr>
              <w:t xml:space="preserve"> </w:t>
            </w:r>
            <w:proofErr w:type="spellStart"/>
            <w:r w:rsidRPr="00BD2D35">
              <w:rPr>
                <w:lang w:val="lt-LT"/>
              </w:rPr>
              <w:t>in</w:t>
            </w:r>
            <w:proofErr w:type="spellEnd"/>
            <w:r w:rsidRPr="00BD2D35">
              <w:rPr>
                <w:lang w:val="lt-LT"/>
              </w:rPr>
              <w:t xml:space="preserve"> </w:t>
            </w:r>
            <w:proofErr w:type="spellStart"/>
            <w:r w:rsidRPr="00BD2D35">
              <w:rPr>
                <w:lang w:val="lt-LT"/>
              </w:rPr>
              <w:t>einer</w:t>
            </w:r>
            <w:proofErr w:type="spellEnd"/>
            <w:r w:rsidRPr="00BD2D35">
              <w:rPr>
                <w:lang w:val="lt-LT"/>
              </w:rPr>
              <w:t xml:space="preserve"> </w:t>
            </w:r>
            <w:proofErr w:type="spellStart"/>
            <w:r w:rsidRPr="00BD2D35">
              <w:rPr>
                <w:lang w:val="lt-LT"/>
              </w:rPr>
              <w:t>Fertigspritze</w:t>
            </w:r>
            <w:proofErr w:type="spellEnd"/>
          </w:p>
        </w:tc>
      </w:tr>
      <w:tr w:rsidR="00C742F6" w:rsidRPr="00BD2D35" w14:paraId="53F70871" w14:textId="77777777" w:rsidTr="004A09A8">
        <w:tc>
          <w:tcPr>
            <w:tcW w:w="1696" w:type="dxa"/>
          </w:tcPr>
          <w:p w14:paraId="5F0BA43E" w14:textId="6201B318" w:rsidR="00C742F6" w:rsidRPr="00BD2D35" w:rsidRDefault="00C742F6">
            <w:pPr>
              <w:numPr>
                <w:ilvl w:val="12"/>
                <w:numId w:val="0"/>
              </w:numPr>
              <w:tabs>
                <w:tab w:val="clear" w:pos="567"/>
                <w:tab w:val="left" w:pos="1296"/>
              </w:tabs>
              <w:spacing w:line="240" w:lineRule="auto"/>
              <w:ind w:right="-2"/>
              <w:rPr>
                <w:lang w:val="lt-LT"/>
              </w:rPr>
            </w:pPr>
            <w:r w:rsidRPr="00BD2D35">
              <w:rPr>
                <w:lang w:val="lt-LT"/>
              </w:rPr>
              <w:t>Estija</w:t>
            </w:r>
          </w:p>
        </w:tc>
        <w:tc>
          <w:tcPr>
            <w:tcW w:w="7364" w:type="dxa"/>
          </w:tcPr>
          <w:p w14:paraId="5CA8D4C2" w14:textId="043B8B38" w:rsidR="00C742F6" w:rsidRPr="00BD2D35" w:rsidRDefault="00C742F6">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p>
        </w:tc>
      </w:tr>
      <w:tr w:rsidR="004A09A8" w:rsidRPr="00BD2D35" w14:paraId="10B55F2D" w14:textId="77777777" w:rsidTr="004A09A8">
        <w:tc>
          <w:tcPr>
            <w:tcW w:w="1696" w:type="dxa"/>
          </w:tcPr>
          <w:p w14:paraId="618409C6" w14:textId="6E73F009"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Prancūzija</w:t>
            </w:r>
          </w:p>
        </w:tc>
        <w:tc>
          <w:tcPr>
            <w:tcW w:w="7364" w:type="dxa"/>
          </w:tcPr>
          <w:p w14:paraId="2177EC6A" w14:textId="3C9391BD"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solution</w:t>
            </w:r>
            <w:proofErr w:type="spellEnd"/>
            <w:r w:rsidRPr="00BD2D35">
              <w:rPr>
                <w:lang w:val="lt-LT"/>
              </w:rPr>
              <w:t xml:space="preserve"> </w:t>
            </w:r>
            <w:proofErr w:type="spellStart"/>
            <w:r w:rsidRPr="00BD2D35">
              <w:rPr>
                <w:lang w:val="lt-LT"/>
              </w:rPr>
              <w:t>injectable</w:t>
            </w:r>
            <w:proofErr w:type="spellEnd"/>
            <w:r w:rsidRPr="00BD2D35">
              <w:rPr>
                <w:lang w:val="lt-LT"/>
              </w:rPr>
              <w:t xml:space="preserve"> </w:t>
            </w:r>
            <w:proofErr w:type="spellStart"/>
            <w:r w:rsidRPr="00BD2D35">
              <w:rPr>
                <w:lang w:val="lt-LT"/>
              </w:rPr>
              <w:t>en</w:t>
            </w:r>
            <w:proofErr w:type="spellEnd"/>
            <w:r w:rsidRPr="00BD2D35">
              <w:rPr>
                <w:lang w:val="lt-LT"/>
              </w:rPr>
              <w:t xml:space="preserve"> </w:t>
            </w:r>
            <w:proofErr w:type="spellStart"/>
            <w:r w:rsidRPr="00BD2D35">
              <w:rPr>
                <w:lang w:val="lt-LT"/>
              </w:rPr>
              <w:t>seringue</w:t>
            </w:r>
            <w:proofErr w:type="spellEnd"/>
            <w:r w:rsidRPr="00BD2D35">
              <w:rPr>
                <w:lang w:val="lt-LT"/>
              </w:rPr>
              <w:t xml:space="preserve"> </w:t>
            </w:r>
            <w:proofErr w:type="spellStart"/>
            <w:r w:rsidRPr="00BD2D35">
              <w:rPr>
                <w:lang w:val="lt-LT"/>
              </w:rPr>
              <w:t>pré-remplie</w:t>
            </w:r>
            <w:proofErr w:type="spellEnd"/>
          </w:p>
        </w:tc>
      </w:tr>
      <w:tr w:rsidR="004A09A8" w:rsidRPr="00A74C5A" w14:paraId="55ADB82A" w14:textId="77777777" w:rsidTr="004A09A8">
        <w:tc>
          <w:tcPr>
            <w:tcW w:w="1696" w:type="dxa"/>
          </w:tcPr>
          <w:p w14:paraId="7D91E367" w14:textId="081F7D00"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Kroatija</w:t>
            </w:r>
          </w:p>
        </w:tc>
        <w:tc>
          <w:tcPr>
            <w:tcW w:w="7364" w:type="dxa"/>
          </w:tcPr>
          <w:p w14:paraId="60CDE3EC" w14:textId="0DC09EDE"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Ganireliks</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ml </w:t>
            </w:r>
            <w:proofErr w:type="spellStart"/>
            <w:r w:rsidRPr="00BD2D35">
              <w:rPr>
                <w:lang w:val="lt-LT"/>
              </w:rPr>
              <w:t>otopina</w:t>
            </w:r>
            <w:proofErr w:type="spellEnd"/>
            <w:r w:rsidRPr="00BD2D35">
              <w:rPr>
                <w:lang w:val="lt-LT"/>
              </w:rPr>
              <w:t xml:space="preserve"> </w:t>
            </w:r>
            <w:proofErr w:type="spellStart"/>
            <w:r w:rsidRPr="00BD2D35">
              <w:rPr>
                <w:lang w:val="lt-LT"/>
              </w:rPr>
              <w:t>za</w:t>
            </w:r>
            <w:proofErr w:type="spellEnd"/>
            <w:r w:rsidRPr="00BD2D35">
              <w:rPr>
                <w:lang w:val="lt-LT"/>
              </w:rPr>
              <w:t xml:space="preserve"> </w:t>
            </w:r>
            <w:proofErr w:type="spellStart"/>
            <w:r w:rsidRPr="00BD2D35">
              <w:rPr>
                <w:lang w:val="lt-LT"/>
              </w:rPr>
              <w:t>injekciju</w:t>
            </w:r>
            <w:proofErr w:type="spellEnd"/>
            <w:r w:rsidRPr="00BD2D35">
              <w:rPr>
                <w:lang w:val="lt-LT"/>
              </w:rPr>
              <w:t xml:space="preserve"> u </w:t>
            </w:r>
            <w:proofErr w:type="spellStart"/>
            <w:r w:rsidRPr="00BD2D35">
              <w:rPr>
                <w:lang w:val="lt-LT"/>
              </w:rPr>
              <w:t>napunjenoj</w:t>
            </w:r>
            <w:proofErr w:type="spellEnd"/>
            <w:r w:rsidRPr="00BD2D35">
              <w:rPr>
                <w:lang w:val="lt-LT"/>
              </w:rPr>
              <w:t xml:space="preserve"> </w:t>
            </w:r>
            <w:proofErr w:type="spellStart"/>
            <w:r w:rsidRPr="00BD2D35">
              <w:rPr>
                <w:lang w:val="lt-LT"/>
              </w:rPr>
              <w:t>štrcaljki</w:t>
            </w:r>
            <w:proofErr w:type="spellEnd"/>
          </w:p>
        </w:tc>
      </w:tr>
      <w:tr w:rsidR="004A09A8" w:rsidRPr="00A74C5A" w14:paraId="0C3FEF23" w14:textId="77777777" w:rsidTr="004A09A8">
        <w:tc>
          <w:tcPr>
            <w:tcW w:w="1696" w:type="dxa"/>
          </w:tcPr>
          <w:p w14:paraId="15DE4AA6" w14:textId="2CB4A59E"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Vengrija</w:t>
            </w:r>
          </w:p>
        </w:tc>
        <w:tc>
          <w:tcPr>
            <w:tcW w:w="7364" w:type="dxa"/>
          </w:tcPr>
          <w:p w14:paraId="0BE2861E" w14:textId="303B3FFE"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Oldatos</w:t>
            </w:r>
            <w:proofErr w:type="spellEnd"/>
            <w:r w:rsidRPr="00BD2D35">
              <w:rPr>
                <w:lang w:val="lt-LT"/>
              </w:rPr>
              <w:t xml:space="preserve"> </w:t>
            </w:r>
            <w:proofErr w:type="spellStart"/>
            <w:r w:rsidRPr="00BD2D35">
              <w:rPr>
                <w:lang w:val="lt-LT"/>
              </w:rPr>
              <w:t>injekció</w:t>
            </w:r>
            <w:proofErr w:type="spellEnd"/>
            <w:r w:rsidRPr="00BD2D35">
              <w:rPr>
                <w:lang w:val="lt-LT"/>
              </w:rPr>
              <w:t xml:space="preserve"> </w:t>
            </w:r>
            <w:proofErr w:type="spellStart"/>
            <w:r w:rsidRPr="00BD2D35">
              <w:rPr>
                <w:lang w:val="lt-LT"/>
              </w:rPr>
              <w:t>előretöltött</w:t>
            </w:r>
            <w:proofErr w:type="spellEnd"/>
            <w:r w:rsidRPr="00BD2D35">
              <w:rPr>
                <w:lang w:val="lt-LT"/>
              </w:rPr>
              <w:t xml:space="preserve"> </w:t>
            </w:r>
            <w:proofErr w:type="spellStart"/>
            <w:r w:rsidRPr="00BD2D35">
              <w:rPr>
                <w:lang w:val="lt-LT"/>
              </w:rPr>
              <w:t>fecskendőben</w:t>
            </w:r>
            <w:proofErr w:type="spellEnd"/>
          </w:p>
        </w:tc>
      </w:tr>
      <w:tr w:rsidR="004A09A8" w:rsidRPr="00A74C5A" w14:paraId="4B3BAFA2" w14:textId="77777777" w:rsidTr="004A09A8">
        <w:tc>
          <w:tcPr>
            <w:tcW w:w="1696" w:type="dxa"/>
          </w:tcPr>
          <w:p w14:paraId="19EF6B9D" w14:textId="037D2D57"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Lietuva</w:t>
            </w:r>
          </w:p>
        </w:tc>
        <w:tc>
          <w:tcPr>
            <w:tcW w:w="7364" w:type="dxa"/>
          </w:tcPr>
          <w:p w14:paraId="1100153E" w14:textId="20C64B68"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mg/0,5 m</w:t>
            </w:r>
            <w:r w:rsidR="00BD2D35">
              <w:rPr>
                <w:lang w:val="lt-LT"/>
              </w:rPr>
              <w:t>l</w:t>
            </w:r>
            <w:r w:rsidRPr="00BD2D35">
              <w:rPr>
                <w:lang w:val="lt-LT"/>
              </w:rPr>
              <w:t xml:space="preserve"> injekcinis tirpalas užpildytame švirkšte</w:t>
            </w:r>
          </w:p>
        </w:tc>
      </w:tr>
      <w:tr w:rsidR="004A09A8" w:rsidRPr="00A74C5A" w14:paraId="65A5CE6A" w14:textId="77777777" w:rsidTr="004A09A8">
        <w:tc>
          <w:tcPr>
            <w:tcW w:w="1696" w:type="dxa"/>
          </w:tcPr>
          <w:p w14:paraId="4B9DCB21" w14:textId="0FB485E6"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Latvija</w:t>
            </w:r>
          </w:p>
        </w:tc>
        <w:tc>
          <w:tcPr>
            <w:tcW w:w="7364" w:type="dxa"/>
          </w:tcPr>
          <w:p w14:paraId="7F867E3C" w14:textId="553B681F"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m</w:t>
            </w:r>
            <w:r w:rsidR="00BD2D35">
              <w:rPr>
                <w:lang w:val="lt-LT"/>
              </w:rPr>
              <w:t>l</w:t>
            </w:r>
            <w:r w:rsidRPr="00BD2D35">
              <w:rPr>
                <w:lang w:val="lt-LT"/>
              </w:rPr>
              <w:t xml:space="preserve"> </w:t>
            </w:r>
            <w:proofErr w:type="spellStart"/>
            <w:r w:rsidRPr="00BD2D35">
              <w:rPr>
                <w:lang w:val="lt-LT"/>
              </w:rPr>
              <w:t>Šķīdums</w:t>
            </w:r>
            <w:proofErr w:type="spellEnd"/>
            <w:r w:rsidRPr="00BD2D35">
              <w:rPr>
                <w:lang w:val="lt-LT"/>
              </w:rPr>
              <w:t xml:space="preserve"> </w:t>
            </w:r>
            <w:proofErr w:type="spellStart"/>
            <w:r w:rsidRPr="00BD2D35">
              <w:rPr>
                <w:lang w:val="lt-LT"/>
              </w:rPr>
              <w:t>injekcijām</w:t>
            </w:r>
            <w:proofErr w:type="spellEnd"/>
            <w:r w:rsidRPr="00BD2D35">
              <w:rPr>
                <w:lang w:val="lt-LT"/>
              </w:rPr>
              <w:t xml:space="preserve"> </w:t>
            </w:r>
            <w:proofErr w:type="spellStart"/>
            <w:r w:rsidRPr="00BD2D35">
              <w:rPr>
                <w:lang w:val="lt-LT"/>
              </w:rPr>
              <w:t>pilnšļircē</w:t>
            </w:r>
            <w:proofErr w:type="spellEnd"/>
          </w:p>
        </w:tc>
      </w:tr>
      <w:tr w:rsidR="004A09A8" w:rsidRPr="00BD2D35" w14:paraId="373A24AC" w14:textId="77777777" w:rsidTr="004A09A8">
        <w:tc>
          <w:tcPr>
            <w:tcW w:w="1696" w:type="dxa"/>
          </w:tcPr>
          <w:p w14:paraId="5C3A5358" w14:textId="176AE564"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Nyderlandai</w:t>
            </w:r>
          </w:p>
        </w:tc>
        <w:tc>
          <w:tcPr>
            <w:tcW w:w="7364" w:type="dxa"/>
          </w:tcPr>
          <w:p w14:paraId="449C3215" w14:textId="5F82BB03"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w:t>
            </w:r>
            <w:proofErr w:type="spellStart"/>
            <w:r w:rsidRPr="00BD2D35">
              <w:rPr>
                <w:lang w:val="lt-LT"/>
              </w:rPr>
              <w:t>mL</w:t>
            </w:r>
            <w:proofErr w:type="spellEnd"/>
            <w:r w:rsidRPr="00BD2D35">
              <w:rPr>
                <w:lang w:val="lt-LT"/>
              </w:rPr>
              <w:t xml:space="preserve"> </w:t>
            </w:r>
            <w:proofErr w:type="spellStart"/>
            <w:r w:rsidRPr="00BD2D35">
              <w:rPr>
                <w:lang w:val="lt-LT"/>
              </w:rPr>
              <w:t>Oplossing</w:t>
            </w:r>
            <w:proofErr w:type="spellEnd"/>
            <w:r w:rsidRPr="00BD2D35">
              <w:rPr>
                <w:lang w:val="lt-LT"/>
              </w:rPr>
              <w:t xml:space="preserve"> </w:t>
            </w:r>
            <w:proofErr w:type="spellStart"/>
            <w:r w:rsidRPr="00BD2D35">
              <w:rPr>
                <w:lang w:val="lt-LT"/>
              </w:rPr>
              <w:t>voor</w:t>
            </w:r>
            <w:proofErr w:type="spellEnd"/>
            <w:r w:rsidRPr="00BD2D35">
              <w:rPr>
                <w:lang w:val="lt-LT"/>
              </w:rPr>
              <w:t xml:space="preserve"> </w:t>
            </w:r>
            <w:proofErr w:type="spellStart"/>
            <w:r w:rsidRPr="00BD2D35">
              <w:rPr>
                <w:lang w:val="lt-LT"/>
              </w:rPr>
              <w:t>injectie</w:t>
            </w:r>
            <w:proofErr w:type="spellEnd"/>
            <w:r w:rsidRPr="00BD2D35">
              <w:rPr>
                <w:lang w:val="lt-LT"/>
              </w:rPr>
              <w:t xml:space="preserve"> </w:t>
            </w:r>
            <w:proofErr w:type="spellStart"/>
            <w:r w:rsidRPr="00BD2D35">
              <w:rPr>
                <w:lang w:val="lt-LT"/>
              </w:rPr>
              <w:t>in</w:t>
            </w:r>
            <w:proofErr w:type="spellEnd"/>
            <w:r w:rsidRPr="00BD2D35">
              <w:rPr>
                <w:lang w:val="lt-LT"/>
              </w:rPr>
              <w:t xml:space="preserve"> </w:t>
            </w:r>
            <w:proofErr w:type="spellStart"/>
            <w:r w:rsidRPr="00BD2D35">
              <w:rPr>
                <w:lang w:val="lt-LT"/>
              </w:rPr>
              <w:t>een</w:t>
            </w:r>
            <w:proofErr w:type="spellEnd"/>
            <w:r w:rsidRPr="00BD2D35">
              <w:rPr>
                <w:lang w:val="lt-LT"/>
              </w:rPr>
              <w:t xml:space="preserve"> </w:t>
            </w:r>
            <w:proofErr w:type="spellStart"/>
            <w:r w:rsidRPr="00BD2D35">
              <w:rPr>
                <w:lang w:val="lt-LT"/>
              </w:rPr>
              <w:t>voorgevulde</w:t>
            </w:r>
            <w:proofErr w:type="spellEnd"/>
            <w:r w:rsidRPr="00BD2D35">
              <w:rPr>
                <w:lang w:val="lt-LT"/>
              </w:rPr>
              <w:t xml:space="preserve"> </w:t>
            </w:r>
            <w:proofErr w:type="spellStart"/>
            <w:r w:rsidRPr="00BD2D35">
              <w:rPr>
                <w:lang w:val="lt-LT"/>
              </w:rPr>
              <w:t>spuit</w:t>
            </w:r>
            <w:proofErr w:type="spellEnd"/>
          </w:p>
        </w:tc>
      </w:tr>
      <w:tr w:rsidR="004A09A8" w:rsidRPr="00BD2D35" w14:paraId="2F35B4F7" w14:textId="77777777" w:rsidTr="004A09A8">
        <w:tc>
          <w:tcPr>
            <w:tcW w:w="1696" w:type="dxa"/>
          </w:tcPr>
          <w:p w14:paraId="32B67BCA" w14:textId="4C7E433A"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Portugalija</w:t>
            </w:r>
          </w:p>
        </w:tc>
        <w:tc>
          <w:tcPr>
            <w:tcW w:w="7364" w:type="dxa"/>
          </w:tcPr>
          <w:p w14:paraId="1DB7CCBA" w14:textId="08D8F8BA"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Ganirrelix</w:t>
            </w:r>
            <w:proofErr w:type="spellEnd"/>
            <w:r w:rsidRPr="00BD2D35">
              <w:rPr>
                <w:lang w:val="lt-LT"/>
              </w:rPr>
              <w:t xml:space="preserve"> </w:t>
            </w:r>
            <w:proofErr w:type="spellStart"/>
            <w:r w:rsidRPr="00BD2D35">
              <w:rPr>
                <w:lang w:val="lt-LT"/>
              </w:rPr>
              <w:t>Theramex</w:t>
            </w:r>
            <w:proofErr w:type="spellEnd"/>
          </w:p>
        </w:tc>
      </w:tr>
      <w:tr w:rsidR="004A09A8" w:rsidRPr="00A74C5A" w14:paraId="688C8864" w14:textId="77777777" w:rsidTr="004A09A8">
        <w:tc>
          <w:tcPr>
            <w:tcW w:w="1696" w:type="dxa"/>
          </w:tcPr>
          <w:p w14:paraId="399D3FD3" w14:textId="04633B02"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Slovėnija</w:t>
            </w:r>
          </w:p>
        </w:tc>
        <w:tc>
          <w:tcPr>
            <w:tcW w:w="7364" w:type="dxa"/>
          </w:tcPr>
          <w:p w14:paraId="60A6580B" w14:textId="16B56346"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Ganireliks</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mg/0,5 ml </w:t>
            </w:r>
            <w:proofErr w:type="spellStart"/>
            <w:r w:rsidRPr="00BD2D35">
              <w:rPr>
                <w:lang w:val="lt-LT"/>
              </w:rPr>
              <w:t>raztopina</w:t>
            </w:r>
            <w:proofErr w:type="spellEnd"/>
            <w:r w:rsidRPr="00BD2D35">
              <w:rPr>
                <w:lang w:val="lt-LT"/>
              </w:rPr>
              <w:t xml:space="preserve"> </w:t>
            </w:r>
            <w:proofErr w:type="spellStart"/>
            <w:r w:rsidRPr="00BD2D35">
              <w:rPr>
                <w:lang w:val="lt-LT"/>
              </w:rPr>
              <w:t>za</w:t>
            </w:r>
            <w:proofErr w:type="spellEnd"/>
            <w:r w:rsidRPr="00BD2D35">
              <w:rPr>
                <w:lang w:val="lt-LT"/>
              </w:rPr>
              <w:t xml:space="preserve"> </w:t>
            </w:r>
            <w:proofErr w:type="spellStart"/>
            <w:r w:rsidRPr="00BD2D35">
              <w:rPr>
                <w:lang w:val="lt-LT"/>
              </w:rPr>
              <w:t>injiciranje</w:t>
            </w:r>
            <w:proofErr w:type="spellEnd"/>
            <w:r w:rsidRPr="00BD2D35">
              <w:rPr>
                <w:lang w:val="lt-LT"/>
              </w:rPr>
              <w:t xml:space="preserve"> v </w:t>
            </w:r>
            <w:proofErr w:type="spellStart"/>
            <w:r w:rsidRPr="00BD2D35">
              <w:rPr>
                <w:lang w:val="lt-LT"/>
              </w:rPr>
              <w:t>napolnjeni</w:t>
            </w:r>
            <w:proofErr w:type="spellEnd"/>
            <w:r w:rsidRPr="00BD2D35">
              <w:rPr>
                <w:lang w:val="lt-LT"/>
              </w:rPr>
              <w:t xml:space="preserve"> </w:t>
            </w:r>
            <w:proofErr w:type="spellStart"/>
            <w:r w:rsidRPr="00BD2D35">
              <w:rPr>
                <w:lang w:val="lt-LT"/>
              </w:rPr>
              <w:t>injekcijski</w:t>
            </w:r>
            <w:proofErr w:type="spellEnd"/>
            <w:r w:rsidRPr="00BD2D35">
              <w:rPr>
                <w:lang w:val="lt-LT"/>
              </w:rPr>
              <w:t xml:space="preserve"> brizgi</w:t>
            </w:r>
          </w:p>
        </w:tc>
      </w:tr>
      <w:tr w:rsidR="004A09A8" w:rsidRPr="00A74C5A" w14:paraId="111B59A7" w14:textId="77777777" w:rsidTr="004A09A8">
        <w:tc>
          <w:tcPr>
            <w:tcW w:w="1696" w:type="dxa"/>
          </w:tcPr>
          <w:p w14:paraId="2B91A01D" w14:textId="18C45068" w:rsidR="004A09A8" w:rsidRPr="00BD2D35" w:rsidRDefault="004A09A8">
            <w:pPr>
              <w:numPr>
                <w:ilvl w:val="12"/>
                <w:numId w:val="0"/>
              </w:numPr>
              <w:tabs>
                <w:tab w:val="clear" w:pos="567"/>
                <w:tab w:val="left" w:pos="1296"/>
              </w:tabs>
              <w:spacing w:line="240" w:lineRule="auto"/>
              <w:ind w:right="-2"/>
              <w:rPr>
                <w:lang w:val="lt-LT"/>
              </w:rPr>
            </w:pPr>
            <w:r w:rsidRPr="00BD2D35">
              <w:rPr>
                <w:lang w:val="lt-LT"/>
              </w:rPr>
              <w:t>Slovakija</w:t>
            </w:r>
          </w:p>
        </w:tc>
        <w:tc>
          <w:tcPr>
            <w:tcW w:w="7364" w:type="dxa"/>
          </w:tcPr>
          <w:p w14:paraId="0CB83023" w14:textId="1203B4D0" w:rsidR="004A09A8" w:rsidRPr="00BD2D35" w:rsidRDefault="004A09A8">
            <w:pPr>
              <w:numPr>
                <w:ilvl w:val="12"/>
                <w:numId w:val="0"/>
              </w:numPr>
              <w:tabs>
                <w:tab w:val="clear" w:pos="567"/>
                <w:tab w:val="left" w:pos="1296"/>
              </w:tabs>
              <w:spacing w:line="240" w:lineRule="auto"/>
              <w:ind w:right="-2"/>
              <w:rPr>
                <w:lang w:val="lt-LT"/>
              </w:rPr>
            </w:pPr>
            <w:proofErr w:type="spellStart"/>
            <w:r w:rsidRPr="00BD2D35">
              <w:rPr>
                <w:lang w:val="lt-LT"/>
              </w:rPr>
              <w:t>Ganirelix</w:t>
            </w:r>
            <w:proofErr w:type="spellEnd"/>
            <w:r w:rsidRPr="00BD2D35">
              <w:rPr>
                <w:lang w:val="lt-LT"/>
              </w:rPr>
              <w:t xml:space="preserve"> </w:t>
            </w:r>
            <w:proofErr w:type="spellStart"/>
            <w:r w:rsidRPr="00BD2D35">
              <w:rPr>
                <w:lang w:val="lt-LT"/>
              </w:rPr>
              <w:t>Theramex</w:t>
            </w:r>
            <w:proofErr w:type="spellEnd"/>
            <w:r w:rsidRPr="00BD2D35">
              <w:rPr>
                <w:lang w:val="lt-LT"/>
              </w:rPr>
              <w:t xml:space="preserve"> 0,25 mg/ 0,5 ml </w:t>
            </w:r>
            <w:proofErr w:type="spellStart"/>
            <w:r w:rsidRPr="00BD2D35">
              <w:rPr>
                <w:lang w:val="lt-LT"/>
              </w:rPr>
              <w:t>Injekčný</w:t>
            </w:r>
            <w:proofErr w:type="spellEnd"/>
            <w:r w:rsidRPr="00BD2D35">
              <w:rPr>
                <w:lang w:val="lt-LT"/>
              </w:rPr>
              <w:t xml:space="preserve"> </w:t>
            </w:r>
            <w:proofErr w:type="spellStart"/>
            <w:r w:rsidRPr="00BD2D35">
              <w:rPr>
                <w:lang w:val="lt-LT"/>
              </w:rPr>
              <w:t>roztok</w:t>
            </w:r>
            <w:proofErr w:type="spellEnd"/>
            <w:r w:rsidRPr="00BD2D35">
              <w:rPr>
                <w:lang w:val="lt-LT"/>
              </w:rPr>
              <w:t xml:space="preserve"> v </w:t>
            </w:r>
            <w:proofErr w:type="spellStart"/>
            <w:r w:rsidRPr="00BD2D35">
              <w:rPr>
                <w:lang w:val="lt-LT"/>
              </w:rPr>
              <w:t>naplnenej</w:t>
            </w:r>
            <w:proofErr w:type="spellEnd"/>
            <w:r w:rsidRPr="00BD2D35">
              <w:rPr>
                <w:lang w:val="lt-LT"/>
              </w:rPr>
              <w:t xml:space="preserve"> </w:t>
            </w:r>
            <w:proofErr w:type="spellStart"/>
            <w:r w:rsidRPr="00BD2D35">
              <w:rPr>
                <w:lang w:val="lt-LT"/>
              </w:rPr>
              <w:t>injekčnej</w:t>
            </w:r>
            <w:proofErr w:type="spellEnd"/>
            <w:r w:rsidRPr="00BD2D35">
              <w:rPr>
                <w:lang w:val="lt-LT"/>
              </w:rPr>
              <w:t xml:space="preserve"> </w:t>
            </w:r>
            <w:proofErr w:type="spellStart"/>
            <w:r w:rsidRPr="00BD2D35">
              <w:rPr>
                <w:lang w:val="lt-LT"/>
              </w:rPr>
              <w:t>striekačke</w:t>
            </w:r>
            <w:proofErr w:type="spellEnd"/>
          </w:p>
        </w:tc>
      </w:tr>
    </w:tbl>
    <w:p w14:paraId="752BABEE" w14:textId="77777777" w:rsidR="00C742F6" w:rsidRPr="00BD2D35" w:rsidRDefault="00C742F6">
      <w:pPr>
        <w:numPr>
          <w:ilvl w:val="12"/>
          <w:numId w:val="0"/>
        </w:numPr>
        <w:tabs>
          <w:tab w:val="clear" w:pos="567"/>
          <w:tab w:val="left" w:pos="1296"/>
        </w:tabs>
        <w:spacing w:line="240" w:lineRule="auto"/>
        <w:ind w:right="-2"/>
        <w:rPr>
          <w:szCs w:val="24"/>
          <w:lang w:val="lt-LT"/>
        </w:rPr>
      </w:pPr>
    </w:p>
    <w:p w14:paraId="07C325EA" w14:textId="1AEAA2B2" w:rsidR="004C17CB" w:rsidRPr="00BD2D35" w:rsidRDefault="002C1216">
      <w:pPr>
        <w:numPr>
          <w:ilvl w:val="12"/>
          <w:numId w:val="0"/>
        </w:numPr>
        <w:tabs>
          <w:tab w:val="clear" w:pos="567"/>
          <w:tab w:val="left" w:pos="1296"/>
        </w:tabs>
        <w:spacing w:line="240" w:lineRule="auto"/>
        <w:ind w:right="-2"/>
        <w:rPr>
          <w:b/>
          <w:lang w:val="lt-LT"/>
        </w:rPr>
      </w:pPr>
      <w:r w:rsidRPr="00BD2D35">
        <w:rPr>
          <w:b/>
          <w:lang w:val="lt-LT"/>
        </w:rPr>
        <w:t>Šis pakuotės lapelis paskutinį kartą peržiūrėtas</w:t>
      </w:r>
      <w:r w:rsidR="00351798">
        <w:rPr>
          <w:b/>
          <w:lang w:val="lt-LT"/>
        </w:rPr>
        <w:t xml:space="preserve"> </w:t>
      </w:r>
      <w:r w:rsidR="00A74C5A">
        <w:rPr>
          <w:b/>
          <w:lang w:val="lt-LT"/>
        </w:rPr>
        <w:t>2026-03-30</w:t>
      </w:r>
      <w:r w:rsidR="00CA6CC1">
        <w:rPr>
          <w:b/>
          <w:lang w:val="lt-LT"/>
        </w:rPr>
        <w:t>.</w:t>
      </w:r>
    </w:p>
    <w:p w14:paraId="64923F26" w14:textId="77777777" w:rsidR="004C17CB" w:rsidRPr="00BD2D35" w:rsidRDefault="004C17CB">
      <w:pPr>
        <w:numPr>
          <w:ilvl w:val="12"/>
          <w:numId w:val="0"/>
        </w:numPr>
        <w:spacing w:line="240" w:lineRule="auto"/>
        <w:ind w:right="-2"/>
        <w:rPr>
          <w:i/>
          <w:szCs w:val="24"/>
          <w:lang w:val="lt-LT"/>
        </w:rPr>
      </w:pPr>
    </w:p>
    <w:p w14:paraId="598D7709" w14:textId="02196281" w:rsidR="004C17CB" w:rsidRPr="00BD2D35" w:rsidRDefault="002C1216">
      <w:pPr>
        <w:numPr>
          <w:ilvl w:val="12"/>
          <w:numId w:val="0"/>
        </w:numPr>
        <w:spacing w:line="240" w:lineRule="auto"/>
        <w:ind w:right="-2"/>
        <w:rPr>
          <w:lang w:val="lt-LT"/>
        </w:rPr>
      </w:pPr>
      <w:r w:rsidRPr="00BD2D35">
        <w:rPr>
          <w:lang w:val="lt-LT"/>
        </w:rPr>
        <w:t xml:space="preserve">Išsami informacija apie šį </w:t>
      </w:r>
      <w:r w:rsidRPr="00BD2D35">
        <w:rPr>
          <w:szCs w:val="24"/>
          <w:lang w:val="lt-LT"/>
        </w:rPr>
        <w:t>vaistą</w:t>
      </w:r>
      <w:r w:rsidRPr="00BD2D35">
        <w:rPr>
          <w:lang w:val="lt-LT"/>
        </w:rPr>
        <w:t xml:space="preserve"> pateikiama Valstybinės vaistų kontrolės tarnybos prie Lietuvos Respublikos sveikatos apsaugos ministerijos tinklalapyje</w:t>
      </w:r>
      <w:r w:rsidRPr="00BD2D35">
        <w:rPr>
          <w:i/>
          <w:szCs w:val="24"/>
          <w:lang w:val="lt-LT"/>
        </w:rPr>
        <w:t xml:space="preserve"> </w:t>
      </w:r>
      <w:r w:rsidR="00F94628" w:rsidRPr="00AD197E">
        <w:rPr>
          <w:color w:val="0000EE"/>
          <w:szCs w:val="22"/>
          <w:u w:val="single"/>
          <w:lang w:val="lt-LT" w:eastAsia="lt-LT"/>
        </w:rPr>
        <w:t>https://vvkt.lrv.lt/lt/</w:t>
      </w:r>
      <w:r w:rsidRPr="00BD2D35">
        <w:rPr>
          <w:lang w:val="lt-LT"/>
        </w:rPr>
        <w:t>.</w:t>
      </w:r>
    </w:p>
    <w:p w14:paraId="242EB4C5" w14:textId="2ED9B745" w:rsidR="000C3670" w:rsidRPr="00BD2D35" w:rsidRDefault="000C3670">
      <w:pPr>
        <w:numPr>
          <w:ilvl w:val="12"/>
          <w:numId w:val="0"/>
        </w:numPr>
        <w:spacing w:line="240" w:lineRule="auto"/>
        <w:ind w:right="-2"/>
        <w:rPr>
          <w:lang w:val="lt-LT"/>
        </w:rPr>
      </w:pPr>
    </w:p>
    <w:p w14:paraId="71589367" w14:textId="77777777" w:rsidR="000C3670" w:rsidRPr="00BD2D35" w:rsidRDefault="000C3670">
      <w:pPr>
        <w:numPr>
          <w:ilvl w:val="12"/>
          <w:numId w:val="0"/>
        </w:numPr>
        <w:spacing w:line="240" w:lineRule="auto"/>
        <w:ind w:right="-2"/>
        <w:rPr>
          <w:szCs w:val="24"/>
          <w:lang w:val="lt-LT"/>
        </w:rPr>
      </w:pPr>
    </w:p>
    <w:sectPr w:rsidR="000C3670" w:rsidRPr="00BD2D3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YCVXI+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330B4"/>
    <w:multiLevelType w:val="hybridMultilevel"/>
    <w:tmpl w:val="392E1C42"/>
    <w:lvl w:ilvl="0" w:tplc="47F6360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C211B3"/>
    <w:multiLevelType w:val="hybridMultilevel"/>
    <w:tmpl w:val="8A22B9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229DF"/>
    <w:multiLevelType w:val="hybridMultilevel"/>
    <w:tmpl w:val="005C4B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60038"/>
    <w:multiLevelType w:val="hybridMultilevel"/>
    <w:tmpl w:val="2886135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60642"/>
    <w:multiLevelType w:val="hybridMultilevel"/>
    <w:tmpl w:val="8266E5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843DDA"/>
    <w:multiLevelType w:val="hybridMultilevel"/>
    <w:tmpl w:val="446C5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EA624D"/>
    <w:multiLevelType w:val="hybridMultilevel"/>
    <w:tmpl w:val="292007C8"/>
    <w:lvl w:ilvl="0" w:tplc="DAF0EA4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0381C"/>
    <w:multiLevelType w:val="hybridMultilevel"/>
    <w:tmpl w:val="8F10BC5A"/>
    <w:lvl w:ilvl="0" w:tplc="3C748CE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112215"/>
    <w:multiLevelType w:val="hybridMultilevel"/>
    <w:tmpl w:val="4C1AD9B2"/>
    <w:lvl w:ilvl="0" w:tplc="57A4C36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333B83"/>
    <w:multiLevelType w:val="hybridMultilevel"/>
    <w:tmpl w:val="9C0ABAB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93837"/>
    <w:multiLevelType w:val="hybridMultilevel"/>
    <w:tmpl w:val="B37C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458A5"/>
    <w:multiLevelType w:val="hybridMultilevel"/>
    <w:tmpl w:val="4B989A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481FF5"/>
    <w:multiLevelType w:val="hybridMultilevel"/>
    <w:tmpl w:val="674C63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453BBA"/>
    <w:multiLevelType w:val="hybridMultilevel"/>
    <w:tmpl w:val="0A663B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9105EA"/>
    <w:multiLevelType w:val="hybridMultilevel"/>
    <w:tmpl w:val="44D637F4"/>
    <w:lvl w:ilvl="0" w:tplc="3C748CE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338584515">
    <w:abstractNumId w:val="0"/>
  </w:num>
  <w:num w:numId="2" w16cid:durableId="2053141675">
    <w:abstractNumId w:val="0"/>
    <w:lvlOverride w:ilvl="0">
      <w:lvl w:ilvl="0">
        <w:numFmt w:val="bullet"/>
        <w:lvlText w:val=""/>
        <w:lvlJc w:val="left"/>
        <w:pPr>
          <w:ind w:left="360" w:hanging="360"/>
        </w:pPr>
        <w:rPr>
          <w:rFonts w:ascii="Symbol" w:hAnsi="Symbol" w:cs="Times New Roman" w:hint="default"/>
        </w:rPr>
      </w:lvl>
    </w:lvlOverride>
  </w:num>
  <w:num w:numId="3" w16cid:durableId="1568685810">
    <w:abstractNumId w:val="16"/>
  </w:num>
  <w:num w:numId="4" w16cid:durableId="435905179">
    <w:abstractNumId w:val="16"/>
  </w:num>
  <w:num w:numId="5" w16cid:durableId="1035034953">
    <w:abstractNumId w:val="1"/>
  </w:num>
  <w:num w:numId="6" w16cid:durableId="1035735167">
    <w:abstractNumId w:val="1"/>
  </w:num>
  <w:num w:numId="7" w16cid:durableId="38290985">
    <w:abstractNumId w:val="0"/>
    <w:lvlOverride w:ilvl="0">
      <w:lvl w:ilvl="0">
        <w:numFmt w:val="bullet"/>
        <w:lvlText w:val="-"/>
        <w:lvlJc w:val="left"/>
        <w:pPr>
          <w:ind w:left="360" w:hanging="360"/>
        </w:pPr>
        <w:rPr>
          <w:rFonts w:cs="Times New Roman"/>
        </w:rPr>
      </w:lvl>
    </w:lvlOverride>
  </w:num>
  <w:num w:numId="8" w16cid:durableId="1618367091">
    <w:abstractNumId w:val="0"/>
    <w:lvlOverride w:ilvl="0">
      <w:lvl w:ilvl="0">
        <w:numFmt w:val="bullet"/>
        <w:lvlText w:val="-"/>
        <w:lvlJc w:val="left"/>
        <w:pPr>
          <w:ind w:left="360" w:hanging="360"/>
        </w:pPr>
        <w:rPr>
          <w:rFonts w:cs="Times New Roman"/>
        </w:rPr>
      </w:lvl>
    </w:lvlOverride>
  </w:num>
  <w:num w:numId="9" w16cid:durableId="561601364">
    <w:abstractNumId w:val="14"/>
  </w:num>
  <w:num w:numId="10" w16cid:durableId="1853103464">
    <w:abstractNumId w:val="9"/>
  </w:num>
  <w:num w:numId="11" w16cid:durableId="995493782">
    <w:abstractNumId w:val="7"/>
  </w:num>
  <w:num w:numId="12" w16cid:durableId="1616786728">
    <w:abstractNumId w:val="10"/>
  </w:num>
  <w:num w:numId="13" w16cid:durableId="1207983620">
    <w:abstractNumId w:val="2"/>
  </w:num>
  <w:num w:numId="14" w16cid:durableId="1822771445">
    <w:abstractNumId w:val="17"/>
  </w:num>
  <w:num w:numId="15" w16cid:durableId="5720261">
    <w:abstractNumId w:val="13"/>
  </w:num>
  <w:num w:numId="16" w16cid:durableId="665742359">
    <w:abstractNumId w:val="12"/>
  </w:num>
  <w:num w:numId="17" w16cid:durableId="2145463144">
    <w:abstractNumId w:val="4"/>
  </w:num>
  <w:num w:numId="18" w16cid:durableId="1704672470">
    <w:abstractNumId w:val="15"/>
  </w:num>
  <w:num w:numId="19" w16cid:durableId="385026702">
    <w:abstractNumId w:val="5"/>
  </w:num>
  <w:num w:numId="20" w16cid:durableId="1203133451">
    <w:abstractNumId w:val="3"/>
  </w:num>
  <w:num w:numId="21" w16cid:durableId="473105250">
    <w:abstractNumId w:val="8"/>
  </w:num>
  <w:num w:numId="22" w16cid:durableId="22243600">
    <w:abstractNumId w:val="6"/>
  </w:num>
  <w:num w:numId="23" w16cid:durableId="2102098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CB"/>
    <w:rsid w:val="000144F3"/>
    <w:rsid w:val="00053AF5"/>
    <w:rsid w:val="00066631"/>
    <w:rsid w:val="00095EF5"/>
    <w:rsid w:val="000A0483"/>
    <w:rsid w:val="000B3E42"/>
    <w:rsid w:val="000B4BEF"/>
    <w:rsid w:val="000C12E5"/>
    <w:rsid w:val="000C3670"/>
    <w:rsid w:val="000F46C2"/>
    <w:rsid w:val="00100E03"/>
    <w:rsid w:val="001103E5"/>
    <w:rsid w:val="00113F5C"/>
    <w:rsid w:val="00131D8A"/>
    <w:rsid w:val="0014009D"/>
    <w:rsid w:val="00156AA7"/>
    <w:rsid w:val="001F59E0"/>
    <w:rsid w:val="0020344A"/>
    <w:rsid w:val="00257F75"/>
    <w:rsid w:val="00260A91"/>
    <w:rsid w:val="00275474"/>
    <w:rsid w:val="00281919"/>
    <w:rsid w:val="002C1216"/>
    <w:rsid w:val="002D4A32"/>
    <w:rsid w:val="002E4319"/>
    <w:rsid w:val="002E6E09"/>
    <w:rsid w:val="002F04B6"/>
    <w:rsid w:val="00305075"/>
    <w:rsid w:val="003236B6"/>
    <w:rsid w:val="00336F64"/>
    <w:rsid w:val="00340D78"/>
    <w:rsid w:val="00345568"/>
    <w:rsid w:val="00351798"/>
    <w:rsid w:val="00363EBA"/>
    <w:rsid w:val="00370EC3"/>
    <w:rsid w:val="00373213"/>
    <w:rsid w:val="003A7AAA"/>
    <w:rsid w:val="003C1171"/>
    <w:rsid w:val="00405D37"/>
    <w:rsid w:val="00463B98"/>
    <w:rsid w:val="004659FA"/>
    <w:rsid w:val="00480EB1"/>
    <w:rsid w:val="004A09A8"/>
    <w:rsid w:val="004C04D1"/>
    <w:rsid w:val="004C17CB"/>
    <w:rsid w:val="004E470A"/>
    <w:rsid w:val="00544B2B"/>
    <w:rsid w:val="00555425"/>
    <w:rsid w:val="00561A2D"/>
    <w:rsid w:val="005B3891"/>
    <w:rsid w:val="005B7015"/>
    <w:rsid w:val="005C1E46"/>
    <w:rsid w:val="00601505"/>
    <w:rsid w:val="00642062"/>
    <w:rsid w:val="00645169"/>
    <w:rsid w:val="00647AED"/>
    <w:rsid w:val="006552EA"/>
    <w:rsid w:val="00666BF5"/>
    <w:rsid w:val="0068075B"/>
    <w:rsid w:val="0068513C"/>
    <w:rsid w:val="006934D1"/>
    <w:rsid w:val="006B1520"/>
    <w:rsid w:val="006D5483"/>
    <w:rsid w:val="006E014F"/>
    <w:rsid w:val="006E2750"/>
    <w:rsid w:val="007373C0"/>
    <w:rsid w:val="0073742D"/>
    <w:rsid w:val="00762A6C"/>
    <w:rsid w:val="007948E8"/>
    <w:rsid w:val="007B31BA"/>
    <w:rsid w:val="008952E2"/>
    <w:rsid w:val="008C119D"/>
    <w:rsid w:val="008F74AC"/>
    <w:rsid w:val="009612B5"/>
    <w:rsid w:val="009A2156"/>
    <w:rsid w:val="009D1F65"/>
    <w:rsid w:val="009D739F"/>
    <w:rsid w:val="00A0731B"/>
    <w:rsid w:val="00A178D1"/>
    <w:rsid w:val="00A47E17"/>
    <w:rsid w:val="00A518B4"/>
    <w:rsid w:val="00A53F4B"/>
    <w:rsid w:val="00A65AFC"/>
    <w:rsid w:val="00A74C5A"/>
    <w:rsid w:val="00A96667"/>
    <w:rsid w:val="00AC5730"/>
    <w:rsid w:val="00AD197E"/>
    <w:rsid w:val="00AD4601"/>
    <w:rsid w:val="00B060D3"/>
    <w:rsid w:val="00B24EB6"/>
    <w:rsid w:val="00B43789"/>
    <w:rsid w:val="00B6098E"/>
    <w:rsid w:val="00BD2D35"/>
    <w:rsid w:val="00C0160B"/>
    <w:rsid w:val="00C14E4C"/>
    <w:rsid w:val="00C251E9"/>
    <w:rsid w:val="00C27C7F"/>
    <w:rsid w:val="00C353B1"/>
    <w:rsid w:val="00C62036"/>
    <w:rsid w:val="00C742F6"/>
    <w:rsid w:val="00C8677B"/>
    <w:rsid w:val="00C929D0"/>
    <w:rsid w:val="00CA0D67"/>
    <w:rsid w:val="00CA6CC1"/>
    <w:rsid w:val="00D00B6D"/>
    <w:rsid w:val="00D05D69"/>
    <w:rsid w:val="00D17FF5"/>
    <w:rsid w:val="00D24A8F"/>
    <w:rsid w:val="00DD42EC"/>
    <w:rsid w:val="00E0170B"/>
    <w:rsid w:val="00E314BF"/>
    <w:rsid w:val="00E37BD3"/>
    <w:rsid w:val="00E4208C"/>
    <w:rsid w:val="00ED5D21"/>
    <w:rsid w:val="00EE5312"/>
    <w:rsid w:val="00F24DAD"/>
    <w:rsid w:val="00F5040C"/>
    <w:rsid w:val="00F94628"/>
    <w:rsid w:val="00FB3C80"/>
    <w:rsid w:val="00FC33C0"/>
    <w:rsid w:val="00FC5D18"/>
    <w:rsid w:val="00FD307E"/>
    <w:rsid w:val="00FD5ECC"/>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2109"/>
  <w15:docId w15:val="{D685478E-3778-48A3-AAE0-8EE720B2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AF5"/>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unhideWhenUsed/>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semiHidden/>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semiHidden/>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Pr>
      <w:rFonts w:ascii="Times New Roman" w:eastAsia="SimSun" w:hAnsi="Times New Roman" w:cs="Times New Roman"/>
      <w:b/>
      <w:i/>
      <w:szCs w:val="20"/>
      <w:lang w:val="en-GB"/>
    </w:rPr>
  </w:style>
  <w:style w:type="character" w:styleId="Hipersaitas">
    <w:name w:val="Hyperlink"/>
    <w:uiPriority w:val="99"/>
    <w:unhideWhenUsed/>
    <w:rsid w:val="008952E2"/>
    <w:rPr>
      <w:color w:val="0000FF"/>
      <w:u w:val="single"/>
    </w:rPr>
  </w:style>
  <w:style w:type="character" w:styleId="Perirtashipersaitas">
    <w:name w:val="FollowedHyperlink"/>
    <w:uiPriority w:val="99"/>
    <w:semiHidden/>
    <w:unhideWhenUsed/>
    <w:rPr>
      <w:rFonts w:ascii="Times New Roman" w:hAnsi="Times New Roman" w:cs="Times New Roman" w:hint="default"/>
      <w:color w:val="800080"/>
      <w:u w:val="single"/>
    </w:rPr>
  </w:style>
  <w:style w:type="character" w:styleId="Grietas">
    <w:name w:val="Strong"/>
    <w:uiPriority w:val="99"/>
    <w:qFormat/>
    <w:rPr>
      <w:rFonts w:ascii="Times New Roman" w:hAnsi="Times New Roman" w:cs="Times New Roman" w:hint="default"/>
      <w:b/>
      <w:bCs/>
    </w:rPr>
  </w:style>
  <w:style w:type="paragraph" w:customStyle="1" w:styleId="msonormal0">
    <w:name w:val="msonormal"/>
    <w:basedOn w:val="prastasis"/>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pPr>
      <w:tabs>
        <w:tab w:val="clear" w:pos="567"/>
        <w:tab w:val="center" w:pos="4320"/>
        <w:tab w:val="right" w:pos="8640"/>
      </w:tabs>
      <w:snapToGrid/>
    </w:pPr>
    <w:rPr>
      <w:rFonts w:eastAsia="SimSun"/>
      <w:lang w:eastAsia="zh-CN"/>
    </w:rPr>
  </w:style>
  <w:style w:type="character" w:customStyle="1" w:styleId="HeaderChar">
    <w:name w:val="Header Char"/>
    <w:basedOn w:val="Numatytasispastraiposriftas"/>
    <w:uiPriority w:val="99"/>
    <w:semiHidden/>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pPr>
      <w:tabs>
        <w:tab w:val="center" w:pos="4536"/>
        <w:tab w:val="right" w:pos="8306"/>
      </w:tabs>
    </w:pPr>
    <w:rPr>
      <w:lang w:eastAsia="x-none"/>
    </w:rPr>
  </w:style>
  <w:style w:type="character" w:customStyle="1" w:styleId="PoratDiagrama">
    <w:name w:val="Poraštė Diagrama"/>
    <w:basedOn w:val="Numatytasispastraiposriftas"/>
    <w:link w:val="Porat"/>
    <w:uiPriority w:val="99"/>
    <w:semiHidden/>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pPr>
      <w:snapToGrid/>
      <w:spacing w:line="240" w:lineRule="auto"/>
    </w:pPr>
    <w:rPr>
      <w:rFonts w:eastAsia="SimSun"/>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SimSun" w:hAnsi="Times New Roman" w:cs="Times New Roman"/>
      <w:szCs w:val="20"/>
      <w:lang w:val="en-GB"/>
    </w:rPr>
  </w:style>
  <w:style w:type="paragraph" w:styleId="Pavadinimas">
    <w:name w:val="Title"/>
    <w:basedOn w:val="prastasis"/>
    <w:link w:val="PavadinimasDiagrama"/>
    <w:uiPriority w:val="99"/>
    <w:qFormat/>
    <w:pPr>
      <w:tabs>
        <w:tab w:val="clear" w:pos="567"/>
      </w:tabs>
      <w:snapToGrid/>
      <w:spacing w:line="240" w:lineRule="auto"/>
      <w:jc w:val="center"/>
    </w:pPr>
    <w:rPr>
      <w:rFonts w:eastAsia="SimSun"/>
      <w: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pPr>
      <w:tabs>
        <w:tab w:val="clear" w:pos="567"/>
      </w:tabs>
      <w:snapToGrid/>
      <w:spacing w:line="240" w:lineRule="auto"/>
    </w:pPr>
    <w:rPr>
      <w:rFonts w:eastAsia="SimSun"/>
      <w:i/>
      <w:color w:val="008000"/>
    </w:rPr>
  </w:style>
  <w:style w:type="character" w:customStyle="1" w:styleId="PagrindinistekstasDiagrama">
    <w:name w:val="Pagrindinis tekstas Diagrama"/>
    <w:basedOn w:val="Numatytasispastraiposriftas"/>
    <w:link w:val="Pagrindinistekstas"/>
    <w:uiPriority w:val="99"/>
    <w:semiHidden/>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basedOn w:val="Numatytasispastraiposriftas"/>
    <w:link w:val="Pagrindinistekstas2"/>
    <w:uiPriority w:val="99"/>
    <w:semiHidden/>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pPr>
      <w:shd w:val="clear" w:color="auto" w:fill="000080"/>
      <w:snapToGrid/>
    </w:pPr>
    <w:rPr>
      <w:rFonts w:ascii="Tahoma" w:eastAsia="SimSun" w:hAnsi="Tahoma"/>
      <w:sz w:val="20"/>
      <w:lang w:eastAsia="zh-CN"/>
    </w:rPr>
  </w:style>
  <w:style w:type="character" w:customStyle="1" w:styleId="DokumentostruktraDiagrama">
    <w:name w:val="Dokumento struktūra Diagrama"/>
    <w:basedOn w:val="Numatytasispastraiposriftas"/>
    <w:link w:val="Dokumentostruktra"/>
    <w:uiPriority w:val="99"/>
    <w:semiHidden/>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imes New Roman"/>
      <w:sz w:val="16"/>
      <w:szCs w:val="16"/>
      <w:lang w:val="en-GB" w:eastAsia="x-none"/>
    </w:rPr>
  </w:style>
  <w:style w:type="paragraph" w:styleId="Pataisymai">
    <w:name w:val="Revision"/>
    <w:uiPriority w:val="99"/>
    <w:semiHidden/>
    <w:pPr>
      <w:snapToGrid w:val="0"/>
      <w:spacing w:after="0" w:line="240" w:lineRule="auto"/>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Pr>
      <w:rFonts w:ascii="Verdana" w:eastAsia="Times New Roman" w:hAnsi="Verdana"/>
      <w:sz w:val="18"/>
      <w:lang w:val="en-GB" w:eastAsia="x-non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cstheme="minorBidi"/>
      <w:sz w:val="18"/>
      <w:szCs w:val="22"/>
      <w:lang w:eastAsia="x-none"/>
    </w:rPr>
  </w:style>
  <w:style w:type="character" w:customStyle="1" w:styleId="NormalAgencyChar">
    <w:name w:val="Normal (Agency) Char"/>
    <w:link w:val="NormalAgency"/>
    <w:uiPriority w:val="99"/>
    <w:locked/>
    <w:rPr>
      <w:rFonts w:ascii="Verdana" w:eastAsia="Times New Roman" w:hAnsi="Verdana"/>
      <w:sz w:val="18"/>
      <w:lang w:val="en-GB"/>
    </w:rPr>
  </w:style>
  <w:style w:type="paragraph" w:customStyle="1" w:styleId="NormalAgency">
    <w:name w:val="Normal (Agency)"/>
    <w:link w:val="NormalAgencyChar"/>
    <w:uiPriority w:val="99"/>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paragraph" w:customStyle="1" w:styleId="EMEAEnBodyText">
    <w:name w:val="EMEA En Body Text"/>
    <w:basedOn w:val="prastasis"/>
    <w:uiPriority w:val="9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pPr>
      <w:tabs>
        <w:tab w:val="clear" w:pos="567"/>
      </w:tabs>
      <w:snapToGrid/>
      <w:spacing w:line="240" w:lineRule="auto"/>
    </w:pPr>
    <w:rPr>
      <w:rFonts w:eastAsia="SimSun"/>
      <w:noProof/>
      <w:szCs w:val="22"/>
      <w:lang w:val="x-none" w:eastAsia="x-none"/>
    </w:rPr>
  </w:style>
  <w:style w:type="paragraph" w:customStyle="1" w:styleId="CM40">
    <w:name w:val="CM40"/>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4">
    <w:name w:val="CM4"/>
    <w:basedOn w:val="Default"/>
    <w:next w:val="Default"/>
    <w:uiPriority w:val="99"/>
    <w:pPr>
      <w:widowControl w:val="0"/>
      <w:spacing w:line="256" w:lineRule="atLeast"/>
    </w:pPr>
    <w:rPr>
      <w:rFonts w:ascii="HYCVXI+TimesNewRoman" w:eastAsia="Times New Roman" w:hAnsi="HYCVXI+TimesNewRoman"/>
      <w:color w:val="auto"/>
      <w:lang w:val="pl-PL" w:eastAsia="pl-PL"/>
    </w:rPr>
  </w:style>
  <w:style w:type="paragraph" w:customStyle="1" w:styleId="CM46">
    <w:name w:val="CM46"/>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54">
    <w:name w:val="CM54"/>
    <w:basedOn w:val="Default"/>
    <w:next w:val="Default"/>
    <w:uiPriority w:val="99"/>
    <w:pPr>
      <w:widowControl w:val="0"/>
    </w:pPr>
    <w:rPr>
      <w:rFonts w:ascii="HYCVXI+TimesNewRoman" w:eastAsia="Times New Roman" w:hAnsi="HYCVXI+TimesNewRoman"/>
      <w:color w:val="auto"/>
      <w:lang w:val="pl-PL" w:eastAsia="pl-PL"/>
    </w:rPr>
  </w:style>
  <w:style w:type="character" w:styleId="Komentaronuoroda">
    <w:name w:val="annotation reference"/>
    <w:uiPriority w:val="99"/>
    <w:semiHidden/>
    <w:unhideWhenUsed/>
    <w:rPr>
      <w:sz w:val="16"/>
      <w:szCs w:val="16"/>
    </w:rPr>
  </w:style>
  <w:style w:type="character" w:styleId="Puslapionumeris">
    <w:name w:val="page number"/>
    <w:uiPriority w:val="99"/>
    <w:semiHidden/>
    <w:unhideWhenUsed/>
    <w:rPr>
      <w:rFonts w:ascii="Times New Roman" w:hAnsi="Times New Roman" w:cs="Times New Roman" w:hint="default"/>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AntratsDiagrama">
    <w:name w:val="Antraštės Diagrama"/>
    <w:basedOn w:val="Numatytasispastraiposriftas"/>
    <w:link w:val="Antrats"/>
    <w:uiPriority w:val="99"/>
    <w:semiHidden/>
    <w:locked/>
    <w:rPr>
      <w:rFonts w:ascii="Times New Roman" w:eastAsia="SimSun" w:hAnsi="Times New Roman" w:cs="Times New Roman"/>
      <w:szCs w:val="20"/>
      <w:lang w:val="en-GB" w:eastAsia="zh-CN"/>
    </w:rPr>
  </w:style>
  <w:style w:type="character" w:customStyle="1" w:styleId="CharChar12">
    <w:name w:val="Char Char12"/>
    <w:locked/>
    <w:rPr>
      <w:snapToGrid w:val="0"/>
      <w:lang w:val="en-GB" w:eastAsia="en-US" w:bidi="ar-SA"/>
    </w:r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pPr>
      <w:ind w:left="720"/>
      <w:contextualSpacing/>
    </w:pPr>
  </w:style>
  <w:style w:type="table" w:styleId="Lentelstinklelis">
    <w:name w:val="Table Grid"/>
    <w:basedOn w:val="prastojilentel"/>
    <w:uiPriority w:val="39"/>
    <w:rsid w:val="00C74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5592AA8C25CE42A5E1971CC9B371FA" ma:contentTypeVersion="14" ma:contentTypeDescription="Create a new document." ma:contentTypeScope="" ma:versionID="5aa7fabd26ff2b581e63632db8a08f25">
  <xsd:schema xmlns:xsd="http://www.w3.org/2001/XMLSchema" xmlns:xs="http://www.w3.org/2001/XMLSchema" xmlns:p="http://schemas.microsoft.com/office/2006/metadata/properties" xmlns:ns3="082a76c7-1fd0-4e68-83ca-7cb70845f165" xmlns:ns4="f75df30b-8721-4e88-b02f-bee0fe1f9bd3" targetNamespace="http://schemas.microsoft.com/office/2006/metadata/properties" ma:root="true" ma:fieldsID="e2ab73908992c1344a86e1abea682b5c" ns3:_="" ns4:_="">
    <xsd:import namespace="082a76c7-1fd0-4e68-83ca-7cb70845f165"/>
    <xsd:import namespace="f75df30b-8721-4e88-b02f-bee0fe1f9b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76c7-1fd0-4e68-83ca-7cb70845f1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df30b-8721-4e88-b02f-bee0fe1f9b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FBFF8-0BA8-4609-9CDA-DC1CF4A26DAF}">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DDB56896-17D2-4F25-A766-B3FB87FA06D1}">
  <ds:schemaRefs>
    <ds:schemaRef ds:uri="http://schemas.openxmlformats.org/officeDocument/2006/bibliography"/>
  </ds:schemaRefs>
</ds:datastoreItem>
</file>

<file path=customXml/itemProps3.xml><?xml version="1.0" encoding="utf-8"?>
<ds:datastoreItem xmlns:ds="http://schemas.openxmlformats.org/officeDocument/2006/customXml" ds:itemID="{4DD36775-2A5A-4BCB-A7B4-93F98AA8F422}">
  <ds:schemaRefs>
    <ds:schemaRef ds:uri="http://schemas.microsoft.com/sharepoint/v3/contenttype/forms"/>
  </ds:schemaRefs>
</ds:datastoreItem>
</file>

<file path=customXml/itemProps4.xml><?xml version="1.0" encoding="utf-8"?>
<ds:datastoreItem xmlns:ds="http://schemas.openxmlformats.org/officeDocument/2006/customXml" ds:itemID="{90F8FEDC-03D1-47F9-AA83-748E6FA61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76c7-1fd0-4e68-83ca-7cb70845f165"/>
    <ds:schemaRef ds:uri="f75df30b-8721-4e88-b02f-bee0fe1f9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D5B590-ED23-4B68-9C9A-9520010A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8DEEB5-552A-4657-B0CA-BA94F3BED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9500</Words>
  <Characters>5415</Characters>
  <Application>Microsoft Office Word</Application>
  <DocSecurity>0</DocSecurity>
  <Lines>45</Lines>
  <Paragraphs>29</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Lithuanian</dc:creator>
  <cp:lastModifiedBy>Birutė Valkauskaitė</cp:lastModifiedBy>
  <cp:revision>2</cp:revision>
  <dcterms:created xsi:type="dcterms:W3CDTF">2026-03-30T10:09:00Z</dcterms:created>
  <dcterms:modified xsi:type="dcterms:W3CDTF">2026-03-30T10:09:00Z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163080ddf9cf59cf57d4348b2c98824843534208bdf72d6ee7039de9cbbe8c77</vt:lpwstr>
  </property>
  <property fmtid="{D5CDD505-2E9C-101B-9397-08002B2CF9AE}" pid="3" name="ContentTypeId">
    <vt:lpwstr>0x01010024448ADDA094B941BF150AA70B0E97EF</vt:lpwstr>
  </property>
  <property fmtid="{D5CDD505-2E9C-101B-9397-08002B2CF9AE}" pid="4" name="_activity">
    <vt:lpwstr/>
  </property>
</Properties>
</file>