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7AFF" w14:textId="77777777" w:rsidR="0080785C" w:rsidRPr="0080785C" w:rsidRDefault="0080785C" w:rsidP="0080785C">
      <w:pPr>
        <w:jc w:val="center"/>
        <w:rPr>
          <w:rFonts w:ascii="Times New Roman" w:hAnsi="Times New Roman"/>
          <w:b/>
          <w:bCs/>
          <w:sz w:val="22"/>
          <w:szCs w:val="22"/>
          <w:lang w:val="lt-LT"/>
        </w:rPr>
      </w:pPr>
      <w:r w:rsidRPr="0080785C">
        <w:rPr>
          <w:rFonts w:ascii="Times New Roman" w:hAnsi="Times New Roman"/>
          <w:b/>
          <w:bCs/>
          <w:sz w:val="22"/>
          <w:szCs w:val="22"/>
          <w:lang w:val="lt-LT" w:bidi="lt-LT"/>
        </w:rPr>
        <w:t>Pakuotės lapelis: informacija vartotojui</w:t>
      </w:r>
    </w:p>
    <w:p w14:paraId="14BD6327" w14:textId="77777777" w:rsidR="0080785C" w:rsidRPr="0080785C" w:rsidRDefault="0080785C" w:rsidP="0080785C">
      <w:pPr>
        <w:jc w:val="center"/>
        <w:rPr>
          <w:rFonts w:ascii="Times New Roman" w:hAnsi="Times New Roman"/>
          <w:b/>
          <w:bCs/>
          <w:sz w:val="22"/>
          <w:szCs w:val="22"/>
          <w:lang w:val="lt-LT"/>
        </w:rPr>
      </w:pPr>
    </w:p>
    <w:p w14:paraId="409192D4" w14:textId="77777777" w:rsidR="0080785C" w:rsidRPr="0080785C" w:rsidRDefault="0080785C" w:rsidP="0080785C">
      <w:pPr>
        <w:jc w:val="center"/>
        <w:rPr>
          <w:rFonts w:ascii="Times New Roman" w:hAnsi="Times New Roman"/>
          <w:b/>
          <w:bCs/>
          <w:sz w:val="22"/>
          <w:szCs w:val="22"/>
          <w:lang w:val="lt-LT"/>
        </w:rPr>
      </w:pPr>
      <w:proofErr w:type="spellStart"/>
      <w:r w:rsidRPr="0080785C">
        <w:rPr>
          <w:rFonts w:ascii="Times New Roman" w:hAnsi="Times New Roman"/>
          <w:b/>
          <w:bCs/>
          <w:sz w:val="22"/>
          <w:szCs w:val="22"/>
          <w:lang w:val="lt-LT" w:bidi="lt-LT"/>
        </w:rPr>
        <w:t>Bonadix</w:t>
      </w:r>
      <w:proofErr w:type="spellEnd"/>
      <w:r w:rsidRPr="0080785C">
        <w:rPr>
          <w:rFonts w:ascii="Times New Roman" w:hAnsi="Times New Roman"/>
          <w:b/>
          <w:bCs/>
          <w:sz w:val="22"/>
          <w:szCs w:val="22"/>
          <w:lang w:val="lt-LT" w:bidi="lt-LT"/>
        </w:rPr>
        <w:t xml:space="preserve"> 3 mg/0,25 mg/ml ausų lašai (tirpalas </w:t>
      </w:r>
      <w:proofErr w:type="spellStart"/>
      <w:r w:rsidRPr="0080785C">
        <w:rPr>
          <w:rFonts w:ascii="Times New Roman" w:hAnsi="Times New Roman"/>
          <w:b/>
          <w:bCs/>
          <w:sz w:val="22"/>
          <w:szCs w:val="22"/>
          <w:lang w:val="lt-LT" w:bidi="lt-LT"/>
        </w:rPr>
        <w:t>vienadozėje</w:t>
      </w:r>
      <w:proofErr w:type="spellEnd"/>
      <w:r w:rsidRPr="0080785C">
        <w:rPr>
          <w:rFonts w:ascii="Times New Roman" w:hAnsi="Times New Roman"/>
          <w:b/>
          <w:bCs/>
          <w:sz w:val="22"/>
          <w:szCs w:val="22"/>
          <w:lang w:val="lt-LT" w:bidi="lt-LT"/>
        </w:rPr>
        <w:t xml:space="preserve"> </w:t>
      </w:r>
      <w:proofErr w:type="spellStart"/>
      <w:r w:rsidRPr="0080785C">
        <w:rPr>
          <w:rFonts w:ascii="Times New Roman" w:hAnsi="Times New Roman"/>
          <w:b/>
          <w:bCs/>
          <w:sz w:val="22"/>
          <w:szCs w:val="22"/>
          <w:lang w:val="lt-LT" w:bidi="lt-LT"/>
        </w:rPr>
        <w:t>talpyklėje</w:t>
      </w:r>
      <w:proofErr w:type="spellEnd"/>
      <w:r w:rsidRPr="0080785C">
        <w:rPr>
          <w:rFonts w:ascii="Times New Roman" w:hAnsi="Times New Roman"/>
          <w:b/>
          <w:bCs/>
          <w:sz w:val="22"/>
          <w:szCs w:val="22"/>
          <w:lang w:val="lt-LT" w:bidi="lt-LT"/>
        </w:rPr>
        <w:t>)</w:t>
      </w:r>
    </w:p>
    <w:p w14:paraId="2BBAA9AE" w14:textId="77777777" w:rsidR="0080785C" w:rsidRPr="0080785C" w:rsidRDefault="0080785C" w:rsidP="0080785C">
      <w:pPr>
        <w:jc w:val="center"/>
        <w:rPr>
          <w:lang w:val="lt-LT"/>
        </w:rPr>
      </w:pPr>
      <w:proofErr w:type="spellStart"/>
      <w:r w:rsidRPr="0080785C">
        <w:rPr>
          <w:rFonts w:ascii="Times New Roman" w:hAnsi="Times New Roman"/>
          <w:sz w:val="22"/>
          <w:szCs w:val="22"/>
          <w:lang w:val="lt-LT" w:bidi="lt-LT"/>
        </w:rPr>
        <w:t>ciprofloksacinas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fluocinolono</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acetonidas</w:t>
      </w:r>
      <w:proofErr w:type="spellEnd"/>
    </w:p>
    <w:p w14:paraId="330C49CF"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9785C9E" w14:textId="77777777" w:rsidR="0080785C" w:rsidRPr="0080785C" w:rsidRDefault="0080785C" w:rsidP="0080785C">
      <w:pPr>
        <w:autoSpaceDE w:val="0"/>
        <w:autoSpaceDN w:val="0"/>
        <w:adjustRightInd w:val="0"/>
        <w:jc w:val="both"/>
        <w:rPr>
          <w:rFonts w:ascii="Times New Roman" w:hAnsi="Times New Roman"/>
          <w:b/>
          <w:bCs/>
          <w:sz w:val="22"/>
          <w:szCs w:val="22"/>
          <w:lang w:val="lt-LT"/>
        </w:rPr>
      </w:pPr>
      <w:r w:rsidRPr="0080785C">
        <w:rPr>
          <w:rFonts w:ascii="Times New Roman" w:hAnsi="Times New Roman"/>
          <w:b/>
          <w:sz w:val="22"/>
          <w:szCs w:val="22"/>
          <w:lang w:val="lt-LT" w:bidi="lt-LT"/>
        </w:rPr>
        <w:t>Atidžiai perskaitykite visą šį lapelį, prieš pradėdami vartoti vaistą, nes jame pateikiama Jums svarbi informacija.</w:t>
      </w:r>
    </w:p>
    <w:p w14:paraId="1986121C" w14:textId="77777777" w:rsidR="0080785C" w:rsidRPr="0080785C" w:rsidRDefault="0080785C" w:rsidP="0080785C">
      <w:p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 </w:t>
      </w:r>
      <w:r w:rsidRPr="0080785C">
        <w:rPr>
          <w:rFonts w:ascii="Times New Roman" w:hAnsi="Times New Roman"/>
          <w:sz w:val="22"/>
          <w:szCs w:val="22"/>
          <w:lang w:val="lt-LT" w:bidi="lt-LT"/>
        </w:rPr>
        <w:tab/>
        <w:t>Neišmeskite šio lapelio, nes vėl gali prireikti jį perskaityti.</w:t>
      </w:r>
    </w:p>
    <w:p w14:paraId="477187A0" w14:textId="77777777" w:rsidR="0080785C" w:rsidRPr="0080785C" w:rsidRDefault="0080785C" w:rsidP="0080785C">
      <w:p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 </w:t>
      </w:r>
      <w:r w:rsidRPr="0080785C">
        <w:rPr>
          <w:rFonts w:ascii="Times New Roman" w:hAnsi="Times New Roman"/>
          <w:sz w:val="22"/>
          <w:szCs w:val="22"/>
          <w:lang w:val="lt-LT" w:bidi="lt-LT"/>
        </w:rPr>
        <w:tab/>
        <w:t>Jeigu kiltų daugiau klausimų, kreipkitės į gydytoją arba vaistininką.</w:t>
      </w:r>
    </w:p>
    <w:p w14:paraId="696CDB97" w14:textId="77777777" w:rsidR="0080785C" w:rsidRPr="0080785C" w:rsidRDefault="0080785C" w:rsidP="0080785C">
      <w:p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 </w:t>
      </w:r>
      <w:r w:rsidRPr="0080785C">
        <w:rPr>
          <w:rFonts w:ascii="Times New Roman" w:hAnsi="Times New Roman"/>
          <w:sz w:val="22"/>
          <w:szCs w:val="22"/>
          <w:lang w:val="lt-LT" w:bidi="lt-LT"/>
        </w:rPr>
        <w:tab/>
        <w:t>Šis vaistas skirtas tik Jums, todėl kitiems žmonėms jo duoti negalima. Vaistas gali jiems pakenkti (net tiems, kurių ligos požymiai yra tokie patys kaip Jūsų).</w:t>
      </w:r>
    </w:p>
    <w:p w14:paraId="1031213A" w14:textId="77777777" w:rsidR="0080785C" w:rsidRPr="0080785C" w:rsidRDefault="0080785C" w:rsidP="0080785C">
      <w:p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 </w:t>
      </w:r>
      <w:r w:rsidRPr="0080785C">
        <w:rPr>
          <w:rFonts w:ascii="Times New Roman" w:hAnsi="Times New Roman"/>
          <w:sz w:val="22"/>
          <w:szCs w:val="22"/>
          <w:lang w:val="lt-LT" w:bidi="lt-LT"/>
        </w:rPr>
        <w:tab/>
        <w:t>Jeigu pasireiškė šalutinis poveikis (net jeigu jis šiame lapelyje nenurodytas), kreipkitės į gydytoją arba vaistininką. Žr. 4 skyrių.</w:t>
      </w:r>
    </w:p>
    <w:p w14:paraId="47D45ABA"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38A9754D"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b/>
          <w:sz w:val="22"/>
          <w:szCs w:val="22"/>
          <w:lang w:val="lt-LT" w:bidi="lt-LT"/>
        </w:rPr>
        <w:t>Apie ką rašoma šiame lapelyje?</w:t>
      </w:r>
    </w:p>
    <w:p w14:paraId="5805DBBF" w14:textId="77777777" w:rsidR="0080785C" w:rsidRPr="0080785C" w:rsidRDefault="0080785C" w:rsidP="0080785C">
      <w:pPr>
        <w:autoSpaceDE w:val="0"/>
        <w:autoSpaceDN w:val="0"/>
        <w:adjustRightInd w:val="0"/>
        <w:jc w:val="both"/>
        <w:rPr>
          <w:rFonts w:ascii="Times New Roman" w:hAnsi="Times New Roman"/>
          <w:sz w:val="22"/>
          <w:szCs w:val="22"/>
          <w:u w:val="single"/>
          <w:lang w:val="lt-LT"/>
        </w:rPr>
      </w:pPr>
    </w:p>
    <w:p w14:paraId="73CC00E1"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r w:rsidRPr="0080785C">
        <w:rPr>
          <w:rFonts w:ascii="Times New Roman" w:hAnsi="Times New Roman"/>
          <w:sz w:val="22"/>
          <w:szCs w:val="22"/>
          <w:lang w:val="lt-LT" w:bidi="lt-LT"/>
        </w:rPr>
        <w:t xml:space="preserve">1. </w:t>
      </w:r>
      <w:r w:rsidRPr="0080785C">
        <w:rPr>
          <w:rFonts w:ascii="Times New Roman" w:hAnsi="Times New Roman"/>
          <w:sz w:val="22"/>
          <w:szCs w:val="22"/>
          <w:lang w:val="lt-LT" w:bidi="lt-LT"/>
        </w:rPr>
        <w:tab/>
        <w:t xml:space="preserve">Kas yra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ir kam jis vartojamas</w:t>
      </w:r>
    </w:p>
    <w:p w14:paraId="744AB76A"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r w:rsidRPr="0080785C">
        <w:rPr>
          <w:rFonts w:ascii="Times New Roman" w:hAnsi="Times New Roman"/>
          <w:sz w:val="22"/>
          <w:szCs w:val="22"/>
          <w:lang w:val="lt-LT" w:bidi="lt-LT"/>
        </w:rPr>
        <w:t xml:space="preserve">2. </w:t>
      </w:r>
      <w:r w:rsidRPr="0080785C">
        <w:rPr>
          <w:rFonts w:ascii="Times New Roman" w:hAnsi="Times New Roman"/>
          <w:sz w:val="22"/>
          <w:szCs w:val="22"/>
          <w:lang w:val="lt-LT" w:bidi="lt-LT"/>
        </w:rPr>
        <w:tab/>
        <w:t xml:space="preserve">Kas žinotina prieš vartojant </w:t>
      </w:r>
      <w:proofErr w:type="spellStart"/>
      <w:r w:rsidRPr="0080785C">
        <w:rPr>
          <w:rFonts w:ascii="Times New Roman" w:hAnsi="Times New Roman"/>
          <w:sz w:val="22"/>
          <w:szCs w:val="22"/>
          <w:lang w:val="lt-LT" w:bidi="lt-LT"/>
        </w:rPr>
        <w:t>Bonadix</w:t>
      </w:r>
      <w:proofErr w:type="spellEnd"/>
    </w:p>
    <w:p w14:paraId="716B4B20"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r w:rsidRPr="0080785C">
        <w:rPr>
          <w:rFonts w:ascii="Times New Roman" w:hAnsi="Times New Roman"/>
          <w:sz w:val="22"/>
          <w:szCs w:val="22"/>
          <w:lang w:val="lt-LT" w:bidi="lt-LT"/>
        </w:rPr>
        <w:t xml:space="preserve">3. </w:t>
      </w:r>
      <w:r w:rsidRPr="0080785C">
        <w:rPr>
          <w:rFonts w:ascii="Times New Roman" w:hAnsi="Times New Roman"/>
          <w:sz w:val="22"/>
          <w:szCs w:val="22"/>
          <w:lang w:val="lt-LT" w:bidi="lt-LT"/>
        </w:rPr>
        <w:tab/>
        <w:t xml:space="preserve">Kaip vartoti </w:t>
      </w:r>
      <w:proofErr w:type="spellStart"/>
      <w:r w:rsidRPr="0080785C">
        <w:rPr>
          <w:rFonts w:ascii="Times New Roman" w:hAnsi="Times New Roman"/>
          <w:sz w:val="22"/>
          <w:szCs w:val="22"/>
          <w:lang w:val="lt-LT" w:bidi="lt-LT"/>
        </w:rPr>
        <w:t>Bonadix</w:t>
      </w:r>
      <w:proofErr w:type="spellEnd"/>
    </w:p>
    <w:p w14:paraId="3C2E00F0"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r w:rsidRPr="0080785C">
        <w:rPr>
          <w:rFonts w:ascii="Times New Roman" w:hAnsi="Times New Roman"/>
          <w:sz w:val="22"/>
          <w:szCs w:val="22"/>
          <w:lang w:val="lt-LT" w:bidi="lt-LT"/>
        </w:rPr>
        <w:t xml:space="preserve">4. </w:t>
      </w:r>
      <w:r w:rsidRPr="0080785C">
        <w:rPr>
          <w:rFonts w:ascii="Times New Roman" w:hAnsi="Times New Roman"/>
          <w:sz w:val="22"/>
          <w:szCs w:val="22"/>
          <w:lang w:val="lt-LT" w:bidi="lt-LT"/>
        </w:rPr>
        <w:tab/>
        <w:t>Galimas šalutinis poveikis</w:t>
      </w:r>
    </w:p>
    <w:p w14:paraId="4BE6C9D5"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r w:rsidRPr="0080785C">
        <w:rPr>
          <w:rFonts w:ascii="Times New Roman" w:hAnsi="Times New Roman"/>
          <w:sz w:val="22"/>
          <w:szCs w:val="22"/>
          <w:lang w:val="lt-LT" w:bidi="lt-LT"/>
        </w:rPr>
        <w:t>5.</w:t>
      </w:r>
      <w:r w:rsidRPr="0080785C">
        <w:rPr>
          <w:rFonts w:ascii="Times New Roman" w:hAnsi="Times New Roman"/>
          <w:sz w:val="22"/>
          <w:szCs w:val="22"/>
          <w:lang w:val="lt-LT" w:bidi="lt-LT"/>
        </w:rPr>
        <w:tab/>
        <w:t xml:space="preserve">Kaip laikyti </w:t>
      </w:r>
      <w:proofErr w:type="spellStart"/>
      <w:r w:rsidRPr="0080785C">
        <w:rPr>
          <w:rFonts w:ascii="Times New Roman" w:hAnsi="Times New Roman"/>
          <w:sz w:val="22"/>
          <w:szCs w:val="22"/>
          <w:lang w:val="lt-LT" w:bidi="lt-LT"/>
        </w:rPr>
        <w:t>Bonadix</w:t>
      </w:r>
      <w:proofErr w:type="spellEnd"/>
    </w:p>
    <w:p w14:paraId="6FD9D7A1"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r w:rsidRPr="0080785C">
        <w:rPr>
          <w:rFonts w:ascii="Times New Roman" w:hAnsi="Times New Roman"/>
          <w:sz w:val="22"/>
          <w:szCs w:val="22"/>
          <w:lang w:val="lt-LT" w:bidi="lt-LT"/>
        </w:rPr>
        <w:t xml:space="preserve">6. </w:t>
      </w:r>
      <w:r w:rsidRPr="0080785C">
        <w:rPr>
          <w:rFonts w:ascii="Times New Roman" w:hAnsi="Times New Roman"/>
          <w:sz w:val="22"/>
          <w:szCs w:val="22"/>
          <w:lang w:val="lt-LT" w:bidi="lt-LT"/>
        </w:rPr>
        <w:tab/>
        <w:t>Pakuotės turinys ir kita informacija</w:t>
      </w:r>
    </w:p>
    <w:p w14:paraId="133220DF"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0523B55A" w14:textId="77777777" w:rsidR="0080785C" w:rsidRPr="0080785C" w:rsidRDefault="0080785C" w:rsidP="0080785C">
      <w:pPr>
        <w:autoSpaceDE w:val="0"/>
        <w:autoSpaceDN w:val="0"/>
        <w:adjustRightInd w:val="0"/>
        <w:ind w:left="360" w:hanging="360"/>
        <w:jc w:val="both"/>
        <w:rPr>
          <w:rFonts w:ascii="Times New Roman" w:hAnsi="Times New Roman"/>
          <w:sz w:val="22"/>
          <w:szCs w:val="22"/>
          <w:lang w:val="lt-LT"/>
        </w:rPr>
      </w:pPr>
    </w:p>
    <w:p w14:paraId="45F0E2DC" w14:textId="77777777" w:rsidR="0080785C" w:rsidRPr="0080785C" w:rsidRDefault="0080785C" w:rsidP="0080785C">
      <w:pPr>
        <w:autoSpaceDE w:val="0"/>
        <w:autoSpaceDN w:val="0"/>
        <w:adjustRightInd w:val="0"/>
        <w:ind w:left="567" w:hanging="567"/>
        <w:jc w:val="both"/>
        <w:rPr>
          <w:rFonts w:ascii="Times New Roman" w:hAnsi="Times New Roman"/>
          <w:b/>
          <w:sz w:val="22"/>
          <w:szCs w:val="22"/>
          <w:lang w:val="lt-LT"/>
        </w:rPr>
      </w:pPr>
      <w:r w:rsidRPr="0080785C">
        <w:rPr>
          <w:rFonts w:ascii="Times New Roman" w:hAnsi="Times New Roman"/>
          <w:b/>
          <w:sz w:val="22"/>
          <w:szCs w:val="22"/>
          <w:lang w:val="lt-LT" w:bidi="lt-LT"/>
        </w:rPr>
        <w:t>1.</w:t>
      </w:r>
      <w:r w:rsidRPr="0080785C">
        <w:rPr>
          <w:rFonts w:ascii="Times New Roman" w:hAnsi="Times New Roman"/>
          <w:b/>
          <w:sz w:val="22"/>
          <w:szCs w:val="22"/>
          <w:lang w:val="lt-LT" w:bidi="lt-LT"/>
        </w:rPr>
        <w:tab/>
        <w:t xml:space="preserve">Kas yra </w:t>
      </w:r>
      <w:proofErr w:type="spellStart"/>
      <w:r w:rsidRPr="0080785C">
        <w:rPr>
          <w:rFonts w:ascii="Times New Roman" w:hAnsi="Times New Roman"/>
          <w:b/>
          <w:bCs/>
          <w:sz w:val="22"/>
          <w:szCs w:val="22"/>
          <w:lang w:val="lt-LT" w:bidi="lt-LT"/>
        </w:rPr>
        <w:t>Bonadix</w:t>
      </w:r>
      <w:proofErr w:type="spellEnd"/>
      <w:r w:rsidRPr="0080785C">
        <w:rPr>
          <w:rFonts w:ascii="Times New Roman" w:hAnsi="Times New Roman"/>
          <w:b/>
          <w:sz w:val="22"/>
          <w:szCs w:val="22"/>
          <w:lang w:val="lt-LT" w:bidi="lt-LT"/>
        </w:rPr>
        <w:t xml:space="preserve"> ir kam jis vartojamas</w:t>
      </w:r>
    </w:p>
    <w:p w14:paraId="453BEF5C"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275A634E" w14:textId="77777777" w:rsidR="0080785C" w:rsidRPr="0080785C" w:rsidRDefault="0080785C" w:rsidP="0080785C">
      <w:pPr>
        <w:autoSpaceDE w:val="0"/>
        <w:autoSpaceDN w:val="0"/>
        <w:adjustRightInd w:val="0"/>
        <w:jc w:val="both"/>
        <w:rPr>
          <w:rFonts w:ascii="Times New Roman" w:hAnsi="Times New Roman"/>
          <w:sz w:val="22"/>
          <w:szCs w:val="22"/>
          <w:lang w:val="lt-LT"/>
        </w:rPr>
      </w:pP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yra tirpalas, skirtas vartoti į ausis. Jo sudėtyje yra:</w:t>
      </w:r>
    </w:p>
    <w:p w14:paraId="51A07ABB" w14:textId="77777777" w:rsidR="0080785C" w:rsidRPr="0080785C" w:rsidRDefault="0080785C" w:rsidP="0080785C">
      <w:pPr>
        <w:pStyle w:val="Sraopastraipa"/>
        <w:numPr>
          <w:ilvl w:val="0"/>
          <w:numId w:val="2"/>
        </w:numPr>
        <w:autoSpaceDE w:val="0"/>
        <w:autoSpaceDN w:val="0"/>
        <w:adjustRightInd w:val="0"/>
        <w:ind w:left="567" w:hanging="567"/>
        <w:jc w:val="both"/>
        <w:rPr>
          <w:rFonts w:ascii="Times New Roman" w:hAnsi="Times New Roman"/>
          <w:sz w:val="22"/>
          <w:szCs w:val="22"/>
          <w:lang w:val="lt-LT"/>
        </w:rPr>
      </w:pPr>
      <w:proofErr w:type="spellStart"/>
      <w:r w:rsidRPr="0080785C">
        <w:rPr>
          <w:rFonts w:ascii="Times New Roman" w:hAnsi="Times New Roman"/>
          <w:sz w:val="22"/>
          <w:szCs w:val="22"/>
          <w:lang w:val="lt-LT" w:bidi="lt-LT"/>
        </w:rPr>
        <w:t>ciprofloksacino</w:t>
      </w:r>
      <w:proofErr w:type="spellEnd"/>
      <w:r w:rsidRPr="0080785C">
        <w:rPr>
          <w:rFonts w:ascii="Times New Roman" w:hAnsi="Times New Roman"/>
          <w:sz w:val="22"/>
          <w:szCs w:val="22"/>
          <w:lang w:val="lt-LT" w:bidi="lt-LT"/>
        </w:rPr>
        <w:t xml:space="preserve"> – </w:t>
      </w:r>
      <w:proofErr w:type="spellStart"/>
      <w:r w:rsidRPr="0080785C">
        <w:rPr>
          <w:rFonts w:ascii="Times New Roman" w:hAnsi="Times New Roman"/>
          <w:sz w:val="22"/>
          <w:szCs w:val="22"/>
          <w:lang w:val="lt-LT" w:bidi="lt-LT"/>
        </w:rPr>
        <w:t>fluorochinolonų</w:t>
      </w:r>
      <w:proofErr w:type="spellEnd"/>
      <w:r w:rsidRPr="0080785C">
        <w:rPr>
          <w:rFonts w:ascii="Times New Roman" w:hAnsi="Times New Roman"/>
          <w:sz w:val="22"/>
          <w:szCs w:val="22"/>
          <w:lang w:val="lt-LT" w:bidi="lt-LT"/>
        </w:rPr>
        <w:t xml:space="preserve"> grupei priklausančio antibiotiko, kuris naikina infekcijas sukeliančias bakterijas, </w:t>
      </w:r>
    </w:p>
    <w:p w14:paraId="14913825" w14:textId="77777777" w:rsidR="0080785C" w:rsidRPr="0080785C" w:rsidRDefault="0080785C" w:rsidP="0080785C">
      <w:pPr>
        <w:pStyle w:val="Sraopastraipa"/>
        <w:numPr>
          <w:ilvl w:val="0"/>
          <w:numId w:val="2"/>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ir </w:t>
      </w:r>
      <w:proofErr w:type="spellStart"/>
      <w:r w:rsidRPr="0080785C">
        <w:rPr>
          <w:rFonts w:ascii="Times New Roman" w:hAnsi="Times New Roman"/>
          <w:sz w:val="22"/>
          <w:szCs w:val="22"/>
          <w:lang w:val="lt-LT" w:bidi="lt-LT"/>
        </w:rPr>
        <w:t>fluocinolono</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acetonido</w:t>
      </w:r>
      <w:proofErr w:type="spellEnd"/>
      <w:r w:rsidRPr="0080785C">
        <w:rPr>
          <w:rFonts w:ascii="Times New Roman" w:hAnsi="Times New Roman"/>
          <w:sz w:val="22"/>
          <w:szCs w:val="22"/>
          <w:lang w:val="lt-LT" w:bidi="lt-LT"/>
        </w:rPr>
        <w:t xml:space="preserve"> – uždegimą ir skausmą malšinančiomis savybėmis pasižyminčio kortikosteroido patinimui ir skausmui gydyti.</w:t>
      </w:r>
    </w:p>
    <w:p w14:paraId="22239F9C"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4BAEF80A"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Jis vartojamas suaugusiesiems ir 6 mėnesių bei vyresniems vaikams ūminiam išorinės ausies uždegimui (išorinės ausies infekcijai) ir vidurinės ausies uždegimui (vidurinės ausies infekcijai), kai yra implantuotas ausies drenavimo vamzdelis (</w:t>
      </w:r>
      <w:proofErr w:type="spellStart"/>
      <w:r w:rsidRPr="0080785C">
        <w:rPr>
          <w:rFonts w:ascii="Times New Roman" w:hAnsi="Times New Roman"/>
          <w:sz w:val="22"/>
          <w:szCs w:val="22"/>
          <w:lang w:val="lt-LT" w:bidi="lt-LT"/>
        </w:rPr>
        <w:t>timpanostominis</w:t>
      </w:r>
      <w:proofErr w:type="spellEnd"/>
      <w:r w:rsidRPr="0080785C">
        <w:rPr>
          <w:rFonts w:ascii="Times New Roman" w:hAnsi="Times New Roman"/>
          <w:sz w:val="22"/>
          <w:szCs w:val="22"/>
          <w:lang w:val="lt-LT" w:bidi="lt-LT"/>
        </w:rPr>
        <w:t xml:space="preserve"> vamzdelis), gydyti. </w:t>
      </w:r>
    </w:p>
    <w:p w14:paraId="126E85B5"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350C1DB6" w14:textId="77777777" w:rsidR="0080785C" w:rsidRPr="0080785C" w:rsidRDefault="0080785C" w:rsidP="0080785C">
      <w:pPr>
        <w:ind w:right="-2"/>
        <w:rPr>
          <w:rFonts w:ascii="Times New Roman" w:hAnsi="Times New Roman"/>
          <w:sz w:val="22"/>
          <w:szCs w:val="22"/>
          <w:lang w:val="lt-LT"/>
        </w:rPr>
      </w:pPr>
      <w:r w:rsidRPr="0080785C">
        <w:rPr>
          <w:rFonts w:ascii="Times New Roman" w:hAnsi="Times New Roman"/>
          <w:sz w:val="22"/>
          <w:szCs w:val="22"/>
          <w:lang w:val="lt-LT" w:bidi="lt-LT"/>
        </w:rPr>
        <w:t>Jei nesijaučiate geriau arba jei baigus gydymą jaučiatės blogiau, turite kreiptis į gydytoją.</w:t>
      </w:r>
    </w:p>
    <w:p w14:paraId="2CDCA85C"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283391B6"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5D69C71C" w14:textId="77777777" w:rsidR="0080785C" w:rsidRPr="0080785C" w:rsidRDefault="0080785C" w:rsidP="0080785C">
      <w:pPr>
        <w:autoSpaceDE w:val="0"/>
        <w:autoSpaceDN w:val="0"/>
        <w:adjustRightInd w:val="0"/>
        <w:ind w:left="567" w:hanging="567"/>
        <w:jc w:val="both"/>
        <w:rPr>
          <w:rFonts w:ascii="Times New Roman" w:hAnsi="Times New Roman"/>
          <w:b/>
          <w:sz w:val="22"/>
          <w:szCs w:val="22"/>
          <w:lang w:val="lt-LT"/>
        </w:rPr>
      </w:pPr>
      <w:r w:rsidRPr="0080785C">
        <w:rPr>
          <w:rFonts w:ascii="Times New Roman" w:hAnsi="Times New Roman"/>
          <w:b/>
          <w:sz w:val="22"/>
          <w:szCs w:val="22"/>
          <w:lang w:val="lt-LT" w:bidi="lt-LT"/>
        </w:rPr>
        <w:t>2.</w:t>
      </w:r>
      <w:r w:rsidRPr="0080785C">
        <w:rPr>
          <w:rFonts w:ascii="Times New Roman" w:hAnsi="Times New Roman"/>
          <w:b/>
          <w:sz w:val="22"/>
          <w:szCs w:val="22"/>
          <w:lang w:val="lt-LT" w:bidi="lt-LT"/>
        </w:rPr>
        <w:tab/>
        <w:t xml:space="preserve">Kas žinotina prieš vartojant </w:t>
      </w:r>
      <w:proofErr w:type="spellStart"/>
      <w:r w:rsidRPr="0080785C">
        <w:rPr>
          <w:rFonts w:ascii="Times New Roman" w:hAnsi="Times New Roman"/>
          <w:b/>
          <w:bCs/>
          <w:sz w:val="22"/>
          <w:szCs w:val="22"/>
          <w:lang w:val="lt-LT" w:bidi="lt-LT"/>
        </w:rPr>
        <w:t>Bonadix</w:t>
      </w:r>
      <w:proofErr w:type="spellEnd"/>
    </w:p>
    <w:p w14:paraId="3E086EC3"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648E16C3" w14:textId="77777777" w:rsidR="0080785C" w:rsidRPr="0080785C" w:rsidRDefault="0080785C" w:rsidP="0080785C">
      <w:pPr>
        <w:autoSpaceDE w:val="0"/>
        <w:autoSpaceDN w:val="0"/>
        <w:adjustRightInd w:val="0"/>
        <w:jc w:val="both"/>
        <w:rPr>
          <w:rFonts w:ascii="Times New Roman" w:hAnsi="Times New Roman"/>
          <w:b/>
          <w:sz w:val="22"/>
          <w:szCs w:val="22"/>
          <w:lang w:val="lt-LT"/>
        </w:rPr>
      </w:pPr>
      <w:proofErr w:type="spellStart"/>
      <w:r w:rsidRPr="0080785C">
        <w:rPr>
          <w:rFonts w:ascii="Times New Roman" w:hAnsi="Times New Roman"/>
          <w:b/>
          <w:bCs/>
          <w:sz w:val="22"/>
          <w:szCs w:val="22"/>
          <w:lang w:val="lt-LT" w:bidi="lt-LT"/>
        </w:rPr>
        <w:t>Bonadix</w:t>
      </w:r>
      <w:proofErr w:type="spellEnd"/>
      <w:r w:rsidRPr="0080785C">
        <w:rPr>
          <w:rFonts w:ascii="Times New Roman" w:hAnsi="Times New Roman"/>
          <w:b/>
          <w:sz w:val="22"/>
          <w:szCs w:val="22"/>
          <w:lang w:val="lt-LT" w:bidi="lt-LT"/>
        </w:rPr>
        <w:t xml:space="preserve"> vartoti draudžiama:</w:t>
      </w:r>
    </w:p>
    <w:p w14:paraId="3A0C3492" w14:textId="77777777" w:rsidR="0080785C" w:rsidRPr="0080785C" w:rsidRDefault="0080785C" w:rsidP="0080785C">
      <w:pPr>
        <w:numPr>
          <w:ilvl w:val="0"/>
          <w:numId w:val="1"/>
        </w:numPr>
        <w:tabs>
          <w:tab w:val="clear" w:pos="720"/>
        </w:tabs>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jeigu yra alergija (padidėjęs jautrumas) </w:t>
      </w:r>
      <w:proofErr w:type="spellStart"/>
      <w:r w:rsidRPr="0080785C">
        <w:rPr>
          <w:rFonts w:ascii="Times New Roman" w:hAnsi="Times New Roman"/>
          <w:sz w:val="22"/>
          <w:szCs w:val="22"/>
          <w:lang w:val="lt-LT" w:bidi="lt-LT"/>
        </w:rPr>
        <w:t>ciprofloksacinui</w:t>
      </w:r>
      <w:proofErr w:type="spellEnd"/>
      <w:r w:rsidRPr="0080785C">
        <w:rPr>
          <w:rFonts w:ascii="Times New Roman" w:hAnsi="Times New Roman"/>
          <w:sz w:val="22"/>
          <w:szCs w:val="22"/>
          <w:lang w:val="lt-LT" w:bidi="lt-LT"/>
        </w:rPr>
        <w:t xml:space="preserve">, kitiems </w:t>
      </w:r>
      <w:proofErr w:type="spellStart"/>
      <w:r w:rsidRPr="0080785C">
        <w:rPr>
          <w:rFonts w:ascii="Times New Roman" w:hAnsi="Times New Roman"/>
          <w:sz w:val="22"/>
          <w:szCs w:val="22"/>
          <w:lang w:val="lt-LT" w:bidi="lt-LT"/>
        </w:rPr>
        <w:t>chinolonams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fluocinolono</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acetonidui</w:t>
      </w:r>
      <w:proofErr w:type="spellEnd"/>
      <w:r w:rsidRPr="0080785C">
        <w:rPr>
          <w:rFonts w:ascii="Times New Roman" w:hAnsi="Times New Roman"/>
          <w:sz w:val="22"/>
          <w:szCs w:val="22"/>
          <w:lang w:val="lt-LT" w:bidi="lt-LT"/>
        </w:rPr>
        <w:t xml:space="preserve"> arba bet kuriai pagalbinei šio vaisto medžiagai (jos išvardytos 6 skyriuje),</w:t>
      </w:r>
    </w:p>
    <w:p w14:paraId="014996F1" w14:textId="77777777" w:rsidR="0080785C" w:rsidRPr="0080785C" w:rsidRDefault="0080785C" w:rsidP="0080785C">
      <w:pPr>
        <w:pStyle w:val="Sraopastraipa"/>
        <w:numPr>
          <w:ilvl w:val="0"/>
          <w:numId w:val="1"/>
        </w:numPr>
        <w:tabs>
          <w:tab w:val="clear" w:pos="720"/>
        </w:tabs>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jei sergate virusų ar grybelių sukelta ausų infekcija.</w:t>
      </w:r>
    </w:p>
    <w:p w14:paraId="7F303D1D" w14:textId="77777777" w:rsidR="0080785C" w:rsidRPr="0080785C" w:rsidRDefault="0080785C" w:rsidP="0080785C">
      <w:pPr>
        <w:autoSpaceDE w:val="0"/>
        <w:autoSpaceDN w:val="0"/>
        <w:adjustRightInd w:val="0"/>
        <w:ind w:left="360"/>
        <w:jc w:val="both"/>
        <w:rPr>
          <w:rFonts w:ascii="Times New Roman" w:hAnsi="Times New Roman"/>
          <w:sz w:val="22"/>
          <w:szCs w:val="22"/>
          <w:lang w:val="lt-LT"/>
        </w:rPr>
      </w:pPr>
    </w:p>
    <w:p w14:paraId="78A5901F"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Įspėjimai ir atsargumo priemonės</w:t>
      </w:r>
    </w:p>
    <w:p w14:paraId="0296F41F" w14:textId="77777777" w:rsidR="0080785C" w:rsidRPr="0080785C" w:rsidRDefault="0080785C" w:rsidP="0080785C">
      <w:pPr>
        <w:pStyle w:val="Sraopastraipa"/>
        <w:numPr>
          <w:ilvl w:val="0"/>
          <w:numId w:val="1"/>
        </w:numPr>
        <w:tabs>
          <w:tab w:val="clear" w:pos="720"/>
        </w:tabs>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Šis preparatas skirtas tik ausims. Jo negalima nuryti, </w:t>
      </w:r>
      <w:proofErr w:type="spellStart"/>
      <w:r w:rsidRPr="0080785C">
        <w:rPr>
          <w:rFonts w:ascii="Times New Roman" w:hAnsi="Times New Roman"/>
          <w:sz w:val="22"/>
          <w:szCs w:val="22"/>
          <w:lang w:val="lt-LT" w:bidi="lt-LT"/>
        </w:rPr>
        <w:t>injekuoti</w:t>
      </w:r>
      <w:proofErr w:type="spellEnd"/>
      <w:r w:rsidRPr="0080785C">
        <w:rPr>
          <w:rFonts w:ascii="Times New Roman" w:hAnsi="Times New Roman"/>
          <w:sz w:val="22"/>
          <w:szCs w:val="22"/>
          <w:lang w:val="lt-LT" w:bidi="lt-LT"/>
        </w:rPr>
        <w:t xml:space="preserve"> ar įkvėpti. Jo negalima vartoti į akis.</w:t>
      </w:r>
    </w:p>
    <w:p w14:paraId="741FEA4D" w14:textId="77777777" w:rsidR="0080785C" w:rsidRPr="0080785C" w:rsidRDefault="0080785C" w:rsidP="0080785C">
      <w:pPr>
        <w:pStyle w:val="Sraopastraipa"/>
        <w:numPr>
          <w:ilvl w:val="0"/>
          <w:numId w:val="1"/>
        </w:numPr>
        <w:tabs>
          <w:tab w:val="clear" w:pos="720"/>
        </w:tabs>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Jei pradėjus gydymą pasireiškia </w:t>
      </w:r>
      <w:proofErr w:type="spellStart"/>
      <w:r w:rsidRPr="0080785C">
        <w:rPr>
          <w:rFonts w:ascii="Times New Roman" w:hAnsi="Times New Roman"/>
          <w:sz w:val="22"/>
          <w:szCs w:val="22"/>
          <w:lang w:val="lt-LT" w:bidi="lt-LT"/>
        </w:rPr>
        <w:t>urtikarija</w:t>
      </w:r>
      <w:proofErr w:type="spellEnd"/>
      <w:r w:rsidRPr="0080785C">
        <w:rPr>
          <w:rFonts w:ascii="Times New Roman" w:hAnsi="Times New Roman"/>
          <w:sz w:val="22"/>
          <w:szCs w:val="22"/>
          <w:lang w:val="lt-LT" w:bidi="lt-LT"/>
        </w:rPr>
        <w:t xml:space="preserve"> (dilgėlinė), odos išbėrimas arba bet kokių kitų alergijos simptomų (pvz., staigus veido, gerklės ar akių vokų patinimas, kvėpavimo pasunkėjimas), būtina nedelsiant sustabdyti gydymą ir pasitarti su gydytoju. Dėl sunkių padidėjusio jautrumo reakcijų gali prireikti skubios medicinos pagalbos.</w:t>
      </w:r>
    </w:p>
    <w:p w14:paraId="076C9027" w14:textId="77777777" w:rsidR="0080785C" w:rsidRPr="0080785C" w:rsidRDefault="0080785C" w:rsidP="0080785C">
      <w:pPr>
        <w:pStyle w:val="Sraopastraipa"/>
        <w:numPr>
          <w:ilvl w:val="0"/>
          <w:numId w:val="1"/>
        </w:numPr>
        <w:tabs>
          <w:tab w:val="clear" w:pos="720"/>
        </w:tabs>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Pasitarkite su gydytoju, jei iki gydymo pabaigos simptomai nepalengvėja. Kaip ir vartojant kitų antibiotikų, kartais gali pasireikšti papildomos infekcijos, sukeltos organizmų, kurių </w:t>
      </w:r>
      <w:proofErr w:type="spellStart"/>
      <w:r w:rsidRPr="0080785C">
        <w:rPr>
          <w:rFonts w:ascii="Times New Roman" w:hAnsi="Times New Roman"/>
          <w:sz w:val="22"/>
          <w:szCs w:val="22"/>
          <w:lang w:val="lt-LT" w:bidi="lt-LT"/>
        </w:rPr>
        <w:t>ciprofloksacinas</w:t>
      </w:r>
      <w:proofErr w:type="spellEnd"/>
      <w:r w:rsidRPr="0080785C">
        <w:rPr>
          <w:rFonts w:ascii="Times New Roman" w:hAnsi="Times New Roman"/>
          <w:sz w:val="22"/>
          <w:szCs w:val="22"/>
          <w:lang w:val="lt-LT" w:bidi="lt-LT"/>
        </w:rPr>
        <w:t xml:space="preserve"> neveikia. Kilus tokiai infekcijai gydytojas turi pradėti tinkamą gydymą.</w:t>
      </w:r>
    </w:p>
    <w:p w14:paraId="6AE2DC3E" w14:textId="77777777" w:rsidR="0080785C" w:rsidRPr="0080785C" w:rsidRDefault="0080785C" w:rsidP="0080785C">
      <w:pPr>
        <w:pStyle w:val="Sraopastraipa"/>
        <w:numPr>
          <w:ilvl w:val="0"/>
          <w:numId w:val="1"/>
        </w:numPr>
        <w:tabs>
          <w:tab w:val="clear" w:pos="720"/>
        </w:tabs>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Kreipkitės į gydytoją, jei pasireiškia miglotas matymas kitokių regėjimo sutrikimų.</w:t>
      </w:r>
    </w:p>
    <w:p w14:paraId="1C281995" w14:textId="77777777" w:rsidR="0080785C" w:rsidRPr="0080785C" w:rsidRDefault="0080785C" w:rsidP="0080785C">
      <w:pPr>
        <w:pStyle w:val="Sraopastraipa"/>
        <w:autoSpaceDE w:val="0"/>
        <w:autoSpaceDN w:val="0"/>
        <w:adjustRightInd w:val="0"/>
        <w:jc w:val="both"/>
        <w:rPr>
          <w:rFonts w:ascii="Times New Roman" w:hAnsi="Times New Roman"/>
          <w:sz w:val="22"/>
          <w:szCs w:val="22"/>
          <w:lang w:val="lt-LT"/>
        </w:rPr>
      </w:pPr>
    </w:p>
    <w:p w14:paraId="496A21B3"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079BAF31"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Vaikams</w:t>
      </w:r>
    </w:p>
    <w:p w14:paraId="7A9C9223"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Nėra pakankamai klinikinės patirties apie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vartojimą jaunesniems nei 6 mėnesių vaikams, todėl prieš lašindami šio vaisto tokio amžiaus vaikui pasitarkite su gydytoju.</w:t>
      </w:r>
    </w:p>
    <w:p w14:paraId="639F306A"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D113B54"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 xml:space="preserve">Kiti vaistai ir </w:t>
      </w:r>
      <w:proofErr w:type="spellStart"/>
      <w:r w:rsidRPr="0080785C">
        <w:rPr>
          <w:rFonts w:ascii="Times New Roman" w:hAnsi="Times New Roman"/>
          <w:b/>
          <w:bCs/>
          <w:sz w:val="22"/>
          <w:szCs w:val="22"/>
          <w:lang w:val="lt-LT" w:bidi="lt-LT"/>
        </w:rPr>
        <w:t>Bonadix</w:t>
      </w:r>
      <w:proofErr w:type="spellEnd"/>
    </w:p>
    <w:p w14:paraId="491E0A23"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Jeigu vartojate ar neseniai vartojote kitų vaistų, net tų, kurių įsigijote be recepto, arba dėl to nesate tikri, apie tai pasakykite gydytojui arba vaistininkui.</w:t>
      </w:r>
    </w:p>
    <w:p w14:paraId="2077CE0A"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Nerekomenduojama vartoti kartu su kitais vaistais nuo ausų ligų.</w:t>
      </w:r>
    </w:p>
    <w:p w14:paraId="2F2809A2"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2E0667F1"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Nėštumas, žindymo laikotarpis ir vaisingumas</w:t>
      </w:r>
    </w:p>
    <w:p w14:paraId="46CE4518"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Tinkamų, gerai kontroliuojamų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tyrimų su nėščiomis moterimis nėra. Jeigu esate nėščia, žindote kūdikį, manote, kad galbūt esate nėščia arba planuojate pastoti, tai prieš vartodama šį vaistą pasitarkite su gydytoju arba vaistininku.</w:t>
      </w:r>
    </w:p>
    <w:p w14:paraId="723D7A90"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Žindymo laikotarpiu vartojant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reikia laikytis atsargumo, nes nežinoma, ar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patenka į motinos pieną.</w:t>
      </w:r>
    </w:p>
    <w:p w14:paraId="3B93E624"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33F0C86C"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Vairavimas ir mechanizmų valdymas</w:t>
      </w:r>
    </w:p>
    <w:p w14:paraId="3745ACCE"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Turint omenyje šio vaisto savybes ir vartojimo būdą,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nedaro įtakos gebėjimui vairuoti transporto priemones ar valdyti pavojingus mechanizmus.</w:t>
      </w:r>
    </w:p>
    <w:p w14:paraId="07031EF3"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1DC70807"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78BAD69" w14:textId="77777777" w:rsidR="0080785C" w:rsidRPr="0080785C" w:rsidRDefault="0080785C" w:rsidP="0080785C">
      <w:pPr>
        <w:autoSpaceDE w:val="0"/>
        <w:autoSpaceDN w:val="0"/>
        <w:adjustRightInd w:val="0"/>
        <w:ind w:left="567" w:hanging="567"/>
        <w:jc w:val="both"/>
        <w:rPr>
          <w:rFonts w:ascii="Times New Roman" w:hAnsi="Times New Roman"/>
          <w:b/>
          <w:sz w:val="22"/>
          <w:szCs w:val="22"/>
          <w:lang w:val="lt-LT"/>
        </w:rPr>
      </w:pPr>
      <w:r w:rsidRPr="0080785C">
        <w:rPr>
          <w:rFonts w:ascii="Times New Roman" w:hAnsi="Times New Roman"/>
          <w:b/>
          <w:sz w:val="22"/>
          <w:szCs w:val="22"/>
          <w:lang w:val="lt-LT" w:bidi="lt-LT"/>
        </w:rPr>
        <w:t xml:space="preserve">3. </w:t>
      </w:r>
      <w:r w:rsidRPr="0080785C">
        <w:rPr>
          <w:rFonts w:ascii="Times New Roman" w:hAnsi="Times New Roman"/>
          <w:b/>
          <w:sz w:val="22"/>
          <w:szCs w:val="22"/>
          <w:lang w:val="lt-LT" w:bidi="lt-LT"/>
        </w:rPr>
        <w:tab/>
        <w:t xml:space="preserve">Kaip vartoti </w:t>
      </w:r>
      <w:proofErr w:type="spellStart"/>
      <w:r w:rsidRPr="0080785C">
        <w:rPr>
          <w:rFonts w:ascii="Times New Roman" w:hAnsi="Times New Roman"/>
          <w:b/>
          <w:bCs/>
          <w:sz w:val="22"/>
          <w:szCs w:val="22"/>
          <w:lang w:val="lt-LT" w:bidi="lt-LT"/>
        </w:rPr>
        <w:t>Bonadix</w:t>
      </w:r>
      <w:proofErr w:type="spellEnd"/>
    </w:p>
    <w:p w14:paraId="4488902D"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460FF214" w14:textId="77777777" w:rsidR="0080785C" w:rsidRPr="0080785C" w:rsidRDefault="0080785C" w:rsidP="0080785C">
      <w:pPr>
        <w:autoSpaceDE w:val="0"/>
        <w:autoSpaceDN w:val="0"/>
        <w:adjustRightInd w:val="0"/>
        <w:jc w:val="both"/>
        <w:rPr>
          <w:rFonts w:ascii="Times New Roman" w:hAnsi="Times New Roman"/>
          <w:sz w:val="22"/>
          <w:szCs w:val="22"/>
          <w:lang w:val="lt-LT"/>
        </w:rPr>
      </w:pP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skirtas vartoti tik į ausis.</w:t>
      </w:r>
    </w:p>
    <w:p w14:paraId="6CC6BA09" w14:textId="77777777" w:rsidR="0080785C" w:rsidRPr="0080785C" w:rsidRDefault="0080785C" w:rsidP="0080785C">
      <w:pPr>
        <w:autoSpaceDE w:val="0"/>
        <w:autoSpaceDN w:val="0"/>
        <w:adjustRightInd w:val="0"/>
        <w:jc w:val="both"/>
        <w:rPr>
          <w:rFonts w:ascii="Times New Roman" w:hAnsi="Times New Roman"/>
          <w:bCs/>
          <w:sz w:val="22"/>
          <w:szCs w:val="22"/>
          <w:lang w:val="lt-LT"/>
        </w:rPr>
      </w:pPr>
    </w:p>
    <w:p w14:paraId="1EDBE422"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Visada vartokite šį vaistą tiksliai kaip nurodė gydytojas arba vaistininkas. Jeigu abejojate, kreipkitės į gydytoją arba vaistininką.</w:t>
      </w:r>
    </w:p>
    <w:p w14:paraId="74CB9F60"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42AE1A77"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Rekomenduojama dozė suaugusiesiems ir vaikams yra 1 </w:t>
      </w:r>
      <w:proofErr w:type="spellStart"/>
      <w:r w:rsidRPr="0080785C">
        <w:rPr>
          <w:rFonts w:ascii="Times New Roman" w:hAnsi="Times New Roman"/>
          <w:sz w:val="22"/>
          <w:szCs w:val="22"/>
          <w:lang w:val="lt-LT" w:bidi="lt-LT"/>
        </w:rPr>
        <w:t>vienadozės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talpyklės</w:t>
      </w:r>
      <w:proofErr w:type="spellEnd"/>
      <w:r w:rsidRPr="0080785C">
        <w:rPr>
          <w:rFonts w:ascii="Times New Roman" w:hAnsi="Times New Roman"/>
          <w:sz w:val="22"/>
          <w:szCs w:val="22"/>
          <w:lang w:val="lt-LT" w:bidi="lt-LT"/>
        </w:rPr>
        <w:t xml:space="preserve"> turinys į paveiktą ausį du kartus per parą 7 paras. </w:t>
      </w:r>
    </w:p>
    <w:p w14:paraId="2C3A12FC"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4AF71986"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Į abi ausis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lašinkite tik tuo atveju, jei taip nurodė gydytojas.</w:t>
      </w:r>
    </w:p>
    <w:p w14:paraId="049B0A91"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4AF10AD5"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Gydytojas pasakys, kiek laiko truks jūsų gydymas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Kad infekcija nepasikartotų, nenutraukite gydymo anksčiau laiko, net jei ausies (-ų) būklė pagerėjo.</w:t>
      </w:r>
    </w:p>
    <w:p w14:paraId="1C396306"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098A842"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Vartojimo instrukcijos</w:t>
      </w:r>
    </w:p>
    <w:p w14:paraId="5B7BC5F7" w14:textId="77777777" w:rsidR="0080785C" w:rsidRPr="0080785C" w:rsidRDefault="0080785C" w:rsidP="0080785C">
      <w:pPr>
        <w:autoSpaceDE w:val="0"/>
        <w:autoSpaceDN w:val="0"/>
        <w:adjustRightInd w:val="0"/>
        <w:jc w:val="both"/>
        <w:rPr>
          <w:rFonts w:ascii="Times New Roman" w:hAnsi="Times New Roman"/>
          <w:bCs/>
          <w:sz w:val="22"/>
          <w:szCs w:val="22"/>
          <w:lang w:val="lt-LT"/>
        </w:rPr>
      </w:pPr>
    </w:p>
    <w:tbl>
      <w:tblPr>
        <w:tblW w:w="9039" w:type="dxa"/>
        <w:tblLook w:val="04A0" w:firstRow="1" w:lastRow="0" w:firstColumn="1" w:lastColumn="0" w:noHBand="0" w:noVBand="1"/>
      </w:tblPr>
      <w:tblGrid>
        <w:gridCol w:w="5588"/>
        <w:gridCol w:w="3451"/>
      </w:tblGrid>
      <w:tr w:rsidR="0080785C" w:rsidRPr="0080785C" w14:paraId="2FFF0117" w14:textId="77777777" w:rsidTr="00392172">
        <w:tc>
          <w:tcPr>
            <w:tcW w:w="5588" w:type="dxa"/>
          </w:tcPr>
          <w:p w14:paraId="36667457" w14:textId="77777777" w:rsidR="0080785C" w:rsidRPr="0080785C" w:rsidRDefault="0080785C" w:rsidP="0080785C">
            <w:pPr>
              <w:pStyle w:val="C-NumberedList"/>
              <w:numPr>
                <w:ilvl w:val="0"/>
                <w:numId w:val="7"/>
              </w:numPr>
              <w:tabs>
                <w:tab w:val="num" w:pos="360"/>
              </w:tabs>
              <w:spacing w:before="0" w:after="0" w:line="240" w:lineRule="auto"/>
              <w:ind w:left="360"/>
              <w:rPr>
                <w:noProof/>
                <w:sz w:val="22"/>
                <w:lang w:val="lt-LT"/>
              </w:rPr>
            </w:pPr>
            <w:r w:rsidRPr="0080785C">
              <w:rPr>
                <w:noProof/>
                <w:sz w:val="22"/>
                <w:lang w:val="lt-LT" w:bidi="lt-LT"/>
              </w:rPr>
              <w:t>Asmuo, lašinantis Bonadix, turi nusiplauti rankas muilu ir vandeniu.</w:t>
            </w:r>
          </w:p>
        </w:tc>
        <w:tc>
          <w:tcPr>
            <w:tcW w:w="3451" w:type="dxa"/>
            <w:vAlign w:val="center"/>
          </w:tcPr>
          <w:p w14:paraId="1389FEC1" w14:textId="77777777" w:rsidR="0080785C" w:rsidRPr="0080785C" w:rsidRDefault="0080785C" w:rsidP="0080785C">
            <w:pPr>
              <w:rPr>
                <w:rFonts w:ascii="Times New Roman" w:hAnsi="Times New Roman"/>
                <w:noProof/>
                <w:sz w:val="22"/>
                <w:szCs w:val="22"/>
                <w:lang w:val="lt-LT"/>
              </w:rPr>
            </w:pPr>
            <w:r w:rsidRPr="0080785C">
              <w:rPr>
                <w:rFonts w:ascii="Times New Roman" w:hAnsi="Times New Roman"/>
                <w:noProof/>
                <w:sz w:val="22"/>
                <w:szCs w:val="22"/>
                <w:lang w:val="lt-LT" w:eastAsia="lt-LT"/>
              </w:rPr>
              <w:drawing>
                <wp:inline distT="0" distB="0" distL="0" distR="0" wp14:anchorId="035AE705" wp14:editId="14A017CE">
                  <wp:extent cx="1724025" cy="1447800"/>
                  <wp:effectExtent l="0" t="0" r="0" b="0"/>
                  <wp:docPr id="1"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1447800"/>
                          </a:xfrm>
                          <a:prstGeom prst="rect">
                            <a:avLst/>
                          </a:prstGeom>
                          <a:noFill/>
                          <a:ln>
                            <a:noFill/>
                          </a:ln>
                        </pic:spPr>
                      </pic:pic>
                    </a:graphicData>
                  </a:graphic>
                </wp:inline>
              </w:drawing>
            </w:r>
          </w:p>
        </w:tc>
      </w:tr>
      <w:tr w:rsidR="0080785C" w:rsidRPr="0080785C" w14:paraId="7361A9F6" w14:textId="77777777" w:rsidTr="00392172">
        <w:tc>
          <w:tcPr>
            <w:tcW w:w="5588" w:type="dxa"/>
          </w:tcPr>
          <w:p w14:paraId="64D99410" w14:textId="77777777" w:rsidR="0080785C" w:rsidRPr="0080785C" w:rsidRDefault="0080785C" w:rsidP="0080785C">
            <w:pPr>
              <w:pStyle w:val="C-NumberedList"/>
              <w:numPr>
                <w:ilvl w:val="0"/>
                <w:numId w:val="7"/>
              </w:numPr>
              <w:tabs>
                <w:tab w:val="num" w:pos="360"/>
              </w:tabs>
              <w:spacing w:before="0" w:after="0" w:line="240" w:lineRule="auto"/>
              <w:ind w:left="360"/>
              <w:rPr>
                <w:noProof/>
                <w:sz w:val="22"/>
                <w:lang w:val="lt-LT"/>
              </w:rPr>
            </w:pPr>
            <w:r w:rsidRPr="0080785C">
              <w:rPr>
                <w:sz w:val="22"/>
                <w:lang w:val="lt-LT" w:bidi="lt-LT"/>
              </w:rPr>
              <w:lastRenderedPageBreak/>
              <w:t>Švelniai išvalykite visas išskyras, kurias galima lengvai pašalinti iš išorinės ausies. Nekiškite į ausies kanalą jokių daiktų ar tamponų.</w:t>
            </w:r>
          </w:p>
        </w:tc>
        <w:tc>
          <w:tcPr>
            <w:tcW w:w="3451" w:type="dxa"/>
            <w:vAlign w:val="center"/>
          </w:tcPr>
          <w:p w14:paraId="0A12194F" w14:textId="77777777" w:rsidR="0080785C" w:rsidRPr="0080785C" w:rsidRDefault="0080785C" w:rsidP="0080785C">
            <w:pPr>
              <w:rPr>
                <w:rFonts w:ascii="Times New Roman" w:hAnsi="Times New Roman"/>
                <w:noProof/>
                <w:sz w:val="22"/>
                <w:szCs w:val="22"/>
                <w:lang w:val="lt-LT"/>
              </w:rPr>
            </w:pPr>
            <w:r w:rsidRPr="0080785C">
              <w:rPr>
                <w:rFonts w:ascii="Times New Roman" w:hAnsi="Times New Roman"/>
                <w:noProof/>
                <w:sz w:val="22"/>
                <w:szCs w:val="22"/>
                <w:lang w:val="lt-LT" w:eastAsia="lt-LT"/>
              </w:rPr>
              <w:drawing>
                <wp:inline distT="0" distB="0" distL="0" distR="0" wp14:anchorId="06647002" wp14:editId="261BD3FB">
                  <wp:extent cx="1438275" cy="1514475"/>
                  <wp:effectExtent l="0" t="0" r="0" b="0"/>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514475"/>
                          </a:xfrm>
                          <a:prstGeom prst="rect">
                            <a:avLst/>
                          </a:prstGeom>
                          <a:noFill/>
                          <a:ln>
                            <a:noFill/>
                          </a:ln>
                        </pic:spPr>
                      </pic:pic>
                    </a:graphicData>
                  </a:graphic>
                </wp:inline>
              </w:drawing>
            </w:r>
          </w:p>
        </w:tc>
      </w:tr>
      <w:tr w:rsidR="0080785C" w:rsidRPr="0080785C" w14:paraId="047A5C6C" w14:textId="77777777" w:rsidTr="00392172">
        <w:tc>
          <w:tcPr>
            <w:tcW w:w="5588" w:type="dxa"/>
          </w:tcPr>
          <w:p w14:paraId="04C24067" w14:textId="77777777" w:rsidR="0080785C" w:rsidRPr="0080785C" w:rsidRDefault="0080785C" w:rsidP="0080785C">
            <w:pPr>
              <w:pStyle w:val="C-NumberedList"/>
              <w:numPr>
                <w:ilvl w:val="0"/>
                <w:numId w:val="7"/>
              </w:numPr>
              <w:tabs>
                <w:tab w:val="num" w:pos="360"/>
              </w:tabs>
              <w:spacing w:before="0" w:after="0" w:line="240" w:lineRule="auto"/>
              <w:ind w:left="360"/>
              <w:rPr>
                <w:sz w:val="22"/>
                <w:lang w:val="lt-LT"/>
              </w:rPr>
            </w:pPr>
            <w:r w:rsidRPr="0080785C">
              <w:rPr>
                <w:sz w:val="22"/>
                <w:lang w:val="lt-LT" w:bidi="lt-LT"/>
              </w:rPr>
              <w:t xml:space="preserve">Atplėškite nuo pakuotės </w:t>
            </w:r>
            <w:proofErr w:type="spellStart"/>
            <w:r w:rsidRPr="0080785C">
              <w:rPr>
                <w:sz w:val="22"/>
                <w:lang w:val="lt-LT" w:bidi="lt-LT"/>
              </w:rPr>
              <w:t>vienadozę</w:t>
            </w:r>
            <w:proofErr w:type="spellEnd"/>
            <w:r w:rsidRPr="0080785C">
              <w:rPr>
                <w:sz w:val="22"/>
                <w:lang w:val="lt-LT" w:bidi="lt-LT"/>
              </w:rPr>
              <w:t xml:space="preserve"> </w:t>
            </w:r>
            <w:proofErr w:type="spellStart"/>
            <w:r w:rsidRPr="0080785C">
              <w:rPr>
                <w:sz w:val="22"/>
                <w:lang w:val="lt-LT" w:bidi="lt-LT"/>
              </w:rPr>
              <w:t>talpyklę</w:t>
            </w:r>
            <w:proofErr w:type="spellEnd"/>
            <w:r w:rsidRPr="0080785C">
              <w:rPr>
                <w:sz w:val="22"/>
                <w:lang w:val="lt-LT" w:bidi="lt-LT"/>
              </w:rPr>
              <w:t>.</w:t>
            </w:r>
          </w:p>
        </w:tc>
        <w:tc>
          <w:tcPr>
            <w:tcW w:w="3451" w:type="dxa"/>
            <w:vAlign w:val="center"/>
          </w:tcPr>
          <w:p w14:paraId="2B2D509D" w14:textId="77777777" w:rsidR="0080785C" w:rsidRPr="0080785C" w:rsidRDefault="0080785C" w:rsidP="0080785C">
            <w:pPr>
              <w:rPr>
                <w:rFonts w:ascii="Times New Roman" w:hAnsi="Times New Roman"/>
                <w:sz w:val="22"/>
                <w:szCs w:val="22"/>
                <w:lang w:val="lt-LT"/>
              </w:rPr>
            </w:pPr>
            <w:r w:rsidRPr="0080785C">
              <w:rPr>
                <w:rFonts w:ascii="Times New Roman" w:hAnsi="Times New Roman"/>
                <w:noProof/>
                <w:sz w:val="22"/>
                <w:szCs w:val="22"/>
                <w:lang w:val="lt-LT" w:eastAsia="lt-LT"/>
              </w:rPr>
              <w:drawing>
                <wp:inline distT="0" distB="0" distL="0" distR="0" wp14:anchorId="17CF92C6" wp14:editId="1B2CF0BA">
                  <wp:extent cx="1695450" cy="1371600"/>
                  <wp:effectExtent l="0" t="0" r="0" b="0"/>
                  <wp:docPr id="3" name="Imagen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a:ln>
                            <a:noFill/>
                          </a:ln>
                        </pic:spPr>
                      </pic:pic>
                    </a:graphicData>
                  </a:graphic>
                </wp:inline>
              </w:drawing>
            </w:r>
          </w:p>
        </w:tc>
      </w:tr>
      <w:tr w:rsidR="0080785C" w:rsidRPr="0080785C" w14:paraId="18FEE89F" w14:textId="77777777" w:rsidTr="00392172">
        <w:tc>
          <w:tcPr>
            <w:tcW w:w="5588" w:type="dxa"/>
          </w:tcPr>
          <w:p w14:paraId="6538565A" w14:textId="77777777" w:rsidR="0080785C" w:rsidRPr="0080785C" w:rsidRDefault="0080785C" w:rsidP="0080785C">
            <w:pPr>
              <w:pStyle w:val="C-NumberedList"/>
              <w:numPr>
                <w:ilvl w:val="0"/>
                <w:numId w:val="7"/>
              </w:numPr>
              <w:tabs>
                <w:tab w:val="clear" w:pos="810"/>
                <w:tab w:val="num" w:pos="450"/>
              </w:tabs>
              <w:spacing w:before="0" w:after="0" w:line="240" w:lineRule="auto"/>
              <w:ind w:left="450"/>
              <w:rPr>
                <w:sz w:val="22"/>
                <w:lang w:val="lt-LT"/>
              </w:rPr>
            </w:pPr>
            <w:r w:rsidRPr="0080785C">
              <w:rPr>
                <w:sz w:val="22"/>
                <w:lang w:val="lt-LT" w:bidi="lt-LT"/>
              </w:rPr>
              <w:t xml:space="preserve">Pašildykite ausų lašus 1 ar 2 minutes palaikydami </w:t>
            </w:r>
            <w:proofErr w:type="spellStart"/>
            <w:r w:rsidRPr="0080785C">
              <w:rPr>
                <w:sz w:val="22"/>
                <w:lang w:val="lt-LT" w:bidi="lt-LT"/>
              </w:rPr>
              <w:t>vienadozę</w:t>
            </w:r>
            <w:proofErr w:type="spellEnd"/>
            <w:r w:rsidRPr="0080785C">
              <w:rPr>
                <w:sz w:val="22"/>
                <w:lang w:val="lt-LT" w:bidi="lt-LT"/>
              </w:rPr>
              <w:t xml:space="preserve"> </w:t>
            </w:r>
            <w:proofErr w:type="spellStart"/>
            <w:r w:rsidRPr="0080785C">
              <w:rPr>
                <w:sz w:val="22"/>
                <w:lang w:val="lt-LT" w:bidi="lt-LT"/>
              </w:rPr>
              <w:t>talpyklę</w:t>
            </w:r>
            <w:proofErr w:type="spellEnd"/>
            <w:r w:rsidRPr="0080785C">
              <w:rPr>
                <w:sz w:val="22"/>
                <w:lang w:val="lt-LT" w:bidi="lt-LT"/>
              </w:rPr>
              <w:t xml:space="preserve"> rankose.</w:t>
            </w:r>
          </w:p>
        </w:tc>
        <w:tc>
          <w:tcPr>
            <w:tcW w:w="3451" w:type="dxa"/>
            <w:vAlign w:val="center"/>
          </w:tcPr>
          <w:p w14:paraId="3D55A099" w14:textId="77777777" w:rsidR="0080785C" w:rsidRPr="0080785C" w:rsidRDefault="0080785C" w:rsidP="0080785C">
            <w:pPr>
              <w:rPr>
                <w:rFonts w:ascii="Times New Roman" w:hAnsi="Times New Roman"/>
                <w:sz w:val="22"/>
                <w:szCs w:val="22"/>
                <w:lang w:val="lt-LT"/>
              </w:rPr>
            </w:pPr>
            <w:r w:rsidRPr="0080785C">
              <w:rPr>
                <w:rFonts w:ascii="Times New Roman" w:hAnsi="Times New Roman"/>
                <w:noProof/>
                <w:sz w:val="22"/>
                <w:szCs w:val="22"/>
                <w:lang w:val="lt-LT" w:eastAsia="lt-LT"/>
              </w:rPr>
              <w:drawing>
                <wp:inline distT="0" distB="0" distL="0" distR="0" wp14:anchorId="233342E3" wp14:editId="38FB4904">
                  <wp:extent cx="1590675" cy="1447800"/>
                  <wp:effectExtent l="0" t="0" r="0" b="0"/>
                  <wp:docPr id="4" name="Imagen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447800"/>
                          </a:xfrm>
                          <a:prstGeom prst="rect">
                            <a:avLst/>
                          </a:prstGeom>
                          <a:noFill/>
                          <a:ln>
                            <a:noFill/>
                          </a:ln>
                        </pic:spPr>
                      </pic:pic>
                    </a:graphicData>
                  </a:graphic>
                </wp:inline>
              </w:drawing>
            </w:r>
          </w:p>
        </w:tc>
      </w:tr>
      <w:tr w:rsidR="0080785C" w:rsidRPr="0080785C" w14:paraId="7ABD23F3" w14:textId="77777777" w:rsidTr="00392172">
        <w:tc>
          <w:tcPr>
            <w:tcW w:w="5588" w:type="dxa"/>
          </w:tcPr>
          <w:p w14:paraId="062EE9D7" w14:textId="77777777" w:rsidR="0080785C" w:rsidRPr="0080785C" w:rsidRDefault="0080785C" w:rsidP="0080785C">
            <w:pPr>
              <w:pStyle w:val="C-NumberedList"/>
              <w:numPr>
                <w:ilvl w:val="0"/>
                <w:numId w:val="7"/>
              </w:numPr>
              <w:tabs>
                <w:tab w:val="clear" w:pos="810"/>
                <w:tab w:val="num" w:pos="450"/>
              </w:tabs>
              <w:spacing w:before="0" w:after="0" w:line="240" w:lineRule="auto"/>
              <w:ind w:left="450"/>
              <w:rPr>
                <w:sz w:val="22"/>
                <w:lang w:val="lt-LT"/>
              </w:rPr>
            </w:pPr>
            <w:r w:rsidRPr="0080785C">
              <w:rPr>
                <w:sz w:val="22"/>
                <w:lang w:val="lt-LT" w:bidi="lt-LT"/>
              </w:rPr>
              <w:t xml:space="preserve">Atsukite </w:t>
            </w:r>
            <w:proofErr w:type="spellStart"/>
            <w:r w:rsidRPr="0080785C">
              <w:rPr>
                <w:sz w:val="22"/>
                <w:lang w:val="lt-LT" w:bidi="lt-LT"/>
              </w:rPr>
              <w:t>vienadozės</w:t>
            </w:r>
            <w:proofErr w:type="spellEnd"/>
            <w:r w:rsidRPr="0080785C">
              <w:rPr>
                <w:sz w:val="22"/>
                <w:lang w:val="lt-LT" w:bidi="lt-LT"/>
              </w:rPr>
              <w:t xml:space="preserve"> </w:t>
            </w:r>
            <w:proofErr w:type="spellStart"/>
            <w:r w:rsidRPr="0080785C">
              <w:rPr>
                <w:sz w:val="22"/>
                <w:lang w:val="lt-LT" w:bidi="lt-LT"/>
              </w:rPr>
              <w:t>talpyklės</w:t>
            </w:r>
            <w:proofErr w:type="spellEnd"/>
            <w:r w:rsidRPr="0080785C">
              <w:rPr>
                <w:sz w:val="22"/>
                <w:lang w:val="lt-LT" w:bidi="lt-LT"/>
              </w:rPr>
              <w:t xml:space="preserve"> dangtelį.</w:t>
            </w:r>
          </w:p>
        </w:tc>
        <w:tc>
          <w:tcPr>
            <w:tcW w:w="3451" w:type="dxa"/>
            <w:vAlign w:val="center"/>
          </w:tcPr>
          <w:p w14:paraId="50CD9AEC" w14:textId="77777777" w:rsidR="0080785C" w:rsidRPr="0080785C" w:rsidRDefault="0080785C" w:rsidP="0080785C">
            <w:pPr>
              <w:rPr>
                <w:rFonts w:ascii="Times New Roman" w:hAnsi="Times New Roman"/>
                <w:sz w:val="22"/>
                <w:szCs w:val="22"/>
                <w:lang w:val="lt-LT"/>
              </w:rPr>
            </w:pPr>
            <w:r w:rsidRPr="0080785C">
              <w:rPr>
                <w:rFonts w:ascii="Times New Roman" w:hAnsi="Times New Roman"/>
                <w:noProof/>
                <w:sz w:val="22"/>
                <w:szCs w:val="22"/>
                <w:lang w:val="lt-LT" w:eastAsia="lt-LT"/>
              </w:rPr>
              <w:drawing>
                <wp:inline distT="0" distB="0" distL="0" distR="0" wp14:anchorId="2385B9A3" wp14:editId="6206C688">
                  <wp:extent cx="1381125" cy="1390650"/>
                  <wp:effectExtent l="0" t="0" r="0" b="0"/>
                  <wp:docPr id="5" name="Imagen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390650"/>
                          </a:xfrm>
                          <a:prstGeom prst="rect">
                            <a:avLst/>
                          </a:prstGeom>
                          <a:noFill/>
                          <a:ln>
                            <a:noFill/>
                          </a:ln>
                        </pic:spPr>
                      </pic:pic>
                    </a:graphicData>
                  </a:graphic>
                </wp:inline>
              </w:drawing>
            </w:r>
          </w:p>
        </w:tc>
      </w:tr>
      <w:tr w:rsidR="0080785C" w:rsidRPr="0080785C" w14:paraId="3184B614" w14:textId="77777777" w:rsidTr="00392172">
        <w:tc>
          <w:tcPr>
            <w:tcW w:w="5588" w:type="dxa"/>
          </w:tcPr>
          <w:p w14:paraId="451927C6" w14:textId="77777777" w:rsidR="0080785C" w:rsidRPr="0080785C" w:rsidRDefault="0080785C" w:rsidP="0080785C">
            <w:pPr>
              <w:pStyle w:val="C-NumberedList"/>
              <w:numPr>
                <w:ilvl w:val="0"/>
                <w:numId w:val="7"/>
              </w:numPr>
              <w:tabs>
                <w:tab w:val="clear" w:pos="810"/>
                <w:tab w:val="num" w:pos="450"/>
              </w:tabs>
              <w:spacing w:before="0" w:after="0" w:line="240" w:lineRule="auto"/>
              <w:ind w:left="450"/>
              <w:rPr>
                <w:sz w:val="22"/>
                <w:lang w:val="lt-LT"/>
              </w:rPr>
            </w:pPr>
            <w:r w:rsidRPr="0080785C">
              <w:rPr>
                <w:sz w:val="22"/>
                <w:lang w:val="lt-LT" w:bidi="lt-LT"/>
              </w:rPr>
              <w:t xml:space="preserve">Pakreipkite savo ar vaiko galvą į vieną pusę, kad paveikta ausis būtų pakelta. </w:t>
            </w:r>
          </w:p>
          <w:p w14:paraId="7117B290" w14:textId="77777777" w:rsidR="0080785C" w:rsidRPr="0080785C" w:rsidRDefault="0080785C" w:rsidP="0080785C">
            <w:pPr>
              <w:autoSpaceDE w:val="0"/>
              <w:autoSpaceDN w:val="0"/>
              <w:adjustRightInd w:val="0"/>
              <w:rPr>
                <w:rFonts w:ascii="Times New Roman" w:hAnsi="Times New Roman"/>
                <w:sz w:val="22"/>
                <w:szCs w:val="22"/>
                <w:lang w:val="lt-LT"/>
              </w:rPr>
            </w:pPr>
          </w:p>
        </w:tc>
        <w:tc>
          <w:tcPr>
            <w:tcW w:w="3451" w:type="dxa"/>
            <w:vAlign w:val="center"/>
          </w:tcPr>
          <w:p w14:paraId="352A4423" w14:textId="77777777" w:rsidR="0080785C" w:rsidRPr="0080785C" w:rsidRDefault="0080785C" w:rsidP="0080785C">
            <w:pPr>
              <w:rPr>
                <w:rFonts w:ascii="Times New Roman" w:hAnsi="Times New Roman"/>
                <w:sz w:val="22"/>
                <w:szCs w:val="22"/>
                <w:lang w:val="lt-LT"/>
              </w:rPr>
            </w:pPr>
            <w:r w:rsidRPr="0080785C">
              <w:rPr>
                <w:rFonts w:ascii="Times New Roman" w:hAnsi="Times New Roman"/>
                <w:noProof/>
                <w:sz w:val="22"/>
                <w:szCs w:val="22"/>
                <w:lang w:val="lt-LT" w:eastAsia="lt-LT"/>
              </w:rPr>
              <w:drawing>
                <wp:inline distT="0" distB="0" distL="0" distR="0" wp14:anchorId="23CB4CDE" wp14:editId="4F67F3F4">
                  <wp:extent cx="1304925" cy="1304925"/>
                  <wp:effectExtent l="0" t="0" r="0" b="0"/>
                  <wp:docPr id="6" name="Imagen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tc>
      </w:tr>
      <w:tr w:rsidR="0080785C" w:rsidRPr="0080785C" w14:paraId="397E3196" w14:textId="77777777" w:rsidTr="00392172">
        <w:tc>
          <w:tcPr>
            <w:tcW w:w="5588" w:type="dxa"/>
          </w:tcPr>
          <w:p w14:paraId="4B49DC0E" w14:textId="77777777" w:rsidR="0080785C" w:rsidRPr="0080785C" w:rsidRDefault="0080785C" w:rsidP="0080785C">
            <w:pPr>
              <w:pStyle w:val="C-NumberedList"/>
              <w:numPr>
                <w:ilvl w:val="0"/>
                <w:numId w:val="7"/>
              </w:numPr>
              <w:tabs>
                <w:tab w:val="clear" w:pos="810"/>
                <w:tab w:val="num" w:pos="450"/>
              </w:tabs>
              <w:spacing w:before="0" w:after="0" w:line="240" w:lineRule="auto"/>
              <w:ind w:left="450"/>
              <w:rPr>
                <w:sz w:val="22"/>
                <w:lang w:val="lt-LT"/>
              </w:rPr>
            </w:pPr>
            <w:r w:rsidRPr="0080785C">
              <w:rPr>
                <w:sz w:val="22"/>
                <w:lang w:val="lt-LT" w:bidi="lt-LT"/>
              </w:rPr>
              <w:t xml:space="preserve">Sulašinkite į ausį visą 1 </w:t>
            </w:r>
            <w:proofErr w:type="spellStart"/>
            <w:r w:rsidRPr="0080785C">
              <w:rPr>
                <w:sz w:val="22"/>
                <w:lang w:val="lt-LT" w:bidi="lt-LT"/>
              </w:rPr>
              <w:t>vienadozės</w:t>
            </w:r>
            <w:proofErr w:type="spellEnd"/>
            <w:r w:rsidRPr="0080785C">
              <w:rPr>
                <w:sz w:val="22"/>
                <w:lang w:val="lt-LT" w:bidi="lt-LT"/>
              </w:rPr>
              <w:t xml:space="preserve"> </w:t>
            </w:r>
            <w:proofErr w:type="spellStart"/>
            <w:r w:rsidRPr="0080785C">
              <w:rPr>
                <w:sz w:val="22"/>
                <w:lang w:val="lt-LT" w:bidi="lt-LT"/>
              </w:rPr>
              <w:t>talpyklės</w:t>
            </w:r>
            <w:proofErr w:type="spellEnd"/>
            <w:r w:rsidRPr="0080785C">
              <w:rPr>
                <w:sz w:val="22"/>
                <w:lang w:val="lt-LT" w:bidi="lt-LT"/>
              </w:rPr>
              <w:t xml:space="preserve"> turinį. </w:t>
            </w:r>
          </w:p>
          <w:p w14:paraId="6B8BE72A"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1302D8A"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0500DED"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A33349B"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197613A6"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1DC8C29"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4F9FE53"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59E9289" w14:textId="77777777" w:rsidR="0080785C" w:rsidRPr="0080785C" w:rsidRDefault="0080785C" w:rsidP="0080785C">
            <w:pPr>
              <w:autoSpaceDE w:val="0"/>
              <w:autoSpaceDN w:val="0"/>
              <w:adjustRightInd w:val="0"/>
              <w:jc w:val="both"/>
              <w:rPr>
                <w:rFonts w:ascii="Times New Roman" w:hAnsi="Times New Roman"/>
                <w:sz w:val="22"/>
                <w:szCs w:val="22"/>
                <w:lang w:val="lt-LT"/>
              </w:rPr>
            </w:pPr>
          </w:p>
        </w:tc>
        <w:tc>
          <w:tcPr>
            <w:tcW w:w="3451" w:type="dxa"/>
            <w:vAlign w:val="center"/>
          </w:tcPr>
          <w:p w14:paraId="0F68908D" w14:textId="77777777" w:rsidR="0080785C" w:rsidRPr="0080785C" w:rsidRDefault="0080785C" w:rsidP="0080785C">
            <w:pPr>
              <w:rPr>
                <w:rFonts w:ascii="Times New Roman" w:hAnsi="Times New Roman"/>
                <w:sz w:val="22"/>
                <w:szCs w:val="22"/>
                <w:lang w:val="lt-LT"/>
              </w:rPr>
            </w:pPr>
            <w:r w:rsidRPr="0080785C">
              <w:rPr>
                <w:rFonts w:ascii="Times New Roman" w:hAnsi="Times New Roman"/>
                <w:noProof/>
                <w:sz w:val="22"/>
                <w:szCs w:val="22"/>
                <w:lang w:val="lt-LT" w:eastAsia="lt-LT"/>
              </w:rPr>
              <w:drawing>
                <wp:inline distT="0" distB="0" distL="0" distR="0" wp14:anchorId="3454F587" wp14:editId="2D1D12D3">
                  <wp:extent cx="1190625" cy="1209675"/>
                  <wp:effectExtent l="0" t="0" r="0" b="0"/>
                  <wp:docPr id="7" name="Imagen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1209675"/>
                          </a:xfrm>
                          <a:prstGeom prst="rect">
                            <a:avLst/>
                          </a:prstGeom>
                          <a:noFill/>
                          <a:ln>
                            <a:noFill/>
                          </a:ln>
                        </pic:spPr>
                      </pic:pic>
                    </a:graphicData>
                  </a:graphic>
                </wp:inline>
              </w:drawing>
            </w:r>
          </w:p>
        </w:tc>
      </w:tr>
      <w:tr w:rsidR="0080785C" w:rsidRPr="0080785C" w14:paraId="437656A1" w14:textId="77777777" w:rsidTr="00392172">
        <w:tc>
          <w:tcPr>
            <w:tcW w:w="5588" w:type="dxa"/>
          </w:tcPr>
          <w:p w14:paraId="39412275" w14:textId="77777777" w:rsidR="0080785C" w:rsidRPr="0080785C" w:rsidRDefault="0080785C" w:rsidP="0080785C">
            <w:pPr>
              <w:ind w:left="425" w:hanging="425"/>
              <w:rPr>
                <w:rFonts w:ascii="Times New Roman" w:hAnsi="Times New Roman"/>
                <w:bCs/>
                <w:sz w:val="22"/>
                <w:szCs w:val="22"/>
                <w:lang w:val="lt-LT"/>
              </w:rPr>
            </w:pPr>
            <w:r w:rsidRPr="0080785C">
              <w:rPr>
                <w:rFonts w:ascii="Times New Roman" w:hAnsi="Times New Roman"/>
                <w:sz w:val="22"/>
                <w:szCs w:val="22"/>
                <w:lang w:val="lt-LT" w:bidi="lt-LT"/>
              </w:rPr>
              <w:lastRenderedPageBreak/>
              <w:t>8a.</w:t>
            </w:r>
            <w:r w:rsidRPr="0080785C">
              <w:rPr>
                <w:rFonts w:ascii="Times New Roman" w:hAnsi="Times New Roman"/>
                <w:sz w:val="22"/>
                <w:szCs w:val="22"/>
                <w:lang w:val="lt-LT" w:bidi="lt-LT"/>
              </w:rPr>
              <w:tab/>
            </w:r>
            <w:r w:rsidRPr="0080785C">
              <w:rPr>
                <w:rFonts w:ascii="Times New Roman" w:hAnsi="Times New Roman"/>
                <w:b/>
                <w:sz w:val="22"/>
                <w:szCs w:val="22"/>
                <w:lang w:val="lt-LT" w:bidi="lt-LT"/>
              </w:rPr>
              <w:t>Jei pacientas serga išorinio ausies kanalo infekcija</w:t>
            </w:r>
            <w:r w:rsidRPr="0080785C">
              <w:rPr>
                <w:rFonts w:ascii="Times New Roman" w:hAnsi="Times New Roman"/>
                <w:sz w:val="22"/>
                <w:szCs w:val="22"/>
                <w:lang w:val="lt-LT" w:bidi="lt-LT"/>
              </w:rPr>
              <w:t>,</w:t>
            </w:r>
            <w:r w:rsidRPr="0080785C">
              <w:rPr>
                <w:rFonts w:ascii="Times New Roman" w:hAnsi="Times New Roman"/>
                <w:b/>
                <w:sz w:val="22"/>
                <w:szCs w:val="22"/>
                <w:lang w:val="lt-LT" w:bidi="lt-LT"/>
              </w:rPr>
              <w:t xml:space="preserve"> </w:t>
            </w:r>
            <w:r w:rsidRPr="0080785C">
              <w:rPr>
                <w:rFonts w:ascii="Times New Roman" w:hAnsi="Times New Roman"/>
                <w:sz w:val="22"/>
                <w:szCs w:val="22"/>
                <w:lang w:val="lt-LT" w:bidi="lt-LT"/>
              </w:rPr>
              <w:t>švelniai patraukite išorinę ausies landą į viršų ir į išorę. Taip ausų lašai pateks į ausies kanalą.</w:t>
            </w:r>
          </w:p>
          <w:p w14:paraId="12D3A99D" w14:textId="77777777" w:rsidR="0080785C" w:rsidRPr="0080785C" w:rsidRDefault="0080785C" w:rsidP="0080785C">
            <w:pPr>
              <w:pStyle w:val="C-BodyTextIndent"/>
              <w:spacing w:before="0" w:after="0" w:line="240" w:lineRule="auto"/>
              <w:ind w:left="450" w:hanging="360"/>
              <w:rPr>
                <w:sz w:val="22"/>
                <w:szCs w:val="22"/>
                <w:lang w:val="lt-LT"/>
              </w:rPr>
            </w:pPr>
          </w:p>
          <w:p w14:paraId="5D1EADF8" w14:textId="77777777" w:rsidR="0080785C" w:rsidRPr="0080785C" w:rsidRDefault="0080785C" w:rsidP="0080785C">
            <w:pPr>
              <w:autoSpaceDE w:val="0"/>
              <w:autoSpaceDN w:val="0"/>
              <w:adjustRightInd w:val="0"/>
              <w:jc w:val="both"/>
              <w:rPr>
                <w:rFonts w:ascii="Times New Roman" w:hAnsi="Times New Roman"/>
                <w:b/>
                <w:bCs/>
                <w:sz w:val="22"/>
                <w:szCs w:val="22"/>
                <w:lang w:val="lt-LT"/>
              </w:rPr>
            </w:pPr>
          </w:p>
        </w:tc>
        <w:tc>
          <w:tcPr>
            <w:tcW w:w="3451" w:type="dxa"/>
            <w:vAlign w:val="center"/>
          </w:tcPr>
          <w:p w14:paraId="7D04FD4C" w14:textId="77777777" w:rsidR="0080785C" w:rsidRPr="0080785C" w:rsidRDefault="0080785C" w:rsidP="0080785C">
            <w:pPr>
              <w:rPr>
                <w:rFonts w:ascii="Times New Roman" w:hAnsi="Times New Roman"/>
                <w:b/>
                <w:bCs/>
                <w:sz w:val="22"/>
                <w:szCs w:val="22"/>
                <w:lang w:val="lt-LT"/>
              </w:rPr>
            </w:pPr>
            <w:r w:rsidRPr="0080785C">
              <w:rPr>
                <w:rFonts w:ascii="Times New Roman" w:hAnsi="Times New Roman"/>
                <w:sz w:val="22"/>
                <w:szCs w:val="22"/>
                <w:lang w:val="lt-LT" w:bidi="lt-LT"/>
              </w:rPr>
              <w:object w:dxaOrig="8295" w:dyaOrig="8280" w14:anchorId="0E0EC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8.25pt" o:ole="">
                  <v:imagedata r:id="rId12" o:title=""/>
                </v:shape>
                <o:OLEObject Type="Embed" ProgID="PBrush" ShapeID="_x0000_i1025" DrawAspect="Content" ObjectID="_1838960061" r:id="rId13"/>
              </w:object>
            </w:r>
          </w:p>
        </w:tc>
      </w:tr>
      <w:tr w:rsidR="0080785C" w:rsidRPr="0080785C" w14:paraId="39B78A54" w14:textId="77777777" w:rsidTr="00392172">
        <w:tc>
          <w:tcPr>
            <w:tcW w:w="5588" w:type="dxa"/>
          </w:tcPr>
          <w:p w14:paraId="2DE62872" w14:textId="77777777" w:rsidR="0080785C" w:rsidRPr="0080785C" w:rsidRDefault="0080785C" w:rsidP="0080785C">
            <w:pPr>
              <w:ind w:left="425" w:hanging="425"/>
              <w:rPr>
                <w:rFonts w:ascii="Times New Roman" w:hAnsi="Times New Roman"/>
                <w:sz w:val="22"/>
                <w:szCs w:val="22"/>
                <w:lang w:val="lt-LT"/>
              </w:rPr>
            </w:pPr>
            <w:r w:rsidRPr="0080785C">
              <w:rPr>
                <w:rFonts w:ascii="Times New Roman" w:hAnsi="Times New Roman"/>
                <w:sz w:val="22"/>
                <w:szCs w:val="22"/>
                <w:lang w:val="lt-LT" w:bidi="lt-LT"/>
              </w:rPr>
              <w:t xml:space="preserve">8b. </w:t>
            </w:r>
            <w:r w:rsidRPr="0080785C">
              <w:rPr>
                <w:rFonts w:ascii="Times New Roman" w:hAnsi="Times New Roman"/>
                <w:sz w:val="22"/>
                <w:szCs w:val="22"/>
                <w:lang w:val="lt-LT" w:bidi="lt-LT"/>
              </w:rPr>
              <w:tab/>
            </w:r>
            <w:r w:rsidRPr="0080785C">
              <w:rPr>
                <w:rFonts w:ascii="Times New Roman" w:hAnsi="Times New Roman"/>
                <w:b/>
                <w:sz w:val="22"/>
                <w:szCs w:val="22"/>
                <w:lang w:val="lt-LT" w:bidi="lt-LT"/>
              </w:rPr>
              <w:t xml:space="preserve">Jei pacientas serga vidurinės ausies infekcija, </w:t>
            </w:r>
            <w:r w:rsidRPr="0080785C">
              <w:rPr>
                <w:rFonts w:ascii="Times New Roman" w:hAnsi="Times New Roman"/>
                <w:sz w:val="22"/>
                <w:szCs w:val="22"/>
                <w:lang w:val="lt-LT" w:bidi="lt-LT"/>
              </w:rPr>
              <w:t xml:space="preserve">4 kartus paspauskite </w:t>
            </w:r>
            <w:proofErr w:type="spellStart"/>
            <w:r w:rsidRPr="0080785C">
              <w:rPr>
                <w:rFonts w:ascii="Times New Roman" w:hAnsi="Times New Roman"/>
                <w:sz w:val="22"/>
                <w:szCs w:val="22"/>
                <w:lang w:val="lt-LT" w:bidi="lt-LT"/>
              </w:rPr>
              <w:t>kramslį</w:t>
            </w:r>
            <w:proofErr w:type="spellEnd"/>
            <w:r w:rsidRPr="0080785C">
              <w:rPr>
                <w:rFonts w:ascii="Times New Roman" w:hAnsi="Times New Roman"/>
                <w:sz w:val="22"/>
                <w:szCs w:val="22"/>
                <w:lang w:val="lt-LT" w:bidi="lt-LT"/>
              </w:rPr>
              <w:t xml:space="preserve"> (mažą kremzlės gabalėlį, esantį priešais ausies kanalą), stumdami jį į vidų, kad vaistas prasiskverbtų į vidurinę ausį. Taip lašai pro ausies būgnelio vamzdelį pateks į vidurinę ausį.</w:t>
            </w:r>
          </w:p>
        </w:tc>
        <w:tc>
          <w:tcPr>
            <w:tcW w:w="3451" w:type="dxa"/>
            <w:vAlign w:val="center"/>
          </w:tcPr>
          <w:p w14:paraId="71AA5B9A" w14:textId="77777777" w:rsidR="0080785C" w:rsidRPr="0080785C" w:rsidRDefault="0080785C" w:rsidP="0080785C">
            <w:pPr>
              <w:rPr>
                <w:rFonts w:ascii="Times New Roman" w:hAnsi="Times New Roman"/>
                <w:sz w:val="22"/>
                <w:szCs w:val="22"/>
                <w:lang w:val="lt-LT"/>
              </w:rPr>
            </w:pPr>
          </w:p>
          <w:p w14:paraId="2F891A02" w14:textId="77777777" w:rsidR="0080785C" w:rsidRPr="0080785C" w:rsidRDefault="0080785C" w:rsidP="0080785C">
            <w:pPr>
              <w:rPr>
                <w:rFonts w:ascii="Times New Roman" w:hAnsi="Times New Roman"/>
                <w:sz w:val="22"/>
                <w:szCs w:val="22"/>
                <w:lang w:val="lt-LT"/>
              </w:rPr>
            </w:pPr>
            <w:r w:rsidRPr="0080785C">
              <w:rPr>
                <w:rFonts w:ascii="Times New Roman" w:hAnsi="Times New Roman"/>
                <w:sz w:val="22"/>
                <w:szCs w:val="22"/>
                <w:lang w:val="lt-LT" w:bidi="lt-LT"/>
              </w:rPr>
              <w:object w:dxaOrig="8280" w:dyaOrig="8250" w14:anchorId="66F7D16F">
                <v:shape id="_x0000_i1026" type="#_x0000_t75" style="width:98.25pt;height:97.5pt" o:ole="">
                  <v:imagedata r:id="rId14" o:title=""/>
                </v:shape>
                <o:OLEObject Type="Embed" ProgID="PBrush" ShapeID="_x0000_i1026" DrawAspect="Content" ObjectID="_1838960062" r:id="rId15"/>
              </w:object>
            </w:r>
          </w:p>
        </w:tc>
      </w:tr>
      <w:tr w:rsidR="0080785C" w:rsidRPr="0080785C" w14:paraId="24DA5BF8" w14:textId="77777777" w:rsidTr="00392172">
        <w:tc>
          <w:tcPr>
            <w:tcW w:w="5588" w:type="dxa"/>
          </w:tcPr>
          <w:p w14:paraId="51429CEB" w14:textId="77777777" w:rsidR="0080785C" w:rsidRPr="0080785C" w:rsidRDefault="0080785C" w:rsidP="0080785C">
            <w:pPr>
              <w:pStyle w:val="C-NumberedList"/>
              <w:numPr>
                <w:ilvl w:val="0"/>
                <w:numId w:val="6"/>
              </w:numPr>
              <w:tabs>
                <w:tab w:val="clear" w:pos="810"/>
                <w:tab w:val="num" w:pos="450"/>
              </w:tabs>
              <w:spacing w:before="0" w:after="0" w:line="240" w:lineRule="auto"/>
              <w:ind w:left="450"/>
              <w:rPr>
                <w:bCs/>
                <w:sz w:val="22"/>
                <w:lang w:val="lt-LT"/>
              </w:rPr>
            </w:pPr>
            <w:r w:rsidRPr="0080785C">
              <w:rPr>
                <w:sz w:val="22"/>
                <w:lang w:val="lt-LT" w:bidi="lt-LT"/>
              </w:rPr>
              <w:t xml:space="preserve">Laikykite paciento galvą pakreiptą į šoną maždaug 1 minutę, kad vaistas spėtų prasiskverbti į ausį. Jei lašinant ausų lašus galva pakeliama į vertikalią padėtį arba per greitai sujuda, dalis vaisto gali ištekėti iš ausies kanalo. To reikėtų vengti, nes vaistas gali nepasiekti viso ausies kanalo gylio. </w:t>
            </w:r>
          </w:p>
          <w:p w14:paraId="038ACC80" w14:textId="77777777" w:rsidR="0080785C" w:rsidRPr="0080785C" w:rsidRDefault="0080785C" w:rsidP="0080785C">
            <w:pPr>
              <w:pStyle w:val="C-NumberedList"/>
              <w:numPr>
                <w:ilvl w:val="0"/>
                <w:numId w:val="0"/>
              </w:numPr>
              <w:spacing w:before="0" w:after="0" w:line="240" w:lineRule="auto"/>
              <w:ind w:left="450"/>
              <w:rPr>
                <w:bCs/>
                <w:sz w:val="22"/>
                <w:lang w:val="lt-LT"/>
              </w:rPr>
            </w:pPr>
            <w:r w:rsidRPr="0080785C">
              <w:rPr>
                <w:sz w:val="22"/>
                <w:lang w:val="lt-LT" w:bidi="lt-LT"/>
              </w:rPr>
              <w:t xml:space="preserve">Sulašinę </w:t>
            </w:r>
            <w:proofErr w:type="spellStart"/>
            <w:r w:rsidRPr="0080785C">
              <w:rPr>
                <w:sz w:val="22"/>
                <w:lang w:val="lt-LT" w:bidi="lt-LT"/>
              </w:rPr>
              <w:t>vienadozės</w:t>
            </w:r>
            <w:proofErr w:type="spellEnd"/>
            <w:r w:rsidRPr="0080785C">
              <w:rPr>
                <w:sz w:val="22"/>
                <w:lang w:val="lt-LT" w:bidi="lt-LT"/>
              </w:rPr>
              <w:t xml:space="preserve"> </w:t>
            </w:r>
            <w:proofErr w:type="spellStart"/>
            <w:r w:rsidRPr="0080785C">
              <w:rPr>
                <w:sz w:val="22"/>
                <w:lang w:val="lt-LT" w:bidi="lt-LT"/>
              </w:rPr>
              <w:t>talpyklės</w:t>
            </w:r>
            <w:proofErr w:type="spellEnd"/>
            <w:r w:rsidRPr="0080785C">
              <w:rPr>
                <w:sz w:val="22"/>
                <w:lang w:val="lt-LT" w:bidi="lt-LT"/>
              </w:rPr>
              <w:t xml:space="preserve"> turinį, ją išmeskite.</w:t>
            </w:r>
          </w:p>
        </w:tc>
        <w:tc>
          <w:tcPr>
            <w:tcW w:w="3451" w:type="dxa"/>
            <w:vAlign w:val="center"/>
          </w:tcPr>
          <w:p w14:paraId="7ED3F7E7" w14:textId="77777777" w:rsidR="0080785C" w:rsidRPr="0080785C" w:rsidRDefault="0080785C" w:rsidP="0080785C">
            <w:pPr>
              <w:rPr>
                <w:rFonts w:ascii="Times New Roman" w:hAnsi="Times New Roman"/>
                <w:bCs/>
                <w:sz w:val="22"/>
                <w:szCs w:val="22"/>
                <w:lang w:val="lt-LT"/>
              </w:rPr>
            </w:pPr>
            <w:r w:rsidRPr="0080785C">
              <w:rPr>
                <w:rFonts w:ascii="Times New Roman" w:hAnsi="Times New Roman"/>
                <w:noProof/>
                <w:sz w:val="22"/>
                <w:szCs w:val="22"/>
                <w:lang w:val="lt-LT" w:eastAsia="lt-LT"/>
              </w:rPr>
              <w:drawing>
                <wp:inline distT="0" distB="0" distL="0" distR="0" wp14:anchorId="7AF9A2AC" wp14:editId="674715D2">
                  <wp:extent cx="1266825" cy="1352550"/>
                  <wp:effectExtent l="0" t="0" r="0" b="0"/>
                  <wp:docPr id="10" name="Imagen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6825" cy="1352550"/>
                          </a:xfrm>
                          <a:prstGeom prst="rect">
                            <a:avLst/>
                          </a:prstGeom>
                          <a:noFill/>
                          <a:ln>
                            <a:noFill/>
                          </a:ln>
                        </pic:spPr>
                      </pic:pic>
                    </a:graphicData>
                  </a:graphic>
                </wp:inline>
              </w:drawing>
            </w:r>
          </w:p>
        </w:tc>
      </w:tr>
      <w:tr w:rsidR="0080785C" w:rsidRPr="0080785C" w14:paraId="70A800ED" w14:textId="77777777" w:rsidTr="00392172">
        <w:trPr>
          <w:gridAfter w:val="1"/>
          <w:wAfter w:w="3451" w:type="dxa"/>
        </w:trPr>
        <w:tc>
          <w:tcPr>
            <w:tcW w:w="5588" w:type="dxa"/>
          </w:tcPr>
          <w:p w14:paraId="68070718" w14:textId="77777777" w:rsidR="0080785C" w:rsidRPr="0080785C" w:rsidRDefault="0080785C" w:rsidP="0080785C">
            <w:pPr>
              <w:pStyle w:val="C-NumberedList"/>
              <w:numPr>
                <w:ilvl w:val="0"/>
                <w:numId w:val="6"/>
              </w:numPr>
              <w:tabs>
                <w:tab w:val="clear" w:pos="810"/>
                <w:tab w:val="num" w:pos="450"/>
              </w:tabs>
              <w:spacing w:before="0" w:after="0" w:line="240" w:lineRule="auto"/>
              <w:ind w:left="450" w:hanging="450"/>
              <w:rPr>
                <w:sz w:val="22"/>
                <w:lang w:val="lt-LT"/>
              </w:rPr>
            </w:pPr>
            <w:r w:rsidRPr="0080785C">
              <w:rPr>
                <w:sz w:val="22"/>
                <w:lang w:val="lt-LT" w:bidi="lt-LT"/>
              </w:rPr>
              <w:t>Visus veiksmus, jei reikia, pakartokite su kita ausimi.</w:t>
            </w:r>
          </w:p>
        </w:tc>
      </w:tr>
    </w:tbl>
    <w:p w14:paraId="783882CC" w14:textId="77777777" w:rsidR="0080785C" w:rsidRPr="0080785C" w:rsidRDefault="0080785C" w:rsidP="0080785C">
      <w:pPr>
        <w:autoSpaceDE w:val="0"/>
        <w:autoSpaceDN w:val="0"/>
        <w:adjustRightInd w:val="0"/>
        <w:jc w:val="center"/>
        <w:rPr>
          <w:rFonts w:ascii="Times New Roman" w:hAnsi="Times New Roman"/>
          <w:sz w:val="22"/>
          <w:szCs w:val="22"/>
          <w:lang w:val="lt-LT"/>
        </w:rPr>
      </w:pPr>
    </w:p>
    <w:p w14:paraId="2AFED24F"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Labai svarbu laikytis šių instrukcijų, kad vaistas ausyje būtų veiksmingas. </w:t>
      </w:r>
    </w:p>
    <w:p w14:paraId="0CD6E077"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2A6DFED0"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 xml:space="preserve">Ką daryti pavartojus per didelę </w:t>
      </w:r>
      <w:proofErr w:type="spellStart"/>
      <w:r w:rsidRPr="0080785C">
        <w:rPr>
          <w:rFonts w:ascii="Times New Roman" w:hAnsi="Times New Roman"/>
          <w:b/>
          <w:bCs/>
          <w:sz w:val="22"/>
          <w:szCs w:val="22"/>
          <w:lang w:val="lt-LT" w:bidi="lt-LT"/>
        </w:rPr>
        <w:t>Bonadix</w:t>
      </w:r>
      <w:proofErr w:type="spellEnd"/>
      <w:r w:rsidRPr="0080785C">
        <w:rPr>
          <w:rFonts w:ascii="Times New Roman" w:hAnsi="Times New Roman"/>
          <w:b/>
          <w:sz w:val="22"/>
          <w:szCs w:val="22"/>
          <w:lang w:val="lt-LT" w:bidi="lt-LT"/>
        </w:rPr>
        <w:t xml:space="preserve"> dozę</w:t>
      </w:r>
    </w:p>
    <w:p w14:paraId="58D53346"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Perdozavimo simptomų nėra žinoma. Perdozavę arba vaisto atsitiktinai nuriję, nedelsdami kreipkitės į gydytoją arba vaistininką arba vykite į artimiausią medicinos įstaigą. </w:t>
      </w:r>
    </w:p>
    <w:p w14:paraId="061CE9BD"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1E3F9AF4"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 xml:space="preserve">Pamiršus pavartoti </w:t>
      </w:r>
      <w:proofErr w:type="spellStart"/>
      <w:r w:rsidRPr="0080785C">
        <w:rPr>
          <w:rFonts w:ascii="Times New Roman" w:hAnsi="Times New Roman"/>
          <w:b/>
          <w:bCs/>
          <w:sz w:val="22"/>
          <w:szCs w:val="22"/>
          <w:lang w:val="lt-LT" w:bidi="lt-LT"/>
        </w:rPr>
        <w:t>Bonadix</w:t>
      </w:r>
      <w:proofErr w:type="spellEnd"/>
    </w:p>
    <w:p w14:paraId="09284B53"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Negalima vartoti dvigubos dozės norint kompensuoti praleistą dozę. Tiesiog vartokite kitą dozę atėjus laikui.</w:t>
      </w:r>
    </w:p>
    <w:p w14:paraId="69DE69F8"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14943F7D"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 xml:space="preserve">Nustojus vartoti </w:t>
      </w:r>
      <w:proofErr w:type="spellStart"/>
      <w:r w:rsidRPr="0080785C">
        <w:rPr>
          <w:rFonts w:ascii="Times New Roman" w:hAnsi="Times New Roman"/>
          <w:b/>
          <w:bCs/>
          <w:sz w:val="22"/>
          <w:szCs w:val="22"/>
          <w:lang w:val="lt-LT" w:bidi="lt-LT"/>
        </w:rPr>
        <w:t>Bonadix</w:t>
      </w:r>
      <w:proofErr w:type="spellEnd"/>
    </w:p>
    <w:p w14:paraId="16546392"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Nenutraukite </w:t>
      </w:r>
      <w:proofErr w:type="spellStart"/>
      <w:r w:rsidRPr="0080785C">
        <w:rPr>
          <w:rFonts w:ascii="Times New Roman" w:hAnsi="Times New Roman"/>
          <w:sz w:val="22"/>
          <w:szCs w:val="22"/>
          <w:lang w:val="lt-LT" w:bidi="lt-LT"/>
        </w:rPr>
        <w:t>Bonadix</w:t>
      </w:r>
      <w:proofErr w:type="spellEnd"/>
      <w:r w:rsidRPr="0080785C">
        <w:rPr>
          <w:rFonts w:ascii="Times New Roman" w:hAnsi="Times New Roman"/>
          <w:sz w:val="22"/>
          <w:szCs w:val="22"/>
          <w:lang w:val="lt-LT" w:bidi="lt-LT"/>
        </w:rPr>
        <w:t xml:space="preserve"> vartojimo nepranešę gydytojui arba vaistininkui. Labai svarbu šiuos lašus lašinti tiek laiko, kiek nurodė gydytojas, net jei simptomai palengvėja. Jei vaisto vartojimą nutrauksite anksčiau, infekcija gali neišnykti ir simptomai gali atsinaujinti arba net pasunkėti. Taip pat gali išsivystyti atsparumas antibiotikams.</w:t>
      </w:r>
    </w:p>
    <w:p w14:paraId="3E7CA49E"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4EC40D4D"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Jeigu kiltų daugiau klausimų dėl šio vaisto vartojimo, kreipkitės į gydytoją arba vaistininką.</w:t>
      </w:r>
    </w:p>
    <w:p w14:paraId="523F1CE3"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5A44091B"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F1E2613" w14:textId="77777777" w:rsidR="0080785C" w:rsidRPr="0080785C" w:rsidRDefault="0080785C" w:rsidP="0080785C">
      <w:pPr>
        <w:autoSpaceDE w:val="0"/>
        <w:autoSpaceDN w:val="0"/>
        <w:adjustRightInd w:val="0"/>
        <w:ind w:left="567" w:hanging="567"/>
        <w:jc w:val="both"/>
        <w:rPr>
          <w:rFonts w:ascii="Times New Roman" w:hAnsi="Times New Roman"/>
          <w:b/>
          <w:sz w:val="22"/>
          <w:szCs w:val="22"/>
          <w:lang w:val="lt-LT"/>
        </w:rPr>
      </w:pPr>
      <w:r w:rsidRPr="0080785C">
        <w:rPr>
          <w:rFonts w:ascii="Times New Roman" w:hAnsi="Times New Roman"/>
          <w:b/>
          <w:sz w:val="22"/>
          <w:szCs w:val="22"/>
          <w:lang w:val="lt-LT" w:bidi="lt-LT"/>
        </w:rPr>
        <w:t xml:space="preserve">4. </w:t>
      </w:r>
      <w:r w:rsidRPr="0080785C">
        <w:rPr>
          <w:rFonts w:ascii="Times New Roman" w:hAnsi="Times New Roman"/>
          <w:b/>
          <w:sz w:val="22"/>
          <w:szCs w:val="22"/>
          <w:lang w:val="lt-LT" w:bidi="lt-LT"/>
        </w:rPr>
        <w:tab/>
        <w:t>Galimas šalutinis poveikis</w:t>
      </w:r>
    </w:p>
    <w:p w14:paraId="42A79BDE"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33135BF5"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Šis vaistas, kaip ir visi kiti, gali sukelti šalutinį poveikį, nors jis pasireiškia ne visiems žmonėms.</w:t>
      </w:r>
    </w:p>
    <w:p w14:paraId="08BB8459"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1CD1029B"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Nutraukite šio vaisto vartojimą ir nedelsdami informuokite gydytoją, jeigu pasireiškė kuri nors iš šių reakcijų: rankų, kojų, kulkšnių, veido, lūpų, burnos ar gerklės patinimas, rijimo ar kvėpavimo pasunkėjimas, išbėrimas ar dilgėlinė, opos, žaizdos. </w:t>
      </w:r>
    </w:p>
    <w:p w14:paraId="195DB799"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 </w:t>
      </w:r>
    </w:p>
    <w:p w14:paraId="3B592067" w14:textId="77777777" w:rsidR="0080785C" w:rsidRPr="0080785C" w:rsidRDefault="0080785C" w:rsidP="0080785C">
      <w:pPr>
        <w:autoSpaceDE w:val="0"/>
        <w:autoSpaceDN w:val="0"/>
        <w:adjustRightInd w:val="0"/>
        <w:jc w:val="both"/>
        <w:rPr>
          <w:rFonts w:ascii="Times New Roman" w:hAnsi="Times New Roman"/>
          <w:sz w:val="22"/>
          <w:szCs w:val="22"/>
          <w:u w:val="single"/>
          <w:lang w:val="lt-LT"/>
        </w:rPr>
      </w:pPr>
      <w:r w:rsidRPr="0080785C">
        <w:rPr>
          <w:rFonts w:ascii="Times New Roman" w:hAnsi="Times New Roman"/>
          <w:sz w:val="22"/>
          <w:szCs w:val="22"/>
          <w:u w:val="single"/>
          <w:lang w:val="lt-LT" w:bidi="lt-LT"/>
        </w:rPr>
        <w:t>Dažni šalutinio poveikio reiškiniai (gali pasireikšti rečiau kaip 1 iš 10 asmenų):</w:t>
      </w:r>
    </w:p>
    <w:p w14:paraId="653CF59E" w14:textId="77777777" w:rsidR="0080785C" w:rsidRPr="0080785C" w:rsidRDefault="0080785C" w:rsidP="0080785C">
      <w:pPr>
        <w:autoSpaceDE w:val="0"/>
        <w:autoSpaceDN w:val="0"/>
        <w:adjustRightInd w:val="0"/>
        <w:jc w:val="both"/>
        <w:rPr>
          <w:rFonts w:ascii="Times New Roman" w:hAnsi="Times New Roman"/>
          <w:i/>
          <w:sz w:val="22"/>
          <w:szCs w:val="22"/>
          <w:lang w:val="lt-LT"/>
        </w:rPr>
      </w:pPr>
    </w:p>
    <w:p w14:paraId="6EA7A54F"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i/>
          <w:sz w:val="22"/>
          <w:szCs w:val="22"/>
          <w:lang w:val="lt-LT" w:bidi="lt-LT"/>
        </w:rPr>
        <w:t xml:space="preserve">Poveikis ausiai: </w:t>
      </w:r>
      <w:r w:rsidRPr="0080785C">
        <w:rPr>
          <w:rFonts w:ascii="Times New Roman" w:hAnsi="Times New Roman"/>
          <w:sz w:val="22"/>
          <w:szCs w:val="22"/>
          <w:lang w:val="lt-LT" w:bidi="lt-LT"/>
        </w:rPr>
        <w:t>diskomforto jausmas, skausmas, niežulys.</w:t>
      </w:r>
    </w:p>
    <w:p w14:paraId="307DABA8" w14:textId="77777777" w:rsidR="0080785C" w:rsidRPr="0080785C" w:rsidRDefault="0080785C" w:rsidP="0080785C">
      <w:pPr>
        <w:autoSpaceDE w:val="0"/>
        <w:autoSpaceDN w:val="0"/>
        <w:adjustRightInd w:val="0"/>
        <w:jc w:val="both"/>
        <w:rPr>
          <w:rFonts w:ascii="Times New Roman" w:hAnsi="Times New Roman"/>
          <w:i/>
          <w:sz w:val="22"/>
          <w:szCs w:val="22"/>
          <w:lang w:val="lt-LT"/>
        </w:rPr>
      </w:pPr>
    </w:p>
    <w:p w14:paraId="602F0B7E"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i/>
          <w:sz w:val="22"/>
          <w:szCs w:val="22"/>
          <w:lang w:val="lt-LT" w:bidi="lt-LT"/>
        </w:rPr>
        <w:t>Bendras šalutinis poveikis:</w:t>
      </w:r>
      <w:r w:rsidRPr="0080785C">
        <w:rPr>
          <w:rFonts w:ascii="Times New Roman" w:hAnsi="Times New Roman"/>
          <w:sz w:val="22"/>
          <w:szCs w:val="22"/>
          <w:lang w:val="lt-LT" w:bidi="lt-LT"/>
        </w:rPr>
        <w:t xml:space="preserve"> neįprastas skonis. </w:t>
      </w:r>
    </w:p>
    <w:p w14:paraId="07D8DB36"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255E5274" w14:textId="77777777" w:rsidR="0080785C" w:rsidRPr="0080785C" w:rsidRDefault="0080785C" w:rsidP="0080785C">
      <w:pPr>
        <w:autoSpaceDE w:val="0"/>
        <w:autoSpaceDN w:val="0"/>
        <w:adjustRightInd w:val="0"/>
        <w:jc w:val="both"/>
        <w:rPr>
          <w:rFonts w:ascii="Times New Roman" w:hAnsi="Times New Roman"/>
          <w:sz w:val="22"/>
          <w:szCs w:val="22"/>
          <w:lang w:val="lt-LT"/>
        </w:rPr>
      </w:pPr>
      <w:proofErr w:type="spellStart"/>
      <w:r w:rsidRPr="0080785C">
        <w:rPr>
          <w:rFonts w:ascii="Times New Roman" w:hAnsi="Times New Roman"/>
          <w:sz w:val="22"/>
          <w:szCs w:val="22"/>
          <w:u w:val="single"/>
          <w:lang w:val="lt-LT" w:bidi="lt-LT"/>
        </w:rPr>
        <w:t>Neažni</w:t>
      </w:r>
      <w:proofErr w:type="spellEnd"/>
      <w:r w:rsidRPr="0080785C">
        <w:rPr>
          <w:rFonts w:ascii="Times New Roman" w:hAnsi="Times New Roman"/>
          <w:sz w:val="22"/>
          <w:szCs w:val="22"/>
          <w:u w:val="single"/>
          <w:lang w:val="lt-LT" w:bidi="lt-LT"/>
        </w:rPr>
        <w:t xml:space="preserve"> šalutinio poveikio reiškiniai (gali pasireikšti rečiau kaip 1 iš 100 asmenų):</w:t>
      </w:r>
      <w:r w:rsidRPr="0080785C">
        <w:rPr>
          <w:rFonts w:ascii="Times New Roman" w:hAnsi="Times New Roman"/>
          <w:sz w:val="22"/>
          <w:szCs w:val="22"/>
          <w:lang w:val="lt-LT" w:bidi="lt-LT"/>
        </w:rPr>
        <w:t xml:space="preserve"> </w:t>
      </w:r>
    </w:p>
    <w:p w14:paraId="2E8DE995"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i/>
          <w:sz w:val="22"/>
          <w:szCs w:val="22"/>
          <w:lang w:val="lt-LT" w:bidi="lt-LT"/>
        </w:rPr>
        <w:t>Poveikis ausiai:</w:t>
      </w:r>
      <w:r w:rsidRPr="0080785C">
        <w:rPr>
          <w:rFonts w:ascii="Times New Roman" w:hAnsi="Times New Roman"/>
          <w:sz w:val="22"/>
          <w:szCs w:val="22"/>
          <w:lang w:val="lt-LT" w:bidi="lt-LT"/>
        </w:rPr>
        <w:t xml:space="preserve"> ausies spengimas, vaisto likučiai, ausį drenuojančio vamzdelio užsikimšimas, dilgčiojimas, užgulimas, susilpnėjusi klausa, bėrimas, paraudimas, grybelinė išorinės ausies infekcija, išskyros, patinimas, ausies būgnelio ligos, </w:t>
      </w:r>
      <w:proofErr w:type="spellStart"/>
      <w:r w:rsidRPr="0080785C">
        <w:rPr>
          <w:rFonts w:ascii="Times New Roman" w:hAnsi="Times New Roman"/>
          <w:sz w:val="22"/>
          <w:szCs w:val="22"/>
          <w:lang w:val="lt-LT" w:bidi="lt-LT"/>
        </w:rPr>
        <w:t>granuliacinis</w:t>
      </w:r>
      <w:proofErr w:type="spellEnd"/>
      <w:r w:rsidRPr="0080785C">
        <w:rPr>
          <w:rFonts w:ascii="Times New Roman" w:hAnsi="Times New Roman"/>
          <w:sz w:val="22"/>
          <w:szCs w:val="22"/>
          <w:lang w:val="lt-LT" w:bidi="lt-LT"/>
        </w:rPr>
        <w:t xml:space="preserve"> audinys, priešingos pusės vidurinės ausies uždegimas.</w:t>
      </w:r>
    </w:p>
    <w:p w14:paraId="1546D0DF"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 </w:t>
      </w:r>
    </w:p>
    <w:p w14:paraId="58C7C963"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i/>
          <w:sz w:val="22"/>
          <w:szCs w:val="22"/>
          <w:lang w:val="lt-LT" w:bidi="lt-LT"/>
        </w:rPr>
        <w:t>Bendras šalutinis poveikis:</w:t>
      </w:r>
      <w:r w:rsidRPr="0080785C">
        <w:rPr>
          <w:rFonts w:ascii="Times New Roman" w:hAnsi="Times New Roman"/>
          <w:sz w:val="22"/>
          <w:szCs w:val="22"/>
          <w:lang w:val="lt-LT" w:bidi="lt-LT"/>
        </w:rPr>
        <w:t xml:space="preserve"> </w:t>
      </w:r>
      <w:proofErr w:type="spellStart"/>
      <w:r w:rsidRPr="0080785C">
        <w:rPr>
          <w:rFonts w:ascii="Times New Roman" w:hAnsi="Times New Roman"/>
          <w:i/>
          <w:sz w:val="22"/>
          <w:szCs w:val="22"/>
          <w:lang w:val="lt-LT" w:bidi="lt-LT"/>
        </w:rPr>
        <w:t>Candida</w:t>
      </w:r>
      <w:proofErr w:type="spellEnd"/>
      <w:r w:rsidRPr="0080785C">
        <w:rPr>
          <w:rFonts w:ascii="Times New Roman" w:hAnsi="Times New Roman"/>
          <w:sz w:val="22"/>
          <w:szCs w:val="22"/>
          <w:lang w:val="lt-LT" w:bidi="lt-LT"/>
        </w:rPr>
        <w:t xml:space="preserve"> infekcija, dirglumas, </w:t>
      </w:r>
      <w:proofErr w:type="spellStart"/>
      <w:r w:rsidRPr="0080785C">
        <w:rPr>
          <w:rFonts w:ascii="Times New Roman" w:hAnsi="Times New Roman"/>
          <w:sz w:val="22"/>
          <w:szCs w:val="22"/>
          <w:lang w:val="lt-LT" w:bidi="lt-LT"/>
        </w:rPr>
        <w:t>verksmingumas</w:t>
      </w:r>
      <w:proofErr w:type="spellEnd"/>
      <w:r w:rsidRPr="0080785C">
        <w:rPr>
          <w:rFonts w:ascii="Times New Roman" w:hAnsi="Times New Roman"/>
          <w:sz w:val="22"/>
          <w:szCs w:val="22"/>
          <w:lang w:val="lt-LT" w:bidi="lt-LT"/>
        </w:rPr>
        <w:t>, galvos svaigimas, odos paraudimas, galvos skausmas, vėmimas, nuovargis.</w:t>
      </w:r>
    </w:p>
    <w:p w14:paraId="0385B4A8"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3B7054C4"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Šalutinio poveikio reiškiniai, kurių dažnis nežinomas (negali būti apskaičiuotas pagal turimus duomenis):</w:t>
      </w:r>
    </w:p>
    <w:p w14:paraId="5F70C4D5"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i/>
          <w:sz w:val="22"/>
          <w:szCs w:val="22"/>
          <w:lang w:val="lt-LT" w:bidi="lt-LT"/>
        </w:rPr>
        <w:t xml:space="preserve">Akių sutrikimai: </w:t>
      </w:r>
      <w:r w:rsidRPr="0080785C">
        <w:rPr>
          <w:rFonts w:ascii="Times New Roman" w:hAnsi="Times New Roman"/>
          <w:sz w:val="22"/>
          <w:szCs w:val="22"/>
          <w:lang w:val="lt-LT" w:bidi="lt-LT"/>
        </w:rPr>
        <w:t>miglotas matymas.</w:t>
      </w:r>
    </w:p>
    <w:p w14:paraId="043C1339"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0FBA1E25" w14:textId="77777777" w:rsidR="0080785C" w:rsidRPr="0080785C" w:rsidRDefault="0080785C" w:rsidP="0080785C">
      <w:pPr>
        <w:numPr>
          <w:ilvl w:val="12"/>
          <w:numId w:val="0"/>
        </w:numPr>
        <w:outlineLvl w:val="0"/>
        <w:rPr>
          <w:rFonts w:ascii="Times New Roman" w:hAnsi="Times New Roman"/>
          <w:b/>
          <w:sz w:val="22"/>
          <w:szCs w:val="22"/>
          <w:lang w:val="lt-LT"/>
        </w:rPr>
      </w:pPr>
      <w:r w:rsidRPr="0080785C">
        <w:rPr>
          <w:rFonts w:ascii="Times New Roman" w:hAnsi="Times New Roman"/>
          <w:b/>
          <w:sz w:val="22"/>
          <w:szCs w:val="22"/>
          <w:lang w:val="lt-LT" w:bidi="lt-LT"/>
        </w:rPr>
        <w:t>Pranešimas apie šalutinį poveikį</w:t>
      </w:r>
    </w:p>
    <w:p w14:paraId="722319E6" w14:textId="77777777" w:rsidR="0080785C" w:rsidRPr="0080785C" w:rsidRDefault="0080785C" w:rsidP="0080785C">
      <w:pPr>
        <w:tabs>
          <w:tab w:val="left" w:pos="567"/>
        </w:tabs>
        <w:ind w:right="-1"/>
        <w:rPr>
          <w:rFonts w:ascii="Times New Roman" w:hAnsi="Times New Roman"/>
          <w:snapToGrid w:val="0"/>
          <w:sz w:val="22"/>
          <w:szCs w:val="22"/>
          <w:lang w:val="lt-LT"/>
        </w:rPr>
      </w:pPr>
      <w:r w:rsidRPr="0080785C">
        <w:rPr>
          <w:rFonts w:ascii="Times New Roman" w:hAnsi="Times New Roman"/>
          <w:sz w:val="22"/>
          <w:szCs w:val="22"/>
          <w:lang w:val="lt-LT" w:bidi="lt-LT"/>
        </w:rPr>
        <w:t xml:space="preserve">Jeigu pasireiškė šalutinis poveikis, įskaitant šiame lapelyje nenurodytą, pasakykite gydytojui arba vaistininkui. </w:t>
      </w:r>
      <w:r w:rsidRPr="0080785C">
        <w:rPr>
          <w:rFonts w:ascii="Times New Roman" w:hAnsi="Times New Roman"/>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80785C">
          <w:rPr>
            <w:rFonts w:ascii="Times New Roman" w:hAnsi="Times New Roman"/>
            <w:snapToGrid w:val="0"/>
            <w:sz w:val="22"/>
            <w:szCs w:val="22"/>
            <w:u w:val="single"/>
            <w:lang w:val="lt-LT"/>
          </w:rPr>
          <w:t>https://vapris.vvkt.lt/vvkt-web/public/nrv</w:t>
        </w:r>
      </w:hyperlink>
      <w:r w:rsidRPr="0080785C">
        <w:rPr>
          <w:rFonts w:ascii="Times New Roman" w:hAnsi="Times New Roman"/>
          <w:snapToGrid w:val="0"/>
          <w:sz w:val="22"/>
          <w:szCs w:val="22"/>
          <w:lang w:val="lt-LT"/>
        </w:rPr>
        <w:t xml:space="preserve"> arba užpildant Paciento pranešimo apie įtariamą nepageidaujamą reakciją (ĮNR) formą, kuri skelbiama </w:t>
      </w:r>
      <w:hyperlink r:id="rId18" w:history="1">
        <w:r w:rsidRPr="0080785C">
          <w:rPr>
            <w:rFonts w:ascii="Times New Roman" w:hAnsi="Times New Roman"/>
            <w:snapToGrid w:val="0"/>
            <w:sz w:val="22"/>
            <w:szCs w:val="22"/>
            <w:u w:val="single"/>
            <w:lang w:val="lt-LT"/>
          </w:rPr>
          <w:t>https://www.vvkt.lt/index.php?4004286486</w:t>
        </w:r>
      </w:hyperlink>
      <w:r w:rsidRPr="0080785C">
        <w:rPr>
          <w:rFonts w:ascii="Times New Roman" w:hAnsi="Times New Roman"/>
          <w:snapToGrid w:val="0"/>
          <w:sz w:val="22"/>
          <w:szCs w:val="22"/>
          <w:lang w:val="lt-LT"/>
        </w:rPr>
        <w:t xml:space="preserve">, ir atsiunčiant elektroniniu paštu (adresu </w:t>
      </w:r>
      <w:hyperlink r:id="rId19" w:history="1">
        <w:r w:rsidRPr="0080785C">
          <w:rPr>
            <w:rFonts w:ascii="Times New Roman" w:hAnsi="Times New Roman"/>
            <w:snapToGrid w:val="0"/>
            <w:sz w:val="22"/>
            <w:szCs w:val="22"/>
            <w:u w:val="single"/>
            <w:lang w:val="lt-LT"/>
          </w:rPr>
          <w:t>NepageidaujamaR@vvkt.lt</w:t>
        </w:r>
      </w:hyperlink>
      <w:r w:rsidRPr="0080785C">
        <w:rPr>
          <w:rFonts w:ascii="Times New Roman" w:hAnsi="Times New Roman"/>
          <w:snapToGrid w:val="0"/>
          <w:sz w:val="22"/>
          <w:szCs w:val="22"/>
          <w:lang w:val="lt-LT"/>
        </w:rPr>
        <w:t>) arba nemokamu telefonu 8 800 73 568. Pranešdami apie šalutinį poveikį galite mums padėti gauti daugiau informacijos apie šio vaisto saugumą.</w:t>
      </w:r>
    </w:p>
    <w:p w14:paraId="47A5900E" w14:textId="77777777" w:rsidR="0080785C" w:rsidRPr="0080785C" w:rsidRDefault="0080785C" w:rsidP="0080785C">
      <w:pPr>
        <w:tabs>
          <w:tab w:val="left" w:pos="567"/>
        </w:tabs>
        <w:ind w:right="-449"/>
        <w:rPr>
          <w:rFonts w:ascii="Times New Roman" w:hAnsi="Times New Roman"/>
          <w:noProof/>
          <w:snapToGrid w:val="0"/>
          <w:sz w:val="22"/>
          <w:szCs w:val="22"/>
          <w:lang w:val="lt-LT"/>
        </w:rPr>
      </w:pPr>
    </w:p>
    <w:p w14:paraId="35943A89"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12965E42" w14:textId="77777777" w:rsidR="0080785C" w:rsidRPr="0080785C" w:rsidRDefault="0080785C" w:rsidP="0080785C">
      <w:pPr>
        <w:autoSpaceDE w:val="0"/>
        <w:autoSpaceDN w:val="0"/>
        <w:adjustRightInd w:val="0"/>
        <w:ind w:left="567" w:hanging="567"/>
        <w:jc w:val="both"/>
        <w:rPr>
          <w:rFonts w:ascii="Times New Roman" w:hAnsi="Times New Roman"/>
          <w:b/>
          <w:sz w:val="22"/>
          <w:szCs w:val="22"/>
          <w:lang w:val="lt-LT"/>
        </w:rPr>
      </w:pPr>
      <w:r w:rsidRPr="0080785C">
        <w:rPr>
          <w:rFonts w:ascii="Times New Roman" w:hAnsi="Times New Roman"/>
          <w:b/>
          <w:sz w:val="22"/>
          <w:szCs w:val="22"/>
          <w:lang w:val="lt-LT" w:bidi="lt-LT"/>
        </w:rPr>
        <w:t xml:space="preserve">5. </w:t>
      </w:r>
      <w:r w:rsidRPr="0080785C">
        <w:rPr>
          <w:rFonts w:ascii="Times New Roman" w:hAnsi="Times New Roman"/>
          <w:b/>
          <w:sz w:val="22"/>
          <w:szCs w:val="22"/>
          <w:lang w:val="lt-LT" w:bidi="lt-LT"/>
        </w:rPr>
        <w:tab/>
        <w:t xml:space="preserve">Kaip laikyti </w:t>
      </w:r>
      <w:proofErr w:type="spellStart"/>
      <w:r w:rsidRPr="0080785C">
        <w:rPr>
          <w:rFonts w:ascii="Times New Roman" w:hAnsi="Times New Roman"/>
          <w:b/>
          <w:bCs/>
          <w:sz w:val="22"/>
          <w:szCs w:val="22"/>
          <w:lang w:val="lt-LT" w:bidi="lt-LT"/>
        </w:rPr>
        <w:t>Bonadix</w:t>
      </w:r>
      <w:proofErr w:type="spellEnd"/>
    </w:p>
    <w:p w14:paraId="2DAABE34"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0A4F9B86"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Šį vaistą laikykite vaikams nepastebimoje ir nepasiekiamoje vietoje</w:t>
      </w:r>
    </w:p>
    <w:p w14:paraId="2B0E13DC"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561CB0E4"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Ant etiketės ir dėžutės po „EXP“ nurodytam tinkamumo laikui pasibaigus, šio vaisto vartoti negalima. Vaistas tinkamas vartoti iki paskutinės nurodyto mėnesio dienos.</w:t>
      </w:r>
    </w:p>
    <w:p w14:paraId="25BB1018"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14652676"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Laikyti žemesnėje kaip 30 °C temperatūroje. Laikyti maišelį gamintojo pakuotėje, kad vaistas būtų apsaugotas nuo šviesos. Išmeskite praėjus 7 dienoms po pirmojo maišelio atidarymo.</w:t>
      </w:r>
    </w:p>
    <w:p w14:paraId="07814A1F" w14:textId="77777777" w:rsidR="0080785C" w:rsidRPr="0080785C" w:rsidRDefault="0080785C" w:rsidP="0080785C">
      <w:pPr>
        <w:tabs>
          <w:tab w:val="left" w:pos="-1440"/>
          <w:tab w:val="left" w:pos="-720"/>
        </w:tabs>
        <w:suppressAutoHyphens/>
        <w:jc w:val="both"/>
        <w:rPr>
          <w:rFonts w:ascii="Times New Roman" w:hAnsi="Times New Roman"/>
          <w:sz w:val="22"/>
          <w:szCs w:val="22"/>
          <w:lang w:val="lt-LT"/>
        </w:rPr>
      </w:pPr>
      <w:r w:rsidRPr="0080785C">
        <w:rPr>
          <w:rFonts w:ascii="Times New Roman" w:hAnsi="Times New Roman"/>
          <w:sz w:val="22"/>
          <w:szCs w:val="22"/>
          <w:lang w:val="lt-LT" w:bidi="lt-LT"/>
        </w:rPr>
        <w:t xml:space="preserve">Pirmą kartą atidarius </w:t>
      </w:r>
      <w:proofErr w:type="spellStart"/>
      <w:r w:rsidRPr="0080785C">
        <w:rPr>
          <w:rFonts w:ascii="Times New Roman" w:hAnsi="Times New Roman"/>
          <w:sz w:val="22"/>
          <w:szCs w:val="22"/>
          <w:lang w:val="lt-LT" w:bidi="lt-LT"/>
        </w:rPr>
        <w:t>vienadozę</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talpyklę</w:t>
      </w:r>
      <w:proofErr w:type="spellEnd"/>
      <w:r w:rsidRPr="0080785C">
        <w:rPr>
          <w:rFonts w:ascii="Times New Roman" w:hAnsi="Times New Roman"/>
          <w:sz w:val="22"/>
          <w:szCs w:val="22"/>
          <w:lang w:val="lt-LT" w:bidi="lt-LT"/>
        </w:rPr>
        <w:t xml:space="preserve"> reikia vartoti nedelsiant, o pavartojus </w:t>
      </w:r>
      <w:proofErr w:type="spellStart"/>
      <w:r w:rsidRPr="0080785C">
        <w:rPr>
          <w:rFonts w:ascii="Times New Roman" w:hAnsi="Times New Roman"/>
          <w:sz w:val="22"/>
          <w:szCs w:val="22"/>
          <w:lang w:val="lt-LT" w:bidi="lt-LT"/>
        </w:rPr>
        <w:t>vienadozę</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talpyklę</w:t>
      </w:r>
      <w:proofErr w:type="spellEnd"/>
      <w:r w:rsidRPr="0080785C">
        <w:rPr>
          <w:rFonts w:ascii="Times New Roman" w:hAnsi="Times New Roman"/>
          <w:sz w:val="22"/>
          <w:szCs w:val="22"/>
          <w:lang w:val="lt-LT" w:bidi="lt-LT"/>
        </w:rPr>
        <w:t>-išmesti.</w:t>
      </w:r>
    </w:p>
    <w:p w14:paraId="06054528" w14:textId="77777777" w:rsidR="0080785C" w:rsidRPr="0080785C" w:rsidRDefault="0080785C" w:rsidP="0080785C">
      <w:pPr>
        <w:numPr>
          <w:ilvl w:val="12"/>
          <w:numId w:val="0"/>
        </w:numPr>
        <w:ind w:right="-2"/>
        <w:rPr>
          <w:rFonts w:ascii="Times New Roman" w:hAnsi="Times New Roman"/>
          <w:sz w:val="22"/>
          <w:szCs w:val="22"/>
          <w:lang w:val="lt-LT"/>
        </w:rPr>
      </w:pPr>
      <w:r w:rsidRPr="0080785C">
        <w:rPr>
          <w:rFonts w:ascii="Times New Roman" w:hAnsi="Times New Roman"/>
          <w:sz w:val="22"/>
          <w:szCs w:val="22"/>
          <w:lang w:val="lt-LT" w:bidi="lt-LT"/>
        </w:rPr>
        <w:t>Vaistų negalima išmesti į kanalizaciją arba su buitinėmis atliekomis. Kaip išmesti nereikalingus vaistus, klauskite vaistininko. Šios priemonės padės apsaugoti aplinką.</w:t>
      </w:r>
    </w:p>
    <w:p w14:paraId="133AC45C"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508BB312"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1A61957B" w14:textId="77777777" w:rsidR="0080785C" w:rsidRPr="0080785C" w:rsidRDefault="0080785C" w:rsidP="0080785C">
      <w:p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b/>
          <w:sz w:val="22"/>
          <w:szCs w:val="22"/>
          <w:lang w:val="lt-LT" w:bidi="lt-LT"/>
        </w:rPr>
        <w:t xml:space="preserve">6. </w:t>
      </w:r>
      <w:r w:rsidRPr="0080785C">
        <w:rPr>
          <w:rFonts w:ascii="Times New Roman" w:hAnsi="Times New Roman"/>
          <w:b/>
          <w:sz w:val="22"/>
          <w:szCs w:val="22"/>
          <w:lang w:val="lt-LT" w:bidi="lt-LT"/>
        </w:rPr>
        <w:tab/>
        <w:t>Pakuotės turinys ir kita informacija</w:t>
      </w:r>
    </w:p>
    <w:p w14:paraId="2CB03E4A"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005275FA" w14:textId="77777777" w:rsidR="0080785C" w:rsidRPr="0080785C" w:rsidRDefault="0080785C" w:rsidP="0080785C">
      <w:pPr>
        <w:autoSpaceDE w:val="0"/>
        <w:autoSpaceDN w:val="0"/>
        <w:adjustRightInd w:val="0"/>
        <w:jc w:val="both"/>
        <w:rPr>
          <w:rFonts w:ascii="Times New Roman" w:hAnsi="Times New Roman"/>
          <w:b/>
          <w:sz w:val="22"/>
          <w:szCs w:val="22"/>
          <w:lang w:val="lt-LT"/>
        </w:rPr>
      </w:pPr>
      <w:proofErr w:type="spellStart"/>
      <w:r w:rsidRPr="0080785C">
        <w:rPr>
          <w:rFonts w:ascii="Times New Roman" w:hAnsi="Times New Roman"/>
          <w:b/>
          <w:bCs/>
          <w:sz w:val="22"/>
          <w:szCs w:val="22"/>
          <w:lang w:val="lt-LT" w:bidi="lt-LT"/>
        </w:rPr>
        <w:t>Bonadix</w:t>
      </w:r>
      <w:proofErr w:type="spellEnd"/>
      <w:r w:rsidRPr="0080785C">
        <w:rPr>
          <w:rFonts w:ascii="Times New Roman" w:hAnsi="Times New Roman"/>
          <w:b/>
          <w:sz w:val="22"/>
          <w:szCs w:val="22"/>
          <w:lang w:val="lt-LT" w:bidi="lt-LT"/>
        </w:rPr>
        <w:t xml:space="preserve"> sudėtis</w:t>
      </w:r>
    </w:p>
    <w:p w14:paraId="7684AA2B" w14:textId="77777777" w:rsidR="0080785C" w:rsidRPr="0080785C" w:rsidRDefault="0080785C" w:rsidP="0080785C">
      <w:pPr>
        <w:pStyle w:val="Sraopastraipa"/>
        <w:numPr>
          <w:ilvl w:val="0"/>
          <w:numId w:val="3"/>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Veikliosios medžiagos yra </w:t>
      </w:r>
      <w:proofErr w:type="spellStart"/>
      <w:r w:rsidRPr="0080785C">
        <w:rPr>
          <w:rFonts w:ascii="Times New Roman" w:hAnsi="Times New Roman"/>
          <w:sz w:val="22"/>
          <w:szCs w:val="22"/>
          <w:lang w:val="lt-LT" w:bidi="lt-LT"/>
        </w:rPr>
        <w:t>ciprofloksacinas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ciprofloksacino</w:t>
      </w:r>
      <w:proofErr w:type="spellEnd"/>
      <w:r w:rsidRPr="0080785C">
        <w:rPr>
          <w:rFonts w:ascii="Times New Roman" w:hAnsi="Times New Roman"/>
          <w:sz w:val="22"/>
          <w:szCs w:val="22"/>
          <w:lang w:val="lt-LT" w:bidi="lt-LT"/>
        </w:rPr>
        <w:t xml:space="preserve"> hidrochlorido pavidalu) ir </w:t>
      </w:r>
      <w:proofErr w:type="spellStart"/>
      <w:r w:rsidRPr="0080785C">
        <w:rPr>
          <w:rFonts w:ascii="Times New Roman" w:hAnsi="Times New Roman"/>
          <w:sz w:val="22"/>
          <w:szCs w:val="22"/>
          <w:lang w:val="lt-LT" w:bidi="lt-LT"/>
        </w:rPr>
        <w:t>fluocinolono</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acetonidas</w:t>
      </w:r>
      <w:proofErr w:type="spellEnd"/>
      <w:r w:rsidRPr="0080785C">
        <w:rPr>
          <w:rFonts w:ascii="Times New Roman" w:hAnsi="Times New Roman"/>
          <w:sz w:val="22"/>
          <w:szCs w:val="22"/>
          <w:lang w:val="lt-LT" w:bidi="lt-LT"/>
        </w:rPr>
        <w:t xml:space="preserve">. </w:t>
      </w:r>
    </w:p>
    <w:p w14:paraId="5A813639" w14:textId="77777777" w:rsidR="0080785C" w:rsidRPr="0080785C" w:rsidRDefault="0080785C" w:rsidP="0080785C">
      <w:pPr>
        <w:pStyle w:val="Antrats"/>
        <w:jc w:val="both"/>
        <w:rPr>
          <w:sz w:val="22"/>
          <w:szCs w:val="22"/>
          <w:lang w:val="lt-LT"/>
        </w:rPr>
      </w:pPr>
    </w:p>
    <w:p w14:paraId="2A0A01A6" w14:textId="77777777" w:rsidR="0080785C" w:rsidRPr="0080785C" w:rsidRDefault="0080785C" w:rsidP="0080785C">
      <w:pPr>
        <w:pStyle w:val="Antrats"/>
        <w:jc w:val="both"/>
        <w:rPr>
          <w:sz w:val="22"/>
          <w:szCs w:val="22"/>
          <w:lang w:val="lt-LT"/>
        </w:rPr>
      </w:pPr>
      <w:r w:rsidRPr="0080785C">
        <w:rPr>
          <w:sz w:val="22"/>
          <w:szCs w:val="22"/>
          <w:lang w:val="lt-LT" w:bidi="lt-LT"/>
        </w:rPr>
        <w:t xml:space="preserve">Kiekviename </w:t>
      </w:r>
      <w:proofErr w:type="spellStart"/>
      <w:r w:rsidRPr="0080785C">
        <w:rPr>
          <w:sz w:val="22"/>
          <w:szCs w:val="22"/>
          <w:lang w:val="lt-LT" w:bidi="lt-LT"/>
        </w:rPr>
        <w:t>Bonadix</w:t>
      </w:r>
      <w:proofErr w:type="spellEnd"/>
      <w:r w:rsidRPr="0080785C">
        <w:rPr>
          <w:sz w:val="22"/>
          <w:szCs w:val="22"/>
          <w:lang w:val="lt-LT" w:bidi="lt-LT"/>
        </w:rPr>
        <w:t xml:space="preserve"> mililitre yra 3 mg </w:t>
      </w:r>
      <w:proofErr w:type="spellStart"/>
      <w:r w:rsidRPr="0080785C">
        <w:rPr>
          <w:sz w:val="22"/>
          <w:szCs w:val="22"/>
          <w:lang w:val="lt-LT" w:bidi="lt-LT"/>
        </w:rPr>
        <w:t>ciprofloksacino</w:t>
      </w:r>
      <w:proofErr w:type="spellEnd"/>
      <w:r w:rsidRPr="0080785C">
        <w:rPr>
          <w:sz w:val="22"/>
          <w:szCs w:val="22"/>
          <w:lang w:val="lt-LT" w:bidi="lt-LT"/>
        </w:rPr>
        <w:t xml:space="preserve"> (hidrochlorido pavidalu) ir 0,25 mg </w:t>
      </w:r>
      <w:proofErr w:type="spellStart"/>
      <w:r w:rsidRPr="0080785C">
        <w:rPr>
          <w:sz w:val="22"/>
          <w:szCs w:val="22"/>
          <w:lang w:val="lt-LT" w:bidi="lt-LT"/>
        </w:rPr>
        <w:t>fluocinolono</w:t>
      </w:r>
      <w:proofErr w:type="spellEnd"/>
      <w:r w:rsidRPr="0080785C">
        <w:rPr>
          <w:sz w:val="22"/>
          <w:szCs w:val="22"/>
          <w:lang w:val="lt-LT" w:bidi="lt-LT"/>
        </w:rPr>
        <w:t xml:space="preserve"> </w:t>
      </w:r>
      <w:proofErr w:type="spellStart"/>
      <w:r w:rsidRPr="0080785C">
        <w:rPr>
          <w:sz w:val="22"/>
          <w:szCs w:val="22"/>
          <w:lang w:val="lt-LT" w:bidi="lt-LT"/>
        </w:rPr>
        <w:t>acetonido</w:t>
      </w:r>
      <w:proofErr w:type="spellEnd"/>
      <w:r w:rsidRPr="0080785C">
        <w:rPr>
          <w:sz w:val="22"/>
          <w:szCs w:val="22"/>
          <w:lang w:val="lt-LT" w:bidi="lt-LT"/>
        </w:rPr>
        <w:t xml:space="preserve">. Kiekvienoje </w:t>
      </w:r>
      <w:proofErr w:type="spellStart"/>
      <w:r w:rsidRPr="0080785C">
        <w:rPr>
          <w:sz w:val="22"/>
          <w:szCs w:val="22"/>
          <w:lang w:val="lt-LT" w:bidi="lt-LT"/>
        </w:rPr>
        <w:t>vienadozėje</w:t>
      </w:r>
      <w:proofErr w:type="spellEnd"/>
      <w:r w:rsidRPr="0080785C">
        <w:rPr>
          <w:sz w:val="22"/>
          <w:szCs w:val="22"/>
          <w:lang w:val="lt-LT" w:bidi="lt-LT"/>
        </w:rPr>
        <w:t xml:space="preserve"> </w:t>
      </w:r>
      <w:proofErr w:type="spellStart"/>
      <w:r w:rsidRPr="0080785C">
        <w:rPr>
          <w:sz w:val="22"/>
          <w:szCs w:val="22"/>
          <w:lang w:val="lt-LT" w:bidi="lt-LT"/>
        </w:rPr>
        <w:t>talpyklėje</w:t>
      </w:r>
      <w:proofErr w:type="spellEnd"/>
      <w:r w:rsidRPr="0080785C">
        <w:rPr>
          <w:sz w:val="22"/>
          <w:szCs w:val="22"/>
          <w:lang w:val="lt-LT" w:bidi="lt-LT"/>
        </w:rPr>
        <w:t xml:space="preserve"> (0,25 ml) yra 0,75 mg </w:t>
      </w:r>
      <w:proofErr w:type="spellStart"/>
      <w:r w:rsidRPr="0080785C">
        <w:rPr>
          <w:sz w:val="22"/>
          <w:szCs w:val="22"/>
          <w:lang w:val="lt-LT" w:bidi="lt-LT"/>
        </w:rPr>
        <w:t>ciprofloksacino</w:t>
      </w:r>
      <w:proofErr w:type="spellEnd"/>
      <w:r w:rsidRPr="0080785C">
        <w:rPr>
          <w:sz w:val="22"/>
          <w:szCs w:val="22"/>
          <w:lang w:val="lt-LT" w:bidi="lt-LT"/>
        </w:rPr>
        <w:t xml:space="preserve"> ir 0,0625 mg </w:t>
      </w:r>
      <w:proofErr w:type="spellStart"/>
      <w:r w:rsidRPr="0080785C">
        <w:rPr>
          <w:sz w:val="22"/>
          <w:szCs w:val="22"/>
          <w:lang w:val="lt-LT" w:bidi="lt-LT"/>
        </w:rPr>
        <w:t>fluocinolono</w:t>
      </w:r>
      <w:proofErr w:type="spellEnd"/>
      <w:r w:rsidRPr="0080785C">
        <w:rPr>
          <w:sz w:val="22"/>
          <w:szCs w:val="22"/>
          <w:lang w:val="lt-LT" w:bidi="lt-LT"/>
        </w:rPr>
        <w:t xml:space="preserve"> </w:t>
      </w:r>
      <w:proofErr w:type="spellStart"/>
      <w:r w:rsidRPr="0080785C">
        <w:rPr>
          <w:sz w:val="22"/>
          <w:szCs w:val="22"/>
          <w:lang w:val="lt-LT" w:bidi="lt-LT"/>
        </w:rPr>
        <w:t>acetonido</w:t>
      </w:r>
      <w:proofErr w:type="spellEnd"/>
      <w:r w:rsidRPr="0080785C">
        <w:rPr>
          <w:sz w:val="22"/>
          <w:szCs w:val="22"/>
          <w:lang w:val="lt-LT" w:bidi="lt-LT"/>
        </w:rPr>
        <w:t>.</w:t>
      </w:r>
    </w:p>
    <w:p w14:paraId="5CEE0815" w14:textId="77777777" w:rsidR="0080785C" w:rsidRPr="0080785C" w:rsidRDefault="0080785C" w:rsidP="0080785C">
      <w:pPr>
        <w:autoSpaceDE w:val="0"/>
        <w:autoSpaceDN w:val="0"/>
        <w:adjustRightInd w:val="0"/>
        <w:ind w:left="284" w:hanging="284"/>
        <w:jc w:val="both"/>
        <w:rPr>
          <w:rFonts w:ascii="Times New Roman" w:hAnsi="Times New Roman"/>
          <w:sz w:val="22"/>
          <w:szCs w:val="22"/>
          <w:lang w:val="lt-LT"/>
        </w:rPr>
      </w:pPr>
    </w:p>
    <w:p w14:paraId="32B8F21C" w14:textId="77777777" w:rsidR="0080785C" w:rsidRPr="0080785C" w:rsidRDefault="0080785C" w:rsidP="0080785C">
      <w:pPr>
        <w:pStyle w:val="Sraopastraipa"/>
        <w:numPr>
          <w:ilvl w:val="0"/>
          <w:numId w:val="3"/>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 xml:space="preserve">Pagalbinės medžiagos yra </w:t>
      </w:r>
      <w:proofErr w:type="spellStart"/>
      <w:r w:rsidRPr="0080785C">
        <w:rPr>
          <w:rFonts w:ascii="Times New Roman" w:hAnsi="Times New Roman"/>
          <w:sz w:val="22"/>
          <w:szCs w:val="22"/>
          <w:lang w:val="lt-LT" w:bidi="lt-LT"/>
        </w:rPr>
        <w:t>polisorbatas</w:t>
      </w:r>
      <w:proofErr w:type="spellEnd"/>
      <w:r w:rsidRPr="0080785C">
        <w:rPr>
          <w:rFonts w:ascii="Times New Roman" w:hAnsi="Times New Roman"/>
          <w:sz w:val="22"/>
          <w:szCs w:val="22"/>
          <w:lang w:val="lt-LT" w:bidi="lt-LT"/>
        </w:rPr>
        <w:t xml:space="preserve"> 80, </w:t>
      </w:r>
      <w:proofErr w:type="spellStart"/>
      <w:r w:rsidRPr="0080785C">
        <w:rPr>
          <w:rFonts w:ascii="Times New Roman" w:hAnsi="Times New Roman"/>
          <w:sz w:val="22"/>
          <w:szCs w:val="22"/>
          <w:lang w:val="lt-LT" w:bidi="lt-LT"/>
        </w:rPr>
        <w:t>glicerolis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povidonas</w:t>
      </w:r>
      <w:proofErr w:type="spellEnd"/>
      <w:r w:rsidRPr="0080785C">
        <w:rPr>
          <w:rFonts w:ascii="Times New Roman" w:hAnsi="Times New Roman"/>
          <w:sz w:val="22"/>
          <w:szCs w:val="22"/>
          <w:lang w:val="lt-LT" w:bidi="lt-LT"/>
        </w:rPr>
        <w:t xml:space="preserve"> ir išgrynintas vanduo.</w:t>
      </w:r>
    </w:p>
    <w:p w14:paraId="7C2CE5E6"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617C9E91" w14:textId="77777777" w:rsidR="0080785C" w:rsidRPr="0080785C" w:rsidRDefault="0080785C" w:rsidP="0080785C">
      <w:pPr>
        <w:autoSpaceDE w:val="0"/>
        <w:autoSpaceDN w:val="0"/>
        <w:adjustRightInd w:val="0"/>
        <w:jc w:val="both"/>
        <w:rPr>
          <w:rFonts w:ascii="Times New Roman" w:hAnsi="Times New Roman"/>
          <w:b/>
          <w:sz w:val="22"/>
          <w:szCs w:val="22"/>
          <w:lang w:val="lt-LT"/>
        </w:rPr>
      </w:pPr>
      <w:proofErr w:type="spellStart"/>
      <w:r w:rsidRPr="0080785C">
        <w:rPr>
          <w:rFonts w:ascii="Times New Roman" w:hAnsi="Times New Roman"/>
          <w:b/>
          <w:bCs/>
          <w:sz w:val="22"/>
          <w:szCs w:val="22"/>
          <w:lang w:val="lt-LT" w:bidi="lt-LT"/>
        </w:rPr>
        <w:t>Bonadix</w:t>
      </w:r>
      <w:proofErr w:type="spellEnd"/>
      <w:r w:rsidRPr="0080785C">
        <w:rPr>
          <w:rFonts w:ascii="Times New Roman" w:hAnsi="Times New Roman"/>
          <w:b/>
          <w:sz w:val="22"/>
          <w:szCs w:val="22"/>
          <w:lang w:val="lt-LT" w:bidi="lt-LT"/>
        </w:rPr>
        <w:t xml:space="preserve"> išvaizda ir kiekis pakuotėje</w:t>
      </w:r>
    </w:p>
    <w:p w14:paraId="04DBFDD1" w14:textId="77777777" w:rsidR="0080785C" w:rsidRPr="0080785C" w:rsidRDefault="0080785C" w:rsidP="0080785C">
      <w:pPr>
        <w:jc w:val="both"/>
        <w:rPr>
          <w:rFonts w:ascii="Times New Roman" w:hAnsi="Times New Roman"/>
          <w:sz w:val="22"/>
          <w:szCs w:val="22"/>
          <w:lang w:val="lt-LT"/>
        </w:rPr>
      </w:pPr>
      <w:proofErr w:type="spellStart"/>
      <w:r w:rsidRPr="0080785C">
        <w:rPr>
          <w:rFonts w:ascii="Times New Roman" w:hAnsi="Times New Roman"/>
          <w:sz w:val="22"/>
          <w:szCs w:val="22"/>
          <w:lang w:val="lt-LT" w:bidi="lt-LT"/>
        </w:rPr>
        <w:lastRenderedPageBreak/>
        <w:t>Bonadix</w:t>
      </w:r>
      <w:proofErr w:type="spellEnd"/>
      <w:r w:rsidRPr="0080785C">
        <w:rPr>
          <w:rFonts w:ascii="Times New Roman" w:hAnsi="Times New Roman"/>
          <w:sz w:val="22"/>
          <w:szCs w:val="22"/>
          <w:lang w:val="lt-LT" w:bidi="lt-LT"/>
        </w:rPr>
        <w:t xml:space="preserve"> yra bespalvis arba šiek tiek gelsvas, skaidrus ausų lašų tirpalas, skirtas lašinti į ausis, supilstytas į </w:t>
      </w:r>
      <w:proofErr w:type="spellStart"/>
      <w:r w:rsidRPr="0080785C">
        <w:rPr>
          <w:rFonts w:ascii="Times New Roman" w:hAnsi="Times New Roman"/>
          <w:sz w:val="22"/>
          <w:szCs w:val="22"/>
          <w:lang w:val="lt-LT" w:bidi="lt-LT"/>
        </w:rPr>
        <w:t>vienadozes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talpykles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Vienadozės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talpyklės</w:t>
      </w:r>
      <w:proofErr w:type="spellEnd"/>
      <w:r w:rsidRPr="0080785C">
        <w:rPr>
          <w:rFonts w:ascii="Times New Roman" w:hAnsi="Times New Roman"/>
          <w:sz w:val="22"/>
          <w:szCs w:val="22"/>
          <w:lang w:val="lt-LT" w:bidi="lt-LT"/>
        </w:rPr>
        <w:t xml:space="preserve"> supakuotos į apsauginį aliuminio folijos maišelį. Kiekvienoje pakuotėje yra 15 </w:t>
      </w:r>
      <w:proofErr w:type="spellStart"/>
      <w:r w:rsidRPr="0080785C">
        <w:rPr>
          <w:rFonts w:ascii="Times New Roman" w:hAnsi="Times New Roman"/>
          <w:sz w:val="22"/>
          <w:szCs w:val="22"/>
          <w:lang w:val="lt-LT" w:bidi="lt-LT"/>
        </w:rPr>
        <w:t>vienadozių</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talpyklių</w:t>
      </w:r>
      <w:proofErr w:type="spellEnd"/>
      <w:r w:rsidRPr="0080785C">
        <w:rPr>
          <w:rFonts w:ascii="Times New Roman" w:hAnsi="Times New Roman"/>
          <w:sz w:val="22"/>
          <w:szCs w:val="22"/>
          <w:lang w:val="lt-LT" w:bidi="lt-LT"/>
        </w:rPr>
        <w:t>.</w:t>
      </w:r>
    </w:p>
    <w:p w14:paraId="06A4E5F0"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F15E5B3"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 xml:space="preserve">Patarimai (medicininis švietimas) </w:t>
      </w:r>
    </w:p>
    <w:p w14:paraId="061A091B"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Antibiotikais gydomos bakterinės infekcijos. Antibiotikai neveiksmingi prieš virusines infekcijas. </w:t>
      </w:r>
    </w:p>
    <w:p w14:paraId="2FDBF4B3"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Jei gydytojas paskyrė antibiotikų, jų reikia būtent dabartinei ligai gydyti.</w:t>
      </w:r>
    </w:p>
    <w:p w14:paraId="24475118"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Nepaisant antibiotikų vartojimo, kai kurios bakterijos gali išgyventi arba daugintis. Šis reiškinys vadinamas atsparumu: kai kurie antibiotikai tampa neveiksmingi. </w:t>
      </w:r>
    </w:p>
    <w:p w14:paraId="5EFEC5EE"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Netinkamas antibiotikų vartojimas didina atsparumą. Netgi galite padėti bakterijoms tapti atsparioms ir taip atitolinti išgydymą arba sumažinti antibiotikų veiksmingumą, jei tinkamai nesilaikysite nurodymų dėl: </w:t>
      </w:r>
    </w:p>
    <w:p w14:paraId="6EFC2ED9" w14:textId="77777777" w:rsidR="0080785C" w:rsidRPr="0080785C" w:rsidRDefault="0080785C" w:rsidP="0080785C">
      <w:pPr>
        <w:pStyle w:val="Sraopastraipa"/>
        <w:numPr>
          <w:ilvl w:val="0"/>
          <w:numId w:val="3"/>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dozavimo,</w:t>
      </w:r>
    </w:p>
    <w:p w14:paraId="5B9E308B" w14:textId="77777777" w:rsidR="0080785C" w:rsidRPr="0080785C" w:rsidRDefault="0080785C" w:rsidP="0080785C">
      <w:pPr>
        <w:pStyle w:val="Sraopastraipa"/>
        <w:numPr>
          <w:ilvl w:val="0"/>
          <w:numId w:val="3"/>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vartojimo režimo,</w:t>
      </w:r>
    </w:p>
    <w:p w14:paraId="5EB92C1F" w14:textId="77777777" w:rsidR="0080785C" w:rsidRPr="0080785C" w:rsidRDefault="0080785C" w:rsidP="0080785C">
      <w:pPr>
        <w:pStyle w:val="Sraopastraipa"/>
        <w:numPr>
          <w:ilvl w:val="0"/>
          <w:numId w:val="3"/>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gydymo trukmės.</w:t>
      </w:r>
    </w:p>
    <w:p w14:paraId="00DE831F"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7358F847"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Todėl, siekiant išsaugoti vaisto veiksmingumą, būtina laikytis šių reikalavimų:</w:t>
      </w:r>
    </w:p>
    <w:p w14:paraId="3739A897" w14:textId="77777777" w:rsidR="0080785C" w:rsidRPr="0080785C" w:rsidRDefault="0080785C" w:rsidP="0080785C">
      <w:pPr>
        <w:pStyle w:val="Sraopastraipa"/>
        <w:numPr>
          <w:ilvl w:val="0"/>
          <w:numId w:val="4"/>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Antibiotikus vartokite tik tada, kai jie paskirti.</w:t>
      </w:r>
    </w:p>
    <w:p w14:paraId="3A058458" w14:textId="77777777" w:rsidR="0080785C" w:rsidRPr="0080785C" w:rsidRDefault="0080785C" w:rsidP="0080785C">
      <w:pPr>
        <w:pStyle w:val="Sraopastraipa"/>
        <w:numPr>
          <w:ilvl w:val="0"/>
          <w:numId w:val="4"/>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Griežtai laikykitės gydytojo nurodymų.</w:t>
      </w:r>
    </w:p>
    <w:p w14:paraId="00B2F57F" w14:textId="77777777" w:rsidR="0080785C" w:rsidRPr="0080785C" w:rsidRDefault="0080785C" w:rsidP="0080785C">
      <w:pPr>
        <w:pStyle w:val="Sraopastraipa"/>
        <w:numPr>
          <w:ilvl w:val="0"/>
          <w:numId w:val="4"/>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Nevartokite antibiotikų pakartotinai be gydytojo paskyrimo, net jei norite gydyti panašią ligą.</w:t>
      </w:r>
    </w:p>
    <w:p w14:paraId="6C80AE39" w14:textId="77777777" w:rsidR="0080785C" w:rsidRPr="0080785C" w:rsidRDefault="0080785C" w:rsidP="0080785C">
      <w:pPr>
        <w:pStyle w:val="Sraopastraipa"/>
        <w:numPr>
          <w:ilvl w:val="0"/>
          <w:numId w:val="4"/>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Niekada neduokite savo antibiotikų kitam asmeniui – galbūt jie nėra tinkami jo ligai gydyti.</w:t>
      </w:r>
    </w:p>
    <w:p w14:paraId="1FA8BD8B" w14:textId="77777777" w:rsidR="0080785C" w:rsidRPr="0080785C" w:rsidRDefault="0080785C" w:rsidP="0080785C">
      <w:pPr>
        <w:pStyle w:val="Sraopastraipa"/>
        <w:numPr>
          <w:ilvl w:val="0"/>
          <w:numId w:val="4"/>
        </w:numPr>
        <w:autoSpaceDE w:val="0"/>
        <w:autoSpaceDN w:val="0"/>
        <w:adjustRightInd w:val="0"/>
        <w:ind w:left="567" w:hanging="567"/>
        <w:jc w:val="both"/>
        <w:rPr>
          <w:rFonts w:ascii="Times New Roman" w:hAnsi="Times New Roman"/>
          <w:sz w:val="22"/>
          <w:szCs w:val="22"/>
          <w:lang w:val="lt-LT"/>
        </w:rPr>
      </w:pPr>
      <w:r w:rsidRPr="0080785C">
        <w:rPr>
          <w:rFonts w:ascii="Times New Roman" w:hAnsi="Times New Roman"/>
          <w:sz w:val="22"/>
          <w:szCs w:val="22"/>
          <w:lang w:val="lt-LT" w:bidi="lt-LT"/>
        </w:rPr>
        <w:t>Baigę gydymą, grąžinkite visus nesuvartotus vaistus į vaistinę, kad jie būtų tinkamai sunaikinti.</w:t>
      </w:r>
    </w:p>
    <w:p w14:paraId="277C2DAD"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61F117D1" w14:textId="77777777" w:rsidR="0080785C" w:rsidRPr="0080785C" w:rsidRDefault="0080785C" w:rsidP="0080785C">
      <w:pPr>
        <w:autoSpaceDE w:val="0"/>
        <w:autoSpaceDN w:val="0"/>
        <w:adjustRightInd w:val="0"/>
        <w:jc w:val="both"/>
        <w:rPr>
          <w:rFonts w:ascii="Times New Roman" w:hAnsi="Times New Roman"/>
          <w:b/>
          <w:sz w:val="22"/>
          <w:szCs w:val="22"/>
          <w:lang w:val="lt-LT"/>
        </w:rPr>
      </w:pPr>
      <w:r w:rsidRPr="0080785C">
        <w:rPr>
          <w:rFonts w:ascii="Times New Roman" w:hAnsi="Times New Roman"/>
          <w:b/>
          <w:sz w:val="22"/>
          <w:szCs w:val="22"/>
          <w:lang w:val="lt-LT" w:bidi="lt-LT"/>
        </w:rPr>
        <w:t>Registruotojas ir gamintojas</w:t>
      </w:r>
    </w:p>
    <w:p w14:paraId="792BA22F" w14:textId="77777777" w:rsidR="0080785C" w:rsidRPr="0080785C" w:rsidRDefault="0080785C" w:rsidP="0080785C">
      <w:pPr>
        <w:pStyle w:val="Pagrindinistekstas2"/>
        <w:suppressAutoHyphens/>
        <w:spacing w:after="0" w:line="240" w:lineRule="auto"/>
        <w:jc w:val="both"/>
        <w:rPr>
          <w:rFonts w:ascii="Times New Roman" w:hAnsi="Times New Roman"/>
          <w:b/>
          <w:sz w:val="22"/>
          <w:szCs w:val="22"/>
          <w:lang w:val="lt-LT"/>
        </w:rPr>
      </w:pPr>
    </w:p>
    <w:p w14:paraId="19F9EF8B" w14:textId="77777777" w:rsidR="0080785C" w:rsidRPr="0080785C" w:rsidRDefault="0080785C" w:rsidP="0080785C">
      <w:pPr>
        <w:pStyle w:val="Pagrindinistekstas2"/>
        <w:suppressAutoHyphens/>
        <w:spacing w:after="0" w:line="240" w:lineRule="auto"/>
        <w:jc w:val="both"/>
        <w:rPr>
          <w:rFonts w:ascii="Times New Roman" w:hAnsi="Times New Roman"/>
          <w:b/>
          <w:sz w:val="22"/>
          <w:szCs w:val="22"/>
          <w:lang w:val="lt-LT" w:bidi="lt-LT"/>
        </w:rPr>
      </w:pPr>
      <w:r w:rsidRPr="0080785C">
        <w:rPr>
          <w:rFonts w:ascii="Times New Roman" w:hAnsi="Times New Roman"/>
          <w:b/>
          <w:sz w:val="22"/>
          <w:szCs w:val="22"/>
          <w:lang w:val="lt-LT" w:bidi="lt-LT"/>
        </w:rPr>
        <w:t>Registruotojas</w:t>
      </w:r>
    </w:p>
    <w:p w14:paraId="246774C0" w14:textId="77777777" w:rsidR="0080785C" w:rsidRPr="0080785C" w:rsidRDefault="0080785C" w:rsidP="0080785C">
      <w:pPr>
        <w:pStyle w:val="Pagrindinistekstas"/>
        <w:tabs>
          <w:tab w:val="left" w:pos="567"/>
        </w:tabs>
        <w:spacing w:line="240" w:lineRule="auto"/>
        <w:rPr>
          <w:rFonts w:ascii="Times New Roman" w:hAnsi="Times New Roman"/>
          <w:bCs w:val="0"/>
          <w:spacing w:val="0"/>
          <w:szCs w:val="22"/>
          <w:lang w:val="lt-LT" w:bidi="lt-LT"/>
        </w:rPr>
      </w:pPr>
      <w:r w:rsidRPr="0080785C">
        <w:rPr>
          <w:rFonts w:ascii="Times New Roman" w:hAnsi="Times New Roman"/>
          <w:bCs w:val="0"/>
          <w:spacing w:val="0"/>
          <w:szCs w:val="22"/>
          <w:lang w:val="lt-LT" w:bidi="lt-LT"/>
        </w:rPr>
        <w:t xml:space="preserve">UAB </w:t>
      </w:r>
      <w:proofErr w:type="spellStart"/>
      <w:r w:rsidRPr="0080785C">
        <w:rPr>
          <w:rFonts w:ascii="Times New Roman" w:hAnsi="Times New Roman"/>
          <w:bCs w:val="0"/>
          <w:spacing w:val="0"/>
          <w:szCs w:val="22"/>
          <w:lang w:val="lt-LT" w:bidi="lt-LT"/>
        </w:rPr>
        <w:t>Orivas</w:t>
      </w:r>
      <w:proofErr w:type="spellEnd"/>
    </w:p>
    <w:p w14:paraId="2FF6A7A4" w14:textId="77777777" w:rsidR="0080785C" w:rsidRPr="0080785C" w:rsidRDefault="0080785C" w:rsidP="0080785C">
      <w:pPr>
        <w:pStyle w:val="Pagrindinistekstas"/>
        <w:tabs>
          <w:tab w:val="left" w:pos="567"/>
        </w:tabs>
        <w:spacing w:line="240" w:lineRule="auto"/>
        <w:rPr>
          <w:rFonts w:ascii="Times New Roman" w:hAnsi="Times New Roman"/>
          <w:bCs w:val="0"/>
          <w:spacing w:val="0"/>
          <w:szCs w:val="22"/>
          <w:lang w:val="lt-LT" w:bidi="lt-LT"/>
        </w:rPr>
      </w:pPr>
      <w:r w:rsidRPr="0080785C">
        <w:rPr>
          <w:rFonts w:ascii="Times New Roman" w:hAnsi="Times New Roman"/>
          <w:bCs w:val="0"/>
          <w:spacing w:val="0"/>
          <w:szCs w:val="22"/>
          <w:lang w:val="lt-LT" w:bidi="lt-LT"/>
        </w:rPr>
        <w:t xml:space="preserve">J. Jasinskio 16B </w:t>
      </w:r>
    </w:p>
    <w:p w14:paraId="248A19C5" w14:textId="77777777" w:rsidR="0080785C" w:rsidRPr="0080785C" w:rsidRDefault="0080785C" w:rsidP="0080785C">
      <w:pPr>
        <w:pStyle w:val="Pagrindinistekstas"/>
        <w:tabs>
          <w:tab w:val="left" w:pos="567"/>
        </w:tabs>
        <w:spacing w:line="240" w:lineRule="auto"/>
        <w:rPr>
          <w:rFonts w:ascii="Times New Roman" w:hAnsi="Times New Roman"/>
          <w:bCs w:val="0"/>
          <w:spacing w:val="0"/>
          <w:szCs w:val="22"/>
          <w:lang w:val="lt-LT" w:bidi="lt-LT"/>
        </w:rPr>
      </w:pPr>
      <w:r w:rsidRPr="0080785C">
        <w:rPr>
          <w:rFonts w:ascii="Times New Roman" w:hAnsi="Times New Roman"/>
          <w:bCs w:val="0"/>
          <w:spacing w:val="0"/>
          <w:szCs w:val="22"/>
          <w:lang w:val="lt-LT" w:bidi="lt-LT"/>
        </w:rPr>
        <w:t>LT-03163 Vilnius</w:t>
      </w:r>
    </w:p>
    <w:p w14:paraId="610B5037" w14:textId="77777777" w:rsidR="0080785C" w:rsidRPr="0080785C" w:rsidRDefault="0080785C" w:rsidP="0080785C">
      <w:pPr>
        <w:pStyle w:val="Pagrindinistekstas"/>
        <w:tabs>
          <w:tab w:val="left" w:pos="567"/>
        </w:tabs>
        <w:spacing w:line="240" w:lineRule="auto"/>
        <w:rPr>
          <w:rFonts w:ascii="Times New Roman" w:hAnsi="Times New Roman"/>
          <w:bCs w:val="0"/>
          <w:spacing w:val="0"/>
          <w:szCs w:val="22"/>
          <w:lang w:val="lt-LT" w:bidi="lt-LT"/>
        </w:rPr>
      </w:pPr>
      <w:r w:rsidRPr="0080785C">
        <w:rPr>
          <w:rFonts w:ascii="Times New Roman" w:hAnsi="Times New Roman"/>
          <w:bCs w:val="0"/>
          <w:spacing w:val="0"/>
          <w:szCs w:val="22"/>
          <w:lang w:val="lt-LT" w:bidi="lt-LT"/>
        </w:rPr>
        <w:t>Lietuva</w:t>
      </w:r>
    </w:p>
    <w:p w14:paraId="0A1129EC" w14:textId="77777777" w:rsidR="0080785C" w:rsidRPr="0080785C" w:rsidRDefault="0080785C" w:rsidP="0080785C">
      <w:pPr>
        <w:pStyle w:val="Pagrindinistekstas2"/>
        <w:suppressAutoHyphens/>
        <w:spacing w:after="0" w:line="240" w:lineRule="auto"/>
        <w:jc w:val="both"/>
        <w:rPr>
          <w:rFonts w:ascii="Times New Roman" w:hAnsi="Times New Roman"/>
          <w:sz w:val="22"/>
          <w:szCs w:val="22"/>
          <w:u w:val="single"/>
          <w:lang w:val="lt-LT"/>
        </w:rPr>
      </w:pPr>
    </w:p>
    <w:p w14:paraId="4F81F157" w14:textId="77777777" w:rsidR="0080785C" w:rsidRPr="0080785C" w:rsidRDefault="0080785C" w:rsidP="0080785C">
      <w:pPr>
        <w:pStyle w:val="Pagrindinistekstas2"/>
        <w:suppressAutoHyphens/>
        <w:spacing w:after="0" w:line="240" w:lineRule="auto"/>
        <w:jc w:val="both"/>
        <w:rPr>
          <w:rFonts w:ascii="Times New Roman" w:hAnsi="Times New Roman"/>
          <w:b/>
          <w:sz w:val="22"/>
          <w:szCs w:val="22"/>
          <w:lang w:val="lt-LT"/>
        </w:rPr>
      </w:pPr>
      <w:r w:rsidRPr="0080785C">
        <w:rPr>
          <w:rFonts w:ascii="Times New Roman" w:hAnsi="Times New Roman"/>
          <w:b/>
          <w:sz w:val="22"/>
          <w:szCs w:val="22"/>
          <w:lang w:val="lt-LT" w:bidi="lt-LT"/>
        </w:rPr>
        <w:t>Gamintojas</w:t>
      </w:r>
    </w:p>
    <w:p w14:paraId="47146FB2" w14:textId="77777777" w:rsidR="0080785C" w:rsidRPr="0080785C" w:rsidRDefault="0080785C" w:rsidP="0080785C">
      <w:pPr>
        <w:pStyle w:val="Pagrindinistekstas2"/>
        <w:suppressAutoHyphens/>
        <w:spacing w:after="0" w:line="240" w:lineRule="auto"/>
        <w:jc w:val="both"/>
        <w:rPr>
          <w:rFonts w:ascii="Times New Roman" w:hAnsi="Times New Roman"/>
          <w:sz w:val="22"/>
          <w:szCs w:val="22"/>
          <w:lang w:val="lt-LT"/>
        </w:rPr>
      </w:pPr>
      <w:proofErr w:type="spellStart"/>
      <w:r w:rsidRPr="0080785C">
        <w:rPr>
          <w:rFonts w:ascii="Times New Roman" w:hAnsi="Times New Roman"/>
          <w:sz w:val="22"/>
          <w:szCs w:val="22"/>
          <w:lang w:val="lt-LT" w:bidi="lt-LT"/>
        </w:rPr>
        <w:t>Laboratorios</w:t>
      </w:r>
      <w:proofErr w:type="spellEnd"/>
      <w:r w:rsidRPr="0080785C">
        <w:rPr>
          <w:rFonts w:ascii="Times New Roman" w:hAnsi="Times New Roman"/>
          <w:sz w:val="22"/>
          <w:szCs w:val="22"/>
          <w:lang w:val="lt-LT" w:bidi="lt-LT"/>
        </w:rPr>
        <w:t xml:space="preserve"> Salvat, S.A.</w:t>
      </w:r>
    </w:p>
    <w:p w14:paraId="760DD860" w14:textId="77777777" w:rsidR="0080785C" w:rsidRPr="0080785C" w:rsidRDefault="0080785C" w:rsidP="0080785C">
      <w:pPr>
        <w:pStyle w:val="Pagrindinistekstas2"/>
        <w:suppressAutoHyphens/>
        <w:spacing w:after="0" w:line="240" w:lineRule="auto"/>
        <w:jc w:val="both"/>
        <w:rPr>
          <w:rFonts w:ascii="Times New Roman" w:hAnsi="Times New Roman"/>
          <w:sz w:val="22"/>
          <w:szCs w:val="22"/>
          <w:lang w:val="lt-LT"/>
        </w:rPr>
      </w:pPr>
      <w:r w:rsidRPr="0080785C">
        <w:rPr>
          <w:rFonts w:ascii="Times New Roman" w:hAnsi="Times New Roman"/>
          <w:sz w:val="22"/>
          <w:szCs w:val="22"/>
          <w:lang w:val="lt-LT" w:bidi="lt-LT"/>
        </w:rPr>
        <w:t xml:space="preserve">C/ </w:t>
      </w:r>
      <w:proofErr w:type="spellStart"/>
      <w:r w:rsidRPr="0080785C">
        <w:rPr>
          <w:rFonts w:ascii="Times New Roman" w:hAnsi="Times New Roman"/>
          <w:sz w:val="22"/>
          <w:szCs w:val="22"/>
          <w:lang w:val="lt-LT" w:bidi="lt-LT"/>
        </w:rPr>
        <w:t>Gall</w:t>
      </w:r>
      <w:proofErr w:type="spellEnd"/>
      <w:r w:rsidRPr="0080785C">
        <w:rPr>
          <w:rFonts w:ascii="Times New Roman" w:hAnsi="Times New Roman"/>
          <w:sz w:val="22"/>
          <w:szCs w:val="22"/>
          <w:lang w:val="lt-LT" w:bidi="lt-LT"/>
        </w:rPr>
        <w:t xml:space="preserve"> 30-36</w:t>
      </w:r>
    </w:p>
    <w:p w14:paraId="0C32DD7A" w14:textId="77777777" w:rsidR="0080785C" w:rsidRPr="0080785C" w:rsidRDefault="0080785C" w:rsidP="0080785C">
      <w:pPr>
        <w:pStyle w:val="Pagrindinistekstas2"/>
        <w:suppressAutoHyphens/>
        <w:spacing w:after="0" w:line="240" w:lineRule="auto"/>
        <w:jc w:val="both"/>
        <w:rPr>
          <w:rFonts w:ascii="Times New Roman" w:hAnsi="Times New Roman"/>
          <w:sz w:val="22"/>
          <w:szCs w:val="22"/>
          <w:lang w:val="lt-LT"/>
        </w:rPr>
      </w:pPr>
      <w:r w:rsidRPr="0080785C">
        <w:rPr>
          <w:rFonts w:ascii="Times New Roman" w:hAnsi="Times New Roman"/>
          <w:sz w:val="22"/>
          <w:szCs w:val="22"/>
          <w:lang w:val="lt-LT" w:bidi="lt-LT"/>
        </w:rPr>
        <w:t xml:space="preserve">08950 - </w:t>
      </w:r>
      <w:proofErr w:type="spellStart"/>
      <w:r w:rsidRPr="0080785C">
        <w:rPr>
          <w:rFonts w:ascii="Times New Roman" w:hAnsi="Times New Roman"/>
          <w:sz w:val="22"/>
          <w:szCs w:val="22"/>
          <w:lang w:val="lt-LT" w:bidi="lt-LT"/>
        </w:rPr>
        <w:t>Esplugues</w:t>
      </w:r>
      <w:proofErr w:type="spellEnd"/>
      <w:r w:rsidRPr="0080785C">
        <w:rPr>
          <w:rFonts w:ascii="Times New Roman" w:hAnsi="Times New Roman"/>
          <w:sz w:val="22"/>
          <w:szCs w:val="22"/>
          <w:lang w:val="lt-LT" w:bidi="lt-LT"/>
        </w:rPr>
        <w:t xml:space="preserve"> de </w:t>
      </w:r>
      <w:proofErr w:type="spellStart"/>
      <w:r w:rsidRPr="0080785C">
        <w:rPr>
          <w:rFonts w:ascii="Times New Roman" w:hAnsi="Times New Roman"/>
          <w:sz w:val="22"/>
          <w:szCs w:val="22"/>
          <w:lang w:val="lt-LT" w:bidi="lt-LT"/>
        </w:rPr>
        <w:t>Llobregat</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Barcelona</w:t>
      </w:r>
      <w:proofErr w:type="spellEnd"/>
    </w:p>
    <w:p w14:paraId="16675BE0" w14:textId="77777777" w:rsidR="0080785C" w:rsidRPr="0080785C" w:rsidRDefault="0080785C" w:rsidP="0080785C">
      <w:pPr>
        <w:pStyle w:val="Antrat2"/>
        <w:spacing w:before="0" w:after="0"/>
        <w:rPr>
          <w:rFonts w:ascii="Times New Roman" w:hAnsi="Times New Roman" w:cs="Times New Roman"/>
          <w:b/>
          <w:i/>
          <w:iCs/>
          <w:color w:val="auto"/>
          <w:sz w:val="22"/>
          <w:szCs w:val="22"/>
          <w:lang w:val="lt-LT"/>
        </w:rPr>
      </w:pPr>
      <w:r w:rsidRPr="0080785C">
        <w:rPr>
          <w:rFonts w:ascii="Times New Roman" w:hAnsi="Times New Roman" w:cs="Times New Roman"/>
          <w:color w:val="auto"/>
          <w:sz w:val="22"/>
          <w:szCs w:val="22"/>
          <w:lang w:val="lt-LT" w:bidi="lt-LT"/>
        </w:rPr>
        <w:t>Ispanija</w:t>
      </w:r>
    </w:p>
    <w:p w14:paraId="163C6FF4"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279F935F" w14:textId="77777777" w:rsidR="0080785C" w:rsidRPr="0080785C" w:rsidRDefault="0080785C" w:rsidP="0080785C">
      <w:pPr>
        <w:rPr>
          <w:rFonts w:ascii="Times New Roman" w:hAnsi="Times New Roman"/>
          <w:sz w:val="22"/>
          <w:szCs w:val="22"/>
          <w:lang w:val="et-EE"/>
        </w:rPr>
      </w:pPr>
      <w:r w:rsidRPr="0080785C">
        <w:rPr>
          <w:rFonts w:ascii="Times New Roman" w:hAnsi="Times New Roman"/>
          <w:sz w:val="22"/>
          <w:szCs w:val="22"/>
          <w:lang w:val="et-EE"/>
        </w:rPr>
        <w:t>arba</w:t>
      </w:r>
    </w:p>
    <w:p w14:paraId="2FE5720A" w14:textId="77777777" w:rsidR="0080785C" w:rsidRPr="0080785C" w:rsidRDefault="0080785C" w:rsidP="0080785C">
      <w:pPr>
        <w:rPr>
          <w:rFonts w:ascii="Times New Roman" w:hAnsi="Times New Roman"/>
          <w:sz w:val="22"/>
          <w:szCs w:val="22"/>
          <w:lang w:val="lt-LT" w:bidi="lt-LT"/>
        </w:rPr>
      </w:pPr>
    </w:p>
    <w:p w14:paraId="1054AAE6" w14:textId="77777777" w:rsidR="0080785C" w:rsidRPr="0080785C" w:rsidRDefault="0080785C" w:rsidP="0080785C">
      <w:pPr>
        <w:rPr>
          <w:rFonts w:ascii="Times New Roman" w:hAnsi="Times New Roman"/>
          <w:sz w:val="22"/>
          <w:szCs w:val="22"/>
          <w:lang w:val="et-EE"/>
        </w:rPr>
      </w:pPr>
      <w:r w:rsidRPr="0080785C">
        <w:rPr>
          <w:rFonts w:ascii="Times New Roman" w:hAnsi="Times New Roman"/>
          <w:sz w:val="22"/>
          <w:szCs w:val="22"/>
          <w:lang w:val="et-EE"/>
        </w:rPr>
        <w:t>Pharmaloop, S.L.</w:t>
      </w:r>
    </w:p>
    <w:p w14:paraId="1B2CF50D" w14:textId="77777777" w:rsidR="0080785C" w:rsidRPr="0080785C" w:rsidRDefault="0080785C" w:rsidP="0080785C">
      <w:pPr>
        <w:rPr>
          <w:rFonts w:ascii="Times New Roman" w:hAnsi="Times New Roman"/>
          <w:sz w:val="22"/>
          <w:szCs w:val="22"/>
          <w:lang w:val="et-EE"/>
        </w:rPr>
      </w:pPr>
      <w:r w:rsidRPr="0080785C">
        <w:rPr>
          <w:rFonts w:ascii="Times New Roman" w:hAnsi="Times New Roman"/>
          <w:sz w:val="22"/>
          <w:szCs w:val="22"/>
          <w:lang w:val="et-EE"/>
        </w:rPr>
        <w:t>C/Bolivia, 15 – Polig. Industrial Azque</w:t>
      </w:r>
    </w:p>
    <w:p w14:paraId="26C1AFBE" w14:textId="77777777" w:rsidR="0080785C" w:rsidRPr="0080785C" w:rsidRDefault="0080785C" w:rsidP="0080785C">
      <w:pPr>
        <w:rPr>
          <w:rFonts w:ascii="Times New Roman" w:hAnsi="Times New Roman"/>
          <w:sz w:val="22"/>
          <w:szCs w:val="22"/>
          <w:lang w:val="et-EE"/>
        </w:rPr>
      </w:pPr>
      <w:r w:rsidRPr="0080785C">
        <w:rPr>
          <w:rFonts w:ascii="Times New Roman" w:hAnsi="Times New Roman"/>
          <w:sz w:val="22"/>
          <w:szCs w:val="22"/>
          <w:lang w:val="et-EE"/>
        </w:rPr>
        <w:t>28806 Alcalá de Henares</w:t>
      </w:r>
    </w:p>
    <w:p w14:paraId="6F7FD274" w14:textId="77777777" w:rsidR="0080785C" w:rsidRPr="0080785C" w:rsidRDefault="0080785C" w:rsidP="0080785C">
      <w:pPr>
        <w:rPr>
          <w:rFonts w:ascii="Times New Roman" w:hAnsi="Times New Roman"/>
          <w:sz w:val="22"/>
          <w:szCs w:val="22"/>
          <w:lang w:val="et-EE"/>
        </w:rPr>
      </w:pPr>
      <w:r w:rsidRPr="0080785C">
        <w:rPr>
          <w:rFonts w:ascii="Times New Roman" w:hAnsi="Times New Roman"/>
          <w:sz w:val="22"/>
          <w:szCs w:val="22"/>
          <w:lang w:val="et-EE"/>
        </w:rPr>
        <w:t xml:space="preserve">Madrid </w:t>
      </w:r>
    </w:p>
    <w:p w14:paraId="15B9A275" w14:textId="77777777" w:rsidR="0080785C" w:rsidRPr="0080785C" w:rsidRDefault="0080785C" w:rsidP="0080785C">
      <w:pPr>
        <w:keepNext/>
        <w:tabs>
          <w:tab w:val="left" w:pos="-1440"/>
          <w:tab w:val="left" w:pos="-720"/>
        </w:tabs>
        <w:suppressAutoHyphens/>
        <w:jc w:val="both"/>
        <w:outlineLvl w:val="1"/>
        <w:rPr>
          <w:rFonts w:ascii="Times New Roman" w:hAnsi="Times New Roman"/>
          <w:bCs/>
          <w:spacing w:val="-3"/>
          <w:sz w:val="22"/>
          <w:szCs w:val="22"/>
          <w:lang w:val="lt-LT" w:bidi="lt-LT"/>
        </w:rPr>
      </w:pPr>
      <w:r w:rsidRPr="0080785C">
        <w:rPr>
          <w:rFonts w:ascii="Times New Roman" w:hAnsi="Times New Roman"/>
          <w:bCs/>
          <w:spacing w:val="-3"/>
          <w:sz w:val="22"/>
          <w:szCs w:val="22"/>
          <w:lang w:val="lt-LT" w:bidi="lt-LT"/>
        </w:rPr>
        <w:t>Ispanija</w:t>
      </w:r>
    </w:p>
    <w:p w14:paraId="0D9A0ECA"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6A361C45" w14:textId="77777777" w:rsidR="0080785C" w:rsidRPr="0080785C" w:rsidRDefault="0080785C" w:rsidP="0080785C">
      <w:pPr>
        <w:autoSpaceDE w:val="0"/>
        <w:autoSpaceDN w:val="0"/>
        <w:adjustRightInd w:val="0"/>
        <w:jc w:val="both"/>
        <w:rPr>
          <w:rFonts w:ascii="Times New Roman" w:hAnsi="Times New Roman"/>
          <w:b/>
          <w:sz w:val="22"/>
          <w:szCs w:val="22"/>
          <w:lang w:val="lt-LT" w:bidi="lt-LT"/>
        </w:rPr>
      </w:pPr>
      <w:r w:rsidRPr="0080785C">
        <w:rPr>
          <w:rFonts w:ascii="Times New Roman" w:hAnsi="Times New Roman"/>
          <w:b/>
          <w:sz w:val="22"/>
          <w:szCs w:val="22"/>
          <w:lang w:val="lt-LT" w:bidi="lt-LT"/>
        </w:rPr>
        <w:t>Šis vaistas Europos ekonominės erdvės valstybėse narėse ir Jungtinėje Karalystėje (Šiaurės Airijoje) registruotas tokiais pavadinimais:</w:t>
      </w:r>
    </w:p>
    <w:p w14:paraId="38E76872" w14:textId="77777777" w:rsidR="0080785C" w:rsidRPr="0080785C" w:rsidRDefault="0080785C" w:rsidP="0080785C">
      <w:pPr>
        <w:autoSpaceDE w:val="0"/>
        <w:autoSpaceDN w:val="0"/>
        <w:adjustRightInd w:val="0"/>
        <w:jc w:val="both"/>
        <w:rPr>
          <w:rFonts w:ascii="Times New Roman" w:hAnsi="Times New Roman"/>
          <w:b/>
          <w:sz w:val="22"/>
          <w:szCs w:val="22"/>
          <w:lang w:val="lt-LT"/>
        </w:rPr>
      </w:pPr>
    </w:p>
    <w:p w14:paraId="209EAE0A"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Čekija </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Infalin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duo</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ušní</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kapky</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roztok</w:t>
      </w:r>
      <w:proofErr w:type="spellEnd"/>
      <w:r w:rsidRPr="0080785C">
        <w:rPr>
          <w:rFonts w:ascii="Times New Roman" w:hAnsi="Times New Roman"/>
          <w:sz w:val="22"/>
          <w:szCs w:val="22"/>
          <w:lang w:val="lt-LT" w:bidi="lt-LT"/>
        </w:rPr>
        <w:t xml:space="preserve"> v </w:t>
      </w:r>
      <w:proofErr w:type="spellStart"/>
      <w:r w:rsidRPr="0080785C">
        <w:rPr>
          <w:rFonts w:ascii="Times New Roman" w:hAnsi="Times New Roman"/>
          <w:sz w:val="22"/>
          <w:szCs w:val="22"/>
          <w:lang w:val="lt-LT" w:bidi="lt-LT"/>
        </w:rPr>
        <w:t>jednodávkovém</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obalu</w:t>
      </w:r>
      <w:proofErr w:type="spellEnd"/>
    </w:p>
    <w:p w14:paraId="02877A32"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Danija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Comp</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Øredråber</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opløsning</w:t>
      </w:r>
      <w:proofErr w:type="spellEnd"/>
      <w:r w:rsidRPr="0080785C">
        <w:rPr>
          <w:rFonts w:ascii="Times New Roman" w:hAnsi="Times New Roman"/>
          <w:sz w:val="22"/>
          <w:szCs w:val="22"/>
          <w:lang w:val="lt-LT" w:bidi="lt-LT"/>
        </w:rPr>
        <w:t xml:space="preserve"> i </w:t>
      </w:r>
      <w:proofErr w:type="spellStart"/>
      <w:r w:rsidRPr="0080785C">
        <w:rPr>
          <w:rFonts w:ascii="Times New Roman" w:hAnsi="Times New Roman"/>
          <w:sz w:val="22"/>
          <w:szCs w:val="22"/>
          <w:lang w:val="lt-LT" w:bidi="lt-LT"/>
        </w:rPr>
        <w:t>endosebeholder</w:t>
      </w:r>
      <w:proofErr w:type="spellEnd"/>
    </w:p>
    <w:p w14:paraId="22678B5C"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Suomija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Comp</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Korvatipat</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liuos</w:t>
      </w:r>
      <w:proofErr w:type="spellEnd"/>
      <w:r w:rsidRPr="0080785C">
        <w:rPr>
          <w:rFonts w:ascii="Times New Roman" w:hAnsi="Times New Roman"/>
          <w:sz w:val="22"/>
          <w:szCs w:val="22"/>
          <w:lang w:val="lt-LT" w:bidi="lt-LT"/>
        </w:rPr>
        <w:t>, kerta-</w:t>
      </w:r>
      <w:proofErr w:type="spellStart"/>
      <w:r w:rsidRPr="0080785C">
        <w:rPr>
          <w:rFonts w:ascii="Times New Roman" w:hAnsi="Times New Roman"/>
          <w:sz w:val="22"/>
          <w:szCs w:val="22"/>
          <w:lang w:val="lt-LT" w:bidi="lt-LT"/>
        </w:rPr>
        <w:t>annospakkaus</w:t>
      </w:r>
      <w:proofErr w:type="spellEnd"/>
    </w:p>
    <w:p w14:paraId="795A0EEE" w14:textId="77777777" w:rsidR="0080785C" w:rsidRPr="0080785C" w:rsidRDefault="0080785C" w:rsidP="0080785C">
      <w:pPr>
        <w:tabs>
          <w:tab w:val="left" w:pos="1701"/>
        </w:tabs>
        <w:autoSpaceDE w:val="0"/>
        <w:autoSpaceDN w:val="0"/>
        <w:adjustRightInd w:val="0"/>
        <w:ind w:left="1695" w:hanging="1695"/>
        <w:jc w:val="both"/>
        <w:rPr>
          <w:rFonts w:ascii="Times New Roman" w:hAnsi="Times New Roman"/>
          <w:sz w:val="22"/>
          <w:szCs w:val="22"/>
          <w:lang w:val="lt-LT"/>
        </w:rPr>
      </w:pPr>
      <w:r w:rsidRPr="0080785C">
        <w:rPr>
          <w:rFonts w:ascii="Times New Roman" w:hAnsi="Times New Roman"/>
          <w:sz w:val="22"/>
          <w:szCs w:val="22"/>
          <w:lang w:val="lt-LT" w:bidi="lt-LT"/>
        </w:rPr>
        <w:t>Prancūzija</w:t>
      </w:r>
      <w:r w:rsidRPr="0080785C">
        <w:rPr>
          <w:rFonts w:ascii="Times New Roman" w:hAnsi="Times New Roman"/>
          <w:sz w:val="22"/>
          <w:szCs w:val="22"/>
          <w:lang w:val="lt-LT" w:bidi="lt-LT"/>
        </w:rPr>
        <w:tab/>
      </w:r>
      <w:r w:rsidRPr="0080785C">
        <w:rPr>
          <w:rFonts w:ascii="Times New Roman" w:hAnsi="Times New Roman"/>
          <w:sz w:val="22"/>
          <w:szCs w:val="22"/>
          <w:lang w:val="lt-LT" w:bidi="lt-LT"/>
        </w:rPr>
        <w:tab/>
        <w:t xml:space="preserve">CETRAXAL 3mg / 0,25mg </w:t>
      </w:r>
      <w:proofErr w:type="spellStart"/>
      <w:r w:rsidRPr="0080785C">
        <w:rPr>
          <w:rFonts w:ascii="Times New Roman" w:hAnsi="Times New Roman"/>
          <w:sz w:val="22"/>
          <w:szCs w:val="22"/>
          <w:lang w:val="lt-LT" w:bidi="lt-LT"/>
        </w:rPr>
        <w:t>par</w:t>
      </w:r>
      <w:proofErr w:type="spellEnd"/>
      <w:r w:rsidRPr="0080785C">
        <w:rPr>
          <w:rFonts w:ascii="Times New Roman" w:hAnsi="Times New Roman"/>
          <w:sz w:val="22"/>
          <w:szCs w:val="22"/>
          <w:lang w:val="lt-LT" w:bidi="lt-LT"/>
        </w:rPr>
        <w:t xml:space="preserve"> ml, </w:t>
      </w:r>
      <w:proofErr w:type="spellStart"/>
      <w:r w:rsidRPr="0080785C">
        <w:rPr>
          <w:rFonts w:ascii="Times New Roman" w:hAnsi="Times New Roman"/>
          <w:sz w:val="22"/>
          <w:szCs w:val="22"/>
          <w:lang w:val="lt-LT" w:bidi="lt-LT"/>
        </w:rPr>
        <w:t>solution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pour</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instillation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auriculaire</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en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récipient</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unidose</w:t>
      </w:r>
      <w:proofErr w:type="spellEnd"/>
    </w:p>
    <w:p w14:paraId="0EFBAE62"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Vokietija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InfectoCiproCort</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Ohrentropfen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Lösung</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im</w:t>
      </w:r>
      <w:proofErr w:type="spellEnd"/>
      <w:r w:rsidRPr="0080785C">
        <w:rPr>
          <w:rFonts w:ascii="Times New Roman" w:hAnsi="Times New Roman"/>
          <w:sz w:val="22"/>
          <w:szCs w:val="22"/>
          <w:lang w:val="lt-LT" w:bidi="lt-LT"/>
        </w:rPr>
        <w:t xml:space="preserve"> </w:t>
      </w:r>
    </w:p>
    <w:p w14:paraId="685DAB0F" w14:textId="77777777" w:rsidR="0080785C" w:rsidRPr="0080785C" w:rsidRDefault="0080785C" w:rsidP="0080785C">
      <w:pPr>
        <w:autoSpaceDE w:val="0"/>
        <w:autoSpaceDN w:val="0"/>
        <w:adjustRightInd w:val="0"/>
        <w:ind w:left="1418" w:firstLine="283"/>
        <w:jc w:val="both"/>
        <w:rPr>
          <w:rFonts w:ascii="Times New Roman" w:hAnsi="Times New Roman"/>
          <w:sz w:val="22"/>
          <w:szCs w:val="22"/>
          <w:lang w:val="lt-LT"/>
        </w:rPr>
      </w:pPr>
      <w:proofErr w:type="spellStart"/>
      <w:r w:rsidRPr="0080785C">
        <w:rPr>
          <w:rFonts w:ascii="Times New Roman" w:hAnsi="Times New Roman"/>
          <w:sz w:val="22"/>
          <w:szCs w:val="22"/>
          <w:lang w:val="lt-LT" w:bidi="lt-LT"/>
        </w:rPr>
        <w:t>Einzeldosisbehältnis</w:t>
      </w:r>
      <w:proofErr w:type="spellEnd"/>
    </w:p>
    <w:p w14:paraId="6C7846E6"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Norvegija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Comp</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øredråper</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oppløsning</w:t>
      </w:r>
      <w:proofErr w:type="spellEnd"/>
      <w:r w:rsidRPr="0080785C">
        <w:rPr>
          <w:rFonts w:ascii="Times New Roman" w:hAnsi="Times New Roman"/>
          <w:sz w:val="22"/>
          <w:szCs w:val="22"/>
          <w:lang w:val="lt-LT" w:bidi="lt-LT"/>
        </w:rPr>
        <w:t xml:space="preserve"> i </w:t>
      </w:r>
      <w:proofErr w:type="spellStart"/>
      <w:r w:rsidRPr="0080785C">
        <w:rPr>
          <w:rFonts w:ascii="Times New Roman" w:hAnsi="Times New Roman"/>
          <w:sz w:val="22"/>
          <w:szCs w:val="22"/>
          <w:lang w:val="lt-LT" w:bidi="lt-LT"/>
        </w:rPr>
        <w:t>endosebeholder</w:t>
      </w:r>
      <w:proofErr w:type="spellEnd"/>
    </w:p>
    <w:p w14:paraId="5D44C756"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lastRenderedPageBreak/>
        <w:t>Islandija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Comp</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Eyrnadropar</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lausn</w:t>
      </w:r>
      <w:proofErr w:type="spellEnd"/>
      <w:r w:rsidRPr="0080785C">
        <w:rPr>
          <w:rFonts w:ascii="Times New Roman" w:hAnsi="Times New Roman"/>
          <w:sz w:val="22"/>
          <w:szCs w:val="22"/>
          <w:lang w:val="lt-LT" w:bidi="lt-LT"/>
        </w:rPr>
        <w:t xml:space="preserve"> í </w:t>
      </w:r>
      <w:proofErr w:type="spellStart"/>
      <w:r w:rsidRPr="0080785C">
        <w:rPr>
          <w:rFonts w:ascii="Times New Roman" w:hAnsi="Times New Roman"/>
          <w:sz w:val="22"/>
          <w:szCs w:val="22"/>
          <w:lang w:val="lt-LT" w:bidi="lt-LT"/>
        </w:rPr>
        <w:t>stakskammtaíláti</w:t>
      </w:r>
      <w:proofErr w:type="spellEnd"/>
      <w:r w:rsidRPr="0080785C">
        <w:rPr>
          <w:rFonts w:ascii="Times New Roman" w:hAnsi="Times New Roman"/>
          <w:sz w:val="22"/>
          <w:szCs w:val="22"/>
          <w:lang w:val="lt-LT" w:bidi="lt-LT"/>
        </w:rPr>
        <w:t xml:space="preserve"> Lenkija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Plus</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krople</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do</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uszu</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roztwór</w:t>
      </w:r>
      <w:proofErr w:type="spellEnd"/>
      <w:r w:rsidRPr="0080785C">
        <w:rPr>
          <w:rFonts w:ascii="Times New Roman" w:hAnsi="Times New Roman"/>
          <w:sz w:val="22"/>
          <w:szCs w:val="22"/>
          <w:lang w:val="lt-LT" w:bidi="lt-LT"/>
        </w:rPr>
        <w:t xml:space="preserve"> w </w:t>
      </w:r>
      <w:proofErr w:type="spellStart"/>
      <w:r w:rsidRPr="0080785C">
        <w:rPr>
          <w:rFonts w:ascii="Times New Roman" w:hAnsi="Times New Roman"/>
          <w:sz w:val="22"/>
          <w:szCs w:val="22"/>
          <w:lang w:val="lt-LT" w:bidi="lt-LT"/>
        </w:rPr>
        <w:t>pojemniku</w:t>
      </w:r>
      <w:proofErr w:type="spellEnd"/>
      <w:r w:rsidRPr="0080785C">
        <w:rPr>
          <w:rFonts w:ascii="Times New Roman" w:hAnsi="Times New Roman"/>
          <w:sz w:val="22"/>
          <w:szCs w:val="22"/>
          <w:lang w:val="lt-LT" w:bidi="lt-LT"/>
        </w:rPr>
        <w:t xml:space="preserve"> </w:t>
      </w:r>
    </w:p>
    <w:p w14:paraId="32A009BB"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jednodawkowym</w:t>
      </w:r>
      <w:proofErr w:type="spellEnd"/>
    </w:p>
    <w:p w14:paraId="40A21C75" w14:textId="77777777" w:rsidR="0080785C" w:rsidRPr="0080785C" w:rsidRDefault="0080785C" w:rsidP="0080785C">
      <w:pPr>
        <w:tabs>
          <w:tab w:val="left" w:pos="1701"/>
        </w:tabs>
        <w:autoSpaceDE w:val="0"/>
        <w:autoSpaceDN w:val="0"/>
        <w:adjustRightInd w:val="0"/>
        <w:ind w:left="1701" w:hanging="1701"/>
        <w:jc w:val="both"/>
        <w:rPr>
          <w:rFonts w:ascii="Times New Roman" w:hAnsi="Times New Roman"/>
          <w:sz w:val="22"/>
          <w:szCs w:val="22"/>
          <w:lang w:val="lt-LT"/>
        </w:rPr>
      </w:pPr>
      <w:r w:rsidRPr="0080785C">
        <w:rPr>
          <w:rFonts w:ascii="Times New Roman" w:hAnsi="Times New Roman"/>
          <w:sz w:val="22"/>
          <w:szCs w:val="22"/>
          <w:lang w:val="lt-LT" w:bidi="lt-LT"/>
        </w:rPr>
        <w:t xml:space="preserve">Portugalija </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Duo</w:t>
      </w:r>
      <w:proofErr w:type="spellEnd"/>
      <w:r w:rsidRPr="0080785C">
        <w:rPr>
          <w:rFonts w:ascii="Times New Roman" w:hAnsi="Times New Roman"/>
          <w:sz w:val="22"/>
          <w:szCs w:val="22"/>
          <w:lang w:val="lt-LT" w:bidi="lt-LT"/>
        </w:rPr>
        <w:t xml:space="preserve"> 3 mg/ml + 0,25 mg/ml gotas </w:t>
      </w:r>
      <w:proofErr w:type="spellStart"/>
      <w:r w:rsidRPr="0080785C">
        <w:rPr>
          <w:rFonts w:ascii="Times New Roman" w:hAnsi="Times New Roman"/>
          <w:sz w:val="22"/>
          <w:szCs w:val="22"/>
          <w:lang w:val="lt-LT" w:bidi="lt-LT"/>
        </w:rPr>
        <w:t>auriculares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solução</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em</w:t>
      </w:r>
      <w:proofErr w:type="spellEnd"/>
      <w:r w:rsidRPr="0080785C">
        <w:rPr>
          <w:rFonts w:ascii="Times New Roman" w:hAnsi="Times New Roman"/>
          <w:sz w:val="22"/>
          <w:szCs w:val="22"/>
          <w:lang w:val="lt-LT" w:bidi="lt-LT"/>
        </w:rPr>
        <w:t xml:space="preserve"> recipiente                        </w:t>
      </w:r>
      <w:proofErr w:type="spellStart"/>
      <w:r w:rsidRPr="0080785C">
        <w:rPr>
          <w:rFonts w:ascii="Times New Roman" w:hAnsi="Times New Roman"/>
          <w:sz w:val="22"/>
          <w:szCs w:val="22"/>
          <w:lang w:val="lt-LT" w:bidi="lt-LT"/>
        </w:rPr>
        <w:t>unidose</w:t>
      </w:r>
      <w:proofErr w:type="spellEnd"/>
    </w:p>
    <w:p w14:paraId="262A7FF5"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Rumunija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Cexidal</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Picături</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auriculare</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soluţie</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în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recipient</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unidoză</w:t>
      </w:r>
      <w:proofErr w:type="spellEnd"/>
    </w:p>
    <w:p w14:paraId="477BB079"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Slovakija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Infalin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duo</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Ušná</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roztoková</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instilácia</w:t>
      </w:r>
      <w:proofErr w:type="spellEnd"/>
      <w:r w:rsidRPr="0080785C">
        <w:rPr>
          <w:rFonts w:ascii="Times New Roman" w:hAnsi="Times New Roman"/>
          <w:sz w:val="22"/>
          <w:szCs w:val="22"/>
          <w:lang w:val="lt-LT" w:bidi="lt-LT"/>
        </w:rPr>
        <w:t xml:space="preserve"> v </w:t>
      </w:r>
      <w:proofErr w:type="spellStart"/>
      <w:r w:rsidRPr="0080785C">
        <w:rPr>
          <w:rFonts w:ascii="Times New Roman" w:hAnsi="Times New Roman"/>
          <w:sz w:val="22"/>
          <w:szCs w:val="22"/>
          <w:lang w:val="lt-LT" w:bidi="lt-LT"/>
        </w:rPr>
        <w:t>jednodávkovom</w:t>
      </w:r>
      <w:proofErr w:type="spellEnd"/>
      <w:r w:rsidRPr="0080785C">
        <w:rPr>
          <w:rFonts w:ascii="Times New Roman" w:hAnsi="Times New Roman"/>
          <w:sz w:val="22"/>
          <w:szCs w:val="22"/>
          <w:lang w:val="lt-LT" w:bidi="lt-LT"/>
        </w:rPr>
        <w:t xml:space="preserve"> </w:t>
      </w:r>
    </w:p>
    <w:p w14:paraId="6F2DDCF5"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obale</w:t>
      </w:r>
      <w:proofErr w:type="spellEnd"/>
    </w:p>
    <w:p w14:paraId="4D829C63"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Ispanija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Plus</w:t>
      </w:r>
      <w:proofErr w:type="spellEnd"/>
      <w:r w:rsidRPr="0080785C">
        <w:rPr>
          <w:rFonts w:ascii="Times New Roman" w:hAnsi="Times New Roman"/>
          <w:sz w:val="22"/>
          <w:szCs w:val="22"/>
          <w:lang w:val="lt-LT" w:bidi="lt-LT"/>
        </w:rPr>
        <w:t xml:space="preserve"> 3 mg/ml + 0,25 mg/ml gotas </w:t>
      </w:r>
      <w:proofErr w:type="spellStart"/>
      <w:r w:rsidRPr="0080785C">
        <w:rPr>
          <w:rFonts w:ascii="Times New Roman" w:hAnsi="Times New Roman"/>
          <w:sz w:val="22"/>
          <w:szCs w:val="22"/>
          <w:lang w:val="lt-LT" w:bidi="lt-LT"/>
        </w:rPr>
        <w:t>óticas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en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solución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en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envase</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unidosis</w:t>
      </w:r>
      <w:proofErr w:type="spellEnd"/>
    </w:p>
    <w:p w14:paraId="26B665B2" w14:textId="77777777" w:rsidR="0080785C" w:rsidRPr="0080785C" w:rsidRDefault="0080785C" w:rsidP="0080785C">
      <w:pPr>
        <w:tabs>
          <w:tab w:val="left" w:pos="1701"/>
        </w:tabs>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Švedija</w:t>
      </w:r>
      <w:r w:rsidRPr="0080785C">
        <w:rPr>
          <w:rFonts w:ascii="Times New Roman" w:hAnsi="Times New Roman"/>
          <w:sz w:val="22"/>
          <w:szCs w:val="22"/>
          <w:lang w:val="lt-LT" w:bidi="lt-LT"/>
        </w:rPr>
        <w:tab/>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Comp</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Örondroppar</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lösning</w:t>
      </w:r>
      <w:proofErr w:type="spellEnd"/>
      <w:r w:rsidRPr="0080785C">
        <w:rPr>
          <w:rFonts w:ascii="Times New Roman" w:hAnsi="Times New Roman"/>
          <w:sz w:val="22"/>
          <w:szCs w:val="22"/>
          <w:lang w:val="lt-LT" w:bidi="lt-LT"/>
        </w:rPr>
        <w:t xml:space="preserve"> i </w:t>
      </w:r>
      <w:proofErr w:type="spellStart"/>
      <w:r w:rsidRPr="0080785C">
        <w:rPr>
          <w:rFonts w:ascii="Times New Roman" w:hAnsi="Times New Roman"/>
          <w:sz w:val="22"/>
          <w:szCs w:val="22"/>
          <w:lang w:val="lt-LT" w:bidi="lt-LT"/>
        </w:rPr>
        <w:t>endosbehållare</w:t>
      </w:r>
      <w:proofErr w:type="spellEnd"/>
    </w:p>
    <w:p w14:paraId="3E682E70" w14:textId="77777777" w:rsidR="0080785C" w:rsidRPr="0080785C" w:rsidRDefault="0080785C" w:rsidP="0080785C">
      <w:pPr>
        <w:autoSpaceDE w:val="0"/>
        <w:autoSpaceDN w:val="0"/>
        <w:adjustRightInd w:val="0"/>
        <w:jc w:val="both"/>
        <w:rPr>
          <w:rFonts w:ascii="Times New Roman" w:hAnsi="Times New Roman"/>
          <w:sz w:val="22"/>
          <w:szCs w:val="22"/>
          <w:lang w:val="lt-LT" w:bidi="lt-LT"/>
        </w:rPr>
      </w:pPr>
      <w:r w:rsidRPr="0080785C">
        <w:rPr>
          <w:rFonts w:ascii="Times New Roman" w:hAnsi="Times New Roman"/>
          <w:sz w:val="22"/>
          <w:szCs w:val="22"/>
          <w:lang w:val="lt-LT" w:bidi="lt-LT"/>
        </w:rPr>
        <w:t>Jungtinė Karalystė</w:t>
      </w:r>
    </w:p>
    <w:p w14:paraId="3DCA512F"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sz w:val="22"/>
          <w:szCs w:val="22"/>
          <w:lang w:val="lt-LT" w:bidi="lt-LT"/>
        </w:rPr>
        <w:t xml:space="preserve">(Šiaurės Airija)       </w:t>
      </w:r>
      <w:proofErr w:type="spellStart"/>
      <w:r w:rsidRPr="0080785C">
        <w:rPr>
          <w:rFonts w:ascii="Times New Roman" w:hAnsi="Times New Roman"/>
          <w:sz w:val="22"/>
          <w:szCs w:val="22"/>
          <w:lang w:val="lt-LT" w:bidi="lt-LT"/>
        </w:rPr>
        <w:t>Cetraxal</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Plus</w:t>
      </w:r>
      <w:proofErr w:type="spellEnd"/>
      <w:r w:rsidRPr="0080785C">
        <w:rPr>
          <w:rFonts w:ascii="Times New Roman" w:hAnsi="Times New Roman"/>
          <w:sz w:val="22"/>
          <w:szCs w:val="22"/>
          <w:lang w:val="lt-LT" w:bidi="lt-LT"/>
        </w:rPr>
        <w:t xml:space="preserve"> 3 mg/ml + 0,25 mg/ml </w:t>
      </w:r>
      <w:proofErr w:type="spellStart"/>
      <w:r w:rsidRPr="0080785C">
        <w:rPr>
          <w:rFonts w:ascii="Times New Roman" w:hAnsi="Times New Roman"/>
          <w:sz w:val="22"/>
          <w:szCs w:val="22"/>
          <w:lang w:val="lt-LT" w:bidi="lt-LT"/>
        </w:rPr>
        <w:t>ear</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drops</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solution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in</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single-dose</w:t>
      </w:r>
      <w:proofErr w:type="spellEnd"/>
      <w:r w:rsidRPr="0080785C">
        <w:rPr>
          <w:rFonts w:ascii="Times New Roman" w:hAnsi="Times New Roman"/>
          <w:sz w:val="22"/>
          <w:szCs w:val="22"/>
          <w:lang w:val="lt-LT" w:bidi="lt-LT"/>
        </w:rPr>
        <w:t xml:space="preserve"> </w:t>
      </w:r>
      <w:proofErr w:type="spellStart"/>
      <w:r w:rsidRPr="0080785C">
        <w:rPr>
          <w:rFonts w:ascii="Times New Roman" w:hAnsi="Times New Roman"/>
          <w:sz w:val="22"/>
          <w:szCs w:val="22"/>
          <w:lang w:val="lt-LT" w:bidi="lt-LT"/>
        </w:rPr>
        <w:t>container</w:t>
      </w:r>
      <w:proofErr w:type="spellEnd"/>
    </w:p>
    <w:p w14:paraId="15995164"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35D43096"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2858BA5E" w14:textId="77777777" w:rsidR="0080785C" w:rsidRPr="0080785C" w:rsidRDefault="0080785C" w:rsidP="0080785C">
      <w:pPr>
        <w:autoSpaceDE w:val="0"/>
        <w:autoSpaceDN w:val="0"/>
        <w:adjustRightInd w:val="0"/>
        <w:jc w:val="both"/>
        <w:rPr>
          <w:rFonts w:ascii="Times New Roman" w:hAnsi="Times New Roman"/>
          <w:sz w:val="22"/>
          <w:szCs w:val="22"/>
          <w:lang w:val="lt-LT"/>
        </w:rPr>
      </w:pPr>
      <w:r w:rsidRPr="0080785C">
        <w:rPr>
          <w:rFonts w:ascii="Times New Roman" w:hAnsi="Times New Roman"/>
          <w:b/>
          <w:sz w:val="22"/>
          <w:szCs w:val="22"/>
          <w:lang w:val="lt-LT" w:bidi="lt-LT"/>
        </w:rPr>
        <w:t>Šis lapelis paskutinį kartą peržiūrėtas 2026-03-27.</w:t>
      </w:r>
    </w:p>
    <w:p w14:paraId="6EF273C0"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64F7127" w14:textId="77777777" w:rsidR="0080785C" w:rsidRPr="0080785C" w:rsidRDefault="0080785C" w:rsidP="0080785C">
      <w:pPr>
        <w:numPr>
          <w:ilvl w:val="12"/>
          <w:numId w:val="0"/>
        </w:numPr>
        <w:tabs>
          <w:tab w:val="left" w:pos="567"/>
        </w:tabs>
        <w:ind w:right="-2"/>
        <w:rPr>
          <w:rFonts w:ascii="Times New Roman" w:hAnsi="Times New Roman"/>
          <w:snapToGrid w:val="0"/>
          <w:sz w:val="22"/>
          <w:szCs w:val="22"/>
          <w:lang w:val="lt-LT"/>
        </w:rPr>
      </w:pPr>
      <w:r w:rsidRPr="0080785C">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sidRPr="0080785C">
        <w:rPr>
          <w:rFonts w:ascii="Times New Roman" w:hAnsi="Times New Roman"/>
          <w:i/>
          <w:snapToGrid w:val="0"/>
          <w:sz w:val="22"/>
          <w:szCs w:val="22"/>
          <w:lang w:val="lt-LT"/>
        </w:rPr>
        <w:t xml:space="preserve"> </w:t>
      </w:r>
      <w:hyperlink r:id="rId20" w:history="1">
        <w:r w:rsidRPr="0080785C">
          <w:rPr>
            <w:rFonts w:ascii="Times New Roman" w:eastAsia="SimSun" w:hAnsi="Times New Roman"/>
            <w:snapToGrid w:val="0"/>
            <w:sz w:val="22"/>
            <w:szCs w:val="22"/>
            <w:u w:val="single"/>
            <w:lang w:val="lt-LT"/>
          </w:rPr>
          <w:t>http://www.vvkt.lt/</w:t>
        </w:r>
      </w:hyperlink>
      <w:r w:rsidRPr="0080785C">
        <w:rPr>
          <w:rFonts w:ascii="Times New Roman" w:hAnsi="Times New Roman"/>
          <w:snapToGrid w:val="0"/>
          <w:sz w:val="22"/>
          <w:szCs w:val="22"/>
          <w:lang w:val="lt-LT"/>
        </w:rPr>
        <w:t>.</w:t>
      </w:r>
    </w:p>
    <w:p w14:paraId="10B4CE4C" w14:textId="77777777" w:rsidR="0080785C" w:rsidRPr="0080785C" w:rsidRDefault="0080785C" w:rsidP="0080785C">
      <w:pPr>
        <w:autoSpaceDE w:val="0"/>
        <w:autoSpaceDN w:val="0"/>
        <w:adjustRightInd w:val="0"/>
        <w:jc w:val="both"/>
        <w:rPr>
          <w:rFonts w:ascii="Times New Roman" w:hAnsi="Times New Roman"/>
          <w:sz w:val="22"/>
          <w:szCs w:val="22"/>
          <w:lang w:val="lt-LT"/>
        </w:rPr>
      </w:pPr>
    </w:p>
    <w:p w14:paraId="692B8FA4" w14:textId="77777777" w:rsidR="00222FED" w:rsidRPr="0080785C" w:rsidRDefault="00222FED" w:rsidP="0080785C">
      <w:pPr>
        <w:rPr>
          <w:rFonts w:ascii="Times New Roman" w:hAnsi="Times New Roman"/>
          <w:sz w:val="22"/>
          <w:szCs w:val="22"/>
        </w:rPr>
      </w:pPr>
    </w:p>
    <w:sectPr w:rsidR="00222FED" w:rsidRPr="0080785C"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585F"/>
    <w:multiLevelType w:val="hybridMultilevel"/>
    <w:tmpl w:val="EBAE09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2F7DCD"/>
    <w:multiLevelType w:val="hybridMultilevel"/>
    <w:tmpl w:val="6B8092D4"/>
    <w:lvl w:ilvl="0" w:tplc="568A4F50">
      <w:start w:val="1"/>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AF2F9C"/>
    <w:multiLevelType w:val="hybridMultilevel"/>
    <w:tmpl w:val="978430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C54B39"/>
    <w:multiLevelType w:val="multilevel"/>
    <w:tmpl w:val="5D642B08"/>
    <w:lvl w:ilvl="0">
      <w:start w:val="1"/>
      <w:numFmt w:val="decimal"/>
      <w:pStyle w:val="C-NumberedList"/>
      <w:lvlText w:val="%1."/>
      <w:lvlJc w:val="left"/>
      <w:pPr>
        <w:tabs>
          <w:tab w:val="num" w:pos="810"/>
        </w:tabs>
        <w:ind w:left="81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170"/>
        </w:tabs>
        <w:ind w:left="1170" w:hanging="360"/>
      </w:pPr>
    </w:lvl>
    <w:lvl w:ilvl="2">
      <w:start w:val="1"/>
      <w:numFmt w:val="lowerLetter"/>
      <w:lvlText w:val="%3."/>
      <w:lvlJc w:val="left"/>
      <w:pPr>
        <w:tabs>
          <w:tab w:val="num" w:pos="1170"/>
        </w:tabs>
        <w:ind w:left="1170" w:hanging="360"/>
      </w:pPr>
    </w:lvl>
    <w:lvl w:ilvl="3">
      <w:start w:val="1"/>
      <w:numFmt w:val="lowerLetter"/>
      <w:lvlText w:val="%4."/>
      <w:lvlJc w:val="left"/>
      <w:pPr>
        <w:tabs>
          <w:tab w:val="num" w:pos="1170"/>
        </w:tabs>
        <w:ind w:left="1170" w:hanging="360"/>
      </w:pPr>
    </w:lvl>
    <w:lvl w:ilvl="4">
      <w:start w:val="1"/>
      <w:numFmt w:val="lowerLetter"/>
      <w:lvlText w:val="%5."/>
      <w:lvlJc w:val="left"/>
      <w:pPr>
        <w:tabs>
          <w:tab w:val="num" w:pos="1170"/>
        </w:tabs>
        <w:ind w:left="1170" w:hanging="360"/>
      </w:pPr>
    </w:lvl>
    <w:lvl w:ilvl="5">
      <w:start w:val="1"/>
      <w:numFmt w:val="lowerLetter"/>
      <w:lvlText w:val="%6."/>
      <w:lvlJc w:val="left"/>
      <w:pPr>
        <w:tabs>
          <w:tab w:val="num" w:pos="1170"/>
        </w:tabs>
        <w:ind w:left="1170" w:hanging="360"/>
      </w:pPr>
    </w:lvl>
    <w:lvl w:ilvl="6">
      <w:start w:val="1"/>
      <w:numFmt w:val="lowerLetter"/>
      <w:lvlText w:val="%7."/>
      <w:lvlJc w:val="left"/>
      <w:pPr>
        <w:tabs>
          <w:tab w:val="num" w:pos="1170"/>
        </w:tabs>
        <w:ind w:left="1170" w:hanging="360"/>
      </w:pPr>
    </w:lvl>
    <w:lvl w:ilvl="7">
      <w:start w:val="1"/>
      <w:numFmt w:val="lowerLetter"/>
      <w:lvlText w:val="%8."/>
      <w:lvlJc w:val="left"/>
      <w:pPr>
        <w:tabs>
          <w:tab w:val="num" w:pos="1170"/>
        </w:tabs>
        <w:ind w:left="1170" w:hanging="360"/>
      </w:pPr>
    </w:lvl>
    <w:lvl w:ilvl="8">
      <w:start w:val="1"/>
      <w:numFmt w:val="lowerLetter"/>
      <w:lvlText w:val="%9."/>
      <w:lvlJc w:val="left"/>
      <w:pPr>
        <w:tabs>
          <w:tab w:val="num" w:pos="1170"/>
        </w:tabs>
        <w:ind w:left="1170" w:hanging="360"/>
      </w:pPr>
    </w:lvl>
  </w:abstractNum>
  <w:abstractNum w:abstractNumId="4" w15:restartNumberingAfterBreak="0">
    <w:nsid w:val="63EA5877"/>
    <w:multiLevelType w:val="hybridMultilevel"/>
    <w:tmpl w:val="39F03D26"/>
    <w:lvl w:ilvl="0" w:tplc="966E8AF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8748727">
    <w:abstractNumId w:val="1"/>
  </w:num>
  <w:num w:numId="2" w16cid:durableId="232007639">
    <w:abstractNumId w:val="2"/>
  </w:num>
  <w:num w:numId="3" w16cid:durableId="1016924762">
    <w:abstractNumId w:val="4"/>
  </w:num>
  <w:num w:numId="4" w16cid:durableId="2012678396">
    <w:abstractNumId w:val="0"/>
  </w:num>
  <w:num w:numId="5" w16cid:durableId="55932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448093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43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5C"/>
    <w:rsid w:val="00222FED"/>
    <w:rsid w:val="0026689C"/>
    <w:rsid w:val="005F173E"/>
    <w:rsid w:val="0080785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A25F"/>
  <w15:chartTrackingRefBased/>
  <w15:docId w15:val="{687F83B2-BC83-4B3A-B4A3-CB922E85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85C"/>
    <w:pPr>
      <w:spacing w:after="0" w:line="240" w:lineRule="auto"/>
    </w:pPr>
    <w:rPr>
      <w:rFonts w:ascii="Arial" w:eastAsia="Times New Roman" w:hAnsi="Arial"/>
      <w:kern w:val="0"/>
      <w:sz w:val="24"/>
      <w:szCs w:val="20"/>
      <w:lang w:val="en-GB" w:eastAsia="es-ES"/>
      <w14:ligatures w14:val="none"/>
    </w:rPr>
  </w:style>
  <w:style w:type="paragraph" w:styleId="Antrat1">
    <w:name w:val="heading 1"/>
    <w:basedOn w:val="prastasis"/>
    <w:next w:val="prastasis"/>
    <w:link w:val="Antrat1Diagrama"/>
    <w:uiPriority w:val="9"/>
    <w:qFormat/>
    <w:rsid w:val="00807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807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78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78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785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785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785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785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785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78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semiHidden/>
    <w:rsid w:val="008078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785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785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785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785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785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785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785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785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78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078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0785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78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785C"/>
    <w:rPr>
      <w:i/>
      <w:iCs/>
      <w:color w:val="404040" w:themeColor="text1" w:themeTint="BF"/>
    </w:rPr>
  </w:style>
  <w:style w:type="paragraph" w:styleId="Sraopastraipa">
    <w:name w:val="List Paragraph"/>
    <w:basedOn w:val="prastasis"/>
    <w:uiPriority w:val="99"/>
    <w:qFormat/>
    <w:rsid w:val="0080785C"/>
    <w:pPr>
      <w:ind w:left="720"/>
      <w:contextualSpacing/>
    </w:pPr>
  </w:style>
  <w:style w:type="character" w:styleId="Rykuspabraukimas">
    <w:name w:val="Intense Emphasis"/>
    <w:basedOn w:val="Numatytasispastraiposriftas"/>
    <w:uiPriority w:val="21"/>
    <w:qFormat/>
    <w:rsid w:val="0080785C"/>
    <w:rPr>
      <w:i/>
      <w:iCs/>
      <w:color w:val="0F4761" w:themeColor="accent1" w:themeShade="BF"/>
    </w:rPr>
  </w:style>
  <w:style w:type="paragraph" w:styleId="Iskirtacitata">
    <w:name w:val="Intense Quote"/>
    <w:basedOn w:val="prastasis"/>
    <w:next w:val="prastasis"/>
    <w:link w:val="IskirtacitataDiagrama"/>
    <w:uiPriority w:val="30"/>
    <w:qFormat/>
    <w:rsid w:val="00807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785C"/>
    <w:rPr>
      <w:i/>
      <w:iCs/>
      <w:color w:val="0F4761" w:themeColor="accent1" w:themeShade="BF"/>
    </w:rPr>
  </w:style>
  <w:style w:type="character" w:styleId="Rykinuoroda">
    <w:name w:val="Intense Reference"/>
    <w:basedOn w:val="Numatytasispastraiposriftas"/>
    <w:uiPriority w:val="32"/>
    <w:qFormat/>
    <w:rsid w:val="0080785C"/>
    <w:rPr>
      <w:b/>
      <w:bCs/>
      <w:smallCaps/>
      <w:color w:val="0F4761" w:themeColor="accent1" w:themeShade="BF"/>
      <w:spacing w:val="5"/>
    </w:rPr>
  </w:style>
  <w:style w:type="paragraph" w:styleId="Pagrindinistekstas">
    <w:name w:val="Body Text"/>
    <w:basedOn w:val="prastasis"/>
    <w:link w:val="PagrindinistekstasDiagrama"/>
    <w:uiPriority w:val="99"/>
    <w:rsid w:val="0080785C"/>
    <w:pPr>
      <w:tabs>
        <w:tab w:val="left" w:pos="-1440"/>
        <w:tab w:val="left" w:pos="-720"/>
      </w:tabs>
      <w:suppressAutoHyphens/>
      <w:spacing w:line="360" w:lineRule="auto"/>
      <w:jc w:val="both"/>
    </w:pPr>
    <w:rPr>
      <w:bCs/>
      <w:spacing w:val="-3"/>
      <w:sz w:val="22"/>
      <w:lang w:val="es-ES_tradnl"/>
    </w:rPr>
  </w:style>
  <w:style w:type="character" w:customStyle="1" w:styleId="PagrindinistekstasDiagrama">
    <w:name w:val="Pagrindinis tekstas Diagrama"/>
    <w:basedOn w:val="Numatytasispastraiposriftas"/>
    <w:link w:val="Pagrindinistekstas"/>
    <w:uiPriority w:val="99"/>
    <w:rsid w:val="0080785C"/>
    <w:rPr>
      <w:rFonts w:ascii="Arial" w:eastAsia="Times New Roman" w:hAnsi="Arial"/>
      <w:bCs/>
      <w:spacing w:val="-3"/>
      <w:kern w:val="0"/>
      <w:szCs w:val="20"/>
      <w:lang w:val="es-ES_tradnl" w:eastAsia="es-ES"/>
      <w14:ligatures w14:val="none"/>
    </w:rPr>
  </w:style>
  <w:style w:type="paragraph" w:styleId="Antrats">
    <w:name w:val="header"/>
    <w:basedOn w:val="prastasis"/>
    <w:link w:val="AntratsDiagrama"/>
    <w:uiPriority w:val="99"/>
    <w:rsid w:val="0080785C"/>
    <w:pPr>
      <w:tabs>
        <w:tab w:val="center" w:pos="4252"/>
        <w:tab w:val="right" w:pos="8504"/>
      </w:tabs>
    </w:pPr>
    <w:rPr>
      <w:rFonts w:ascii="Times New Roman" w:hAnsi="Times New Roman"/>
      <w:szCs w:val="24"/>
    </w:rPr>
  </w:style>
  <w:style w:type="character" w:customStyle="1" w:styleId="AntratsDiagrama">
    <w:name w:val="Antraštės Diagrama"/>
    <w:basedOn w:val="Numatytasispastraiposriftas"/>
    <w:link w:val="Antrats"/>
    <w:uiPriority w:val="99"/>
    <w:rsid w:val="0080785C"/>
    <w:rPr>
      <w:rFonts w:eastAsia="Times New Roman"/>
      <w:kern w:val="0"/>
      <w:sz w:val="24"/>
      <w:szCs w:val="24"/>
      <w:lang w:val="en-GB" w:eastAsia="es-ES"/>
      <w14:ligatures w14:val="none"/>
    </w:rPr>
  </w:style>
  <w:style w:type="paragraph" w:styleId="Pagrindinistekstas2">
    <w:name w:val="Body Text 2"/>
    <w:basedOn w:val="prastasis"/>
    <w:link w:val="Pagrindinistekstas2Diagrama"/>
    <w:uiPriority w:val="99"/>
    <w:unhideWhenUsed/>
    <w:rsid w:val="0080785C"/>
    <w:pPr>
      <w:spacing w:after="120" w:line="480" w:lineRule="auto"/>
    </w:pPr>
  </w:style>
  <w:style w:type="character" w:customStyle="1" w:styleId="Pagrindinistekstas2Diagrama">
    <w:name w:val="Pagrindinis tekstas 2 Diagrama"/>
    <w:basedOn w:val="Numatytasispastraiposriftas"/>
    <w:link w:val="Pagrindinistekstas2"/>
    <w:uiPriority w:val="99"/>
    <w:rsid w:val="0080785C"/>
    <w:rPr>
      <w:rFonts w:ascii="Arial" w:eastAsia="Times New Roman" w:hAnsi="Arial"/>
      <w:kern w:val="0"/>
      <w:sz w:val="24"/>
      <w:szCs w:val="20"/>
      <w:lang w:val="en-GB" w:eastAsia="es-ES"/>
      <w14:ligatures w14:val="none"/>
    </w:rPr>
  </w:style>
  <w:style w:type="paragraph" w:customStyle="1" w:styleId="C-BodyTextIndent">
    <w:name w:val="C-Body Text Indent"/>
    <w:rsid w:val="0080785C"/>
    <w:pPr>
      <w:spacing w:before="120" w:after="120" w:line="280" w:lineRule="atLeast"/>
      <w:ind w:left="360"/>
    </w:pPr>
    <w:rPr>
      <w:rFonts w:eastAsia="Times New Roman"/>
      <w:kern w:val="0"/>
      <w:sz w:val="24"/>
      <w:szCs w:val="20"/>
      <w:lang w:val="en-US"/>
      <w14:ligatures w14:val="none"/>
    </w:rPr>
  </w:style>
  <w:style w:type="paragraph" w:customStyle="1" w:styleId="C-AlphabeticList">
    <w:name w:val="C-Alphabetic List"/>
    <w:rsid w:val="0080785C"/>
    <w:pPr>
      <w:numPr>
        <w:ilvl w:val="1"/>
        <w:numId w:val="5"/>
      </w:numPr>
      <w:spacing w:before="120" w:after="120" w:line="280" w:lineRule="atLeast"/>
    </w:pPr>
    <w:rPr>
      <w:rFonts w:eastAsia="Times New Roman"/>
      <w:kern w:val="0"/>
      <w:sz w:val="24"/>
      <w:szCs w:val="20"/>
      <w:lang w:val="en-US"/>
      <w14:ligatures w14:val="none"/>
    </w:rPr>
  </w:style>
  <w:style w:type="character" w:customStyle="1" w:styleId="C-NumberedListChar">
    <w:name w:val="C-Numbered List Char"/>
    <w:link w:val="C-NumberedList"/>
    <w:locked/>
    <w:rsid w:val="0080785C"/>
    <w:rPr>
      <w:sz w:val="24"/>
      <w:lang w:val="en-US"/>
    </w:rPr>
  </w:style>
  <w:style w:type="paragraph" w:customStyle="1" w:styleId="C-NumberedList">
    <w:name w:val="C-Numbered List"/>
    <w:link w:val="C-NumberedListChar"/>
    <w:rsid w:val="0080785C"/>
    <w:pPr>
      <w:numPr>
        <w:numId w:val="5"/>
      </w:numPr>
      <w:spacing w:before="120" w:after="120" w:line="280" w:lineRule="atLeast"/>
    </w:pPr>
    <w:rPr>
      <w:sz w:val="24"/>
      <w:lang w:val="en-US"/>
    </w:rPr>
  </w:style>
  <w:style w:type="paragraph" w:styleId="Pagrindiniotekstotrauka2">
    <w:name w:val="Body Text Indent 2"/>
    <w:basedOn w:val="prastasis"/>
    <w:link w:val="Pagrindiniotekstotrauka2Diagrama"/>
    <w:uiPriority w:val="99"/>
    <w:semiHidden/>
    <w:unhideWhenUsed/>
    <w:rsid w:val="0080785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0785C"/>
    <w:rPr>
      <w:rFonts w:ascii="Arial" w:eastAsia="Times New Roman" w:hAnsi="Arial"/>
      <w:kern w:val="0"/>
      <w:sz w:val="24"/>
      <w:szCs w:val="20"/>
      <w:lang w:val="en-GB"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1.bin"/><Relationship Id="rId18"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vapris.vvkt.lt/vvkt-web/public/nrv"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image" Target="media/image6.png"/><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8635</Words>
  <Characters>4923</Characters>
  <Application>Microsoft Office Word</Application>
  <DocSecurity>0</DocSecurity>
  <Lines>41</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2026-04-29T06:25:00Z</dcterms:created>
  <dcterms:modified xsi:type="dcterms:W3CDTF">2026-04-29T06:28:00Z</dcterms:modified>
</cp:coreProperties>
</file>