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3C21E" w14:textId="77777777" w:rsidR="00E96E12" w:rsidRPr="00E22517" w:rsidRDefault="00E96E12">
      <w:pPr>
        <w:rPr>
          <w:iCs/>
        </w:rPr>
      </w:pPr>
    </w:p>
    <w:p w14:paraId="6E6AC9E5" w14:textId="77777777" w:rsidR="00E96E12" w:rsidRDefault="00E96E12">
      <w:pPr>
        <w:ind w:left="567" w:hanging="567"/>
      </w:pPr>
    </w:p>
    <w:p w14:paraId="11D03D98" w14:textId="77777777" w:rsidR="00E96E12" w:rsidRDefault="00E96E12">
      <w:pPr>
        <w:ind w:left="567" w:hanging="567"/>
      </w:pPr>
    </w:p>
    <w:p w14:paraId="7CD7BD2B" w14:textId="77777777" w:rsidR="00E96E12" w:rsidRDefault="00E96E12">
      <w:pPr>
        <w:ind w:left="567" w:hanging="567"/>
      </w:pPr>
    </w:p>
    <w:p w14:paraId="7B81095D" w14:textId="77777777" w:rsidR="00E96E12" w:rsidRDefault="00E96E12">
      <w:pPr>
        <w:ind w:left="567" w:hanging="567"/>
      </w:pPr>
    </w:p>
    <w:p w14:paraId="2051209C" w14:textId="77777777" w:rsidR="00E96E12" w:rsidRDefault="00E96E12">
      <w:pPr>
        <w:ind w:left="567" w:hanging="567"/>
      </w:pPr>
    </w:p>
    <w:p w14:paraId="635CC2D5" w14:textId="77777777" w:rsidR="00E96E12" w:rsidRDefault="00E96E12">
      <w:pPr>
        <w:ind w:left="567" w:hanging="567"/>
      </w:pPr>
    </w:p>
    <w:p w14:paraId="78AB4E20" w14:textId="77777777" w:rsidR="00E96E12" w:rsidRDefault="00E96E12">
      <w:pPr>
        <w:ind w:left="567" w:hanging="567"/>
      </w:pPr>
    </w:p>
    <w:p w14:paraId="5EE11F47" w14:textId="77777777" w:rsidR="00E96E12" w:rsidRDefault="00E96E12">
      <w:pPr>
        <w:ind w:left="567" w:hanging="567"/>
      </w:pPr>
    </w:p>
    <w:p w14:paraId="7D79D828" w14:textId="77777777" w:rsidR="00E96E12" w:rsidRDefault="00E96E12">
      <w:pPr>
        <w:ind w:left="567" w:hanging="567"/>
      </w:pPr>
    </w:p>
    <w:p w14:paraId="46666FEA" w14:textId="77777777" w:rsidR="00E96E12" w:rsidRDefault="00E96E12">
      <w:pPr>
        <w:ind w:left="567" w:hanging="567"/>
      </w:pPr>
    </w:p>
    <w:p w14:paraId="62E047BC" w14:textId="77777777" w:rsidR="00E96E12" w:rsidRDefault="00E96E12">
      <w:pPr>
        <w:ind w:left="567" w:hanging="567"/>
      </w:pPr>
    </w:p>
    <w:p w14:paraId="512CEE6F" w14:textId="77777777" w:rsidR="00E96E12" w:rsidRDefault="00E96E12">
      <w:pPr>
        <w:ind w:left="567" w:hanging="567"/>
      </w:pPr>
    </w:p>
    <w:p w14:paraId="43C3EAD2" w14:textId="77777777" w:rsidR="00E96E12" w:rsidRDefault="00E96E12">
      <w:pPr>
        <w:ind w:left="567" w:hanging="567"/>
      </w:pPr>
    </w:p>
    <w:p w14:paraId="4E14539A" w14:textId="77777777" w:rsidR="00E96E12" w:rsidRDefault="00E96E12">
      <w:pPr>
        <w:ind w:left="567" w:hanging="567"/>
      </w:pPr>
    </w:p>
    <w:p w14:paraId="7CD82890" w14:textId="77777777" w:rsidR="00E96E12" w:rsidRDefault="00E96E12">
      <w:pPr>
        <w:ind w:left="567" w:hanging="567"/>
      </w:pPr>
    </w:p>
    <w:p w14:paraId="0B99128E" w14:textId="77777777" w:rsidR="00E96E12" w:rsidRDefault="00E96E12">
      <w:pPr>
        <w:ind w:left="567" w:hanging="567"/>
      </w:pPr>
    </w:p>
    <w:p w14:paraId="0A6976FB" w14:textId="77777777" w:rsidR="00E96E12" w:rsidRDefault="00E96E12">
      <w:pPr>
        <w:ind w:left="567" w:hanging="567"/>
      </w:pPr>
    </w:p>
    <w:p w14:paraId="0B0620CD" w14:textId="77777777" w:rsidR="00E96E12" w:rsidRDefault="00E96E12">
      <w:pPr>
        <w:ind w:left="567" w:hanging="567"/>
      </w:pPr>
    </w:p>
    <w:p w14:paraId="052512FF" w14:textId="77777777" w:rsidR="00E96E12" w:rsidRDefault="00E96E12">
      <w:pPr>
        <w:ind w:left="567" w:hanging="567"/>
      </w:pPr>
    </w:p>
    <w:p w14:paraId="7A566ECA" w14:textId="77777777" w:rsidR="00E96E12" w:rsidRDefault="00E96E12">
      <w:pPr>
        <w:ind w:left="567" w:hanging="567"/>
      </w:pPr>
    </w:p>
    <w:p w14:paraId="60E53763" w14:textId="77777777" w:rsidR="00E96E12" w:rsidRDefault="00E96E12">
      <w:pPr>
        <w:ind w:left="567" w:hanging="567"/>
      </w:pPr>
    </w:p>
    <w:p w14:paraId="548AC27B" w14:textId="77777777" w:rsidR="00E96E12" w:rsidRDefault="00E96E12">
      <w:pPr>
        <w:ind w:left="567" w:hanging="567"/>
        <w:jc w:val="center"/>
        <w:rPr>
          <w:b/>
        </w:rPr>
      </w:pPr>
    </w:p>
    <w:p w14:paraId="6A53C9A3" w14:textId="77777777" w:rsidR="00E96E12" w:rsidRDefault="00E97765">
      <w:pPr>
        <w:tabs>
          <w:tab w:val="left" w:pos="567"/>
        </w:tabs>
        <w:suppressAutoHyphens/>
        <w:spacing w:line="260" w:lineRule="exact"/>
        <w:jc w:val="center"/>
        <w:rPr>
          <w:color w:val="000000"/>
          <w:szCs w:val="22"/>
          <w:lang w:eastAsia="ar-SA"/>
        </w:rPr>
      </w:pPr>
      <w:r>
        <w:rPr>
          <w:b/>
          <w:color w:val="000000"/>
          <w:szCs w:val="22"/>
          <w:lang w:eastAsia="ar-SA"/>
        </w:rPr>
        <w:t>I PRIEDAS</w:t>
      </w:r>
    </w:p>
    <w:p w14:paraId="2B6B7411" w14:textId="77777777" w:rsidR="00E96E12" w:rsidRDefault="00E96E12">
      <w:pPr>
        <w:tabs>
          <w:tab w:val="left" w:pos="567"/>
        </w:tabs>
        <w:suppressAutoHyphens/>
        <w:spacing w:line="260" w:lineRule="exact"/>
        <w:jc w:val="center"/>
        <w:rPr>
          <w:color w:val="000000"/>
          <w:szCs w:val="22"/>
          <w:lang w:eastAsia="ar-SA"/>
        </w:rPr>
      </w:pPr>
    </w:p>
    <w:p w14:paraId="545081B2" w14:textId="77777777" w:rsidR="00E96E12" w:rsidRDefault="00E97765">
      <w:pPr>
        <w:tabs>
          <w:tab w:val="left" w:pos="567"/>
        </w:tabs>
        <w:suppressAutoHyphens/>
        <w:spacing w:line="260" w:lineRule="exact"/>
        <w:jc w:val="center"/>
        <w:rPr>
          <w:b/>
          <w:color w:val="000000"/>
          <w:szCs w:val="22"/>
          <w:lang w:eastAsia="ar-SA"/>
        </w:rPr>
      </w:pPr>
      <w:r>
        <w:rPr>
          <w:b/>
          <w:color w:val="000000"/>
          <w:szCs w:val="22"/>
          <w:lang w:eastAsia="ar-SA"/>
        </w:rPr>
        <w:t>PREPARATO CHARAKTERISTIKŲ SANTRAUKA</w:t>
      </w:r>
    </w:p>
    <w:p w14:paraId="2F8C7B7B" w14:textId="77777777" w:rsidR="00E96E12" w:rsidRDefault="00E97765">
      <w:pPr>
        <w:ind w:left="567" w:hanging="567"/>
      </w:pPr>
      <w:r>
        <w:rPr>
          <w:szCs w:val="22"/>
        </w:rPr>
        <w:br w:type="page"/>
      </w:r>
    </w:p>
    <w:p w14:paraId="3B69F427" w14:textId="77777777" w:rsidR="00E96E12" w:rsidRDefault="00E97765">
      <w:pPr>
        <w:ind w:left="567" w:hanging="567"/>
        <w:rPr>
          <w:b/>
        </w:rPr>
      </w:pPr>
      <w:r>
        <w:rPr>
          <w:b/>
        </w:rPr>
        <w:lastRenderedPageBreak/>
        <w:t>1.</w:t>
      </w:r>
      <w:r>
        <w:rPr>
          <w:b/>
        </w:rPr>
        <w:tab/>
      </w:r>
      <w:r>
        <w:rPr>
          <w:b/>
          <w:caps/>
        </w:rPr>
        <w:t>VAISTINIO</w:t>
      </w:r>
      <w:r>
        <w:rPr>
          <w:b/>
        </w:rPr>
        <w:t xml:space="preserve"> PREPARATO PAVADINIMAS</w:t>
      </w:r>
    </w:p>
    <w:p w14:paraId="6AC8472B" w14:textId="77777777" w:rsidR="00E96E12" w:rsidRDefault="00E96E12">
      <w:pPr>
        <w:ind w:left="567" w:hanging="567"/>
      </w:pPr>
    </w:p>
    <w:p w14:paraId="205F3602" w14:textId="77777777" w:rsidR="00E96E12" w:rsidRDefault="00E97765">
      <w:pPr>
        <w:spacing w:after="21" w:line="248" w:lineRule="auto"/>
        <w:ind w:left="-5" w:right="14" w:hanging="10"/>
        <w:rPr>
          <w:color w:val="000000"/>
          <w:kern w:val="2"/>
          <w:szCs w:val="22"/>
          <w:lang w:eastAsia="en-GB"/>
          <w14:ligatures w14:val="standardContextual"/>
        </w:rPr>
      </w:pPr>
      <w:proofErr w:type="spellStart"/>
      <w:r>
        <w:rPr>
          <w:color w:val="000000"/>
          <w:kern w:val="2"/>
          <w:szCs w:val="22"/>
          <w:lang w:eastAsia="en-GB"/>
          <w14:ligatures w14:val="standardContextual"/>
        </w:rPr>
        <w:t>Dagrafors</w:t>
      </w:r>
      <w:proofErr w:type="spellEnd"/>
      <w:r>
        <w:rPr>
          <w:color w:val="000000"/>
          <w:kern w:val="2"/>
          <w:szCs w:val="22"/>
          <w:lang w:eastAsia="en-GB"/>
          <w14:ligatures w14:val="standardContextual"/>
        </w:rPr>
        <w:t xml:space="preserve"> 5 mg plėvele dengtos tabletės</w:t>
      </w:r>
    </w:p>
    <w:p w14:paraId="7FA7A817" w14:textId="77777777" w:rsidR="00E96E12" w:rsidRDefault="00E97765">
      <w:pPr>
        <w:spacing w:after="21" w:line="248" w:lineRule="auto"/>
        <w:ind w:left="-5" w:right="14" w:hanging="10"/>
        <w:rPr>
          <w:color w:val="000000"/>
          <w:kern w:val="2"/>
          <w:szCs w:val="22"/>
          <w:lang w:eastAsia="en-GB"/>
          <w14:ligatures w14:val="standardContextual"/>
        </w:rPr>
      </w:pPr>
      <w:proofErr w:type="spellStart"/>
      <w:r>
        <w:rPr>
          <w:color w:val="000000"/>
          <w:kern w:val="2"/>
          <w:szCs w:val="22"/>
          <w:lang w:eastAsia="en-GB"/>
          <w14:ligatures w14:val="standardContextual"/>
        </w:rPr>
        <w:t>Dagrafors</w:t>
      </w:r>
      <w:proofErr w:type="spellEnd"/>
      <w:r>
        <w:rPr>
          <w:color w:val="000000"/>
          <w:kern w:val="2"/>
          <w:szCs w:val="22"/>
          <w:lang w:eastAsia="en-GB"/>
          <w14:ligatures w14:val="standardContextual"/>
        </w:rPr>
        <w:t xml:space="preserve"> 10 mg plėvele dengtos tabletės</w:t>
      </w:r>
    </w:p>
    <w:p w14:paraId="5DE8717D" w14:textId="77777777" w:rsidR="00E96E12" w:rsidRDefault="00E96E12">
      <w:pPr>
        <w:ind w:left="567" w:hanging="567"/>
      </w:pPr>
    </w:p>
    <w:p w14:paraId="3956C16C" w14:textId="77777777" w:rsidR="00E96E12" w:rsidRDefault="00E96E12">
      <w:pPr>
        <w:ind w:left="567" w:hanging="567"/>
      </w:pPr>
    </w:p>
    <w:p w14:paraId="50470D1F" w14:textId="77777777" w:rsidR="00E96E12" w:rsidRDefault="00E97765">
      <w:pPr>
        <w:ind w:left="567" w:hanging="567"/>
        <w:rPr>
          <w:b/>
          <w:caps/>
        </w:rPr>
      </w:pPr>
      <w:r>
        <w:rPr>
          <w:b/>
          <w:caps/>
        </w:rPr>
        <w:t>2.</w:t>
      </w:r>
      <w:r>
        <w:rPr>
          <w:b/>
          <w:caps/>
        </w:rPr>
        <w:tab/>
        <w:t>kokybinė ir kiekybinė sudėtis</w:t>
      </w:r>
    </w:p>
    <w:p w14:paraId="50CF43A4" w14:textId="77777777" w:rsidR="00E96E12" w:rsidRDefault="00E96E12">
      <w:pPr>
        <w:ind w:left="567" w:hanging="567"/>
        <w:rPr>
          <w:b/>
          <w:caps/>
        </w:rPr>
      </w:pPr>
    </w:p>
    <w:p w14:paraId="3A62BB34" w14:textId="77777777" w:rsidR="00E96E12" w:rsidRDefault="00E97765">
      <w:pPr>
        <w:pStyle w:val="EMEAEnBodyText"/>
        <w:autoSpaceDE w:val="0"/>
        <w:autoSpaceDN w:val="0"/>
        <w:adjustRightInd w:val="0"/>
        <w:spacing w:before="0" w:after="0"/>
        <w:jc w:val="left"/>
        <w:rPr>
          <w:u w:val="single"/>
          <w:lang w:val="lt-LT"/>
        </w:rPr>
      </w:pPr>
      <w:proofErr w:type="spellStart"/>
      <w:r>
        <w:rPr>
          <w:u w:val="single"/>
          <w:lang w:val="lt-LT"/>
        </w:rPr>
        <w:t>Dagrafors</w:t>
      </w:r>
      <w:proofErr w:type="spellEnd"/>
      <w:r>
        <w:rPr>
          <w:u w:val="single"/>
          <w:lang w:val="lt-LT"/>
        </w:rPr>
        <w:t xml:space="preserve"> 5 mg plėvele dengtos tabletės</w:t>
      </w:r>
    </w:p>
    <w:p w14:paraId="78B47E72" w14:textId="77777777" w:rsidR="00E96E12" w:rsidRDefault="00E97765">
      <w:pPr>
        <w:pStyle w:val="EMEAEnBodyText"/>
        <w:autoSpaceDE w:val="0"/>
        <w:autoSpaceDN w:val="0"/>
        <w:adjustRightInd w:val="0"/>
        <w:spacing w:before="0" w:after="0"/>
        <w:jc w:val="left"/>
        <w:rPr>
          <w:lang w:val="lt-LT"/>
        </w:rPr>
      </w:pPr>
      <w:r>
        <w:rPr>
          <w:lang w:val="lt-LT"/>
        </w:rPr>
        <w:t xml:space="preserve">Kiekvienoje plėvele dengtoje tabletėje yra 5 mg dapagliflozino (iš dapagliflozino </w:t>
      </w:r>
      <w:proofErr w:type="spellStart"/>
      <w:r>
        <w:rPr>
          <w:lang w:val="lt-LT"/>
        </w:rPr>
        <w:t>propandiolio</w:t>
      </w:r>
      <w:proofErr w:type="spellEnd"/>
      <w:r>
        <w:rPr>
          <w:lang w:val="lt-LT"/>
        </w:rPr>
        <w:t xml:space="preserve"> </w:t>
      </w:r>
      <w:proofErr w:type="spellStart"/>
      <w:r>
        <w:rPr>
          <w:lang w:val="lt-LT"/>
        </w:rPr>
        <w:t>monohidrato</w:t>
      </w:r>
      <w:proofErr w:type="spellEnd"/>
      <w:r>
        <w:rPr>
          <w:lang w:val="lt-LT"/>
        </w:rPr>
        <w:t xml:space="preserve"> formos).</w:t>
      </w:r>
    </w:p>
    <w:p w14:paraId="3F63E356" w14:textId="77777777" w:rsidR="00E96E12" w:rsidRDefault="00E96E12">
      <w:pPr>
        <w:pStyle w:val="EMEAEnBodyText"/>
        <w:autoSpaceDE w:val="0"/>
        <w:autoSpaceDN w:val="0"/>
        <w:adjustRightInd w:val="0"/>
        <w:spacing w:before="0" w:after="0"/>
        <w:jc w:val="left"/>
        <w:rPr>
          <w:u w:val="single"/>
          <w:lang w:val="lt-LT"/>
        </w:rPr>
      </w:pPr>
    </w:p>
    <w:p w14:paraId="761520E6" w14:textId="77777777" w:rsidR="00E96E12" w:rsidRDefault="00E97765">
      <w:pPr>
        <w:pStyle w:val="EMEAEnBodyText"/>
        <w:autoSpaceDE w:val="0"/>
        <w:autoSpaceDN w:val="0"/>
        <w:adjustRightInd w:val="0"/>
        <w:spacing w:before="0" w:after="0"/>
        <w:jc w:val="left"/>
        <w:rPr>
          <w:u w:val="single"/>
          <w:lang w:val="lt-LT"/>
        </w:rPr>
      </w:pPr>
      <w:proofErr w:type="spellStart"/>
      <w:r>
        <w:rPr>
          <w:u w:val="single"/>
          <w:lang w:val="lt-LT"/>
        </w:rPr>
        <w:t>Dagrafors</w:t>
      </w:r>
      <w:proofErr w:type="spellEnd"/>
      <w:r>
        <w:rPr>
          <w:u w:val="single"/>
          <w:lang w:val="lt-LT"/>
        </w:rPr>
        <w:t xml:space="preserve"> 10 mg plėvele dengtos tabletės</w:t>
      </w:r>
    </w:p>
    <w:p w14:paraId="239BFC69" w14:textId="77777777" w:rsidR="00E96E12" w:rsidRDefault="00E97765">
      <w:pPr>
        <w:pStyle w:val="EMEAEnBodyText"/>
        <w:autoSpaceDE w:val="0"/>
        <w:autoSpaceDN w:val="0"/>
        <w:adjustRightInd w:val="0"/>
        <w:spacing w:before="0" w:after="0"/>
        <w:jc w:val="left"/>
        <w:rPr>
          <w:lang w:val="lt-LT"/>
        </w:rPr>
      </w:pPr>
      <w:r>
        <w:rPr>
          <w:lang w:val="lt-LT"/>
        </w:rPr>
        <w:t xml:space="preserve">Kiekvienoje plėvele dengtoje tabletėje yra 10 mg dapagliflozino (iš dapagliflozino </w:t>
      </w:r>
      <w:proofErr w:type="spellStart"/>
      <w:r>
        <w:rPr>
          <w:lang w:val="lt-LT"/>
        </w:rPr>
        <w:t>propandiolio</w:t>
      </w:r>
      <w:proofErr w:type="spellEnd"/>
      <w:r>
        <w:rPr>
          <w:lang w:val="lt-LT"/>
        </w:rPr>
        <w:t xml:space="preserve"> </w:t>
      </w:r>
      <w:proofErr w:type="spellStart"/>
      <w:r>
        <w:rPr>
          <w:lang w:val="lt-LT"/>
        </w:rPr>
        <w:t>monohidrato</w:t>
      </w:r>
      <w:proofErr w:type="spellEnd"/>
      <w:r>
        <w:rPr>
          <w:lang w:val="lt-LT"/>
        </w:rPr>
        <w:t xml:space="preserve"> formos).</w:t>
      </w:r>
    </w:p>
    <w:p w14:paraId="322F0E81" w14:textId="77777777" w:rsidR="00E96E12" w:rsidRDefault="00E96E12">
      <w:pPr>
        <w:pStyle w:val="EMEAEnBodyText"/>
        <w:autoSpaceDE w:val="0"/>
        <w:autoSpaceDN w:val="0"/>
        <w:adjustRightInd w:val="0"/>
        <w:spacing w:before="0" w:after="0"/>
        <w:rPr>
          <w:u w:val="single"/>
          <w:lang w:val="lt-LT"/>
        </w:rPr>
      </w:pPr>
    </w:p>
    <w:p w14:paraId="524C33D8" w14:textId="77777777" w:rsidR="00E96E12" w:rsidRDefault="00E97765">
      <w:pPr>
        <w:spacing w:after="21" w:line="248" w:lineRule="auto"/>
        <w:ind w:left="-5" w:right="14" w:hanging="10"/>
        <w:rPr>
          <w:color w:val="000000"/>
          <w:kern w:val="2"/>
          <w:szCs w:val="22"/>
          <w:lang w:eastAsia="en-GB"/>
          <w14:ligatures w14:val="standardContextual"/>
        </w:rPr>
      </w:pPr>
      <w:r>
        <w:rPr>
          <w:u w:val="single"/>
        </w:rPr>
        <w:t xml:space="preserve">Pagalbinė medžiaga, </w:t>
      </w:r>
      <w:r>
        <w:rPr>
          <w:noProof/>
          <w:u w:val="single"/>
        </w:rPr>
        <w:t xml:space="preserve">kurios </w:t>
      </w:r>
      <w:r>
        <w:rPr>
          <w:u w:val="single"/>
        </w:rPr>
        <w:t>poveikis žinomas</w:t>
      </w:r>
    </w:p>
    <w:p w14:paraId="506DBC29" w14:textId="77777777" w:rsidR="00E96E12" w:rsidRDefault="00E97765">
      <w:pPr>
        <w:spacing w:after="21" w:line="248" w:lineRule="auto"/>
        <w:ind w:left="-5" w:right="14" w:hanging="10"/>
        <w:rPr>
          <w:i/>
          <w:color w:val="000000"/>
          <w:kern w:val="2"/>
          <w:szCs w:val="22"/>
          <w:lang w:eastAsia="en-GB"/>
          <w14:ligatures w14:val="standardContextual"/>
        </w:rPr>
      </w:pPr>
      <w:proofErr w:type="spellStart"/>
      <w:r>
        <w:rPr>
          <w:i/>
          <w:color w:val="000000"/>
          <w:kern w:val="2"/>
          <w:szCs w:val="22"/>
          <w:lang w:eastAsia="en-GB"/>
          <w14:ligatures w14:val="standardContextual"/>
        </w:rPr>
        <w:t>Dagrafors</w:t>
      </w:r>
      <w:proofErr w:type="spellEnd"/>
      <w:r>
        <w:rPr>
          <w:i/>
          <w:color w:val="000000"/>
          <w:kern w:val="2"/>
          <w:szCs w:val="22"/>
          <w:lang w:eastAsia="en-GB"/>
          <w14:ligatures w14:val="standardContextual"/>
        </w:rPr>
        <w:t xml:space="preserve"> 5 mg plėvele dengtos tabletės</w:t>
      </w:r>
    </w:p>
    <w:p w14:paraId="1CD850CE" w14:textId="77777777" w:rsidR="00E96E12" w:rsidRDefault="00E97765">
      <w:pPr>
        <w:pStyle w:val="EMEAEnBodyText"/>
        <w:autoSpaceDE w:val="0"/>
        <w:autoSpaceDN w:val="0"/>
        <w:adjustRightInd w:val="0"/>
        <w:spacing w:before="0" w:after="0"/>
        <w:rPr>
          <w:color w:val="000000"/>
          <w:kern w:val="2"/>
          <w:szCs w:val="22"/>
          <w:lang w:val="lt-LT" w:eastAsia="en-GB"/>
          <w14:ligatures w14:val="standardContextual"/>
        </w:rPr>
      </w:pPr>
      <w:r>
        <w:rPr>
          <w:color w:val="000000"/>
          <w:kern w:val="2"/>
          <w:szCs w:val="22"/>
          <w:lang w:val="lt-LT" w:eastAsia="en-GB"/>
          <w14:ligatures w14:val="standardContextual"/>
        </w:rPr>
        <w:t>Kiekvienoje plėvele dengtoje tabletėje yra 48,7 mg laktozės.</w:t>
      </w:r>
    </w:p>
    <w:p w14:paraId="31A0B57F" w14:textId="77777777" w:rsidR="00E96E12" w:rsidRDefault="00E96E12">
      <w:pPr>
        <w:pStyle w:val="EMEAEnBodyText"/>
        <w:autoSpaceDE w:val="0"/>
        <w:autoSpaceDN w:val="0"/>
        <w:adjustRightInd w:val="0"/>
        <w:spacing w:before="0" w:after="0"/>
        <w:rPr>
          <w:color w:val="000000"/>
          <w:kern w:val="2"/>
          <w:szCs w:val="22"/>
          <w:lang w:val="lt-LT" w:eastAsia="en-GB"/>
          <w14:ligatures w14:val="standardContextual"/>
        </w:rPr>
      </w:pPr>
    </w:p>
    <w:p w14:paraId="7D5F87A0" w14:textId="77777777" w:rsidR="00E96E12" w:rsidRDefault="00E97765">
      <w:pPr>
        <w:spacing w:after="21" w:line="248" w:lineRule="auto"/>
        <w:ind w:left="-5" w:right="14" w:hanging="10"/>
        <w:rPr>
          <w:i/>
          <w:color w:val="000000"/>
          <w:kern w:val="2"/>
          <w:szCs w:val="22"/>
          <w:lang w:eastAsia="en-GB"/>
          <w14:ligatures w14:val="standardContextual"/>
        </w:rPr>
      </w:pPr>
      <w:proofErr w:type="spellStart"/>
      <w:r>
        <w:rPr>
          <w:i/>
          <w:color w:val="000000"/>
          <w:kern w:val="2"/>
          <w:szCs w:val="22"/>
          <w:lang w:eastAsia="en-GB"/>
          <w14:ligatures w14:val="standardContextual"/>
        </w:rPr>
        <w:t>Dagrafors</w:t>
      </w:r>
      <w:proofErr w:type="spellEnd"/>
      <w:r>
        <w:rPr>
          <w:i/>
          <w:color w:val="000000"/>
          <w:kern w:val="2"/>
          <w:szCs w:val="22"/>
          <w:lang w:eastAsia="en-GB"/>
          <w14:ligatures w14:val="standardContextual"/>
        </w:rPr>
        <w:t xml:space="preserve"> 10 mg plėvele dengtos tabletės</w:t>
      </w:r>
    </w:p>
    <w:p w14:paraId="54E2F1B2" w14:textId="77777777" w:rsidR="00E96E12" w:rsidRDefault="00E97765">
      <w:pPr>
        <w:pStyle w:val="EMEAEnBodyText"/>
        <w:autoSpaceDE w:val="0"/>
        <w:autoSpaceDN w:val="0"/>
        <w:adjustRightInd w:val="0"/>
        <w:spacing w:before="0" w:after="0"/>
        <w:rPr>
          <w:color w:val="000000"/>
          <w:kern w:val="2"/>
          <w:szCs w:val="22"/>
          <w:lang w:val="lt-LT" w:eastAsia="en-GB"/>
          <w14:ligatures w14:val="standardContextual"/>
        </w:rPr>
      </w:pPr>
      <w:r>
        <w:rPr>
          <w:color w:val="000000"/>
          <w:kern w:val="2"/>
          <w:szCs w:val="22"/>
          <w:lang w:val="lt-LT" w:eastAsia="en-GB"/>
          <w14:ligatures w14:val="standardContextual"/>
        </w:rPr>
        <w:t>Kiekvienoje plėvele dengtoje tabletėje yra 97,4 mg laktozės.</w:t>
      </w:r>
    </w:p>
    <w:p w14:paraId="215F1B26" w14:textId="77777777" w:rsidR="00E96E12" w:rsidRDefault="00E96E12">
      <w:pPr>
        <w:pStyle w:val="EMEAEnBodyText"/>
        <w:autoSpaceDE w:val="0"/>
        <w:autoSpaceDN w:val="0"/>
        <w:adjustRightInd w:val="0"/>
        <w:spacing w:before="0" w:after="0"/>
        <w:rPr>
          <w:lang w:val="lt-LT"/>
        </w:rPr>
      </w:pPr>
    </w:p>
    <w:p w14:paraId="58A14058" w14:textId="77777777" w:rsidR="00E96E12" w:rsidRDefault="00E97765">
      <w:pPr>
        <w:rPr>
          <w:noProof/>
        </w:rPr>
      </w:pPr>
      <w:r>
        <w:rPr>
          <w:noProof/>
        </w:rPr>
        <w:t>Visos pagalbinės medžiagos išvardytos 6.1 skyriuje.</w:t>
      </w:r>
    </w:p>
    <w:p w14:paraId="3D2E4B02" w14:textId="77777777" w:rsidR="00E96E12" w:rsidRDefault="00E96E12">
      <w:pPr>
        <w:ind w:left="567" w:hanging="567"/>
      </w:pPr>
    </w:p>
    <w:p w14:paraId="340059CE" w14:textId="77777777" w:rsidR="00E96E12" w:rsidRDefault="00E96E12">
      <w:pPr>
        <w:ind w:left="567" w:hanging="567"/>
      </w:pPr>
    </w:p>
    <w:p w14:paraId="0C81F1A8" w14:textId="77777777" w:rsidR="00E96E12" w:rsidRDefault="00E97765">
      <w:pPr>
        <w:ind w:left="567" w:hanging="567"/>
        <w:rPr>
          <w:b/>
          <w:caps/>
        </w:rPr>
      </w:pPr>
      <w:r>
        <w:rPr>
          <w:b/>
          <w:caps/>
        </w:rPr>
        <w:t>3.</w:t>
      </w:r>
      <w:r>
        <w:rPr>
          <w:b/>
          <w:caps/>
        </w:rPr>
        <w:tab/>
      </w:r>
      <w:r>
        <w:rPr>
          <w:b/>
          <w:caps/>
          <w:noProof/>
        </w:rPr>
        <w:t>FARMACINĖ</w:t>
      </w:r>
      <w:r>
        <w:rPr>
          <w:b/>
          <w:caps/>
        </w:rPr>
        <w:t xml:space="preserve"> forma</w:t>
      </w:r>
    </w:p>
    <w:p w14:paraId="702067E2" w14:textId="77777777" w:rsidR="00E96E12" w:rsidRDefault="00E96E12">
      <w:pPr>
        <w:rPr>
          <w:highlight w:val="yellow"/>
        </w:rPr>
      </w:pPr>
    </w:p>
    <w:p w14:paraId="263E4F9A" w14:textId="77777777" w:rsidR="00E96E12" w:rsidRDefault="00E97765">
      <w:r>
        <w:t>Plėvele dengta tabletė (tabletė).</w:t>
      </w:r>
    </w:p>
    <w:p w14:paraId="3F807C38" w14:textId="77777777" w:rsidR="00E96E12" w:rsidRDefault="00E96E12"/>
    <w:p w14:paraId="3F2A4FCE" w14:textId="77777777" w:rsidR="00E96E12" w:rsidRDefault="00E97765">
      <w:pPr>
        <w:pStyle w:val="EMEAEnBodyText"/>
        <w:autoSpaceDE w:val="0"/>
        <w:autoSpaceDN w:val="0"/>
        <w:adjustRightInd w:val="0"/>
        <w:spacing w:before="0" w:after="0"/>
        <w:rPr>
          <w:u w:val="single"/>
          <w:lang w:val="lt-LT"/>
        </w:rPr>
      </w:pPr>
      <w:proofErr w:type="spellStart"/>
      <w:r>
        <w:rPr>
          <w:u w:val="single"/>
          <w:lang w:val="lt-LT"/>
        </w:rPr>
        <w:t>Dagrafors</w:t>
      </w:r>
      <w:proofErr w:type="spellEnd"/>
      <w:r>
        <w:rPr>
          <w:u w:val="single"/>
          <w:lang w:val="lt-LT"/>
        </w:rPr>
        <w:t xml:space="preserve"> 5 mg plėvele dengtos tabletės</w:t>
      </w:r>
    </w:p>
    <w:p w14:paraId="5544550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Šviesiai rusvai geltonos, apvalios, abipus išgaubtos, plėvele dengtos tabletės, kurių vienoje pusėje yra įraiža „5“. Tabletės matmenys: skersmuo apytiksliai 7 mm.</w:t>
      </w:r>
    </w:p>
    <w:p w14:paraId="397F8494" w14:textId="77777777" w:rsidR="00E96E12" w:rsidRDefault="00E96E12">
      <w:pPr>
        <w:autoSpaceDE w:val="0"/>
        <w:autoSpaceDN w:val="0"/>
        <w:adjustRightInd w:val="0"/>
        <w:rPr>
          <w:rFonts w:eastAsia="TimesNewRoman"/>
          <w:szCs w:val="22"/>
          <w:lang w:eastAsia="lt-LT"/>
        </w:rPr>
      </w:pPr>
    </w:p>
    <w:p w14:paraId="6C0DE5B9" w14:textId="77777777" w:rsidR="00E96E12" w:rsidRDefault="00E97765">
      <w:pPr>
        <w:autoSpaceDE w:val="0"/>
        <w:autoSpaceDN w:val="0"/>
        <w:adjustRightInd w:val="0"/>
        <w:rPr>
          <w:rFonts w:eastAsia="TimesNewRoman"/>
          <w:szCs w:val="22"/>
          <w:u w:val="single"/>
          <w:lang w:eastAsia="lt-LT"/>
        </w:rPr>
      </w:pPr>
      <w:proofErr w:type="spellStart"/>
      <w:r>
        <w:rPr>
          <w:rFonts w:eastAsia="TimesNewRoman"/>
          <w:szCs w:val="22"/>
          <w:u w:val="single"/>
          <w:lang w:eastAsia="lt-LT"/>
        </w:rPr>
        <w:t>Dagrafors</w:t>
      </w:r>
      <w:proofErr w:type="spellEnd"/>
      <w:r>
        <w:rPr>
          <w:rFonts w:eastAsia="TimesNewRoman"/>
          <w:szCs w:val="22"/>
          <w:u w:val="single"/>
          <w:lang w:eastAsia="lt-LT"/>
        </w:rPr>
        <w:t xml:space="preserve"> 10 mg plėvele dengtos tabletės</w:t>
      </w:r>
    </w:p>
    <w:p w14:paraId="6C32E0B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Šviesiai rusvai geltonos, ovalios, abipus išgaubtos, plėvele dengtos tabletės su vagele vienoje pusėje. Viena laužimo vagelės pusė pažymėta „1“, o kita – „0“. Tabletę galima padalyti į lygias dozes. Tabletės dydis: apytiksliai 13 x 6,5 mm.</w:t>
      </w:r>
    </w:p>
    <w:p w14:paraId="76E4C0A5" w14:textId="77777777" w:rsidR="00E96E12" w:rsidRDefault="00E96E12">
      <w:pPr>
        <w:ind w:left="567" w:hanging="567"/>
      </w:pPr>
    </w:p>
    <w:p w14:paraId="40BF823C" w14:textId="77777777" w:rsidR="00E96E12" w:rsidRDefault="00E96E12">
      <w:pPr>
        <w:ind w:left="567" w:hanging="567"/>
      </w:pPr>
    </w:p>
    <w:p w14:paraId="0DF42139" w14:textId="77777777" w:rsidR="00E96E12" w:rsidRDefault="00E97765">
      <w:pPr>
        <w:ind w:left="567" w:hanging="567"/>
        <w:rPr>
          <w:b/>
          <w:caps/>
        </w:rPr>
      </w:pPr>
      <w:r>
        <w:rPr>
          <w:b/>
          <w:caps/>
        </w:rPr>
        <w:t>4.</w:t>
      </w:r>
      <w:r>
        <w:rPr>
          <w:b/>
          <w:caps/>
        </w:rPr>
        <w:tab/>
        <w:t>klinikinĖ informacija</w:t>
      </w:r>
    </w:p>
    <w:p w14:paraId="69AB50FC" w14:textId="77777777" w:rsidR="00E96E12" w:rsidRDefault="00E96E12">
      <w:pPr>
        <w:ind w:left="567" w:hanging="567"/>
      </w:pPr>
    </w:p>
    <w:p w14:paraId="6C4EC61C" w14:textId="77777777" w:rsidR="00E96E12" w:rsidRDefault="00E97765">
      <w:pPr>
        <w:ind w:left="567" w:hanging="567"/>
        <w:rPr>
          <w:b/>
        </w:rPr>
      </w:pPr>
      <w:r>
        <w:rPr>
          <w:b/>
        </w:rPr>
        <w:t>4.1</w:t>
      </w:r>
      <w:r>
        <w:rPr>
          <w:b/>
        </w:rPr>
        <w:tab/>
        <w:t>Terapinės indikacijos</w:t>
      </w:r>
    </w:p>
    <w:p w14:paraId="251315F6" w14:textId="77777777" w:rsidR="00E96E12" w:rsidRDefault="00E96E12">
      <w:pPr>
        <w:ind w:left="567" w:hanging="567"/>
      </w:pPr>
    </w:p>
    <w:p w14:paraId="683E4685"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2 tipo cukrinis diabetas</w:t>
      </w:r>
    </w:p>
    <w:p w14:paraId="38245973" w14:textId="77777777" w:rsidR="00E96E12" w:rsidRDefault="00E96E12">
      <w:pPr>
        <w:autoSpaceDE w:val="0"/>
        <w:autoSpaceDN w:val="0"/>
        <w:adjustRightInd w:val="0"/>
        <w:rPr>
          <w:rFonts w:eastAsia="TimesNewRoman"/>
          <w:szCs w:val="22"/>
          <w:u w:val="single"/>
          <w:lang w:eastAsia="lt-LT"/>
        </w:rPr>
      </w:pPr>
    </w:p>
    <w:p w14:paraId="6588514A" w14:textId="77777777" w:rsidR="00E96E12" w:rsidRDefault="00E97765">
      <w:pPr>
        <w:autoSpaceDE w:val="0"/>
        <w:autoSpaceDN w:val="0"/>
        <w:adjustRightInd w:val="0"/>
        <w:rPr>
          <w:rFonts w:eastAsia="TimesNewRoman"/>
          <w:szCs w:val="22"/>
          <w:lang w:eastAsia="lt-LT"/>
        </w:rPr>
      </w:pPr>
      <w:proofErr w:type="spellStart"/>
      <w:r>
        <w:rPr>
          <w:rFonts w:eastAsia="TimesNewRoman"/>
          <w:szCs w:val="22"/>
          <w:lang w:eastAsia="lt-LT"/>
        </w:rPr>
        <w:t>Dagrafors</w:t>
      </w:r>
      <w:proofErr w:type="spellEnd"/>
      <w:r>
        <w:rPr>
          <w:rFonts w:eastAsia="TimesNewRoman"/>
          <w:szCs w:val="22"/>
          <w:lang w:eastAsia="lt-LT"/>
        </w:rPr>
        <w:t xml:space="preserve"> skirtas gydyti suaugusiesiems ir vaikams nuo 10 metų, kurie serga nepakankamai sureguliuotu 2 tipo cukriniu diabetu (dietos ir fizinio krūvio poveikiui papildyti):</w:t>
      </w:r>
    </w:p>
    <w:p w14:paraId="39A36CC8" w14:textId="77777777" w:rsidR="00E96E12" w:rsidRDefault="00E97765">
      <w:pPr>
        <w:widowControl w:val="0"/>
        <w:numPr>
          <w:ilvl w:val="0"/>
          <w:numId w:val="5"/>
        </w:numPr>
        <w:autoSpaceDE w:val="0"/>
        <w:autoSpaceDN w:val="0"/>
        <w:ind w:left="567"/>
        <w:rPr>
          <w:szCs w:val="22"/>
          <w:lang w:val="pt-PT"/>
        </w:rPr>
      </w:pPr>
      <w:proofErr w:type="spellStart"/>
      <w:r>
        <w:rPr>
          <w:rFonts w:eastAsia="TimesNewRoman"/>
          <w:szCs w:val="22"/>
          <w:lang w:eastAsia="lt-LT"/>
        </w:rPr>
        <w:t>monoterapijai</w:t>
      </w:r>
      <w:proofErr w:type="spellEnd"/>
      <w:r>
        <w:rPr>
          <w:rFonts w:eastAsia="TimesNewRoman"/>
          <w:szCs w:val="22"/>
          <w:lang w:eastAsia="lt-LT"/>
        </w:rPr>
        <w:t xml:space="preserve">, kai </w:t>
      </w:r>
      <w:proofErr w:type="spellStart"/>
      <w:r>
        <w:rPr>
          <w:rFonts w:eastAsia="TimesNewRoman"/>
          <w:szCs w:val="22"/>
          <w:lang w:eastAsia="lt-LT"/>
        </w:rPr>
        <w:t>metforminas</w:t>
      </w:r>
      <w:proofErr w:type="spellEnd"/>
      <w:r>
        <w:rPr>
          <w:rFonts w:eastAsia="TimesNewRoman"/>
          <w:szCs w:val="22"/>
          <w:lang w:eastAsia="lt-LT"/>
        </w:rPr>
        <w:t xml:space="preserve"> laikomas netinkamu dėl netoleravimo;</w:t>
      </w:r>
    </w:p>
    <w:p w14:paraId="4D9119E2" w14:textId="77777777" w:rsidR="00E96E12" w:rsidRDefault="00E97765">
      <w:pPr>
        <w:widowControl w:val="0"/>
        <w:numPr>
          <w:ilvl w:val="0"/>
          <w:numId w:val="5"/>
        </w:numPr>
        <w:autoSpaceDE w:val="0"/>
        <w:autoSpaceDN w:val="0"/>
        <w:ind w:left="567"/>
        <w:rPr>
          <w:szCs w:val="22"/>
          <w:lang w:val="pt-PT"/>
        </w:rPr>
      </w:pPr>
      <w:r>
        <w:rPr>
          <w:rFonts w:eastAsia="TimesNewRoman"/>
          <w:szCs w:val="22"/>
          <w:lang w:eastAsia="lt-LT"/>
        </w:rPr>
        <w:t>kartu su kitais vaistiniais preparatais, skirtais 2 tipo cukriniam diabetui gydyti.</w:t>
      </w:r>
    </w:p>
    <w:p w14:paraId="529ADC26" w14:textId="77777777" w:rsidR="00E96E12" w:rsidRDefault="00E96E12">
      <w:pPr>
        <w:autoSpaceDE w:val="0"/>
        <w:autoSpaceDN w:val="0"/>
        <w:adjustRightInd w:val="0"/>
        <w:rPr>
          <w:rFonts w:eastAsia="TimesNewRoman"/>
          <w:szCs w:val="22"/>
          <w:lang w:eastAsia="lt-LT"/>
        </w:rPr>
      </w:pPr>
    </w:p>
    <w:p w14:paraId="19FC90F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Sudėtinio gydymo tyrimų duomenis, poveikį </w:t>
      </w:r>
      <w:proofErr w:type="spellStart"/>
      <w:r>
        <w:rPr>
          <w:rFonts w:eastAsia="TimesNewRoman"/>
          <w:szCs w:val="22"/>
          <w:lang w:eastAsia="lt-LT"/>
        </w:rPr>
        <w:t>glikemijos</w:t>
      </w:r>
      <w:proofErr w:type="spellEnd"/>
      <w:r>
        <w:rPr>
          <w:rFonts w:eastAsia="TimesNewRoman"/>
          <w:szCs w:val="22"/>
          <w:lang w:eastAsia="lt-LT"/>
        </w:rPr>
        <w:t xml:space="preserve"> sureguliavimui, kardiovaskulinėms ir inkstų komplikacijoms bei tirtas populiacijas žr. 4.4, 4.5 ir 5.1 skyriuose.</w:t>
      </w:r>
    </w:p>
    <w:p w14:paraId="09525AE8" w14:textId="77777777" w:rsidR="00E96E12" w:rsidRDefault="00E96E12">
      <w:pPr>
        <w:autoSpaceDE w:val="0"/>
        <w:autoSpaceDN w:val="0"/>
        <w:adjustRightInd w:val="0"/>
        <w:rPr>
          <w:rFonts w:eastAsia="TimesNewRoman"/>
          <w:szCs w:val="22"/>
          <w:lang w:eastAsia="lt-LT"/>
        </w:rPr>
      </w:pPr>
    </w:p>
    <w:p w14:paraId="37761D78"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Širdies nepakankamumas</w:t>
      </w:r>
    </w:p>
    <w:p w14:paraId="49555E5C" w14:textId="77777777" w:rsidR="00E96E12" w:rsidRDefault="00E96E12">
      <w:pPr>
        <w:autoSpaceDE w:val="0"/>
        <w:autoSpaceDN w:val="0"/>
        <w:adjustRightInd w:val="0"/>
        <w:rPr>
          <w:rFonts w:eastAsia="TimesNewRoman"/>
          <w:szCs w:val="22"/>
          <w:lang w:eastAsia="lt-LT"/>
        </w:rPr>
      </w:pPr>
    </w:p>
    <w:p w14:paraId="6B11BA20" w14:textId="77777777" w:rsidR="00E96E12" w:rsidRDefault="00E97765">
      <w:pPr>
        <w:autoSpaceDE w:val="0"/>
        <w:autoSpaceDN w:val="0"/>
        <w:adjustRightInd w:val="0"/>
        <w:rPr>
          <w:rFonts w:eastAsia="TimesNewRoman"/>
          <w:szCs w:val="22"/>
          <w:lang w:eastAsia="lt-LT"/>
        </w:rPr>
      </w:pPr>
      <w:proofErr w:type="spellStart"/>
      <w:r>
        <w:rPr>
          <w:rFonts w:eastAsia="TimesNewRoman"/>
          <w:szCs w:val="22"/>
          <w:lang w:eastAsia="lt-LT"/>
        </w:rPr>
        <w:t>Dagrafors</w:t>
      </w:r>
      <w:proofErr w:type="spellEnd"/>
      <w:r>
        <w:rPr>
          <w:rFonts w:eastAsia="TimesNewRoman"/>
          <w:szCs w:val="22"/>
          <w:lang w:eastAsia="lt-LT"/>
        </w:rPr>
        <w:t xml:space="preserve"> skirtas suaugusiųjų, simptominiam lėtiniam širdies nepakankamumui gydyti.</w:t>
      </w:r>
    </w:p>
    <w:p w14:paraId="221E3B23" w14:textId="77777777" w:rsidR="00E96E12" w:rsidRDefault="00E96E12">
      <w:pPr>
        <w:autoSpaceDE w:val="0"/>
        <w:autoSpaceDN w:val="0"/>
        <w:adjustRightInd w:val="0"/>
        <w:rPr>
          <w:rFonts w:eastAsia="TimesNewRoman"/>
          <w:szCs w:val="22"/>
          <w:lang w:eastAsia="lt-LT"/>
        </w:rPr>
      </w:pPr>
    </w:p>
    <w:p w14:paraId="7CCF7B90"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Lėtinė inkstų liga</w:t>
      </w:r>
    </w:p>
    <w:p w14:paraId="3EC438F3" w14:textId="77777777" w:rsidR="00E96E12" w:rsidRDefault="00E97765">
      <w:pPr>
        <w:ind w:left="567" w:hanging="567"/>
        <w:rPr>
          <w:rFonts w:eastAsia="TimesNewRoman"/>
          <w:szCs w:val="22"/>
          <w:lang w:eastAsia="lt-LT"/>
        </w:rPr>
      </w:pPr>
      <w:proofErr w:type="spellStart"/>
      <w:r>
        <w:rPr>
          <w:rFonts w:eastAsia="TimesNewRoman"/>
          <w:szCs w:val="22"/>
          <w:lang w:eastAsia="lt-LT"/>
        </w:rPr>
        <w:t>Dagrafors</w:t>
      </w:r>
      <w:proofErr w:type="spellEnd"/>
      <w:r>
        <w:rPr>
          <w:rFonts w:eastAsia="TimesNewRoman"/>
          <w:szCs w:val="22"/>
          <w:lang w:eastAsia="lt-LT"/>
        </w:rPr>
        <w:t xml:space="preserve"> skirtas suaugusiųjų lėtinei inkstų ligai gydyti.</w:t>
      </w:r>
    </w:p>
    <w:p w14:paraId="08C9A303" w14:textId="77777777" w:rsidR="00E96E12" w:rsidRDefault="00E96E12">
      <w:pPr>
        <w:ind w:left="567" w:hanging="567"/>
      </w:pPr>
    </w:p>
    <w:p w14:paraId="3A7F70AC" w14:textId="77777777" w:rsidR="00E96E12" w:rsidRDefault="00E97765">
      <w:pPr>
        <w:ind w:left="567" w:hanging="567"/>
        <w:rPr>
          <w:b/>
        </w:rPr>
      </w:pPr>
      <w:r>
        <w:rPr>
          <w:b/>
        </w:rPr>
        <w:t>4.2</w:t>
      </w:r>
      <w:r>
        <w:rPr>
          <w:b/>
        </w:rPr>
        <w:tab/>
        <w:t>Dozavimas ir vartojimo metodas</w:t>
      </w:r>
    </w:p>
    <w:p w14:paraId="4612545F" w14:textId="77777777" w:rsidR="00E96E12" w:rsidRDefault="00E96E12">
      <w:pPr>
        <w:ind w:left="567" w:hanging="567"/>
        <w:rPr>
          <w:b/>
        </w:rPr>
      </w:pPr>
    </w:p>
    <w:p w14:paraId="483B8AD7" w14:textId="77777777" w:rsidR="00E96E12" w:rsidRDefault="00E97765">
      <w:pPr>
        <w:rPr>
          <w:noProof/>
          <w:szCs w:val="22"/>
          <w:u w:val="single"/>
        </w:rPr>
      </w:pPr>
      <w:r>
        <w:rPr>
          <w:noProof/>
          <w:szCs w:val="22"/>
          <w:u w:val="single"/>
        </w:rPr>
        <w:t>Dozavimas</w:t>
      </w:r>
    </w:p>
    <w:p w14:paraId="2F4A3B24" w14:textId="77777777" w:rsidR="00E96E12" w:rsidRDefault="00E96E12">
      <w:pPr>
        <w:rPr>
          <w:noProof/>
          <w:szCs w:val="22"/>
        </w:rPr>
      </w:pPr>
    </w:p>
    <w:p w14:paraId="4DCB902C"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2 tipo cukrinis diabetas</w:t>
      </w:r>
    </w:p>
    <w:p w14:paraId="1566B56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Rekomenduojama dapagliflozino dozė – 10 mg 1 kartą per parą.</w:t>
      </w:r>
    </w:p>
    <w:p w14:paraId="204962CB" w14:textId="77777777" w:rsidR="00E96E12" w:rsidRDefault="00E96E12">
      <w:pPr>
        <w:autoSpaceDE w:val="0"/>
        <w:autoSpaceDN w:val="0"/>
        <w:adjustRightInd w:val="0"/>
        <w:rPr>
          <w:rFonts w:eastAsia="TimesNewRoman"/>
          <w:szCs w:val="22"/>
          <w:lang w:eastAsia="lt-LT"/>
        </w:rPr>
      </w:pPr>
    </w:p>
    <w:p w14:paraId="3A5FD8B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Kai dapagliflozinas vartojamas kartu su insulinu arba jo sekreciją skatinančiu vaistiniu preparatu, pvz., </w:t>
      </w:r>
      <w:proofErr w:type="spellStart"/>
      <w:r>
        <w:rPr>
          <w:rFonts w:eastAsia="TimesNewRoman"/>
          <w:szCs w:val="22"/>
          <w:lang w:eastAsia="lt-LT"/>
        </w:rPr>
        <w:t>sulfonilurėjos</w:t>
      </w:r>
      <w:proofErr w:type="spellEnd"/>
      <w:r>
        <w:rPr>
          <w:rFonts w:eastAsia="TimesNewRoman"/>
          <w:szCs w:val="22"/>
          <w:lang w:eastAsia="lt-LT"/>
        </w:rPr>
        <w:t xml:space="preserve"> dariniu, galima svarstyti tikslingumą sumažinti insulino ar jo sekreciją skatinančio vaistinio preparato dozę, kad būtų mažesnis hipoglikemijos pavojus (žr. 4.5 ir 4.8 skyrius).</w:t>
      </w:r>
    </w:p>
    <w:p w14:paraId="0A08DB11" w14:textId="77777777" w:rsidR="00E96E12" w:rsidRDefault="00E96E12">
      <w:pPr>
        <w:autoSpaceDE w:val="0"/>
        <w:autoSpaceDN w:val="0"/>
        <w:adjustRightInd w:val="0"/>
        <w:rPr>
          <w:rFonts w:eastAsia="TimesNewRoman,Italic"/>
          <w:i/>
          <w:iCs/>
          <w:szCs w:val="22"/>
          <w:lang w:eastAsia="lt-LT"/>
        </w:rPr>
      </w:pPr>
    </w:p>
    <w:p w14:paraId="10C8C9B6"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Širdies nepakankamumas</w:t>
      </w:r>
    </w:p>
    <w:p w14:paraId="01EEF6E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Rekomenduojama dozė yra 10 mg dapagliflozino 1 kartą per parą.</w:t>
      </w:r>
    </w:p>
    <w:p w14:paraId="4781CC36" w14:textId="77777777" w:rsidR="00E96E12" w:rsidRDefault="00E96E12">
      <w:pPr>
        <w:autoSpaceDE w:val="0"/>
        <w:autoSpaceDN w:val="0"/>
        <w:adjustRightInd w:val="0"/>
        <w:rPr>
          <w:rFonts w:eastAsia="TimesNewRoman"/>
          <w:szCs w:val="22"/>
          <w:lang w:eastAsia="lt-LT"/>
        </w:rPr>
      </w:pPr>
    </w:p>
    <w:p w14:paraId="59840F7B"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Lėtinė inkstų liga</w:t>
      </w:r>
    </w:p>
    <w:p w14:paraId="3A52C6B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Rekomenduojama dozė yra 10 mg dapagliflozino 1 kartą per parą.</w:t>
      </w:r>
    </w:p>
    <w:p w14:paraId="149D2216" w14:textId="77777777" w:rsidR="00E96E12" w:rsidRDefault="00E96E12">
      <w:pPr>
        <w:autoSpaceDE w:val="0"/>
        <w:autoSpaceDN w:val="0"/>
        <w:adjustRightInd w:val="0"/>
        <w:rPr>
          <w:rFonts w:eastAsia="TimesNewRoman"/>
          <w:szCs w:val="22"/>
          <w:lang w:eastAsia="lt-LT"/>
        </w:rPr>
      </w:pPr>
    </w:p>
    <w:p w14:paraId="6B3158CB"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Ypatingos populiacijos</w:t>
      </w:r>
    </w:p>
    <w:p w14:paraId="5F28436E"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Sutrikusi inkstų funkcija</w:t>
      </w:r>
    </w:p>
    <w:p w14:paraId="26AFAB2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Dėl sutrikusios inkstų funkcijos dozės koreguoti nereikia.</w:t>
      </w:r>
    </w:p>
    <w:p w14:paraId="3C45C8FD" w14:textId="77777777" w:rsidR="00E96E12" w:rsidRDefault="00E96E12">
      <w:pPr>
        <w:autoSpaceDE w:val="0"/>
        <w:autoSpaceDN w:val="0"/>
        <w:adjustRightInd w:val="0"/>
        <w:rPr>
          <w:rFonts w:eastAsia="TimesNewRoman"/>
          <w:szCs w:val="22"/>
          <w:lang w:eastAsia="lt-LT"/>
        </w:rPr>
      </w:pPr>
    </w:p>
    <w:p w14:paraId="5C3C793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Jei GFG &lt; 25 ml/min., gydymo dapagliflozinu pradėti nerekomenduojama, nes tokių pacientų gydymo patirties yra nedaug.</w:t>
      </w:r>
    </w:p>
    <w:p w14:paraId="1703DF25" w14:textId="77777777" w:rsidR="00E96E12" w:rsidRDefault="00E96E12">
      <w:pPr>
        <w:autoSpaceDE w:val="0"/>
        <w:autoSpaceDN w:val="0"/>
        <w:adjustRightInd w:val="0"/>
        <w:rPr>
          <w:rFonts w:eastAsia="TimesNewRoman"/>
          <w:szCs w:val="22"/>
          <w:lang w:eastAsia="lt-LT"/>
        </w:rPr>
      </w:pPr>
    </w:p>
    <w:p w14:paraId="0A945AF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Pacientams, sergantiems 2 tipo cukriniu diabetu, </w:t>
      </w:r>
      <w:proofErr w:type="spellStart"/>
      <w:r>
        <w:rPr>
          <w:rFonts w:eastAsia="TimesNewRoman"/>
          <w:szCs w:val="22"/>
          <w:lang w:eastAsia="lt-LT"/>
        </w:rPr>
        <w:t>glikemiją</w:t>
      </w:r>
      <w:proofErr w:type="spellEnd"/>
      <w:r>
        <w:rPr>
          <w:rFonts w:eastAsia="TimesNewRoman"/>
          <w:szCs w:val="22"/>
          <w:lang w:eastAsia="lt-LT"/>
        </w:rPr>
        <w:t xml:space="preserve"> mažinantis dapagliflozino poveikis būna mažesnis, kai </w:t>
      </w:r>
      <w:proofErr w:type="spellStart"/>
      <w:r>
        <w:rPr>
          <w:rFonts w:eastAsia="TimesNewRoman"/>
          <w:szCs w:val="22"/>
          <w:lang w:eastAsia="lt-LT"/>
        </w:rPr>
        <w:t>glomerulų</w:t>
      </w:r>
      <w:proofErr w:type="spellEnd"/>
      <w:r>
        <w:rPr>
          <w:rFonts w:eastAsia="TimesNewRoman"/>
          <w:szCs w:val="22"/>
          <w:lang w:eastAsia="lt-LT"/>
        </w:rPr>
        <w:t xml:space="preserve"> filtracijos greitis (GFG) &lt; 45 ml/min.; kai inkstų funkcija sunkiai sutrikusi, šis vaistinis preparatas turėtų būti neveiksmingas. 2 tipo cukriniu diabetu sergančio paciento GFG pasiekus &lt; 45 ml/min., jei </w:t>
      </w:r>
      <w:proofErr w:type="spellStart"/>
      <w:r>
        <w:rPr>
          <w:rFonts w:eastAsia="TimesNewRoman"/>
          <w:szCs w:val="22"/>
          <w:lang w:eastAsia="lt-LT"/>
        </w:rPr>
        <w:t>glikemijos</w:t>
      </w:r>
      <w:proofErr w:type="spellEnd"/>
      <w:r>
        <w:rPr>
          <w:rFonts w:eastAsia="TimesNewRoman"/>
          <w:szCs w:val="22"/>
          <w:lang w:eastAsia="lt-LT"/>
        </w:rPr>
        <w:t xml:space="preserve"> kontrolė nepakankama, būtina įvertinti papildomo </w:t>
      </w:r>
      <w:proofErr w:type="spellStart"/>
      <w:r>
        <w:rPr>
          <w:rFonts w:eastAsia="TimesNewRoman"/>
          <w:szCs w:val="22"/>
          <w:lang w:eastAsia="lt-LT"/>
        </w:rPr>
        <w:t>glikemiją</w:t>
      </w:r>
      <w:proofErr w:type="spellEnd"/>
      <w:r>
        <w:rPr>
          <w:rFonts w:eastAsia="TimesNewRoman"/>
          <w:szCs w:val="22"/>
          <w:lang w:eastAsia="lt-LT"/>
        </w:rPr>
        <w:t xml:space="preserve"> mažinančio vaistinio preparato poreikį (žr. 4.4, 4.8, 5.1 ir 5.2 skyrius).</w:t>
      </w:r>
    </w:p>
    <w:p w14:paraId="7871BAD8" w14:textId="77777777" w:rsidR="00E96E12" w:rsidRDefault="00E96E12">
      <w:pPr>
        <w:autoSpaceDE w:val="0"/>
        <w:autoSpaceDN w:val="0"/>
        <w:adjustRightInd w:val="0"/>
        <w:rPr>
          <w:rFonts w:eastAsia="TimesNewRoman,Italic"/>
          <w:i/>
          <w:iCs/>
          <w:szCs w:val="22"/>
          <w:lang w:eastAsia="lt-LT"/>
        </w:rPr>
      </w:pPr>
    </w:p>
    <w:p w14:paraId="3E19F4DE"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Sutrikusi kepenų funkcija</w:t>
      </w:r>
    </w:p>
    <w:p w14:paraId="04D3C0F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Jeigu kepenų funkcija lengvai arba vidutiniškai sutrikusi, dozės koreguoti nereikia. Pacientams, kurių kepenų funkcija sutrikusi sunkiai, rekomenduojama pradinė dozė yra 5 mg. Jeigu šią dozę pacientas gerai toleruoja, ją galima padidinti iki 10 mg (žr. 4.4 ir 5.2 skyrius).</w:t>
      </w:r>
    </w:p>
    <w:p w14:paraId="4A9F89AB" w14:textId="77777777" w:rsidR="00E96E12" w:rsidRDefault="00E96E12">
      <w:pPr>
        <w:autoSpaceDE w:val="0"/>
        <w:autoSpaceDN w:val="0"/>
        <w:adjustRightInd w:val="0"/>
        <w:rPr>
          <w:rFonts w:eastAsia="TimesNewRoman,Italic"/>
          <w:i/>
          <w:iCs/>
          <w:szCs w:val="22"/>
          <w:lang w:eastAsia="lt-LT"/>
        </w:rPr>
      </w:pPr>
    </w:p>
    <w:p w14:paraId="65714434"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Senyviems (≥65 metų) pacientams</w:t>
      </w:r>
    </w:p>
    <w:p w14:paraId="45526BF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Dėl amžiaus dozės koreguoti nerekomenduojama.</w:t>
      </w:r>
    </w:p>
    <w:p w14:paraId="06058E5F" w14:textId="77777777" w:rsidR="00E96E12" w:rsidRDefault="00E96E12">
      <w:pPr>
        <w:autoSpaceDE w:val="0"/>
        <w:autoSpaceDN w:val="0"/>
        <w:adjustRightInd w:val="0"/>
        <w:rPr>
          <w:rFonts w:eastAsia="TimesNewRoman,Italic"/>
          <w:i/>
          <w:iCs/>
          <w:szCs w:val="22"/>
          <w:lang w:eastAsia="lt-LT"/>
        </w:rPr>
      </w:pPr>
    </w:p>
    <w:p w14:paraId="1E33949A"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Vaikų populiacija</w:t>
      </w:r>
    </w:p>
    <w:p w14:paraId="3BD8935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10 metų ir vyresniems vaikams 2 tipo cukriniam diabetui gydyti dozės koreguoti nereikia (žr. 5.1 ir 5.2 skyrius). Duomenų jaunesniems kaip 10 metų vaikams nėra.</w:t>
      </w:r>
    </w:p>
    <w:p w14:paraId="7E9A323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saugumas ir veiksmingumas vaikų iki 18 metų širdies nepakankamumui ar lėtinei inkstų ligai gydyti dar neištirti. Duomenų nėra.</w:t>
      </w:r>
    </w:p>
    <w:p w14:paraId="7C849914" w14:textId="77777777" w:rsidR="00E96E12" w:rsidRDefault="00E96E12">
      <w:pPr>
        <w:autoSpaceDE w:val="0"/>
        <w:autoSpaceDN w:val="0"/>
        <w:adjustRightInd w:val="0"/>
        <w:rPr>
          <w:rFonts w:eastAsia="TimesNewRoman"/>
          <w:szCs w:val="22"/>
          <w:lang w:eastAsia="lt-LT"/>
        </w:rPr>
      </w:pPr>
    </w:p>
    <w:p w14:paraId="05F18A48"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Vartojimo metodas</w:t>
      </w:r>
    </w:p>
    <w:p w14:paraId="1E52A2EE" w14:textId="77777777" w:rsidR="00E96E12" w:rsidRDefault="00E96E12">
      <w:pPr>
        <w:autoSpaceDE w:val="0"/>
        <w:autoSpaceDN w:val="0"/>
        <w:adjustRightInd w:val="0"/>
        <w:rPr>
          <w:rFonts w:eastAsia="TimesNewRoman"/>
          <w:szCs w:val="22"/>
          <w:u w:val="single"/>
          <w:lang w:eastAsia="lt-LT"/>
        </w:rPr>
      </w:pPr>
    </w:p>
    <w:p w14:paraId="634155D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Dapaglifloziną galima vartoti per burną 1 kartą per parą bet kuriuo paros metu valgant arba kitu laiku.</w:t>
      </w:r>
    </w:p>
    <w:p w14:paraId="5C86B042" w14:textId="77777777" w:rsidR="00E96E12" w:rsidRDefault="00E97765">
      <w:r>
        <w:rPr>
          <w:rFonts w:eastAsia="TimesNewRoman"/>
          <w:szCs w:val="22"/>
          <w:lang w:eastAsia="lt-LT"/>
        </w:rPr>
        <w:t>Tabletes reikia nuryti užgeriant puse stiklinės vandens. 10 mg tabletę galima padalyti į lygias dozes arba kad būtų lengviau nuryti.</w:t>
      </w:r>
    </w:p>
    <w:p w14:paraId="3624B2B0" w14:textId="77777777" w:rsidR="00E96E12" w:rsidRDefault="00E96E12">
      <w:pPr>
        <w:ind w:left="567" w:hanging="567"/>
      </w:pPr>
    </w:p>
    <w:p w14:paraId="38E7D431" w14:textId="77777777" w:rsidR="00E96E12" w:rsidRDefault="00E97765">
      <w:pPr>
        <w:ind w:left="567" w:hanging="567"/>
        <w:rPr>
          <w:b/>
        </w:rPr>
      </w:pPr>
      <w:r>
        <w:rPr>
          <w:b/>
        </w:rPr>
        <w:t>4.3</w:t>
      </w:r>
      <w:r>
        <w:rPr>
          <w:b/>
        </w:rPr>
        <w:tab/>
        <w:t>Kontraindikacijos</w:t>
      </w:r>
    </w:p>
    <w:p w14:paraId="30C435DE" w14:textId="77777777" w:rsidR="00E96E12" w:rsidRDefault="00E96E12">
      <w:pPr>
        <w:ind w:left="567" w:hanging="567"/>
      </w:pPr>
    </w:p>
    <w:p w14:paraId="725345DC" w14:textId="77777777" w:rsidR="00E96E12" w:rsidRDefault="00E97765">
      <w:r>
        <w:t>Padidėjęs jautrumas veikliajai arba bet kuriai 6.1 skyriuje nurodytai pagalbinei medžiagai.</w:t>
      </w:r>
    </w:p>
    <w:p w14:paraId="7FABFC4F" w14:textId="77777777" w:rsidR="00E96E12" w:rsidRDefault="00E96E12">
      <w:pPr>
        <w:ind w:left="567" w:hanging="567"/>
      </w:pPr>
    </w:p>
    <w:p w14:paraId="03FB586A" w14:textId="77777777" w:rsidR="00E96E12" w:rsidRDefault="00E97765">
      <w:pPr>
        <w:ind w:left="567" w:hanging="567"/>
        <w:rPr>
          <w:b/>
        </w:rPr>
      </w:pPr>
      <w:r>
        <w:rPr>
          <w:b/>
        </w:rPr>
        <w:t>4.4</w:t>
      </w:r>
      <w:r>
        <w:rPr>
          <w:b/>
        </w:rPr>
        <w:tab/>
        <w:t>Specialūs įspėjimai ir atsargumo priemonės</w:t>
      </w:r>
    </w:p>
    <w:p w14:paraId="5C7B9BC5" w14:textId="77777777" w:rsidR="00E96E12" w:rsidRDefault="00E96E12">
      <w:pPr>
        <w:ind w:left="567" w:hanging="567"/>
        <w:rPr>
          <w:b/>
        </w:rPr>
      </w:pPr>
    </w:p>
    <w:p w14:paraId="0D13B66D"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Bendrieji</w:t>
      </w:r>
    </w:p>
    <w:p w14:paraId="484A2F9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negalima vartoti pacientams, sergantiems 1 tipo cukriniu diabetu (žr. 4.4 skyrių „Diabetinė </w:t>
      </w:r>
      <w:proofErr w:type="spellStart"/>
      <w:r>
        <w:rPr>
          <w:rFonts w:eastAsia="TimesNewRoman"/>
          <w:szCs w:val="22"/>
          <w:lang w:eastAsia="lt-LT"/>
        </w:rPr>
        <w:t>ketoacidozė</w:t>
      </w:r>
      <w:proofErr w:type="spellEnd"/>
      <w:r>
        <w:rPr>
          <w:rFonts w:eastAsia="TimesNewRoman"/>
          <w:szCs w:val="22"/>
          <w:lang w:eastAsia="lt-LT"/>
        </w:rPr>
        <w:t>“).</w:t>
      </w:r>
    </w:p>
    <w:p w14:paraId="611186D4" w14:textId="77777777" w:rsidR="00E96E12" w:rsidRDefault="00E96E12">
      <w:pPr>
        <w:autoSpaceDE w:val="0"/>
        <w:autoSpaceDN w:val="0"/>
        <w:adjustRightInd w:val="0"/>
        <w:rPr>
          <w:rFonts w:eastAsia="TimesNewRoman"/>
          <w:szCs w:val="22"/>
          <w:lang w:eastAsia="lt-LT"/>
        </w:rPr>
      </w:pPr>
    </w:p>
    <w:p w14:paraId="786E6953"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Sutrikusi inkstų funkcija</w:t>
      </w:r>
    </w:p>
    <w:p w14:paraId="3ECB8E16" w14:textId="77777777" w:rsidR="00E96E12" w:rsidRDefault="00E96E12">
      <w:pPr>
        <w:autoSpaceDE w:val="0"/>
        <w:autoSpaceDN w:val="0"/>
        <w:adjustRightInd w:val="0"/>
        <w:rPr>
          <w:rFonts w:eastAsia="TimesNewRoman"/>
          <w:szCs w:val="22"/>
          <w:u w:val="single"/>
          <w:lang w:eastAsia="lt-LT"/>
        </w:rPr>
      </w:pPr>
    </w:p>
    <w:p w14:paraId="2216C26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Jei GFG &lt; 25 ml/min., gydymo dapagliflozinu pradėti nerekomenduojama, nes tokių pacientų gydymo patirties yra nedaug.</w:t>
      </w:r>
    </w:p>
    <w:p w14:paraId="5E2DA0AB" w14:textId="77777777" w:rsidR="00E96E12" w:rsidRDefault="00E96E12">
      <w:pPr>
        <w:autoSpaceDE w:val="0"/>
        <w:autoSpaceDN w:val="0"/>
        <w:adjustRightInd w:val="0"/>
        <w:rPr>
          <w:rFonts w:eastAsia="TimesNewRoman"/>
          <w:szCs w:val="22"/>
          <w:lang w:eastAsia="lt-LT"/>
        </w:rPr>
      </w:pPr>
    </w:p>
    <w:p w14:paraId="1779AE7E" w14:textId="77777777" w:rsidR="00E96E12" w:rsidRDefault="00E97765">
      <w:pPr>
        <w:autoSpaceDE w:val="0"/>
        <w:autoSpaceDN w:val="0"/>
        <w:adjustRightInd w:val="0"/>
        <w:rPr>
          <w:rFonts w:eastAsia="TimesNewRoman"/>
          <w:szCs w:val="22"/>
          <w:lang w:eastAsia="lt-LT"/>
        </w:rPr>
      </w:pPr>
      <w:proofErr w:type="spellStart"/>
      <w:r>
        <w:rPr>
          <w:rFonts w:eastAsia="TimesNewRoman"/>
          <w:szCs w:val="22"/>
          <w:lang w:eastAsia="lt-LT"/>
        </w:rPr>
        <w:t>Glikemijos</w:t>
      </w:r>
      <w:proofErr w:type="spellEnd"/>
      <w:r>
        <w:rPr>
          <w:rFonts w:eastAsia="TimesNewRoman"/>
          <w:szCs w:val="22"/>
          <w:lang w:eastAsia="lt-LT"/>
        </w:rPr>
        <w:t xml:space="preserve"> mažinamasis dapagliflozino veiksmingumas priklauso nuo inkstų funkcijos – jis būna mažesnis, kai GFG &lt; 45 ml/min.; kai inkstų funkcija sutrikusi sunkiai, šis vaistinis preparatas turėtų būti neveiksmingas (žr. 4.2, 5.1 ir 5.2 skyrius).</w:t>
      </w:r>
    </w:p>
    <w:p w14:paraId="3227E09B" w14:textId="77777777" w:rsidR="00E96E12" w:rsidRDefault="00E96E12">
      <w:pPr>
        <w:autoSpaceDE w:val="0"/>
        <w:autoSpaceDN w:val="0"/>
        <w:adjustRightInd w:val="0"/>
        <w:rPr>
          <w:rFonts w:eastAsia="TimesNewRoman"/>
          <w:szCs w:val="22"/>
          <w:lang w:eastAsia="lt-LT"/>
        </w:rPr>
      </w:pPr>
    </w:p>
    <w:p w14:paraId="3EE0631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Vieno 2 tipo cukrinio diabeto tyrimo metu pacientams, kurių inkstų funkcija vidutiniškai sutrikusi (GFG &lt; 60 ml/min.), vartojant dapaglifloziną nepageidaujamų reakcijų (padidėjusi kreatinino, fosforo ir </w:t>
      </w:r>
      <w:proofErr w:type="spellStart"/>
      <w:r>
        <w:rPr>
          <w:rFonts w:eastAsia="TimesNewRoman"/>
          <w:szCs w:val="22"/>
          <w:lang w:eastAsia="lt-LT"/>
        </w:rPr>
        <w:t>parathormono</w:t>
      </w:r>
      <w:proofErr w:type="spellEnd"/>
      <w:r>
        <w:rPr>
          <w:rFonts w:eastAsia="TimesNewRoman"/>
          <w:szCs w:val="22"/>
          <w:lang w:eastAsia="lt-LT"/>
        </w:rPr>
        <w:t xml:space="preserve"> koncentracija, </w:t>
      </w:r>
      <w:proofErr w:type="spellStart"/>
      <w:r>
        <w:rPr>
          <w:rFonts w:eastAsia="TimesNewRoman"/>
          <w:szCs w:val="22"/>
          <w:lang w:eastAsia="lt-LT"/>
        </w:rPr>
        <w:t>hipotenzija</w:t>
      </w:r>
      <w:proofErr w:type="spellEnd"/>
      <w:r>
        <w:rPr>
          <w:rFonts w:eastAsia="TimesNewRoman"/>
          <w:szCs w:val="22"/>
          <w:lang w:eastAsia="lt-LT"/>
        </w:rPr>
        <w:t>) pasireiškė dažniau negu vartojant placebą.</w:t>
      </w:r>
    </w:p>
    <w:p w14:paraId="414544F7" w14:textId="77777777" w:rsidR="00E96E12" w:rsidRDefault="00E96E12">
      <w:pPr>
        <w:autoSpaceDE w:val="0"/>
        <w:autoSpaceDN w:val="0"/>
        <w:adjustRightInd w:val="0"/>
        <w:rPr>
          <w:rFonts w:eastAsia="TimesNewRoman"/>
          <w:szCs w:val="22"/>
          <w:lang w:eastAsia="lt-LT"/>
        </w:rPr>
      </w:pPr>
    </w:p>
    <w:p w14:paraId="19737DA4"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Sutrikusi kepenų funkcija</w:t>
      </w:r>
    </w:p>
    <w:p w14:paraId="7EA7C21C" w14:textId="77777777" w:rsidR="00E96E12" w:rsidRDefault="00E96E12">
      <w:pPr>
        <w:autoSpaceDE w:val="0"/>
        <w:autoSpaceDN w:val="0"/>
        <w:adjustRightInd w:val="0"/>
        <w:rPr>
          <w:rFonts w:eastAsia="TimesNewRoman"/>
          <w:szCs w:val="22"/>
          <w:lang w:eastAsia="lt-LT"/>
        </w:rPr>
      </w:pPr>
    </w:p>
    <w:p w14:paraId="04CE9B9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Klinikinių tyrimų su pacientais, kurių kepenų funkcija sutrikusi, patirties yra nedaug. Kai kepenų funkcija sunkiai sutrikusi, dapagliflozino ekspozicija būna didesnė (žr. 4.2 ir 5.2 skyrius).</w:t>
      </w:r>
    </w:p>
    <w:p w14:paraId="0533CD98" w14:textId="77777777" w:rsidR="00E96E12" w:rsidRDefault="00E96E12">
      <w:pPr>
        <w:autoSpaceDE w:val="0"/>
        <w:autoSpaceDN w:val="0"/>
        <w:adjustRightInd w:val="0"/>
        <w:rPr>
          <w:rFonts w:eastAsia="TimesNewRoman"/>
          <w:szCs w:val="22"/>
          <w:lang w:eastAsia="lt-LT"/>
        </w:rPr>
      </w:pPr>
    </w:p>
    <w:p w14:paraId="2F62FC9D"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 xml:space="preserve">Vartojimas esant kraujo tūrio sumažėjimo ir (arba) </w:t>
      </w:r>
      <w:proofErr w:type="spellStart"/>
      <w:r>
        <w:rPr>
          <w:rFonts w:eastAsia="TimesNewRoman"/>
          <w:szCs w:val="22"/>
          <w:u w:val="single"/>
          <w:lang w:eastAsia="lt-LT"/>
        </w:rPr>
        <w:t>hipotenzijos</w:t>
      </w:r>
      <w:proofErr w:type="spellEnd"/>
      <w:r>
        <w:rPr>
          <w:rFonts w:eastAsia="TimesNewRoman"/>
          <w:szCs w:val="22"/>
          <w:u w:val="single"/>
          <w:lang w:eastAsia="lt-LT"/>
        </w:rPr>
        <w:t xml:space="preserve"> pavojui</w:t>
      </w:r>
    </w:p>
    <w:p w14:paraId="0381D5F3" w14:textId="77777777" w:rsidR="00E96E12" w:rsidRDefault="00E96E12">
      <w:pPr>
        <w:autoSpaceDE w:val="0"/>
        <w:autoSpaceDN w:val="0"/>
        <w:adjustRightInd w:val="0"/>
        <w:rPr>
          <w:rFonts w:eastAsia="TimesNewRoman"/>
          <w:szCs w:val="22"/>
          <w:lang w:eastAsia="lt-LT"/>
        </w:rPr>
      </w:pPr>
    </w:p>
    <w:p w14:paraId="26F9869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Dėl savo veikimo mechanizmo dapagliflozinas didina diurezę, todėl gali sukelti nedidelį kraujospūdžio sumažėjimą, nustatytą klinikinių tyrimų metu (žr. 5.1 skyrių). Šis poveikis gali būti ryškesnis pacientams, kurių kraujyje gliukozės koncentracija yra labai didelė.</w:t>
      </w:r>
    </w:p>
    <w:p w14:paraId="4DAE5635" w14:textId="77777777" w:rsidR="00E96E12" w:rsidRDefault="00E96E12">
      <w:pPr>
        <w:autoSpaceDE w:val="0"/>
        <w:autoSpaceDN w:val="0"/>
        <w:adjustRightInd w:val="0"/>
        <w:rPr>
          <w:rFonts w:eastAsia="TimesNewRoman"/>
          <w:szCs w:val="22"/>
          <w:lang w:eastAsia="lt-LT"/>
        </w:rPr>
      </w:pPr>
    </w:p>
    <w:p w14:paraId="342DFDE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Jeigu dapagliflozino sukeltas kraujospūdžio sumažėjimas gali būti pavojingas (pvz., jeigu </w:t>
      </w:r>
      <w:proofErr w:type="spellStart"/>
      <w:r>
        <w:rPr>
          <w:rFonts w:eastAsia="TimesNewRoman"/>
          <w:szCs w:val="22"/>
          <w:lang w:eastAsia="lt-LT"/>
        </w:rPr>
        <w:t>antihipertenzinių</w:t>
      </w:r>
      <w:proofErr w:type="spellEnd"/>
      <w:r>
        <w:rPr>
          <w:rFonts w:eastAsia="TimesNewRoman"/>
          <w:szCs w:val="22"/>
          <w:lang w:eastAsia="lt-LT"/>
        </w:rPr>
        <w:t xml:space="preserve"> vaistinių preparatų vartojančiam pacientui yra buvusi </w:t>
      </w:r>
      <w:proofErr w:type="spellStart"/>
      <w:r>
        <w:rPr>
          <w:rFonts w:eastAsia="TimesNewRoman"/>
          <w:szCs w:val="22"/>
          <w:lang w:eastAsia="lt-LT"/>
        </w:rPr>
        <w:t>hipotenzija</w:t>
      </w:r>
      <w:proofErr w:type="spellEnd"/>
      <w:r>
        <w:rPr>
          <w:rFonts w:eastAsia="TimesNewRoman"/>
          <w:szCs w:val="22"/>
          <w:lang w:eastAsia="lt-LT"/>
        </w:rPr>
        <w:t xml:space="preserve"> arba pacientas senyvo amžiaus), reikia imtis atsargumo priemonių.</w:t>
      </w:r>
    </w:p>
    <w:p w14:paraId="637362A9" w14:textId="77777777" w:rsidR="00E96E12" w:rsidRDefault="00E96E12">
      <w:pPr>
        <w:autoSpaceDE w:val="0"/>
        <w:autoSpaceDN w:val="0"/>
        <w:adjustRightInd w:val="0"/>
        <w:rPr>
          <w:rFonts w:eastAsia="TimesNewRoman"/>
          <w:szCs w:val="22"/>
          <w:lang w:eastAsia="lt-LT"/>
        </w:rPr>
      </w:pPr>
    </w:p>
    <w:p w14:paraId="5C9CC70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Jeigu pacientas serga gretutine (pvz., virškinimo trakto) liga, dėl kurios gali sumažėti kraujo tūris, tai rekomenduojama jį kruopščiai stebėti (pvz., atlikti medicininę apžiūrą, matuoti kraujospūdį, daryti laboratorinius tyrimus, įskaitant </w:t>
      </w:r>
      <w:proofErr w:type="spellStart"/>
      <w:r>
        <w:rPr>
          <w:rFonts w:eastAsia="TimesNewRoman"/>
          <w:szCs w:val="22"/>
          <w:lang w:eastAsia="lt-LT"/>
        </w:rPr>
        <w:t>hematokrito</w:t>
      </w:r>
      <w:proofErr w:type="spellEnd"/>
      <w:r>
        <w:rPr>
          <w:rFonts w:eastAsia="TimesNewRoman"/>
          <w:szCs w:val="22"/>
          <w:lang w:eastAsia="lt-LT"/>
        </w:rPr>
        <w:t xml:space="preserve"> ir elektrolitų koncentracijas). Sumažėjus skysčio tūriui rekomenduojama laikinai (kol jis bus sureguliuotas) nutraukti dapagliflozino vartojimą (žr. 4.8 skyrių).</w:t>
      </w:r>
    </w:p>
    <w:p w14:paraId="058B7ADC" w14:textId="77777777" w:rsidR="00E96E12" w:rsidRDefault="00E96E12">
      <w:pPr>
        <w:autoSpaceDE w:val="0"/>
        <w:autoSpaceDN w:val="0"/>
        <w:adjustRightInd w:val="0"/>
        <w:rPr>
          <w:rFonts w:eastAsia="TimesNewRoman"/>
          <w:szCs w:val="22"/>
          <w:lang w:eastAsia="lt-LT"/>
        </w:rPr>
      </w:pPr>
    </w:p>
    <w:p w14:paraId="52F5094F"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 xml:space="preserve">Diabetinė </w:t>
      </w:r>
      <w:proofErr w:type="spellStart"/>
      <w:r>
        <w:rPr>
          <w:rFonts w:eastAsia="TimesNewRoman"/>
          <w:szCs w:val="22"/>
          <w:u w:val="single"/>
          <w:lang w:eastAsia="lt-LT"/>
        </w:rPr>
        <w:t>ketoacidozė</w:t>
      </w:r>
      <w:proofErr w:type="spellEnd"/>
    </w:p>
    <w:p w14:paraId="1D730F2B" w14:textId="77777777" w:rsidR="00E96E12" w:rsidRDefault="00E96E12">
      <w:pPr>
        <w:autoSpaceDE w:val="0"/>
        <w:autoSpaceDN w:val="0"/>
        <w:adjustRightInd w:val="0"/>
        <w:rPr>
          <w:rFonts w:eastAsia="TimesNewRoman"/>
          <w:szCs w:val="22"/>
          <w:u w:val="single"/>
          <w:lang w:eastAsia="lt-LT"/>
        </w:rPr>
      </w:pPr>
    </w:p>
    <w:p w14:paraId="6219949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Natrio ir gliukozės vienakrypčio nešiklio Nr. 2 (angl. </w:t>
      </w:r>
      <w:proofErr w:type="spellStart"/>
      <w:r>
        <w:rPr>
          <w:rFonts w:eastAsia="TimesNewRoman,Italic"/>
          <w:i/>
          <w:iCs/>
          <w:szCs w:val="22"/>
          <w:lang w:eastAsia="lt-LT"/>
        </w:rPr>
        <w:t>sodium</w:t>
      </w:r>
      <w:proofErr w:type="spellEnd"/>
      <w:r>
        <w:rPr>
          <w:rFonts w:eastAsia="TimesNewRoman,Italic"/>
          <w:i/>
          <w:iCs/>
          <w:szCs w:val="22"/>
          <w:lang w:eastAsia="lt-LT"/>
        </w:rPr>
        <w:t xml:space="preserve"> </w:t>
      </w:r>
      <w:proofErr w:type="spellStart"/>
      <w:r>
        <w:rPr>
          <w:rFonts w:eastAsia="TimesNewRoman,Italic"/>
          <w:i/>
          <w:iCs/>
          <w:szCs w:val="22"/>
          <w:lang w:eastAsia="lt-LT"/>
        </w:rPr>
        <w:t>glucose</w:t>
      </w:r>
      <w:proofErr w:type="spellEnd"/>
      <w:r>
        <w:rPr>
          <w:rFonts w:eastAsia="TimesNewRoman,Italic"/>
          <w:i/>
          <w:iCs/>
          <w:szCs w:val="22"/>
          <w:lang w:eastAsia="lt-LT"/>
        </w:rPr>
        <w:t xml:space="preserve"> </w:t>
      </w:r>
      <w:proofErr w:type="spellStart"/>
      <w:r>
        <w:rPr>
          <w:rFonts w:eastAsia="TimesNewRoman,Italic"/>
          <w:i/>
          <w:iCs/>
          <w:szCs w:val="22"/>
          <w:lang w:eastAsia="lt-LT"/>
        </w:rPr>
        <w:t>co-transporter</w:t>
      </w:r>
      <w:proofErr w:type="spellEnd"/>
      <w:r>
        <w:rPr>
          <w:rFonts w:eastAsia="TimesNewRoman,Italic"/>
          <w:i/>
          <w:iCs/>
          <w:szCs w:val="22"/>
          <w:lang w:eastAsia="lt-LT"/>
        </w:rPr>
        <w:t xml:space="preserve"> 2</w:t>
      </w:r>
      <w:r>
        <w:rPr>
          <w:rFonts w:eastAsia="TimesNewRoman"/>
          <w:szCs w:val="22"/>
          <w:lang w:eastAsia="lt-LT"/>
        </w:rPr>
        <w:t xml:space="preserve">, SGLT2) inhibitorius, įskaitant dapaglifloziną, vartojusiems pacientams užfiksuota retų diabetinės </w:t>
      </w:r>
      <w:proofErr w:type="spellStart"/>
      <w:r>
        <w:rPr>
          <w:rFonts w:eastAsia="TimesNewRoman"/>
          <w:szCs w:val="22"/>
          <w:lang w:eastAsia="lt-LT"/>
        </w:rPr>
        <w:t>ketoacidozės</w:t>
      </w:r>
      <w:proofErr w:type="spellEnd"/>
      <w:r>
        <w:rPr>
          <w:rFonts w:eastAsia="TimesNewRoman"/>
          <w:szCs w:val="22"/>
          <w:lang w:eastAsia="lt-LT"/>
        </w:rPr>
        <w:t xml:space="preserve"> (DKA) atvejų, tarp kurių buvo sukėlusių pavojų gyvybei ir net mirtį. Kai kuriais atvejais DKA buvo netipinė, </w:t>
      </w:r>
      <w:proofErr w:type="spellStart"/>
      <w:r>
        <w:rPr>
          <w:rFonts w:eastAsia="TimesNewRoman"/>
          <w:szCs w:val="22"/>
          <w:lang w:eastAsia="lt-LT"/>
        </w:rPr>
        <w:t>t.y</w:t>
      </w:r>
      <w:proofErr w:type="spellEnd"/>
      <w:r>
        <w:rPr>
          <w:rFonts w:eastAsia="TimesNewRoman"/>
          <w:szCs w:val="22"/>
          <w:lang w:eastAsia="lt-LT"/>
        </w:rPr>
        <w:t>. su saikingai padidėjusia (mažesne kaip 14 </w:t>
      </w:r>
      <w:proofErr w:type="spellStart"/>
      <w:r>
        <w:rPr>
          <w:rFonts w:eastAsia="TimesNewRoman"/>
          <w:szCs w:val="22"/>
          <w:lang w:eastAsia="lt-LT"/>
        </w:rPr>
        <w:t>mmol</w:t>
      </w:r>
      <w:proofErr w:type="spellEnd"/>
      <w:r>
        <w:rPr>
          <w:rFonts w:eastAsia="TimesNewRoman"/>
          <w:szCs w:val="22"/>
          <w:lang w:eastAsia="lt-LT"/>
        </w:rPr>
        <w:t>/l [250 mg/dl] gliukozės koncentracija kraujyje).</w:t>
      </w:r>
    </w:p>
    <w:p w14:paraId="0A65AED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Galimą DKA reikia įtarti pasireiškus nespecifinių simptomų, pvz., pykinimui, vėmimui, anoreksijai, pilvo skausmui, dideliam troškuliui, pasunkėjus kvėpavimui, sutrikus orientacijai, atsiradus neįprastam nuovargiui ar mieguistumui. Tuomet reikia nedelsiant ištirti, ar nėra </w:t>
      </w:r>
      <w:proofErr w:type="spellStart"/>
      <w:r>
        <w:rPr>
          <w:rFonts w:eastAsia="TimesNewRoman"/>
          <w:szCs w:val="22"/>
          <w:lang w:eastAsia="lt-LT"/>
        </w:rPr>
        <w:t>ketoacidozės</w:t>
      </w:r>
      <w:proofErr w:type="spellEnd"/>
      <w:r>
        <w:rPr>
          <w:rFonts w:eastAsia="TimesNewRoman"/>
          <w:szCs w:val="22"/>
          <w:lang w:eastAsia="lt-LT"/>
        </w:rPr>
        <w:t xml:space="preserve"> (kokia bebūtų gliukozės koncentracija kraujyje).</w:t>
      </w:r>
    </w:p>
    <w:p w14:paraId="79F0FCA3" w14:textId="77777777" w:rsidR="00E96E12" w:rsidRDefault="00E96E12">
      <w:pPr>
        <w:ind w:left="567" w:hanging="567"/>
        <w:rPr>
          <w:rFonts w:eastAsia="TimesNewRoman"/>
          <w:szCs w:val="22"/>
          <w:lang w:eastAsia="lt-LT"/>
        </w:rPr>
      </w:pPr>
    </w:p>
    <w:p w14:paraId="2D19028F" w14:textId="77777777" w:rsidR="00E96E12" w:rsidRDefault="00E97765">
      <w:pPr>
        <w:ind w:left="567" w:hanging="567"/>
        <w:rPr>
          <w:rFonts w:eastAsia="TimesNewRoman"/>
          <w:szCs w:val="22"/>
          <w:lang w:eastAsia="lt-LT"/>
        </w:rPr>
      </w:pPr>
      <w:r>
        <w:rPr>
          <w:rFonts w:eastAsia="TimesNewRoman"/>
          <w:szCs w:val="22"/>
          <w:lang w:eastAsia="lt-LT"/>
        </w:rPr>
        <w:t>Įtarus arba nustačius DKA, reikia nedelsiant nutraukti dapagliflozino vartojimą.</w:t>
      </w:r>
    </w:p>
    <w:p w14:paraId="3383FFD7" w14:textId="77777777" w:rsidR="00E96E12" w:rsidRDefault="00E96E12">
      <w:pPr>
        <w:autoSpaceDE w:val="0"/>
        <w:autoSpaceDN w:val="0"/>
        <w:adjustRightInd w:val="0"/>
        <w:rPr>
          <w:rFonts w:eastAsia="TimesNewRoman"/>
          <w:szCs w:val="22"/>
          <w:lang w:eastAsia="lt-LT"/>
        </w:rPr>
      </w:pPr>
    </w:p>
    <w:p w14:paraId="69FAB76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Šio vaistinio preparato vartojimą reikia laikinai nutraukti hospitalizavus pacientą didelės apimties operacijai arba jam susirgus sunkia ūmine liga. Šiems pacientams rekomenduojama stebėti ketonų </w:t>
      </w:r>
      <w:r>
        <w:rPr>
          <w:rFonts w:eastAsia="TimesNewRoman"/>
          <w:szCs w:val="22"/>
          <w:lang w:eastAsia="lt-LT"/>
        </w:rPr>
        <w:lastRenderedPageBreak/>
        <w:t>kiekį. Ketonų kiekį pageidaujama nustatyti šlapime. Dapaglifloziną galima vėl vartoti tik tada, kai ketonų kiekis tampa normalus ir, kai paciento sveikatos būklė stabilizuosis.</w:t>
      </w:r>
    </w:p>
    <w:p w14:paraId="525B5551" w14:textId="77777777" w:rsidR="00E96E12" w:rsidRDefault="00E96E12">
      <w:pPr>
        <w:autoSpaceDE w:val="0"/>
        <w:autoSpaceDN w:val="0"/>
        <w:adjustRightInd w:val="0"/>
        <w:rPr>
          <w:rFonts w:eastAsia="TimesNewRoman"/>
          <w:szCs w:val="22"/>
          <w:lang w:eastAsia="lt-LT"/>
        </w:rPr>
      </w:pPr>
    </w:p>
    <w:p w14:paraId="14E4EF4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Prieš skiriant dapagliflozino reikia atsižvelgti į veiksnius paciento anamnezėje, kurie gali skatinti </w:t>
      </w:r>
      <w:proofErr w:type="spellStart"/>
      <w:r>
        <w:rPr>
          <w:rFonts w:eastAsia="TimesNewRoman"/>
          <w:szCs w:val="22"/>
          <w:lang w:eastAsia="lt-LT"/>
        </w:rPr>
        <w:t>ketoacidozę</w:t>
      </w:r>
      <w:proofErr w:type="spellEnd"/>
      <w:r>
        <w:rPr>
          <w:rFonts w:eastAsia="TimesNewRoman"/>
          <w:szCs w:val="22"/>
          <w:lang w:eastAsia="lt-LT"/>
        </w:rPr>
        <w:t>.</w:t>
      </w:r>
    </w:p>
    <w:p w14:paraId="2DBC2B05" w14:textId="77777777" w:rsidR="00E96E12" w:rsidRDefault="00E96E12">
      <w:pPr>
        <w:autoSpaceDE w:val="0"/>
        <w:autoSpaceDN w:val="0"/>
        <w:adjustRightInd w:val="0"/>
        <w:rPr>
          <w:rFonts w:eastAsia="TimesNewRoman"/>
          <w:szCs w:val="22"/>
          <w:lang w:eastAsia="lt-LT"/>
        </w:rPr>
      </w:pPr>
    </w:p>
    <w:p w14:paraId="26CB297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DKA rizika gali būti didesnė esant mažam beta ląstelių funkcijos rezervui (pvz., sergant 2 tipo diabetu su maža C peptido koncentracija, suaugusiųjų latentiniu autoimuniniu diabetu, taip pat jei anamnezėje užfiksuotas pankreatitas), dėl kokios nors priežasties ribojant maisto kiekį, pasireiškus stipriai išreikštai dehidratacijai, sumažinus insulino dozę arba padidėjus insulino poreikiui dėl ūminės ligos, operacijos ar piktnaudžiavimo alkoholiniais gėrimais. Tokie pacientai turi atsargiai vartoti SGLT2 inhibitorių.</w:t>
      </w:r>
    </w:p>
    <w:p w14:paraId="5B01D0F4" w14:textId="77777777" w:rsidR="00E96E12" w:rsidRDefault="00E96E12">
      <w:pPr>
        <w:autoSpaceDE w:val="0"/>
        <w:autoSpaceDN w:val="0"/>
        <w:adjustRightInd w:val="0"/>
        <w:rPr>
          <w:rFonts w:eastAsia="TimesNewRoman"/>
          <w:szCs w:val="22"/>
          <w:lang w:eastAsia="lt-LT"/>
        </w:rPr>
      </w:pPr>
    </w:p>
    <w:p w14:paraId="6FBA18F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Jeigu vartojant SGLT-2 inhibitorių pasireiškė DKA, tai jų vėl pradėti vartoti nerekomenduojama, nebent būtų identifikuotos ir pašalintos kitos ją sukėlusios priežastys.</w:t>
      </w:r>
    </w:p>
    <w:p w14:paraId="515CFDB8" w14:textId="77777777" w:rsidR="00E96E12" w:rsidRDefault="00E96E12">
      <w:pPr>
        <w:autoSpaceDE w:val="0"/>
        <w:autoSpaceDN w:val="0"/>
        <w:adjustRightInd w:val="0"/>
        <w:rPr>
          <w:rFonts w:eastAsia="TimesNewRoman"/>
          <w:szCs w:val="22"/>
          <w:lang w:eastAsia="lt-LT"/>
        </w:rPr>
      </w:pPr>
    </w:p>
    <w:p w14:paraId="777E600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poveikio 1 tipo cukriniu diabetu sergantiems pacientams tyrimų metu dažnai užfiksuota DKA. 1 tipo cukriniu diabetu sergantiems pacientams dapagliflozino vartoti negalima.</w:t>
      </w:r>
    </w:p>
    <w:p w14:paraId="46369A66" w14:textId="77777777" w:rsidR="00E96E12" w:rsidRDefault="00E96E12">
      <w:pPr>
        <w:autoSpaceDE w:val="0"/>
        <w:autoSpaceDN w:val="0"/>
        <w:adjustRightInd w:val="0"/>
        <w:rPr>
          <w:rFonts w:eastAsia="TimesNewRoman"/>
          <w:szCs w:val="22"/>
          <w:lang w:eastAsia="lt-LT"/>
        </w:rPr>
      </w:pPr>
    </w:p>
    <w:p w14:paraId="37CE1B30" w14:textId="77777777" w:rsidR="00E96E12" w:rsidRDefault="00E97765">
      <w:pPr>
        <w:autoSpaceDE w:val="0"/>
        <w:autoSpaceDN w:val="0"/>
        <w:adjustRightInd w:val="0"/>
        <w:rPr>
          <w:rFonts w:eastAsia="TimesNewRoman"/>
          <w:szCs w:val="22"/>
          <w:u w:val="single"/>
          <w:lang w:eastAsia="lt-LT"/>
        </w:rPr>
      </w:pPr>
      <w:proofErr w:type="spellStart"/>
      <w:r>
        <w:rPr>
          <w:rFonts w:eastAsia="TimesNewRoman"/>
          <w:szCs w:val="22"/>
          <w:u w:val="single"/>
          <w:lang w:eastAsia="lt-LT"/>
        </w:rPr>
        <w:t>Tarpvietės</w:t>
      </w:r>
      <w:proofErr w:type="spellEnd"/>
      <w:r>
        <w:rPr>
          <w:rFonts w:eastAsia="TimesNewRoman"/>
          <w:szCs w:val="22"/>
          <w:u w:val="single"/>
          <w:lang w:eastAsia="lt-LT"/>
        </w:rPr>
        <w:t xml:space="preserve"> </w:t>
      </w:r>
      <w:proofErr w:type="spellStart"/>
      <w:r>
        <w:rPr>
          <w:rFonts w:eastAsia="TimesNewRoman"/>
          <w:szCs w:val="22"/>
          <w:u w:val="single"/>
          <w:lang w:eastAsia="lt-LT"/>
        </w:rPr>
        <w:t>nekrozuojantis</w:t>
      </w:r>
      <w:proofErr w:type="spellEnd"/>
      <w:r>
        <w:rPr>
          <w:rFonts w:eastAsia="TimesNewRoman"/>
          <w:szCs w:val="22"/>
          <w:u w:val="single"/>
          <w:lang w:eastAsia="lt-LT"/>
        </w:rPr>
        <w:t xml:space="preserve"> </w:t>
      </w:r>
      <w:proofErr w:type="spellStart"/>
      <w:r>
        <w:rPr>
          <w:rFonts w:eastAsia="TimesNewRoman"/>
          <w:szCs w:val="22"/>
          <w:u w:val="single"/>
          <w:lang w:eastAsia="lt-LT"/>
        </w:rPr>
        <w:t>fascitas</w:t>
      </w:r>
      <w:proofErr w:type="spellEnd"/>
      <w:r>
        <w:rPr>
          <w:rFonts w:eastAsia="TimesNewRoman"/>
          <w:szCs w:val="22"/>
          <w:u w:val="single"/>
          <w:lang w:eastAsia="lt-LT"/>
        </w:rPr>
        <w:t xml:space="preserve"> (</w:t>
      </w:r>
      <w:proofErr w:type="spellStart"/>
      <w:r>
        <w:rPr>
          <w:rFonts w:eastAsia="TimesNewRoman,Italic"/>
          <w:i/>
          <w:iCs/>
          <w:szCs w:val="22"/>
          <w:u w:val="single"/>
          <w:lang w:eastAsia="lt-LT"/>
        </w:rPr>
        <w:t>Fournier</w:t>
      </w:r>
      <w:proofErr w:type="spellEnd"/>
      <w:r>
        <w:rPr>
          <w:rFonts w:eastAsia="TimesNewRoman,Italic"/>
          <w:i/>
          <w:iCs/>
          <w:szCs w:val="22"/>
          <w:u w:val="single"/>
          <w:lang w:eastAsia="lt-LT"/>
        </w:rPr>
        <w:t xml:space="preserve"> </w:t>
      </w:r>
      <w:r>
        <w:rPr>
          <w:rFonts w:eastAsia="TimesNewRoman"/>
          <w:szCs w:val="22"/>
          <w:u w:val="single"/>
          <w:lang w:eastAsia="lt-LT"/>
        </w:rPr>
        <w:t>gangrena)</w:t>
      </w:r>
    </w:p>
    <w:p w14:paraId="78F5DBFF" w14:textId="77777777" w:rsidR="00E96E12" w:rsidRDefault="00E96E12">
      <w:pPr>
        <w:autoSpaceDE w:val="0"/>
        <w:autoSpaceDN w:val="0"/>
        <w:adjustRightInd w:val="0"/>
        <w:rPr>
          <w:rFonts w:eastAsia="TimesNewRoman"/>
          <w:szCs w:val="22"/>
          <w:lang w:eastAsia="lt-LT"/>
        </w:rPr>
      </w:pPr>
    </w:p>
    <w:p w14:paraId="0B05C47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Pateikus į rinką SGLT2 inhibitorių, gauta pranešimų apie </w:t>
      </w:r>
      <w:proofErr w:type="spellStart"/>
      <w:r>
        <w:rPr>
          <w:rFonts w:eastAsia="TimesNewRoman"/>
          <w:szCs w:val="22"/>
          <w:lang w:eastAsia="lt-LT"/>
        </w:rPr>
        <w:t>tarpvietės</w:t>
      </w:r>
      <w:proofErr w:type="spellEnd"/>
      <w:r>
        <w:rPr>
          <w:rFonts w:eastAsia="TimesNewRoman"/>
          <w:szCs w:val="22"/>
          <w:lang w:eastAsia="lt-LT"/>
        </w:rPr>
        <w:t xml:space="preserve"> </w:t>
      </w:r>
      <w:proofErr w:type="spellStart"/>
      <w:r>
        <w:rPr>
          <w:rFonts w:eastAsia="TimesNewRoman"/>
          <w:szCs w:val="22"/>
          <w:lang w:eastAsia="lt-LT"/>
        </w:rPr>
        <w:t>nekrozuojančio</w:t>
      </w:r>
      <w:proofErr w:type="spellEnd"/>
      <w:r>
        <w:rPr>
          <w:rFonts w:eastAsia="TimesNewRoman"/>
          <w:szCs w:val="22"/>
          <w:lang w:eastAsia="lt-LT"/>
        </w:rPr>
        <w:t xml:space="preserve"> </w:t>
      </w:r>
      <w:proofErr w:type="spellStart"/>
      <w:r>
        <w:rPr>
          <w:rFonts w:eastAsia="TimesNewRoman"/>
          <w:szCs w:val="22"/>
          <w:lang w:eastAsia="lt-LT"/>
        </w:rPr>
        <w:t>fascito</w:t>
      </w:r>
      <w:proofErr w:type="spellEnd"/>
      <w:r>
        <w:rPr>
          <w:rFonts w:eastAsia="TimesNewRoman"/>
          <w:szCs w:val="22"/>
          <w:lang w:eastAsia="lt-LT"/>
        </w:rPr>
        <w:t xml:space="preserve"> (dar vadinamo </w:t>
      </w:r>
      <w:proofErr w:type="spellStart"/>
      <w:r>
        <w:rPr>
          <w:rFonts w:eastAsia="TimesNewRoman,Italic"/>
          <w:i/>
          <w:iCs/>
          <w:szCs w:val="22"/>
          <w:lang w:eastAsia="lt-LT"/>
        </w:rPr>
        <w:t>Fournier</w:t>
      </w:r>
      <w:proofErr w:type="spellEnd"/>
      <w:r>
        <w:rPr>
          <w:rFonts w:eastAsia="TimesNewRoman,Italic"/>
          <w:i/>
          <w:iCs/>
          <w:szCs w:val="22"/>
          <w:lang w:eastAsia="lt-LT"/>
        </w:rPr>
        <w:t xml:space="preserve"> </w:t>
      </w:r>
      <w:r>
        <w:rPr>
          <w:rFonts w:eastAsia="TimesNewRoman"/>
          <w:szCs w:val="22"/>
          <w:lang w:eastAsia="lt-LT"/>
        </w:rPr>
        <w:t>gangrena) pasireiškimą jų vartojusiems moterims ir vyrams (žr. 4.8 skyrių). Tai retas, bet sunkus ir galintis sukelti pavojų gyvybei reiškinys, dėl kurio būtina operuoti ir gydyti antibiotikais.</w:t>
      </w:r>
    </w:p>
    <w:p w14:paraId="774FDD2D" w14:textId="77777777" w:rsidR="00E96E12" w:rsidRDefault="00E96E12">
      <w:pPr>
        <w:autoSpaceDE w:val="0"/>
        <w:autoSpaceDN w:val="0"/>
        <w:adjustRightInd w:val="0"/>
        <w:rPr>
          <w:rFonts w:eastAsia="TimesNewRoman"/>
          <w:szCs w:val="22"/>
          <w:lang w:eastAsia="lt-LT"/>
        </w:rPr>
      </w:pPr>
    </w:p>
    <w:p w14:paraId="4DE50B8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Pacientus reikia įspėti, kad būtina kreiptis gydytojo pagalbos, jeigu pasireikštų simptomų derinys, kurį sudaro skausmas, skausmingumas, </w:t>
      </w:r>
      <w:proofErr w:type="spellStart"/>
      <w:r>
        <w:rPr>
          <w:rFonts w:eastAsia="TimesNewRoman"/>
          <w:szCs w:val="22"/>
          <w:lang w:eastAsia="lt-LT"/>
        </w:rPr>
        <w:t>eritema</w:t>
      </w:r>
      <w:proofErr w:type="spellEnd"/>
      <w:r>
        <w:rPr>
          <w:rFonts w:eastAsia="TimesNewRoman"/>
          <w:szCs w:val="22"/>
          <w:lang w:eastAsia="lt-LT"/>
        </w:rPr>
        <w:t xml:space="preserve"> ar patinimas lytinių organų arba </w:t>
      </w:r>
      <w:proofErr w:type="spellStart"/>
      <w:r>
        <w:rPr>
          <w:rFonts w:eastAsia="TimesNewRoman"/>
          <w:szCs w:val="22"/>
          <w:lang w:eastAsia="lt-LT"/>
        </w:rPr>
        <w:t>tarpvietės</w:t>
      </w:r>
      <w:proofErr w:type="spellEnd"/>
      <w:r>
        <w:rPr>
          <w:rFonts w:eastAsia="TimesNewRoman"/>
          <w:szCs w:val="22"/>
          <w:lang w:eastAsia="lt-LT"/>
        </w:rPr>
        <w:t xml:space="preserve"> srityje kartu su karščiavimu ar bendru negalavimu. Žinotina, kad </w:t>
      </w:r>
      <w:proofErr w:type="spellStart"/>
      <w:r>
        <w:rPr>
          <w:rFonts w:eastAsia="TimesNewRoman"/>
          <w:szCs w:val="22"/>
          <w:lang w:eastAsia="lt-LT"/>
        </w:rPr>
        <w:t>nekrozuojantis</w:t>
      </w:r>
      <w:proofErr w:type="spellEnd"/>
      <w:r>
        <w:rPr>
          <w:rFonts w:eastAsia="TimesNewRoman"/>
          <w:szCs w:val="22"/>
          <w:lang w:eastAsia="lt-LT"/>
        </w:rPr>
        <w:t xml:space="preserve"> </w:t>
      </w:r>
      <w:proofErr w:type="spellStart"/>
      <w:r>
        <w:rPr>
          <w:rFonts w:eastAsia="TimesNewRoman"/>
          <w:szCs w:val="22"/>
          <w:lang w:eastAsia="lt-LT"/>
        </w:rPr>
        <w:t>fascitas</w:t>
      </w:r>
      <w:proofErr w:type="spellEnd"/>
      <w:r>
        <w:rPr>
          <w:rFonts w:eastAsia="TimesNewRoman"/>
          <w:szCs w:val="22"/>
          <w:lang w:eastAsia="lt-LT"/>
        </w:rPr>
        <w:t xml:space="preserve"> gali pasireikšti po </w:t>
      </w:r>
      <w:proofErr w:type="spellStart"/>
      <w:r>
        <w:rPr>
          <w:rFonts w:eastAsia="TimesNewRoman"/>
          <w:szCs w:val="22"/>
          <w:lang w:eastAsia="lt-LT"/>
        </w:rPr>
        <w:t>urogenitalinės</w:t>
      </w:r>
      <w:proofErr w:type="spellEnd"/>
      <w:r>
        <w:rPr>
          <w:rFonts w:eastAsia="TimesNewRoman"/>
          <w:szCs w:val="22"/>
          <w:lang w:eastAsia="lt-LT"/>
        </w:rPr>
        <w:t xml:space="preserve"> infekcijos arba </w:t>
      </w:r>
      <w:proofErr w:type="spellStart"/>
      <w:r>
        <w:rPr>
          <w:rFonts w:eastAsia="TimesNewRoman"/>
          <w:szCs w:val="22"/>
          <w:lang w:eastAsia="lt-LT"/>
        </w:rPr>
        <w:t>tarpvietės</w:t>
      </w:r>
      <w:proofErr w:type="spellEnd"/>
      <w:r>
        <w:rPr>
          <w:rFonts w:eastAsia="TimesNewRoman"/>
          <w:szCs w:val="22"/>
          <w:lang w:eastAsia="lt-LT"/>
        </w:rPr>
        <w:t xml:space="preserve"> pūlinio. Įtarus </w:t>
      </w:r>
      <w:proofErr w:type="spellStart"/>
      <w:r>
        <w:rPr>
          <w:rFonts w:eastAsia="TimesNewRoman,Italic"/>
          <w:i/>
          <w:iCs/>
          <w:szCs w:val="22"/>
          <w:lang w:eastAsia="lt-LT"/>
        </w:rPr>
        <w:t>Fournier</w:t>
      </w:r>
      <w:proofErr w:type="spellEnd"/>
      <w:r>
        <w:rPr>
          <w:rFonts w:eastAsia="TimesNewRoman,Italic"/>
          <w:i/>
          <w:iCs/>
          <w:szCs w:val="22"/>
          <w:lang w:eastAsia="lt-LT"/>
        </w:rPr>
        <w:t xml:space="preserve"> </w:t>
      </w:r>
      <w:r>
        <w:rPr>
          <w:rFonts w:eastAsia="TimesNewRoman"/>
          <w:szCs w:val="22"/>
          <w:lang w:eastAsia="lt-LT"/>
        </w:rPr>
        <w:t>gangreną, reikia nutraukti dapagliflozino vartojimą ir nedelsiant gydyti (skirti antibiotikų ir pašalinti pažeistus audinius operacijos būdu).</w:t>
      </w:r>
    </w:p>
    <w:p w14:paraId="66F7D70A" w14:textId="77777777" w:rsidR="00E96E12" w:rsidRDefault="00E96E12">
      <w:pPr>
        <w:autoSpaceDE w:val="0"/>
        <w:autoSpaceDN w:val="0"/>
        <w:adjustRightInd w:val="0"/>
        <w:rPr>
          <w:rFonts w:eastAsia="TimesNewRoman"/>
          <w:szCs w:val="22"/>
          <w:lang w:eastAsia="lt-LT"/>
        </w:rPr>
      </w:pPr>
    </w:p>
    <w:p w14:paraId="4D017FC9"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Šlapimo takų infekcijos</w:t>
      </w:r>
    </w:p>
    <w:p w14:paraId="4D90241A" w14:textId="77777777" w:rsidR="00E96E12" w:rsidRDefault="00E96E12">
      <w:pPr>
        <w:autoSpaceDE w:val="0"/>
        <w:autoSpaceDN w:val="0"/>
        <w:adjustRightInd w:val="0"/>
        <w:rPr>
          <w:rFonts w:eastAsia="TimesNewRoman"/>
          <w:szCs w:val="22"/>
          <w:lang w:eastAsia="lt-LT"/>
        </w:rPr>
      </w:pPr>
    </w:p>
    <w:p w14:paraId="2DC5CA5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Gliukozės išskyrimas su šlapimu gali būti susijęs su padidėjusia šlapimo takų infekcijos rizika, todėl gydant </w:t>
      </w:r>
      <w:proofErr w:type="spellStart"/>
      <w:r>
        <w:rPr>
          <w:rFonts w:eastAsia="TimesNewRoman"/>
          <w:szCs w:val="22"/>
          <w:lang w:eastAsia="lt-LT"/>
        </w:rPr>
        <w:t>pielonefritą</w:t>
      </w:r>
      <w:proofErr w:type="spellEnd"/>
      <w:r>
        <w:rPr>
          <w:rFonts w:eastAsia="TimesNewRoman"/>
          <w:szCs w:val="22"/>
          <w:lang w:eastAsia="lt-LT"/>
        </w:rPr>
        <w:t xml:space="preserve"> ar </w:t>
      </w:r>
      <w:proofErr w:type="spellStart"/>
      <w:r>
        <w:rPr>
          <w:rFonts w:eastAsia="TimesNewRoman"/>
          <w:szCs w:val="22"/>
          <w:lang w:eastAsia="lt-LT"/>
        </w:rPr>
        <w:t>urosepsį</w:t>
      </w:r>
      <w:proofErr w:type="spellEnd"/>
      <w:r>
        <w:rPr>
          <w:rFonts w:eastAsia="TimesNewRoman"/>
          <w:szCs w:val="22"/>
          <w:lang w:eastAsia="lt-LT"/>
        </w:rPr>
        <w:t xml:space="preserve"> svarstytinas laikino dapagliflozino vartojimo nutraukimo tikslingumas.</w:t>
      </w:r>
    </w:p>
    <w:p w14:paraId="17F15895" w14:textId="77777777" w:rsidR="00E96E12" w:rsidRDefault="00E96E12">
      <w:pPr>
        <w:autoSpaceDE w:val="0"/>
        <w:autoSpaceDN w:val="0"/>
        <w:adjustRightInd w:val="0"/>
        <w:rPr>
          <w:rFonts w:eastAsia="TimesNewRoman"/>
          <w:szCs w:val="22"/>
          <w:lang w:eastAsia="lt-LT"/>
        </w:rPr>
      </w:pPr>
    </w:p>
    <w:p w14:paraId="20E01D34"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Senyvi (65 metų ir vyresni) žmonės</w:t>
      </w:r>
    </w:p>
    <w:p w14:paraId="50CD1BE5" w14:textId="77777777" w:rsidR="00E96E12" w:rsidRDefault="00E96E12">
      <w:pPr>
        <w:autoSpaceDE w:val="0"/>
        <w:autoSpaceDN w:val="0"/>
        <w:adjustRightInd w:val="0"/>
        <w:rPr>
          <w:rFonts w:eastAsia="TimesNewRoman"/>
          <w:szCs w:val="22"/>
          <w:lang w:eastAsia="lt-LT"/>
        </w:rPr>
      </w:pPr>
    </w:p>
    <w:p w14:paraId="67B40F6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Senyviems pacientams gali kilti didesnis kraujo tūrio sumažėjimo pavojus ir tikėtina, kad jie dažniau gydomi diuretikais.</w:t>
      </w:r>
    </w:p>
    <w:p w14:paraId="01BF11B9" w14:textId="77777777" w:rsidR="00E96E12" w:rsidRDefault="00E96E12">
      <w:pPr>
        <w:autoSpaceDE w:val="0"/>
        <w:autoSpaceDN w:val="0"/>
        <w:adjustRightInd w:val="0"/>
        <w:rPr>
          <w:rFonts w:eastAsia="TimesNewRoman"/>
          <w:szCs w:val="22"/>
          <w:lang w:eastAsia="lt-LT"/>
        </w:rPr>
      </w:pPr>
    </w:p>
    <w:p w14:paraId="1A17A7F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Senyvų pacientų inkstų funkcijos sutrikimo tikimybė yra didesnė, taip pat jie dažniau vartoja </w:t>
      </w:r>
      <w:proofErr w:type="spellStart"/>
      <w:r>
        <w:rPr>
          <w:rFonts w:eastAsia="TimesNewRoman"/>
          <w:szCs w:val="22"/>
          <w:lang w:eastAsia="lt-LT"/>
        </w:rPr>
        <w:t>antihipertenzinių</w:t>
      </w:r>
      <w:proofErr w:type="spellEnd"/>
      <w:r>
        <w:rPr>
          <w:rFonts w:eastAsia="TimesNewRoman"/>
          <w:szCs w:val="22"/>
          <w:lang w:eastAsia="lt-LT"/>
        </w:rPr>
        <w:t xml:space="preserve"> vaistinių preparatų (pvz., </w:t>
      </w:r>
      <w:proofErr w:type="spellStart"/>
      <w:r>
        <w:rPr>
          <w:rFonts w:eastAsia="TimesNewRoman"/>
          <w:szCs w:val="22"/>
          <w:lang w:eastAsia="lt-LT"/>
        </w:rPr>
        <w:t>angiotenziną</w:t>
      </w:r>
      <w:proofErr w:type="spellEnd"/>
      <w:r>
        <w:rPr>
          <w:rFonts w:eastAsia="TimesNewRoman"/>
          <w:szCs w:val="22"/>
          <w:lang w:eastAsia="lt-LT"/>
        </w:rPr>
        <w:t xml:space="preserve"> konvertuojančio fermento inhibitorių, </w:t>
      </w:r>
      <w:proofErr w:type="spellStart"/>
      <w:r>
        <w:rPr>
          <w:rFonts w:eastAsia="TimesNewRoman"/>
          <w:szCs w:val="22"/>
          <w:lang w:eastAsia="lt-LT"/>
        </w:rPr>
        <w:t>angiotenzino</w:t>
      </w:r>
      <w:proofErr w:type="spellEnd"/>
      <w:r>
        <w:rPr>
          <w:rFonts w:eastAsia="TimesNewRoman"/>
          <w:szCs w:val="22"/>
          <w:lang w:eastAsia="lt-LT"/>
        </w:rPr>
        <w:t>-II 1 tipo receptorių blokatorių), kurie gali sukelti inkstų funkcijos sutrikimų. Senyviems pacientams taikomos tokios pačios rekomendacijos dėl inkstų funkcijos kaip ir visiems kitiems pacientams (žr. 4.2, 4.4, 4.8 ir 5.1 skyrius).</w:t>
      </w:r>
    </w:p>
    <w:p w14:paraId="1894A78D" w14:textId="77777777" w:rsidR="00E96E12" w:rsidRDefault="00E96E12">
      <w:pPr>
        <w:autoSpaceDE w:val="0"/>
        <w:autoSpaceDN w:val="0"/>
        <w:adjustRightInd w:val="0"/>
        <w:rPr>
          <w:rFonts w:eastAsia="TimesNewRoman"/>
          <w:szCs w:val="22"/>
          <w:lang w:eastAsia="lt-LT"/>
        </w:rPr>
      </w:pPr>
    </w:p>
    <w:p w14:paraId="19EC8266"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Širdies nepakankamumas</w:t>
      </w:r>
    </w:p>
    <w:p w14:paraId="2153430C" w14:textId="77777777" w:rsidR="00E96E12" w:rsidRDefault="00E96E12">
      <w:pPr>
        <w:autoSpaceDE w:val="0"/>
        <w:autoSpaceDN w:val="0"/>
        <w:adjustRightInd w:val="0"/>
        <w:rPr>
          <w:rFonts w:eastAsia="TimesNewRoman"/>
          <w:szCs w:val="22"/>
          <w:u w:val="single"/>
          <w:lang w:eastAsia="lt-LT"/>
        </w:rPr>
      </w:pPr>
    </w:p>
    <w:p w14:paraId="123FDB7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vartojimo patirties IV klasės pagal NYHA širdies nepakankamumu sergantiems pacientams yra nedaug.</w:t>
      </w:r>
    </w:p>
    <w:p w14:paraId="36D3D966" w14:textId="77777777" w:rsidR="00E96E12" w:rsidRDefault="00E96E12">
      <w:pPr>
        <w:ind w:left="567" w:hanging="567"/>
        <w:rPr>
          <w:rFonts w:eastAsia="TimesNewRoman"/>
          <w:szCs w:val="22"/>
          <w:lang w:eastAsia="lt-LT"/>
        </w:rPr>
      </w:pPr>
    </w:p>
    <w:p w14:paraId="7847DE1E" w14:textId="77777777" w:rsidR="00E96E12" w:rsidRDefault="00E97765">
      <w:pPr>
        <w:ind w:left="567" w:hanging="567"/>
        <w:rPr>
          <w:rFonts w:eastAsia="TimesNewRoman"/>
          <w:szCs w:val="22"/>
          <w:u w:val="single"/>
          <w:lang w:eastAsia="lt-LT"/>
        </w:rPr>
      </w:pPr>
      <w:r>
        <w:rPr>
          <w:rFonts w:eastAsia="TimesNewRoman"/>
          <w:szCs w:val="22"/>
          <w:u w:val="single"/>
          <w:lang w:eastAsia="lt-LT"/>
        </w:rPr>
        <w:t>Infiltracinė kardiomiopatija</w:t>
      </w:r>
    </w:p>
    <w:p w14:paraId="78210A5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Pacientai, sergantys infiltracine kardiomiopatija, netirti.</w:t>
      </w:r>
    </w:p>
    <w:p w14:paraId="2696F670" w14:textId="77777777" w:rsidR="00E96E12" w:rsidRDefault="00E96E12">
      <w:pPr>
        <w:autoSpaceDE w:val="0"/>
        <w:autoSpaceDN w:val="0"/>
        <w:adjustRightInd w:val="0"/>
        <w:rPr>
          <w:rFonts w:eastAsia="TimesNewRoman"/>
          <w:szCs w:val="22"/>
          <w:lang w:eastAsia="lt-LT"/>
        </w:rPr>
      </w:pPr>
    </w:p>
    <w:p w14:paraId="0878F524"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lastRenderedPageBreak/>
        <w:t>Lėtinė inkstų liga</w:t>
      </w:r>
    </w:p>
    <w:p w14:paraId="2361206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vartojimo patirties diabetu nesergančių pacientų, neturinčių </w:t>
      </w:r>
      <w:proofErr w:type="spellStart"/>
      <w:r>
        <w:rPr>
          <w:rFonts w:eastAsia="TimesNewRoman"/>
          <w:szCs w:val="22"/>
          <w:lang w:eastAsia="lt-LT"/>
        </w:rPr>
        <w:t>albuminurijos</w:t>
      </w:r>
      <w:proofErr w:type="spellEnd"/>
      <w:r>
        <w:rPr>
          <w:rFonts w:eastAsia="TimesNewRoman"/>
          <w:szCs w:val="22"/>
          <w:lang w:eastAsia="lt-LT"/>
        </w:rPr>
        <w:t xml:space="preserve">, lėtinei inkstų ligai gydyti nėra. Esant </w:t>
      </w:r>
      <w:proofErr w:type="spellStart"/>
      <w:r>
        <w:rPr>
          <w:rFonts w:eastAsia="TimesNewRoman"/>
          <w:szCs w:val="22"/>
          <w:lang w:eastAsia="lt-LT"/>
        </w:rPr>
        <w:t>albuminurijai</w:t>
      </w:r>
      <w:proofErr w:type="spellEnd"/>
      <w:r>
        <w:rPr>
          <w:rFonts w:eastAsia="TimesNewRoman"/>
          <w:szCs w:val="22"/>
          <w:lang w:eastAsia="lt-LT"/>
        </w:rPr>
        <w:t xml:space="preserve"> dapagliflozino nauda gali būti didesnė.</w:t>
      </w:r>
    </w:p>
    <w:p w14:paraId="6023C27D" w14:textId="77777777" w:rsidR="00E96E12" w:rsidRDefault="00E96E12">
      <w:pPr>
        <w:autoSpaceDE w:val="0"/>
        <w:autoSpaceDN w:val="0"/>
        <w:adjustRightInd w:val="0"/>
      </w:pPr>
    </w:p>
    <w:p w14:paraId="56E9176A" w14:textId="77777777" w:rsidR="00E96E12" w:rsidRDefault="00E97765">
      <w:pPr>
        <w:autoSpaceDE w:val="0"/>
        <w:autoSpaceDN w:val="0"/>
        <w:adjustRightInd w:val="0"/>
        <w:rPr>
          <w:u w:val="single"/>
        </w:rPr>
      </w:pPr>
      <w:proofErr w:type="spellStart"/>
      <w:r>
        <w:rPr>
          <w:u w:val="single"/>
        </w:rPr>
        <w:t>Hematokrito</w:t>
      </w:r>
      <w:proofErr w:type="spellEnd"/>
      <w:r>
        <w:rPr>
          <w:u w:val="single"/>
        </w:rPr>
        <w:t xml:space="preserve"> koncentracijos padidėjimas</w:t>
      </w:r>
    </w:p>
    <w:p w14:paraId="47342DD3" w14:textId="77777777" w:rsidR="00E96E12" w:rsidRDefault="00E97765">
      <w:pPr>
        <w:autoSpaceDE w:val="0"/>
        <w:autoSpaceDN w:val="0"/>
        <w:adjustRightInd w:val="0"/>
      </w:pPr>
      <w:r>
        <w:t xml:space="preserve">Buvo pastebėta, kad gydant dapagliflozinu, padidėja </w:t>
      </w:r>
      <w:proofErr w:type="spellStart"/>
      <w:r>
        <w:t>hematokrito</w:t>
      </w:r>
      <w:proofErr w:type="spellEnd"/>
      <w:r>
        <w:t xml:space="preserve"> koncentracija kraujyje (žr. 4.8 skyrių). Pacientus, kuriems nustatomas reikšmingas </w:t>
      </w:r>
      <w:proofErr w:type="spellStart"/>
      <w:r>
        <w:t>hematokrito</w:t>
      </w:r>
      <w:proofErr w:type="spellEnd"/>
      <w:r>
        <w:t xml:space="preserve"> koncentracijos padidėjimas, reikia stebėti ir ištirti dėl pagrindinės hematologinės ligos.</w:t>
      </w:r>
    </w:p>
    <w:p w14:paraId="37CEDC35" w14:textId="77777777" w:rsidR="00E96E12" w:rsidRDefault="00E96E12">
      <w:pPr>
        <w:autoSpaceDE w:val="0"/>
        <w:autoSpaceDN w:val="0"/>
        <w:adjustRightInd w:val="0"/>
        <w:rPr>
          <w:rFonts w:eastAsia="TimesNewRoman"/>
          <w:szCs w:val="22"/>
          <w:lang w:eastAsia="lt-LT"/>
        </w:rPr>
      </w:pPr>
    </w:p>
    <w:p w14:paraId="15E2ADF4"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Kojų amputacijos</w:t>
      </w:r>
    </w:p>
    <w:p w14:paraId="3438352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Ilgalaikių SGLT2 inhibitorių poveikio cukriniu diabetu sergantiems pacientams klinikinių tyrimų metu teko dažniau amputuoti kojas ar jų dalis, ypač pirštus. Ar toks poveikis yra būdingas visai šių vaistinių preparatų grupei, nėra žinoma. Cukriniu diabetu sergančius pacientus svarbu konsultuoti dėl įprastinės profilaktinės pėdų priežiūros.</w:t>
      </w:r>
    </w:p>
    <w:p w14:paraId="6B5C900E" w14:textId="77777777" w:rsidR="00E96E12" w:rsidRDefault="00E96E12">
      <w:pPr>
        <w:autoSpaceDE w:val="0"/>
        <w:autoSpaceDN w:val="0"/>
        <w:adjustRightInd w:val="0"/>
        <w:rPr>
          <w:rFonts w:eastAsia="TimesNewRoman"/>
          <w:szCs w:val="22"/>
          <w:lang w:eastAsia="lt-LT"/>
        </w:rPr>
      </w:pPr>
    </w:p>
    <w:p w14:paraId="590F5655"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Laboratoriniai šlapimo tyrimai</w:t>
      </w:r>
    </w:p>
    <w:p w14:paraId="3C6FCE6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Dėl dapagliflozino veikimo mechanizmo gliukozės mėginys šį vaistinį preparatą vartojančių pacientų šlapime būna teigiamas.</w:t>
      </w:r>
    </w:p>
    <w:p w14:paraId="284EF361" w14:textId="77777777" w:rsidR="00E96E12" w:rsidRDefault="00E96E12">
      <w:pPr>
        <w:autoSpaceDE w:val="0"/>
        <w:autoSpaceDN w:val="0"/>
        <w:adjustRightInd w:val="0"/>
        <w:rPr>
          <w:rFonts w:eastAsia="TimesNewRoman"/>
          <w:szCs w:val="22"/>
          <w:lang w:eastAsia="lt-LT"/>
        </w:rPr>
      </w:pPr>
    </w:p>
    <w:p w14:paraId="77DBAA86"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Pagalbinės medžiagos</w:t>
      </w:r>
    </w:p>
    <w:p w14:paraId="4129D229" w14:textId="77777777" w:rsidR="00E96E12" w:rsidRDefault="00E96E12">
      <w:pPr>
        <w:autoSpaceDE w:val="0"/>
        <w:autoSpaceDN w:val="0"/>
        <w:adjustRightInd w:val="0"/>
        <w:rPr>
          <w:rFonts w:eastAsia="TimesNewRoman"/>
          <w:szCs w:val="22"/>
          <w:lang w:eastAsia="lt-LT"/>
        </w:rPr>
      </w:pPr>
    </w:p>
    <w:p w14:paraId="7C7055EB" w14:textId="77777777" w:rsidR="00E96E12" w:rsidRDefault="00E97765">
      <w:pPr>
        <w:autoSpaceDE w:val="0"/>
        <w:autoSpaceDN w:val="0"/>
        <w:adjustRightInd w:val="0"/>
        <w:rPr>
          <w:rFonts w:eastAsia="Calibri"/>
          <w:szCs w:val="22"/>
        </w:rPr>
      </w:pPr>
      <w:proofErr w:type="spellStart"/>
      <w:r>
        <w:rPr>
          <w:rFonts w:eastAsia="TimesNewRoman"/>
          <w:szCs w:val="22"/>
          <w:lang w:eastAsia="lt-LT"/>
        </w:rPr>
        <w:t>Dagrafors</w:t>
      </w:r>
      <w:proofErr w:type="spellEnd"/>
      <w:r>
        <w:rPr>
          <w:rFonts w:eastAsia="TimesNewRoman"/>
          <w:szCs w:val="22"/>
          <w:lang w:eastAsia="lt-LT"/>
        </w:rPr>
        <w:t xml:space="preserve"> sudėtyje yra laktozės. Jų negalima vartoti pacientams, kuriems nustatytas retas paveldimas sutrikimas – </w:t>
      </w:r>
      <w:proofErr w:type="spellStart"/>
      <w:r>
        <w:rPr>
          <w:rFonts w:eastAsia="TimesNewRoman"/>
          <w:szCs w:val="22"/>
          <w:lang w:eastAsia="lt-LT"/>
        </w:rPr>
        <w:t>galaktozės</w:t>
      </w:r>
      <w:proofErr w:type="spellEnd"/>
      <w:r>
        <w:rPr>
          <w:rFonts w:eastAsia="TimesNewRoman"/>
          <w:szCs w:val="22"/>
          <w:lang w:eastAsia="lt-LT"/>
        </w:rPr>
        <w:t xml:space="preserve"> netoleravimas, visiškas laktazės stygius arba gliukozės ir </w:t>
      </w:r>
      <w:proofErr w:type="spellStart"/>
      <w:r>
        <w:rPr>
          <w:rFonts w:eastAsia="TimesNewRoman"/>
          <w:szCs w:val="22"/>
          <w:lang w:eastAsia="lt-LT"/>
        </w:rPr>
        <w:t>galaktozės</w:t>
      </w:r>
      <w:proofErr w:type="spellEnd"/>
      <w:r>
        <w:rPr>
          <w:rFonts w:eastAsia="TimesNewRoman"/>
          <w:szCs w:val="22"/>
          <w:lang w:eastAsia="lt-LT"/>
        </w:rPr>
        <w:t xml:space="preserve"> </w:t>
      </w:r>
      <w:proofErr w:type="spellStart"/>
      <w:r>
        <w:rPr>
          <w:rFonts w:eastAsia="TimesNewRoman"/>
          <w:szCs w:val="22"/>
          <w:lang w:eastAsia="lt-LT"/>
        </w:rPr>
        <w:t>malabsorbcija</w:t>
      </w:r>
      <w:proofErr w:type="spellEnd"/>
      <w:r>
        <w:rPr>
          <w:rFonts w:eastAsia="TimesNewRoman"/>
          <w:szCs w:val="22"/>
          <w:lang w:eastAsia="lt-LT"/>
        </w:rPr>
        <w:t>.</w:t>
      </w:r>
      <w:r>
        <w:rPr>
          <w:rFonts w:eastAsia="Calibri"/>
          <w:szCs w:val="22"/>
        </w:rPr>
        <w:t xml:space="preserve"> </w:t>
      </w:r>
    </w:p>
    <w:p w14:paraId="7C9D0F34" w14:textId="77777777" w:rsidR="00E96E12" w:rsidRDefault="00E97765">
      <w:pPr>
        <w:autoSpaceDE w:val="0"/>
        <w:autoSpaceDN w:val="0"/>
        <w:adjustRightInd w:val="0"/>
        <w:rPr>
          <w:rFonts w:eastAsia="TimesNewRoman"/>
          <w:szCs w:val="22"/>
          <w:lang w:eastAsia="lt-LT"/>
        </w:rPr>
      </w:pPr>
      <w:r>
        <w:rPr>
          <w:rFonts w:eastAsia="Calibri"/>
          <w:szCs w:val="22"/>
        </w:rPr>
        <w:t>Šio vaistinio preparato tabletėje yra mažiau kaip 1 </w:t>
      </w:r>
      <w:proofErr w:type="spellStart"/>
      <w:r>
        <w:rPr>
          <w:rFonts w:eastAsia="Calibri"/>
          <w:szCs w:val="22"/>
        </w:rPr>
        <w:t>mmol</w:t>
      </w:r>
      <w:proofErr w:type="spellEnd"/>
      <w:r>
        <w:rPr>
          <w:rFonts w:eastAsia="Calibri"/>
          <w:szCs w:val="22"/>
        </w:rPr>
        <w:t xml:space="preserve"> (23 mg) natrio, t. y. jis beveik neturi reikšmės.</w:t>
      </w:r>
    </w:p>
    <w:p w14:paraId="305D4164" w14:textId="77777777" w:rsidR="00E96E12" w:rsidRDefault="00E96E12">
      <w:pPr>
        <w:ind w:left="567" w:hanging="567"/>
      </w:pPr>
    </w:p>
    <w:p w14:paraId="04A26AC7" w14:textId="77777777" w:rsidR="00E96E12" w:rsidRDefault="00E97765">
      <w:pPr>
        <w:ind w:left="567" w:hanging="567"/>
        <w:rPr>
          <w:b/>
        </w:rPr>
      </w:pPr>
      <w:r>
        <w:rPr>
          <w:b/>
        </w:rPr>
        <w:t>4.5</w:t>
      </w:r>
      <w:r>
        <w:rPr>
          <w:b/>
        </w:rPr>
        <w:tab/>
        <w:t>Sąveika su kitais vaistiniais preparatais ir kitokia sąveika</w:t>
      </w:r>
    </w:p>
    <w:p w14:paraId="65E718C7" w14:textId="77777777" w:rsidR="00E96E12" w:rsidRDefault="00E96E12">
      <w:pPr>
        <w:ind w:left="567" w:hanging="567"/>
        <w:rPr>
          <w:b/>
        </w:rPr>
      </w:pPr>
    </w:p>
    <w:p w14:paraId="6DAE64E1" w14:textId="77777777" w:rsidR="00E96E12" w:rsidRDefault="00E97765">
      <w:pPr>
        <w:autoSpaceDE w:val="0"/>
        <w:autoSpaceDN w:val="0"/>
        <w:adjustRightInd w:val="0"/>
        <w:rPr>
          <w:rFonts w:eastAsia="TimesNewRoman"/>
          <w:szCs w:val="22"/>
          <w:u w:val="single"/>
          <w:lang w:eastAsia="lt-LT"/>
        </w:rPr>
      </w:pPr>
      <w:proofErr w:type="spellStart"/>
      <w:r>
        <w:rPr>
          <w:rFonts w:eastAsia="TimesNewRoman"/>
          <w:szCs w:val="22"/>
          <w:u w:val="single"/>
          <w:lang w:eastAsia="lt-LT"/>
        </w:rPr>
        <w:t>Farmakodinaminė</w:t>
      </w:r>
      <w:proofErr w:type="spellEnd"/>
      <w:r>
        <w:rPr>
          <w:rFonts w:eastAsia="TimesNewRoman"/>
          <w:szCs w:val="22"/>
          <w:u w:val="single"/>
          <w:lang w:eastAsia="lt-LT"/>
        </w:rPr>
        <w:t xml:space="preserve"> sąveika</w:t>
      </w:r>
    </w:p>
    <w:p w14:paraId="5660FCBB" w14:textId="77777777" w:rsidR="00E96E12" w:rsidRDefault="00E96E12">
      <w:pPr>
        <w:autoSpaceDE w:val="0"/>
        <w:autoSpaceDN w:val="0"/>
        <w:adjustRightInd w:val="0"/>
        <w:rPr>
          <w:rFonts w:eastAsia="TimesNewRoman,Italic"/>
          <w:i/>
          <w:iCs/>
          <w:szCs w:val="22"/>
          <w:lang w:eastAsia="lt-LT"/>
        </w:rPr>
      </w:pPr>
    </w:p>
    <w:p w14:paraId="61CC6879"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Diuretikai</w:t>
      </w:r>
    </w:p>
    <w:p w14:paraId="79D0E24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ir </w:t>
      </w:r>
      <w:proofErr w:type="spellStart"/>
      <w:r>
        <w:rPr>
          <w:rFonts w:eastAsia="TimesNewRoman"/>
          <w:szCs w:val="22"/>
          <w:lang w:eastAsia="lt-LT"/>
        </w:rPr>
        <w:t>tiazidinių</w:t>
      </w:r>
      <w:proofErr w:type="spellEnd"/>
      <w:r>
        <w:rPr>
          <w:rFonts w:eastAsia="TimesNewRoman"/>
          <w:szCs w:val="22"/>
          <w:lang w:eastAsia="lt-LT"/>
        </w:rPr>
        <w:t xml:space="preserve"> bei kilpinių diuretikų </w:t>
      </w:r>
      <w:proofErr w:type="spellStart"/>
      <w:r>
        <w:rPr>
          <w:rFonts w:eastAsia="TimesNewRoman"/>
          <w:szCs w:val="22"/>
          <w:lang w:eastAsia="lt-LT"/>
        </w:rPr>
        <w:t>diurezinis</w:t>
      </w:r>
      <w:proofErr w:type="spellEnd"/>
      <w:r>
        <w:rPr>
          <w:rFonts w:eastAsia="TimesNewRoman"/>
          <w:szCs w:val="22"/>
          <w:lang w:eastAsia="lt-LT"/>
        </w:rPr>
        <w:t xml:space="preserve"> poveikis gali sumuotis, todėl gali padidėti dehidratacijos ir </w:t>
      </w:r>
      <w:proofErr w:type="spellStart"/>
      <w:r>
        <w:rPr>
          <w:rFonts w:eastAsia="TimesNewRoman"/>
          <w:szCs w:val="22"/>
          <w:lang w:eastAsia="lt-LT"/>
        </w:rPr>
        <w:t>hipotenzijos</w:t>
      </w:r>
      <w:proofErr w:type="spellEnd"/>
      <w:r>
        <w:rPr>
          <w:rFonts w:eastAsia="TimesNewRoman"/>
          <w:szCs w:val="22"/>
          <w:lang w:eastAsia="lt-LT"/>
        </w:rPr>
        <w:t xml:space="preserve"> rizika (žr. 4.4 skyrių).</w:t>
      </w:r>
    </w:p>
    <w:p w14:paraId="5D862625" w14:textId="77777777" w:rsidR="00E96E12" w:rsidRDefault="00E96E12">
      <w:pPr>
        <w:autoSpaceDE w:val="0"/>
        <w:autoSpaceDN w:val="0"/>
        <w:adjustRightInd w:val="0"/>
        <w:rPr>
          <w:rFonts w:eastAsia="TimesNewRoman"/>
          <w:szCs w:val="22"/>
          <w:lang w:eastAsia="lt-LT"/>
        </w:rPr>
      </w:pPr>
    </w:p>
    <w:p w14:paraId="7E723D9E"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Insulinas ir jo sekreciją skatinantys vaistiniai preparatai</w:t>
      </w:r>
    </w:p>
    <w:p w14:paraId="7FB2D0F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Insulinas ir jo sekreciją skatinantys vaistiniai preparatai, pvz., </w:t>
      </w:r>
      <w:proofErr w:type="spellStart"/>
      <w:r>
        <w:rPr>
          <w:rFonts w:eastAsia="TimesNewRoman"/>
          <w:szCs w:val="22"/>
          <w:lang w:eastAsia="lt-LT"/>
        </w:rPr>
        <w:t>sulfonilurėjos</w:t>
      </w:r>
      <w:proofErr w:type="spellEnd"/>
      <w:r>
        <w:rPr>
          <w:rFonts w:eastAsia="TimesNewRoman"/>
          <w:szCs w:val="22"/>
          <w:lang w:eastAsia="lt-LT"/>
        </w:rPr>
        <w:t xml:space="preserve"> dariniai, sukelia hipoglikemiją, todėl norint sumažinti jos riziką 2 tipo diabetu sergantiems pacientams gali tekti sumažinti kartu su dapagliflozinu vartojamo insulino ar jo sekreciją skatinančio vaistinio preparato dozę (žr. 4.2 ir 4.8 skyrius).</w:t>
      </w:r>
    </w:p>
    <w:p w14:paraId="0A080D52" w14:textId="77777777" w:rsidR="00E96E12" w:rsidRDefault="00E96E12">
      <w:pPr>
        <w:autoSpaceDE w:val="0"/>
        <w:autoSpaceDN w:val="0"/>
        <w:adjustRightInd w:val="0"/>
        <w:rPr>
          <w:rFonts w:eastAsia="TimesNewRoman"/>
          <w:szCs w:val="22"/>
          <w:lang w:eastAsia="lt-LT"/>
        </w:rPr>
      </w:pPr>
    </w:p>
    <w:p w14:paraId="71F3B80F" w14:textId="77777777" w:rsidR="00E96E12" w:rsidRDefault="00E97765">
      <w:pPr>
        <w:autoSpaceDE w:val="0"/>
        <w:autoSpaceDN w:val="0"/>
        <w:adjustRightInd w:val="0"/>
        <w:rPr>
          <w:rFonts w:eastAsia="TimesNewRoman"/>
          <w:szCs w:val="22"/>
          <w:u w:val="single"/>
          <w:lang w:eastAsia="lt-LT"/>
        </w:rPr>
      </w:pPr>
      <w:proofErr w:type="spellStart"/>
      <w:r>
        <w:rPr>
          <w:rFonts w:eastAsia="TimesNewRoman"/>
          <w:szCs w:val="22"/>
          <w:u w:val="single"/>
          <w:lang w:eastAsia="lt-LT"/>
        </w:rPr>
        <w:t>Farmakokinetinė</w:t>
      </w:r>
      <w:proofErr w:type="spellEnd"/>
      <w:r>
        <w:rPr>
          <w:rFonts w:eastAsia="TimesNewRoman"/>
          <w:szCs w:val="22"/>
          <w:u w:val="single"/>
          <w:lang w:eastAsia="lt-LT"/>
        </w:rPr>
        <w:t xml:space="preserve"> sąveika</w:t>
      </w:r>
    </w:p>
    <w:p w14:paraId="2DE91D46" w14:textId="77777777" w:rsidR="00E96E12" w:rsidRDefault="00E96E12">
      <w:pPr>
        <w:autoSpaceDE w:val="0"/>
        <w:autoSpaceDN w:val="0"/>
        <w:adjustRightInd w:val="0"/>
        <w:rPr>
          <w:rFonts w:eastAsia="TimesNewRoman"/>
          <w:szCs w:val="22"/>
          <w:u w:val="single"/>
          <w:lang w:eastAsia="lt-LT"/>
        </w:rPr>
      </w:pPr>
    </w:p>
    <w:p w14:paraId="6314C9C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Pagrindinis dapagliflozino metabolizmo būdas – </w:t>
      </w:r>
      <w:proofErr w:type="spellStart"/>
      <w:r>
        <w:rPr>
          <w:rFonts w:eastAsia="TimesNewRoman"/>
          <w:szCs w:val="22"/>
          <w:lang w:eastAsia="lt-LT"/>
        </w:rPr>
        <w:t>konjugacija</w:t>
      </w:r>
      <w:proofErr w:type="spellEnd"/>
      <w:r>
        <w:rPr>
          <w:rFonts w:eastAsia="TimesNewRoman"/>
          <w:szCs w:val="22"/>
          <w:lang w:eastAsia="lt-LT"/>
        </w:rPr>
        <w:t xml:space="preserve"> su </w:t>
      </w:r>
      <w:proofErr w:type="spellStart"/>
      <w:r>
        <w:rPr>
          <w:rFonts w:eastAsia="TimesNewRoman"/>
          <w:szCs w:val="22"/>
          <w:lang w:eastAsia="lt-LT"/>
        </w:rPr>
        <w:t>glukuronidu</w:t>
      </w:r>
      <w:proofErr w:type="spellEnd"/>
      <w:r>
        <w:rPr>
          <w:rFonts w:eastAsia="TimesNewRoman"/>
          <w:szCs w:val="22"/>
          <w:lang w:eastAsia="lt-LT"/>
        </w:rPr>
        <w:t xml:space="preserve">, kurią katalizuoja UDF </w:t>
      </w:r>
      <w:proofErr w:type="spellStart"/>
      <w:r>
        <w:rPr>
          <w:rFonts w:eastAsia="TimesNewRoman"/>
          <w:szCs w:val="22"/>
          <w:lang w:eastAsia="lt-LT"/>
        </w:rPr>
        <w:t>glukuronoziltransferazė</w:t>
      </w:r>
      <w:proofErr w:type="spellEnd"/>
      <w:r>
        <w:rPr>
          <w:rFonts w:eastAsia="TimesNewRoman"/>
          <w:szCs w:val="22"/>
          <w:lang w:eastAsia="lt-LT"/>
        </w:rPr>
        <w:t xml:space="preserve"> 1A9 (UGT1A9).</w:t>
      </w:r>
    </w:p>
    <w:p w14:paraId="2F8E2F8A" w14:textId="77777777" w:rsidR="00E96E12" w:rsidRDefault="00E96E12">
      <w:pPr>
        <w:autoSpaceDE w:val="0"/>
        <w:autoSpaceDN w:val="0"/>
        <w:adjustRightInd w:val="0"/>
        <w:rPr>
          <w:rFonts w:eastAsia="TimesNewRoman"/>
          <w:szCs w:val="22"/>
          <w:lang w:eastAsia="lt-LT"/>
        </w:rPr>
      </w:pPr>
    </w:p>
    <w:p w14:paraId="7CC27CD9" w14:textId="77777777" w:rsidR="00E96E12" w:rsidRDefault="00E97765">
      <w:pPr>
        <w:autoSpaceDE w:val="0"/>
        <w:autoSpaceDN w:val="0"/>
        <w:adjustRightInd w:val="0"/>
        <w:rPr>
          <w:rFonts w:eastAsia="TimesNewRoman"/>
          <w:szCs w:val="22"/>
          <w:lang w:eastAsia="lt-LT"/>
        </w:rPr>
      </w:pPr>
      <w:proofErr w:type="spellStart"/>
      <w:r>
        <w:rPr>
          <w:rFonts w:eastAsia="TimesNewRoman,Italic"/>
          <w:i/>
          <w:iCs/>
          <w:szCs w:val="22"/>
          <w:lang w:eastAsia="lt-LT"/>
        </w:rPr>
        <w:t>In</w:t>
      </w:r>
      <w:proofErr w:type="spellEnd"/>
      <w:r>
        <w:rPr>
          <w:rFonts w:eastAsia="TimesNewRoman,Italic"/>
          <w:i/>
          <w:iCs/>
          <w:szCs w:val="22"/>
          <w:lang w:eastAsia="lt-LT"/>
        </w:rPr>
        <w:t xml:space="preserve"> </w:t>
      </w:r>
      <w:proofErr w:type="spellStart"/>
      <w:r>
        <w:rPr>
          <w:rFonts w:eastAsia="TimesNewRoman,Italic"/>
          <w:i/>
          <w:iCs/>
          <w:szCs w:val="22"/>
          <w:lang w:eastAsia="lt-LT"/>
        </w:rPr>
        <w:t>vitro</w:t>
      </w:r>
      <w:proofErr w:type="spellEnd"/>
      <w:r>
        <w:rPr>
          <w:rFonts w:eastAsia="TimesNewRoman,Italic"/>
          <w:i/>
          <w:iCs/>
          <w:szCs w:val="22"/>
          <w:lang w:eastAsia="lt-LT"/>
        </w:rPr>
        <w:t xml:space="preserve"> </w:t>
      </w:r>
      <w:r>
        <w:rPr>
          <w:rFonts w:eastAsia="TimesNewRoman"/>
          <w:szCs w:val="22"/>
          <w:lang w:eastAsia="lt-LT"/>
        </w:rPr>
        <w:t xml:space="preserve">atliktų tyrimų metu dapagliflozinas neslopino </w:t>
      </w:r>
      <w:proofErr w:type="spellStart"/>
      <w:r>
        <w:rPr>
          <w:rFonts w:eastAsia="TimesNewRoman"/>
          <w:szCs w:val="22"/>
          <w:lang w:eastAsia="lt-LT"/>
        </w:rPr>
        <w:t>citochromo</w:t>
      </w:r>
      <w:proofErr w:type="spellEnd"/>
      <w:r>
        <w:rPr>
          <w:rFonts w:eastAsia="TimesNewRoman"/>
          <w:szCs w:val="22"/>
          <w:lang w:eastAsia="lt-LT"/>
        </w:rPr>
        <w:t xml:space="preserve"> P450 (CYP) 1A2, CYP2A6, CYP2B6, CYP2C8, CYP2C9, CYP2C19 ar CYP2D6, CYP3A4 bei neindukavo CYP1A2, CYP2B6 ar CYP3A4. Dėl to jis neturėtų įtakoti kartu vartojamų šių fermentų </w:t>
      </w:r>
      <w:proofErr w:type="spellStart"/>
      <w:r>
        <w:rPr>
          <w:rFonts w:eastAsia="TimesNewRoman"/>
          <w:szCs w:val="22"/>
          <w:lang w:eastAsia="lt-LT"/>
        </w:rPr>
        <w:t>metabolizuojamų</w:t>
      </w:r>
      <w:proofErr w:type="spellEnd"/>
      <w:r>
        <w:rPr>
          <w:rFonts w:eastAsia="TimesNewRoman"/>
          <w:szCs w:val="22"/>
          <w:lang w:eastAsia="lt-LT"/>
        </w:rPr>
        <w:t xml:space="preserve"> vaistinių preparatų </w:t>
      </w:r>
      <w:proofErr w:type="spellStart"/>
      <w:r>
        <w:rPr>
          <w:rFonts w:eastAsia="TimesNewRoman"/>
          <w:szCs w:val="22"/>
          <w:lang w:eastAsia="lt-LT"/>
        </w:rPr>
        <w:t>metabolinio</w:t>
      </w:r>
      <w:proofErr w:type="spellEnd"/>
      <w:r>
        <w:rPr>
          <w:rFonts w:eastAsia="TimesNewRoman"/>
          <w:szCs w:val="22"/>
          <w:lang w:eastAsia="lt-LT"/>
        </w:rPr>
        <w:t xml:space="preserve"> klirenso.</w:t>
      </w:r>
    </w:p>
    <w:p w14:paraId="4C3C881E" w14:textId="77777777" w:rsidR="00E96E12" w:rsidRDefault="00E96E12">
      <w:pPr>
        <w:autoSpaceDE w:val="0"/>
        <w:autoSpaceDN w:val="0"/>
        <w:adjustRightInd w:val="0"/>
        <w:rPr>
          <w:rFonts w:eastAsia="TimesNewRoman"/>
          <w:szCs w:val="22"/>
          <w:lang w:eastAsia="lt-LT"/>
        </w:rPr>
      </w:pPr>
    </w:p>
    <w:p w14:paraId="493EC755"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Kitų vaistinių preparatų poveikis dapagliflozinui</w:t>
      </w:r>
    </w:p>
    <w:p w14:paraId="0871D8F4" w14:textId="77777777" w:rsidR="00E96E12" w:rsidRDefault="00E96E12">
      <w:pPr>
        <w:autoSpaceDE w:val="0"/>
        <w:autoSpaceDN w:val="0"/>
        <w:adjustRightInd w:val="0"/>
        <w:rPr>
          <w:rFonts w:eastAsia="TimesNewRoman"/>
          <w:szCs w:val="22"/>
          <w:u w:val="single"/>
          <w:lang w:eastAsia="lt-LT"/>
        </w:rPr>
      </w:pPr>
    </w:p>
    <w:p w14:paraId="129CD0A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Atliktų sąveikos tyrimų sveikų savanorių organizme, kurių dauguma buvo vienkartinės dozės dizaino, duomenimis, </w:t>
      </w:r>
      <w:proofErr w:type="spellStart"/>
      <w:r>
        <w:rPr>
          <w:rFonts w:eastAsia="TimesNewRoman"/>
          <w:szCs w:val="22"/>
          <w:lang w:eastAsia="lt-LT"/>
        </w:rPr>
        <w:t>metforminas</w:t>
      </w:r>
      <w:proofErr w:type="spellEnd"/>
      <w:r>
        <w:rPr>
          <w:rFonts w:eastAsia="TimesNewRoman"/>
          <w:szCs w:val="22"/>
          <w:lang w:eastAsia="lt-LT"/>
        </w:rPr>
        <w:t xml:space="preserve">, </w:t>
      </w:r>
      <w:proofErr w:type="spellStart"/>
      <w:r>
        <w:rPr>
          <w:rFonts w:eastAsia="TimesNewRoman"/>
          <w:szCs w:val="22"/>
          <w:lang w:eastAsia="lt-LT"/>
        </w:rPr>
        <w:t>pioglitazonas</w:t>
      </w:r>
      <w:proofErr w:type="spellEnd"/>
      <w:r>
        <w:rPr>
          <w:rFonts w:eastAsia="TimesNewRoman"/>
          <w:szCs w:val="22"/>
          <w:lang w:eastAsia="lt-LT"/>
        </w:rPr>
        <w:t xml:space="preserve">, </w:t>
      </w:r>
      <w:proofErr w:type="spellStart"/>
      <w:r>
        <w:rPr>
          <w:rFonts w:eastAsia="TimesNewRoman"/>
          <w:szCs w:val="22"/>
          <w:lang w:eastAsia="lt-LT"/>
        </w:rPr>
        <w:t>sitagliptinas</w:t>
      </w:r>
      <w:proofErr w:type="spellEnd"/>
      <w:r>
        <w:rPr>
          <w:rFonts w:eastAsia="TimesNewRoman"/>
          <w:szCs w:val="22"/>
          <w:lang w:eastAsia="lt-LT"/>
        </w:rPr>
        <w:t xml:space="preserve">, </w:t>
      </w:r>
      <w:proofErr w:type="spellStart"/>
      <w:r>
        <w:rPr>
          <w:rFonts w:eastAsia="TimesNewRoman"/>
          <w:szCs w:val="22"/>
          <w:lang w:eastAsia="lt-LT"/>
        </w:rPr>
        <w:t>glimepiridas</w:t>
      </w:r>
      <w:proofErr w:type="spellEnd"/>
      <w:r>
        <w:rPr>
          <w:rFonts w:eastAsia="TimesNewRoman"/>
          <w:szCs w:val="22"/>
          <w:lang w:eastAsia="lt-LT"/>
        </w:rPr>
        <w:t xml:space="preserve">, </w:t>
      </w:r>
      <w:proofErr w:type="spellStart"/>
      <w:r>
        <w:rPr>
          <w:rFonts w:eastAsia="TimesNewRoman"/>
          <w:szCs w:val="22"/>
          <w:lang w:eastAsia="lt-LT"/>
        </w:rPr>
        <w:t>voglibozė</w:t>
      </w:r>
      <w:proofErr w:type="spellEnd"/>
      <w:r>
        <w:rPr>
          <w:rFonts w:eastAsia="TimesNewRoman"/>
          <w:szCs w:val="22"/>
          <w:lang w:eastAsia="lt-LT"/>
        </w:rPr>
        <w:t xml:space="preserve">, </w:t>
      </w:r>
      <w:proofErr w:type="spellStart"/>
      <w:r>
        <w:rPr>
          <w:rFonts w:eastAsia="TimesNewRoman"/>
          <w:szCs w:val="22"/>
          <w:lang w:eastAsia="lt-LT"/>
        </w:rPr>
        <w:t>hidrochlorotiazidas</w:t>
      </w:r>
      <w:proofErr w:type="spellEnd"/>
      <w:r>
        <w:rPr>
          <w:rFonts w:eastAsia="TimesNewRoman"/>
          <w:szCs w:val="22"/>
          <w:lang w:eastAsia="lt-LT"/>
        </w:rPr>
        <w:t xml:space="preserve">, </w:t>
      </w:r>
      <w:proofErr w:type="spellStart"/>
      <w:r>
        <w:rPr>
          <w:rFonts w:eastAsia="TimesNewRoman"/>
          <w:szCs w:val="22"/>
          <w:lang w:eastAsia="lt-LT"/>
        </w:rPr>
        <w:t>bumetanidas</w:t>
      </w:r>
      <w:proofErr w:type="spellEnd"/>
      <w:r>
        <w:rPr>
          <w:rFonts w:eastAsia="TimesNewRoman"/>
          <w:szCs w:val="22"/>
          <w:lang w:eastAsia="lt-LT"/>
        </w:rPr>
        <w:t xml:space="preserve">, </w:t>
      </w:r>
      <w:proofErr w:type="spellStart"/>
      <w:r>
        <w:rPr>
          <w:rFonts w:eastAsia="TimesNewRoman"/>
          <w:szCs w:val="22"/>
          <w:lang w:eastAsia="lt-LT"/>
        </w:rPr>
        <w:t>valsartanas</w:t>
      </w:r>
      <w:proofErr w:type="spellEnd"/>
      <w:r>
        <w:rPr>
          <w:rFonts w:eastAsia="TimesNewRoman"/>
          <w:szCs w:val="22"/>
          <w:lang w:eastAsia="lt-LT"/>
        </w:rPr>
        <w:t xml:space="preserve"> ir </w:t>
      </w:r>
      <w:proofErr w:type="spellStart"/>
      <w:r>
        <w:rPr>
          <w:rFonts w:eastAsia="TimesNewRoman"/>
          <w:szCs w:val="22"/>
          <w:lang w:eastAsia="lt-LT"/>
        </w:rPr>
        <w:t>simvastatinas</w:t>
      </w:r>
      <w:proofErr w:type="spellEnd"/>
      <w:r>
        <w:rPr>
          <w:rFonts w:eastAsia="TimesNewRoman"/>
          <w:szCs w:val="22"/>
          <w:lang w:eastAsia="lt-LT"/>
        </w:rPr>
        <w:t xml:space="preserve"> įtakos dapagliflozino farmakokinetikai neturi.</w:t>
      </w:r>
    </w:p>
    <w:p w14:paraId="24FD3923" w14:textId="77777777" w:rsidR="00E96E12" w:rsidRDefault="00E96E12">
      <w:pPr>
        <w:autoSpaceDE w:val="0"/>
        <w:autoSpaceDN w:val="0"/>
        <w:adjustRightInd w:val="0"/>
        <w:rPr>
          <w:rFonts w:eastAsia="TimesNewRoman"/>
          <w:szCs w:val="22"/>
          <w:lang w:eastAsia="lt-LT"/>
        </w:rPr>
      </w:pPr>
    </w:p>
    <w:p w14:paraId="2185BC79" w14:textId="77777777" w:rsidR="00E96E12" w:rsidRDefault="00E97765">
      <w:pPr>
        <w:autoSpaceDE w:val="0"/>
        <w:autoSpaceDN w:val="0"/>
        <w:adjustRightInd w:val="0"/>
        <w:rPr>
          <w:rFonts w:eastAsia="TimesNewRoman"/>
          <w:szCs w:val="22"/>
          <w:lang w:eastAsia="lt-LT"/>
        </w:rPr>
      </w:pPr>
      <w:r>
        <w:rPr>
          <w:rFonts w:eastAsia="TimesNewRoman"/>
          <w:szCs w:val="22"/>
          <w:lang w:eastAsia="lt-LT"/>
        </w:rPr>
        <w:lastRenderedPageBreak/>
        <w:t xml:space="preserve">Kartu vartojant </w:t>
      </w:r>
      <w:proofErr w:type="spellStart"/>
      <w:r>
        <w:rPr>
          <w:rFonts w:eastAsia="TimesNewRoman"/>
          <w:szCs w:val="22"/>
          <w:lang w:eastAsia="lt-LT"/>
        </w:rPr>
        <w:t>rifampiciną</w:t>
      </w:r>
      <w:proofErr w:type="spellEnd"/>
      <w:r>
        <w:rPr>
          <w:rFonts w:eastAsia="TimesNewRoman"/>
          <w:szCs w:val="22"/>
          <w:lang w:eastAsia="lt-LT"/>
        </w:rPr>
        <w:t xml:space="preserve">, kuris aktyvina įvairius aktyvius nešiklius ir vaistinių preparatų metabolizmo fermentus, nustatyta 22 % sumažėjusi dapagliflozino sisteminė ekspozicija (AUC), tačiau klinikai reikšmingo poveikio gliukozės išskyrimui su šlapimu per 24 val. nepasireiškė. Dozės koreguoti nerekomenduojama. Taip pat nesitikima klinikai reikšmingo kitų </w:t>
      </w:r>
      <w:proofErr w:type="spellStart"/>
      <w:r>
        <w:rPr>
          <w:rFonts w:eastAsia="TimesNewRoman"/>
          <w:szCs w:val="22"/>
          <w:lang w:eastAsia="lt-LT"/>
        </w:rPr>
        <w:t>induktorių</w:t>
      </w:r>
      <w:proofErr w:type="spellEnd"/>
      <w:r>
        <w:rPr>
          <w:rFonts w:eastAsia="TimesNewRoman"/>
          <w:szCs w:val="22"/>
          <w:lang w:eastAsia="lt-LT"/>
        </w:rPr>
        <w:t xml:space="preserve"> (pvz., </w:t>
      </w:r>
      <w:proofErr w:type="spellStart"/>
      <w:r>
        <w:rPr>
          <w:rFonts w:eastAsia="TimesNewRoman"/>
          <w:szCs w:val="22"/>
          <w:lang w:eastAsia="lt-LT"/>
        </w:rPr>
        <w:t>karbamazepino</w:t>
      </w:r>
      <w:proofErr w:type="spellEnd"/>
      <w:r>
        <w:rPr>
          <w:rFonts w:eastAsia="TimesNewRoman"/>
          <w:szCs w:val="22"/>
          <w:lang w:eastAsia="lt-LT"/>
        </w:rPr>
        <w:t xml:space="preserve">, </w:t>
      </w:r>
      <w:proofErr w:type="spellStart"/>
      <w:r>
        <w:rPr>
          <w:rFonts w:eastAsia="TimesNewRoman"/>
          <w:szCs w:val="22"/>
          <w:lang w:eastAsia="lt-LT"/>
        </w:rPr>
        <w:t>fenitoino</w:t>
      </w:r>
      <w:proofErr w:type="spellEnd"/>
      <w:r>
        <w:rPr>
          <w:rFonts w:eastAsia="TimesNewRoman"/>
          <w:szCs w:val="22"/>
          <w:lang w:eastAsia="lt-LT"/>
        </w:rPr>
        <w:t xml:space="preserve">, </w:t>
      </w:r>
      <w:proofErr w:type="spellStart"/>
      <w:r>
        <w:rPr>
          <w:rFonts w:eastAsia="TimesNewRoman"/>
          <w:szCs w:val="22"/>
          <w:lang w:eastAsia="lt-LT"/>
        </w:rPr>
        <w:t>fenobarbitalio</w:t>
      </w:r>
      <w:proofErr w:type="spellEnd"/>
      <w:r>
        <w:rPr>
          <w:rFonts w:eastAsia="TimesNewRoman"/>
          <w:szCs w:val="22"/>
          <w:lang w:eastAsia="lt-LT"/>
        </w:rPr>
        <w:t>) poveikio.</w:t>
      </w:r>
    </w:p>
    <w:p w14:paraId="229C2FBF" w14:textId="77777777" w:rsidR="00E96E12" w:rsidRDefault="00E96E12">
      <w:pPr>
        <w:autoSpaceDE w:val="0"/>
        <w:autoSpaceDN w:val="0"/>
        <w:adjustRightInd w:val="0"/>
        <w:rPr>
          <w:rFonts w:eastAsia="TimesNewRoman"/>
          <w:szCs w:val="22"/>
          <w:lang w:eastAsia="lt-LT"/>
        </w:rPr>
      </w:pPr>
    </w:p>
    <w:p w14:paraId="5CE0784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Kartu vartojant </w:t>
      </w:r>
      <w:proofErr w:type="spellStart"/>
      <w:r>
        <w:rPr>
          <w:rFonts w:eastAsia="TimesNewRoman"/>
          <w:szCs w:val="22"/>
          <w:lang w:eastAsia="lt-LT"/>
        </w:rPr>
        <w:t>mefenamo</w:t>
      </w:r>
      <w:proofErr w:type="spellEnd"/>
      <w:r>
        <w:rPr>
          <w:rFonts w:eastAsia="TimesNewRoman"/>
          <w:szCs w:val="22"/>
          <w:lang w:eastAsia="lt-LT"/>
        </w:rPr>
        <w:t xml:space="preserve"> rūgštį, kuri slopina UGT1A9, nustatyta 55 % padidėjusi dapagliflozino sisteminė ekspozicija, tačiau klinikai reikšmingo poveikio gliukozės išskyrimui su šlapimu per 24 val. nepasireiškė. Dozės koreguoti nerekomenduojama.</w:t>
      </w:r>
    </w:p>
    <w:p w14:paraId="2A73C125" w14:textId="77777777" w:rsidR="00E96E12" w:rsidRDefault="00E96E12">
      <w:pPr>
        <w:autoSpaceDE w:val="0"/>
        <w:autoSpaceDN w:val="0"/>
        <w:adjustRightInd w:val="0"/>
        <w:rPr>
          <w:rFonts w:eastAsia="TimesNewRoman"/>
          <w:szCs w:val="22"/>
          <w:lang w:eastAsia="lt-LT"/>
        </w:rPr>
      </w:pPr>
    </w:p>
    <w:p w14:paraId="35C5717F"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Dapagliflozino poveikis kitiems vaistiniams preparatams</w:t>
      </w:r>
    </w:p>
    <w:p w14:paraId="729FF2CB" w14:textId="77777777" w:rsidR="00E96E12" w:rsidRDefault="00E96E12">
      <w:pPr>
        <w:autoSpaceDE w:val="0"/>
        <w:autoSpaceDN w:val="0"/>
        <w:adjustRightInd w:val="0"/>
        <w:rPr>
          <w:rFonts w:eastAsia="TimesNewRoman"/>
          <w:szCs w:val="22"/>
          <w:lang w:eastAsia="lt-LT"/>
        </w:rPr>
      </w:pPr>
    </w:p>
    <w:p w14:paraId="7D3257E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Dapagliflozinas gali padidinti ličio išskyrimą per inkstus, todėl gali sumažėti ličio koncentracija kraujyje. Pradėjus vartoti dapaglifloziną ar pakeitus jo dozę, reikia tirti dažniau ličio koncentraciją kraujo serume. Nusiųskite pacientą ličio paskyrusio gydytojo konsultacijai, kad jis stebėtų ličio koncentraciją kraujo serume.</w:t>
      </w:r>
    </w:p>
    <w:p w14:paraId="0F62D9AA" w14:textId="77777777" w:rsidR="00E96E12" w:rsidRDefault="00E96E12">
      <w:pPr>
        <w:autoSpaceDE w:val="0"/>
        <w:autoSpaceDN w:val="0"/>
        <w:adjustRightInd w:val="0"/>
        <w:rPr>
          <w:rFonts w:eastAsia="TimesNewRoman"/>
          <w:szCs w:val="22"/>
          <w:lang w:eastAsia="lt-LT"/>
        </w:rPr>
      </w:pPr>
    </w:p>
    <w:p w14:paraId="5E4510C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Atliktų sąveikos sveikų savanorių organizme tyrimų, kurių dauguma buvo vienkartinės dozės dizaino, metu dapagliflozinas neįtakojo </w:t>
      </w:r>
      <w:proofErr w:type="spellStart"/>
      <w:r>
        <w:rPr>
          <w:rFonts w:eastAsia="TimesNewRoman"/>
          <w:szCs w:val="22"/>
          <w:lang w:eastAsia="lt-LT"/>
        </w:rPr>
        <w:t>metformino</w:t>
      </w:r>
      <w:proofErr w:type="spellEnd"/>
      <w:r>
        <w:rPr>
          <w:rFonts w:eastAsia="TimesNewRoman"/>
          <w:szCs w:val="22"/>
          <w:lang w:eastAsia="lt-LT"/>
        </w:rPr>
        <w:t xml:space="preserve">, </w:t>
      </w:r>
      <w:proofErr w:type="spellStart"/>
      <w:r>
        <w:rPr>
          <w:rFonts w:eastAsia="TimesNewRoman"/>
          <w:szCs w:val="22"/>
          <w:lang w:eastAsia="lt-LT"/>
        </w:rPr>
        <w:t>pioglitazono</w:t>
      </w:r>
      <w:proofErr w:type="spellEnd"/>
      <w:r>
        <w:rPr>
          <w:rFonts w:eastAsia="TimesNewRoman"/>
          <w:szCs w:val="22"/>
          <w:lang w:eastAsia="lt-LT"/>
        </w:rPr>
        <w:t xml:space="preserve">, </w:t>
      </w:r>
      <w:proofErr w:type="spellStart"/>
      <w:r>
        <w:rPr>
          <w:rFonts w:eastAsia="TimesNewRoman"/>
          <w:szCs w:val="22"/>
          <w:lang w:eastAsia="lt-LT"/>
        </w:rPr>
        <w:t>sitagliptino</w:t>
      </w:r>
      <w:proofErr w:type="spellEnd"/>
      <w:r>
        <w:rPr>
          <w:rFonts w:eastAsia="TimesNewRoman"/>
          <w:szCs w:val="22"/>
          <w:lang w:eastAsia="lt-LT"/>
        </w:rPr>
        <w:t xml:space="preserve">, </w:t>
      </w:r>
      <w:proofErr w:type="spellStart"/>
      <w:r>
        <w:rPr>
          <w:rFonts w:eastAsia="TimesNewRoman"/>
          <w:szCs w:val="22"/>
          <w:lang w:eastAsia="lt-LT"/>
        </w:rPr>
        <w:t>glimepirido</w:t>
      </w:r>
      <w:proofErr w:type="spellEnd"/>
      <w:r>
        <w:rPr>
          <w:rFonts w:eastAsia="TimesNewRoman"/>
          <w:szCs w:val="22"/>
          <w:lang w:eastAsia="lt-LT"/>
        </w:rPr>
        <w:t xml:space="preserve">, </w:t>
      </w:r>
      <w:proofErr w:type="spellStart"/>
      <w:r>
        <w:rPr>
          <w:rFonts w:eastAsia="TimesNewRoman"/>
          <w:szCs w:val="22"/>
          <w:lang w:eastAsia="lt-LT"/>
        </w:rPr>
        <w:t>hidrochlorotiazido</w:t>
      </w:r>
      <w:proofErr w:type="spellEnd"/>
      <w:r>
        <w:rPr>
          <w:rFonts w:eastAsia="TimesNewRoman"/>
          <w:szCs w:val="22"/>
          <w:lang w:eastAsia="lt-LT"/>
        </w:rPr>
        <w:t xml:space="preserve">, </w:t>
      </w:r>
      <w:proofErr w:type="spellStart"/>
      <w:r>
        <w:rPr>
          <w:rFonts w:eastAsia="TimesNewRoman"/>
          <w:szCs w:val="22"/>
          <w:lang w:eastAsia="lt-LT"/>
        </w:rPr>
        <w:t>bumetanido</w:t>
      </w:r>
      <w:proofErr w:type="spellEnd"/>
      <w:r>
        <w:rPr>
          <w:rFonts w:eastAsia="TimesNewRoman"/>
          <w:szCs w:val="22"/>
          <w:lang w:eastAsia="lt-LT"/>
        </w:rPr>
        <w:t xml:space="preserve">, </w:t>
      </w:r>
      <w:proofErr w:type="spellStart"/>
      <w:r>
        <w:rPr>
          <w:rFonts w:eastAsia="TimesNewRoman"/>
          <w:szCs w:val="22"/>
          <w:lang w:eastAsia="lt-LT"/>
        </w:rPr>
        <w:t>valsartano</w:t>
      </w:r>
      <w:proofErr w:type="spellEnd"/>
      <w:r>
        <w:rPr>
          <w:rFonts w:eastAsia="TimesNewRoman"/>
          <w:szCs w:val="22"/>
          <w:lang w:eastAsia="lt-LT"/>
        </w:rPr>
        <w:t xml:space="preserve">, </w:t>
      </w:r>
      <w:proofErr w:type="spellStart"/>
      <w:r>
        <w:rPr>
          <w:rFonts w:eastAsia="TimesNewRoman"/>
          <w:szCs w:val="22"/>
          <w:lang w:eastAsia="lt-LT"/>
        </w:rPr>
        <w:t>digoksino</w:t>
      </w:r>
      <w:proofErr w:type="spellEnd"/>
      <w:r>
        <w:rPr>
          <w:rFonts w:eastAsia="TimesNewRoman"/>
          <w:szCs w:val="22"/>
          <w:lang w:eastAsia="lt-LT"/>
        </w:rPr>
        <w:t xml:space="preserve"> (P-</w:t>
      </w:r>
      <w:proofErr w:type="spellStart"/>
      <w:r>
        <w:rPr>
          <w:rFonts w:eastAsia="TimesNewRoman"/>
          <w:szCs w:val="22"/>
          <w:lang w:eastAsia="lt-LT"/>
        </w:rPr>
        <w:t>gp</w:t>
      </w:r>
      <w:proofErr w:type="spellEnd"/>
      <w:r>
        <w:rPr>
          <w:rFonts w:eastAsia="TimesNewRoman"/>
          <w:szCs w:val="22"/>
          <w:lang w:eastAsia="lt-LT"/>
        </w:rPr>
        <w:t xml:space="preserve"> substrato) ir varfarino (S-varfarino, CYP2C9 substrato) farmakokinetikos bei nekeitė </w:t>
      </w:r>
      <w:proofErr w:type="spellStart"/>
      <w:r>
        <w:rPr>
          <w:rFonts w:eastAsia="TimesNewRoman"/>
          <w:szCs w:val="22"/>
          <w:lang w:eastAsia="lt-LT"/>
        </w:rPr>
        <w:t>koaguliaciją</w:t>
      </w:r>
      <w:proofErr w:type="spellEnd"/>
      <w:r>
        <w:rPr>
          <w:rFonts w:eastAsia="TimesNewRoman"/>
          <w:szCs w:val="22"/>
          <w:lang w:eastAsia="lt-LT"/>
        </w:rPr>
        <w:t xml:space="preserve"> slopinančio varfarino poveikio (vertinant pagal tarptautinį normalizuotą santykį). Kartu pavartojus vieną 20 mg dapagliflozino dozę, CYP3A4 substrato </w:t>
      </w:r>
      <w:proofErr w:type="spellStart"/>
      <w:r>
        <w:rPr>
          <w:rFonts w:eastAsia="TimesNewRoman"/>
          <w:szCs w:val="22"/>
          <w:lang w:eastAsia="lt-LT"/>
        </w:rPr>
        <w:t>simvastatino</w:t>
      </w:r>
      <w:proofErr w:type="spellEnd"/>
      <w:r>
        <w:rPr>
          <w:rFonts w:eastAsia="TimesNewRoman"/>
          <w:szCs w:val="22"/>
          <w:lang w:eastAsia="lt-LT"/>
        </w:rPr>
        <w:t xml:space="preserve"> AUC padidėjo 19 %, o </w:t>
      </w:r>
      <w:proofErr w:type="spellStart"/>
      <w:r>
        <w:rPr>
          <w:rFonts w:eastAsia="TimesNewRoman"/>
          <w:szCs w:val="22"/>
          <w:lang w:eastAsia="lt-LT"/>
        </w:rPr>
        <w:t>simvastatino</w:t>
      </w:r>
      <w:proofErr w:type="spellEnd"/>
      <w:r>
        <w:rPr>
          <w:rFonts w:eastAsia="TimesNewRoman"/>
          <w:szCs w:val="22"/>
          <w:lang w:eastAsia="lt-LT"/>
        </w:rPr>
        <w:t xml:space="preserve"> rūgšties AUC – 31 %. Šis </w:t>
      </w:r>
      <w:proofErr w:type="spellStart"/>
      <w:r>
        <w:rPr>
          <w:rFonts w:eastAsia="TimesNewRoman"/>
          <w:szCs w:val="22"/>
          <w:lang w:eastAsia="lt-LT"/>
        </w:rPr>
        <w:t>simvastatino</w:t>
      </w:r>
      <w:proofErr w:type="spellEnd"/>
      <w:r>
        <w:rPr>
          <w:rFonts w:eastAsia="TimesNewRoman"/>
          <w:szCs w:val="22"/>
          <w:lang w:eastAsia="lt-LT"/>
        </w:rPr>
        <w:t xml:space="preserve"> ir </w:t>
      </w:r>
      <w:proofErr w:type="spellStart"/>
      <w:r>
        <w:rPr>
          <w:rFonts w:eastAsia="TimesNewRoman"/>
          <w:szCs w:val="22"/>
          <w:lang w:eastAsia="lt-LT"/>
        </w:rPr>
        <w:t>simvastatino</w:t>
      </w:r>
      <w:proofErr w:type="spellEnd"/>
      <w:r>
        <w:rPr>
          <w:rFonts w:eastAsia="TimesNewRoman"/>
          <w:szCs w:val="22"/>
          <w:lang w:eastAsia="lt-LT"/>
        </w:rPr>
        <w:t xml:space="preserve"> rūgšties ekspozicijos padidėjimas reikšmingu klinikai nelaikomas.</w:t>
      </w:r>
    </w:p>
    <w:p w14:paraId="1AA13062" w14:textId="77777777" w:rsidR="00E96E12" w:rsidRDefault="00E96E12">
      <w:pPr>
        <w:autoSpaceDE w:val="0"/>
        <w:autoSpaceDN w:val="0"/>
        <w:adjustRightInd w:val="0"/>
        <w:rPr>
          <w:rFonts w:eastAsia="TimesNewRoman"/>
          <w:szCs w:val="22"/>
          <w:lang w:eastAsia="lt-LT"/>
        </w:rPr>
      </w:pPr>
    </w:p>
    <w:p w14:paraId="34C9D8C6"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1,5-anhidrogliucitolio (1,5-AG) mėginio duomenų iškraipymas</w:t>
      </w:r>
    </w:p>
    <w:p w14:paraId="3E8DEE1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1,5-AG mėginys </w:t>
      </w:r>
      <w:proofErr w:type="spellStart"/>
      <w:r>
        <w:rPr>
          <w:rFonts w:eastAsia="TimesNewRoman"/>
          <w:szCs w:val="22"/>
          <w:lang w:eastAsia="lt-LT"/>
        </w:rPr>
        <w:t>glikemijos</w:t>
      </w:r>
      <w:proofErr w:type="spellEnd"/>
      <w:r>
        <w:rPr>
          <w:rFonts w:eastAsia="TimesNewRoman"/>
          <w:szCs w:val="22"/>
          <w:lang w:eastAsia="lt-LT"/>
        </w:rPr>
        <w:t xml:space="preserve"> reguliacijai tirti nerekomenduojamas, nes jis neduoda patikimų duomenų, kai vartojama SGLT2 inhibitorių. </w:t>
      </w:r>
      <w:proofErr w:type="spellStart"/>
      <w:r>
        <w:rPr>
          <w:rFonts w:eastAsia="TimesNewRoman"/>
          <w:szCs w:val="22"/>
          <w:lang w:eastAsia="lt-LT"/>
        </w:rPr>
        <w:t>Glikemijos</w:t>
      </w:r>
      <w:proofErr w:type="spellEnd"/>
      <w:r>
        <w:rPr>
          <w:rFonts w:eastAsia="TimesNewRoman"/>
          <w:szCs w:val="22"/>
          <w:lang w:eastAsia="lt-LT"/>
        </w:rPr>
        <w:t xml:space="preserve"> reguliaciją patartina tirti kitais būdais.</w:t>
      </w:r>
    </w:p>
    <w:p w14:paraId="65F47B44" w14:textId="77777777" w:rsidR="00E96E12" w:rsidRDefault="00E96E12">
      <w:pPr>
        <w:autoSpaceDE w:val="0"/>
        <w:autoSpaceDN w:val="0"/>
        <w:adjustRightInd w:val="0"/>
        <w:rPr>
          <w:rFonts w:eastAsia="TimesNewRoman"/>
          <w:szCs w:val="22"/>
          <w:lang w:eastAsia="lt-LT"/>
        </w:rPr>
      </w:pPr>
    </w:p>
    <w:p w14:paraId="6F29CA66"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Vaikų populiacija</w:t>
      </w:r>
    </w:p>
    <w:p w14:paraId="31469E12" w14:textId="77777777" w:rsidR="00E96E12" w:rsidRDefault="00E97765">
      <w:pPr>
        <w:rPr>
          <w:rFonts w:eastAsia="TimesNewRoman"/>
          <w:szCs w:val="22"/>
          <w:lang w:eastAsia="lt-LT"/>
        </w:rPr>
      </w:pPr>
      <w:r>
        <w:rPr>
          <w:rFonts w:eastAsia="TimesNewRoman"/>
          <w:szCs w:val="22"/>
          <w:lang w:eastAsia="lt-LT"/>
        </w:rPr>
        <w:t>Atlikti tik sąveikos suaugusiųjų organizme tyrimai.</w:t>
      </w:r>
    </w:p>
    <w:p w14:paraId="7D2AEB7B" w14:textId="77777777" w:rsidR="00E96E12" w:rsidRDefault="00E96E12">
      <w:pPr>
        <w:rPr>
          <w:b/>
        </w:rPr>
      </w:pPr>
    </w:p>
    <w:p w14:paraId="7298D0CE" w14:textId="77777777" w:rsidR="00E96E12" w:rsidRDefault="00E97765">
      <w:pPr>
        <w:ind w:left="567" w:hanging="567"/>
        <w:rPr>
          <w:b/>
        </w:rPr>
      </w:pPr>
      <w:r>
        <w:rPr>
          <w:b/>
        </w:rPr>
        <w:t>4.6</w:t>
      </w:r>
      <w:r>
        <w:rPr>
          <w:b/>
        </w:rPr>
        <w:tab/>
      </w:r>
      <w:r>
        <w:rPr>
          <w:b/>
          <w:noProof/>
          <w:szCs w:val="22"/>
        </w:rPr>
        <w:t xml:space="preserve">Vaisingumas, </w:t>
      </w:r>
      <w:r>
        <w:rPr>
          <w:b/>
          <w:bCs/>
        </w:rPr>
        <w:t>nėštumo ir žindymo laikotarpis</w:t>
      </w:r>
      <w:r>
        <w:t xml:space="preserve"> </w:t>
      </w:r>
    </w:p>
    <w:p w14:paraId="6B8F6A3E" w14:textId="77777777" w:rsidR="00E96E12" w:rsidRDefault="00E96E12">
      <w:pPr>
        <w:rPr>
          <w:i/>
        </w:rPr>
      </w:pPr>
    </w:p>
    <w:p w14:paraId="77EBACA7"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Nėštumas</w:t>
      </w:r>
    </w:p>
    <w:p w14:paraId="274B84AC" w14:textId="77777777" w:rsidR="00E96E12" w:rsidRDefault="00E96E12">
      <w:pPr>
        <w:autoSpaceDE w:val="0"/>
        <w:autoSpaceDN w:val="0"/>
        <w:adjustRightInd w:val="0"/>
        <w:rPr>
          <w:rFonts w:eastAsia="TimesNewRoman"/>
          <w:szCs w:val="22"/>
          <w:u w:val="single"/>
          <w:lang w:eastAsia="lt-LT"/>
        </w:rPr>
      </w:pPr>
    </w:p>
    <w:p w14:paraId="172D73A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vartojimo nėščioms moterims duomenų nėra. Su žiurkėmis atlikti tyrimai parodė toksinį poveikį besivystantiems inkstams laikotarpiu, atitinkančiu antrą ir trečią žmogaus nėštumo trimestrus (žr. 5.3 skyrių), todėl moterims antrą ir trečią nėštumo trimestrus dapagliflozino vartoti nerekomenduojama.</w:t>
      </w:r>
    </w:p>
    <w:p w14:paraId="45BABE36" w14:textId="77777777" w:rsidR="00E96E12" w:rsidRDefault="00E96E12">
      <w:pPr>
        <w:autoSpaceDE w:val="0"/>
        <w:autoSpaceDN w:val="0"/>
        <w:adjustRightInd w:val="0"/>
        <w:rPr>
          <w:rFonts w:eastAsia="TimesNewRoman"/>
          <w:szCs w:val="22"/>
          <w:lang w:eastAsia="lt-LT"/>
        </w:rPr>
      </w:pPr>
    </w:p>
    <w:p w14:paraId="281FF0B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Nustačius nėštumą, dapagliflozino vartojimą reikia nutraukti.</w:t>
      </w:r>
    </w:p>
    <w:p w14:paraId="6C6260D0" w14:textId="77777777" w:rsidR="00E96E12" w:rsidRDefault="00E96E12">
      <w:pPr>
        <w:autoSpaceDE w:val="0"/>
        <w:autoSpaceDN w:val="0"/>
        <w:adjustRightInd w:val="0"/>
        <w:rPr>
          <w:rFonts w:eastAsia="TimesNewRoman"/>
          <w:szCs w:val="22"/>
          <w:lang w:eastAsia="lt-LT"/>
        </w:rPr>
      </w:pPr>
    </w:p>
    <w:p w14:paraId="1528FE95"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Žindymas</w:t>
      </w:r>
    </w:p>
    <w:p w14:paraId="60BB46B6" w14:textId="77777777" w:rsidR="00E96E12" w:rsidRDefault="00E96E12">
      <w:pPr>
        <w:autoSpaceDE w:val="0"/>
        <w:autoSpaceDN w:val="0"/>
        <w:adjustRightInd w:val="0"/>
        <w:rPr>
          <w:rFonts w:eastAsia="TimesNewRoman"/>
          <w:szCs w:val="22"/>
          <w:lang w:eastAsia="lt-LT"/>
        </w:rPr>
      </w:pPr>
    </w:p>
    <w:p w14:paraId="0B9490E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Ar dapagliflozino ir (arba) jo metabolitų išsiskiria į moters pieną, nežinoma. Turimi farmakodinamikos ir </w:t>
      </w:r>
      <w:proofErr w:type="spellStart"/>
      <w:r>
        <w:rPr>
          <w:rFonts w:eastAsia="TimesNewRoman"/>
          <w:szCs w:val="22"/>
          <w:lang w:eastAsia="lt-LT"/>
        </w:rPr>
        <w:t>toksikologinių</w:t>
      </w:r>
      <w:proofErr w:type="spellEnd"/>
      <w:r>
        <w:rPr>
          <w:rFonts w:eastAsia="TimesNewRoman"/>
          <w:szCs w:val="22"/>
          <w:lang w:eastAsia="lt-LT"/>
        </w:rPr>
        <w:t xml:space="preserve"> gyvūnų tyrimų duomenys rodo dapagliflozino ir (ar) jo metabolitų išskyrimą su pienu bei farmakologinio pobūdžio poveikius žindomiems jaunikliams (žr. 5.3 skyrių). Rizikos naujagimiams ar kūdikiams galimybės atmesti negalima. Žindymo laikotarpiu dapagliflozino vartoti negalima.</w:t>
      </w:r>
    </w:p>
    <w:p w14:paraId="5D86DCA1" w14:textId="77777777" w:rsidR="00E96E12" w:rsidRDefault="00E96E12">
      <w:pPr>
        <w:autoSpaceDE w:val="0"/>
        <w:autoSpaceDN w:val="0"/>
        <w:adjustRightInd w:val="0"/>
        <w:rPr>
          <w:rFonts w:eastAsia="TimesNewRoman"/>
          <w:szCs w:val="22"/>
          <w:lang w:eastAsia="lt-LT"/>
        </w:rPr>
      </w:pPr>
    </w:p>
    <w:p w14:paraId="19CB04FA"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Vaisingumas</w:t>
      </w:r>
    </w:p>
    <w:p w14:paraId="1C8AA14C" w14:textId="77777777" w:rsidR="00E96E12" w:rsidRDefault="00E96E12">
      <w:pPr>
        <w:autoSpaceDE w:val="0"/>
        <w:autoSpaceDN w:val="0"/>
        <w:adjustRightInd w:val="0"/>
        <w:rPr>
          <w:rFonts w:eastAsia="TimesNewRoman"/>
          <w:szCs w:val="22"/>
          <w:lang w:eastAsia="lt-LT"/>
        </w:rPr>
      </w:pPr>
    </w:p>
    <w:p w14:paraId="0D5A961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poveikis žmonių vaisingumui netirtas. Jokia tirta dapagliflozino dozė žiurkių patinų ir patelių vaisingumo neveikė.</w:t>
      </w:r>
    </w:p>
    <w:p w14:paraId="673D7E2C" w14:textId="77777777" w:rsidR="00E96E12" w:rsidRDefault="00E96E12">
      <w:pPr>
        <w:autoSpaceDE w:val="0"/>
        <w:autoSpaceDN w:val="0"/>
        <w:adjustRightInd w:val="0"/>
        <w:rPr>
          <w:rFonts w:eastAsia="TimesNewRoman"/>
          <w:szCs w:val="22"/>
          <w:lang w:eastAsia="lt-LT"/>
        </w:rPr>
      </w:pPr>
    </w:p>
    <w:p w14:paraId="3D1E3B32" w14:textId="77777777" w:rsidR="00E96E12" w:rsidRDefault="00E97765">
      <w:pPr>
        <w:ind w:left="567" w:hanging="567"/>
        <w:rPr>
          <w:b/>
        </w:rPr>
      </w:pPr>
      <w:r>
        <w:rPr>
          <w:b/>
        </w:rPr>
        <w:t>4.7</w:t>
      </w:r>
      <w:r>
        <w:rPr>
          <w:b/>
        </w:rPr>
        <w:tab/>
        <w:t>Poveikis gebėjimui vairuoti ir valdyti mechanizmus</w:t>
      </w:r>
    </w:p>
    <w:p w14:paraId="4BD1C581" w14:textId="77777777" w:rsidR="00E96E12" w:rsidRDefault="00E96E12">
      <w:pPr>
        <w:ind w:left="567" w:hanging="567"/>
      </w:pPr>
    </w:p>
    <w:p w14:paraId="4992C59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Dapagliflozinas gebėjimo vairuoti ir valdyti mechanizmus neveikia arba veikia nereikšmingai. Dapaglifloziną kartu su </w:t>
      </w:r>
      <w:proofErr w:type="spellStart"/>
      <w:r>
        <w:rPr>
          <w:rFonts w:eastAsia="TimesNewRoman"/>
          <w:szCs w:val="22"/>
          <w:lang w:eastAsia="lt-LT"/>
        </w:rPr>
        <w:t>sulfonilurėjos</w:t>
      </w:r>
      <w:proofErr w:type="spellEnd"/>
      <w:r>
        <w:rPr>
          <w:rFonts w:eastAsia="TimesNewRoman"/>
          <w:szCs w:val="22"/>
          <w:lang w:eastAsia="lt-LT"/>
        </w:rPr>
        <w:t xml:space="preserve"> dariniu ar insulinu vartojančius pacientus reikia įspėti apie hipoglikemijos pavojų.</w:t>
      </w:r>
    </w:p>
    <w:p w14:paraId="1EB443D9" w14:textId="77777777" w:rsidR="00E96E12" w:rsidRDefault="00E96E12">
      <w:pPr>
        <w:ind w:left="567" w:hanging="567"/>
      </w:pPr>
    </w:p>
    <w:p w14:paraId="049BA291" w14:textId="77777777" w:rsidR="00E96E12" w:rsidRDefault="00E97765">
      <w:pPr>
        <w:ind w:left="567" w:hanging="567"/>
        <w:rPr>
          <w:b/>
        </w:rPr>
      </w:pPr>
      <w:r>
        <w:rPr>
          <w:b/>
        </w:rPr>
        <w:t>4.8</w:t>
      </w:r>
      <w:r>
        <w:rPr>
          <w:b/>
        </w:rPr>
        <w:tab/>
        <w:t>Nepageidaujamas poveikis</w:t>
      </w:r>
    </w:p>
    <w:p w14:paraId="61B85A22" w14:textId="77777777" w:rsidR="00E96E12" w:rsidRDefault="00E96E12">
      <w:pPr>
        <w:rPr>
          <w:i/>
        </w:rPr>
      </w:pPr>
    </w:p>
    <w:p w14:paraId="7866B2CC"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Saugumo duomenų santrauka</w:t>
      </w:r>
    </w:p>
    <w:p w14:paraId="16E64442" w14:textId="77777777" w:rsidR="00E96E12" w:rsidRDefault="00E96E12">
      <w:pPr>
        <w:autoSpaceDE w:val="0"/>
        <w:autoSpaceDN w:val="0"/>
        <w:adjustRightInd w:val="0"/>
        <w:rPr>
          <w:rFonts w:eastAsia="TimesNewRoman,Italic"/>
          <w:i/>
          <w:iCs/>
          <w:szCs w:val="22"/>
          <w:lang w:eastAsia="lt-LT"/>
        </w:rPr>
      </w:pPr>
    </w:p>
    <w:p w14:paraId="1AD54D1A"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2 tipo cukrinis diabetas</w:t>
      </w:r>
    </w:p>
    <w:p w14:paraId="03FBAFF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2 tipo diabeto klinikinių tyrimų metu dapaglifloziną vartojo daugiau kaip 15 000 pacientų.</w:t>
      </w:r>
    </w:p>
    <w:p w14:paraId="699A888B" w14:textId="77777777" w:rsidR="00E96E12" w:rsidRDefault="00E96E12">
      <w:pPr>
        <w:autoSpaceDE w:val="0"/>
        <w:autoSpaceDN w:val="0"/>
        <w:adjustRightInd w:val="0"/>
        <w:rPr>
          <w:rFonts w:eastAsia="TimesNewRoman"/>
          <w:szCs w:val="22"/>
          <w:lang w:eastAsia="lt-LT"/>
        </w:rPr>
      </w:pPr>
    </w:p>
    <w:p w14:paraId="6875395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Pagrindinis saugumo ir toleravimo vertinimas pagrįstas iš anksto numatyta bendra analize, į kurią įtraukta 13 trumpalaikių (iki 24 savaičių) placebu kontroliuotų tyrimų (jų metu 2360 žmonių vartojo 10 mg dapagliflozino ir 2295 – placebą).</w:t>
      </w:r>
    </w:p>
    <w:p w14:paraId="74251684" w14:textId="77777777" w:rsidR="00E96E12" w:rsidRDefault="00E96E12">
      <w:pPr>
        <w:autoSpaceDE w:val="0"/>
        <w:autoSpaceDN w:val="0"/>
        <w:adjustRightInd w:val="0"/>
        <w:rPr>
          <w:rFonts w:eastAsia="TimesNewRoman"/>
          <w:szCs w:val="22"/>
          <w:lang w:eastAsia="lt-LT"/>
        </w:rPr>
      </w:pPr>
    </w:p>
    <w:p w14:paraId="4DDDBF5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poveikio 2 tipo cukriniu diabetu sergančių pacientų kardiovaskulinėms komplikacijoms tyrimo (DECLARE) metu (žr. 5.1 skyrių) 8 574 pacientai vartojo 10 mg dapagliflozino ir 8 569 – placebą (vartojimo laikotarpio mediana buvo 48 mėn.). Iš viso susidarė 30 623 dapagliflozino vartojimo paciento metai.</w:t>
      </w:r>
    </w:p>
    <w:p w14:paraId="4F0229F9" w14:textId="77777777" w:rsidR="00E96E12" w:rsidRDefault="00E96E12">
      <w:pPr>
        <w:autoSpaceDE w:val="0"/>
        <w:autoSpaceDN w:val="0"/>
        <w:adjustRightInd w:val="0"/>
        <w:rPr>
          <w:rFonts w:eastAsia="TimesNewRoman"/>
          <w:szCs w:val="22"/>
          <w:lang w:eastAsia="lt-LT"/>
        </w:rPr>
      </w:pPr>
    </w:p>
    <w:p w14:paraId="2111063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Nepageidaujamos reakcijos, apie kurias dažniausiai pranešta klinikinių tyrimų metu, buvo genitalijų infekcijos.</w:t>
      </w:r>
    </w:p>
    <w:p w14:paraId="2528D7EE" w14:textId="77777777" w:rsidR="00E96E12" w:rsidRDefault="00E96E12">
      <w:pPr>
        <w:autoSpaceDE w:val="0"/>
        <w:autoSpaceDN w:val="0"/>
        <w:adjustRightInd w:val="0"/>
        <w:rPr>
          <w:rFonts w:eastAsia="TimesNewRoman,Italic"/>
          <w:i/>
          <w:iCs/>
          <w:szCs w:val="22"/>
          <w:lang w:eastAsia="lt-LT"/>
        </w:rPr>
      </w:pPr>
    </w:p>
    <w:p w14:paraId="2AF09EC7"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Širdies nepakankamumas</w:t>
      </w:r>
    </w:p>
    <w:p w14:paraId="6C07FF8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poveikio kardiovaskulinėms baigtims (DAPA-HF) tyrimo metu 2368 pacientai, sirgę širdies nepakankamumu su sumažėjusia išstūmimo frakcija, vartojo 10 mg dapagliflozino, o kiti 2368 – placebą (ekspozicijos trukmės mediana buvo 18 mėn.). Įtraukti 2 tipo cukriniu diabetu sirgę ir cukriniu diabetu nesirgę pacientai, kurių </w:t>
      </w:r>
      <w:proofErr w:type="spellStart"/>
      <w:r>
        <w:rPr>
          <w:rFonts w:eastAsia="TimesNewRoman"/>
          <w:szCs w:val="22"/>
          <w:lang w:eastAsia="lt-LT"/>
        </w:rPr>
        <w:t>aGFG</w:t>
      </w:r>
      <w:proofErr w:type="spellEnd"/>
      <w:r>
        <w:rPr>
          <w:rFonts w:eastAsia="TimesNewRoman"/>
          <w:szCs w:val="22"/>
          <w:lang w:eastAsia="lt-LT"/>
        </w:rPr>
        <w:t xml:space="preserve"> buvo ≥ 30 ml/min./1,73 m</w:t>
      </w:r>
      <w:r>
        <w:rPr>
          <w:rFonts w:eastAsia="TimesNewRoman"/>
          <w:szCs w:val="22"/>
          <w:vertAlign w:val="superscript"/>
          <w:lang w:eastAsia="lt-LT"/>
        </w:rPr>
        <w:t>2</w:t>
      </w:r>
      <w:r>
        <w:rPr>
          <w:rFonts w:eastAsia="TimesNewRoman"/>
          <w:szCs w:val="22"/>
          <w:lang w:eastAsia="lt-LT"/>
        </w:rPr>
        <w:t xml:space="preserve">. Dapagliflozino poveikio širdies nepakankamumu su kairiojo skilvelio išstūmimo frakcija &gt; 40 % sergančių pacientų kardiovaskulinėms komplikacijoms tyrimo (DELIVER) metu 3126 pacientai vartojo 10 mg dapagliflozino ir 3127 pacientai – placebą laikotarpiu, kurio mediana buvo 27 mėn. Įtraukti pacientai, sirgę arba nesirgę 2 tipo cukriniu diabetu, taip pat turėję </w:t>
      </w:r>
      <w:proofErr w:type="spellStart"/>
      <w:r>
        <w:rPr>
          <w:rFonts w:eastAsia="TimesNewRoman"/>
          <w:szCs w:val="22"/>
          <w:lang w:eastAsia="lt-LT"/>
        </w:rPr>
        <w:t>aGFG</w:t>
      </w:r>
      <w:proofErr w:type="spellEnd"/>
      <w:r>
        <w:rPr>
          <w:rFonts w:eastAsia="TimesNewRoman"/>
          <w:szCs w:val="22"/>
          <w:lang w:eastAsia="lt-LT"/>
        </w:rPr>
        <w:t xml:space="preserve"> ≥ 25 ml/min./1,73 m</w:t>
      </w:r>
      <w:r>
        <w:rPr>
          <w:rFonts w:eastAsia="TimesNewRoman"/>
          <w:szCs w:val="22"/>
          <w:vertAlign w:val="superscript"/>
          <w:lang w:eastAsia="lt-LT"/>
        </w:rPr>
        <w:t>2</w:t>
      </w:r>
      <w:r>
        <w:rPr>
          <w:rFonts w:eastAsia="TimesNewRoman"/>
          <w:szCs w:val="22"/>
          <w:lang w:eastAsia="lt-LT"/>
        </w:rPr>
        <w:t>.</w:t>
      </w:r>
    </w:p>
    <w:p w14:paraId="09E3941A" w14:textId="77777777" w:rsidR="00E96E12" w:rsidRDefault="00E96E12">
      <w:pPr>
        <w:autoSpaceDE w:val="0"/>
        <w:autoSpaceDN w:val="0"/>
        <w:adjustRightInd w:val="0"/>
        <w:rPr>
          <w:rFonts w:eastAsia="TimesNewRoman"/>
          <w:szCs w:val="22"/>
          <w:lang w:eastAsia="lt-LT"/>
        </w:rPr>
      </w:pPr>
    </w:p>
    <w:p w14:paraId="7AB54ED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Bendras dapagliflozino saugumo pobūdis širdies nepakankamumu sergantiems pacientams atitiko nustatytą anksčiau.</w:t>
      </w:r>
    </w:p>
    <w:p w14:paraId="189E33B9" w14:textId="77777777" w:rsidR="00E96E12" w:rsidRDefault="00E96E12">
      <w:pPr>
        <w:autoSpaceDE w:val="0"/>
        <w:autoSpaceDN w:val="0"/>
        <w:adjustRightInd w:val="0"/>
        <w:rPr>
          <w:rFonts w:eastAsia="TimesNewRoman,Italic"/>
          <w:i/>
          <w:iCs/>
          <w:szCs w:val="22"/>
          <w:lang w:eastAsia="lt-LT"/>
        </w:rPr>
      </w:pPr>
    </w:p>
    <w:p w14:paraId="0832FAE1"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Lėtinė inkstų liga</w:t>
      </w:r>
    </w:p>
    <w:p w14:paraId="26CF45D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poveikio lėtine inkstų liga sergančių pacientų inkstų baigtims tyrimo (DAPA-CKD) metu 2149 pacientai vartojo 10 mg dapagliflozino ir 2149 – placebą (vartojimo trukmės mediana buvo 27 mėn.). Įtraukta 2 tipo cukriniu diabetu sirgusių ir juo nesirgusių pacientų. Jų </w:t>
      </w:r>
      <w:proofErr w:type="spellStart"/>
      <w:r>
        <w:rPr>
          <w:rFonts w:eastAsia="TimesNewRoman"/>
          <w:szCs w:val="22"/>
          <w:lang w:eastAsia="lt-LT"/>
        </w:rPr>
        <w:t>aGFG</w:t>
      </w:r>
      <w:proofErr w:type="spellEnd"/>
      <w:r>
        <w:rPr>
          <w:rFonts w:eastAsia="TimesNewRoman"/>
          <w:szCs w:val="22"/>
          <w:lang w:eastAsia="lt-LT"/>
        </w:rPr>
        <w:t xml:space="preserve"> buvo nuo ≥ 25 iki ≤ 75 ml/min./1,73 m</w:t>
      </w:r>
      <w:r>
        <w:rPr>
          <w:rFonts w:eastAsia="TimesNewRoman"/>
          <w:szCs w:val="22"/>
          <w:vertAlign w:val="superscript"/>
          <w:lang w:eastAsia="lt-LT"/>
        </w:rPr>
        <w:t>2</w:t>
      </w:r>
      <w:r>
        <w:rPr>
          <w:rFonts w:eastAsia="TimesNewRoman"/>
          <w:szCs w:val="22"/>
          <w:lang w:eastAsia="lt-LT"/>
        </w:rPr>
        <w:t xml:space="preserve">, o </w:t>
      </w:r>
      <w:proofErr w:type="spellStart"/>
      <w:r>
        <w:rPr>
          <w:rFonts w:eastAsia="TimesNewRoman"/>
          <w:szCs w:val="22"/>
          <w:lang w:eastAsia="lt-LT"/>
        </w:rPr>
        <w:t>albuminurija</w:t>
      </w:r>
      <w:proofErr w:type="spellEnd"/>
      <w:r>
        <w:rPr>
          <w:rFonts w:eastAsia="TimesNewRoman"/>
          <w:szCs w:val="22"/>
          <w:lang w:eastAsia="lt-LT"/>
        </w:rPr>
        <w:t xml:space="preserve"> (</w:t>
      </w:r>
      <w:proofErr w:type="spellStart"/>
      <w:r>
        <w:rPr>
          <w:rFonts w:eastAsia="TimesNewRoman"/>
          <w:szCs w:val="22"/>
          <w:lang w:eastAsia="lt-LT"/>
        </w:rPr>
        <w:t>albumino</w:t>
      </w:r>
      <w:proofErr w:type="spellEnd"/>
      <w:r>
        <w:rPr>
          <w:rFonts w:eastAsia="TimesNewRoman"/>
          <w:szCs w:val="22"/>
          <w:lang w:eastAsia="lt-LT"/>
        </w:rPr>
        <w:t xml:space="preserve"> ir kreatinino kiekio šlapime santykis [angl. </w:t>
      </w:r>
      <w:proofErr w:type="spellStart"/>
      <w:r>
        <w:rPr>
          <w:rFonts w:eastAsia="TimesNewRoman,Italic"/>
          <w:i/>
          <w:iCs/>
          <w:szCs w:val="22"/>
          <w:lang w:eastAsia="lt-LT"/>
        </w:rPr>
        <w:t>urine</w:t>
      </w:r>
      <w:proofErr w:type="spellEnd"/>
      <w:r>
        <w:rPr>
          <w:rFonts w:eastAsia="TimesNewRoman,Italic"/>
          <w:i/>
          <w:iCs/>
          <w:szCs w:val="22"/>
          <w:lang w:eastAsia="lt-LT"/>
        </w:rPr>
        <w:t xml:space="preserve"> </w:t>
      </w:r>
      <w:proofErr w:type="spellStart"/>
      <w:r>
        <w:rPr>
          <w:rFonts w:eastAsia="TimesNewRoman,Italic"/>
          <w:i/>
          <w:iCs/>
          <w:szCs w:val="22"/>
          <w:lang w:eastAsia="lt-LT"/>
        </w:rPr>
        <w:t>albumin</w:t>
      </w:r>
      <w:proofErr w:type="spellEnd"/>
      <w:r>
        <w:rPr>
          <w:rFonts w:eastAsia="TimesNewRoman,Italic"/>
          <w:i/>
          <w:iCs/>
          <w:szCs w:val="22"/>
          <w:lang w:eastAsia="lt-LT"/>
        </w:rPr>
        <w:t xml:space="preserve"> </w:t>
      </w:r>
      <w:proofErr w:type="spellStart"/>
      <w:r>
        <w:rPr>
          <w:rFonts w:eastAsia="TimesNewRoman,Italic"/>
          <w:i/>
          <w:iCs/>
          <w:szCs w:val="22"/>
          <w:lang w:eastAsia="lt-LT"/>
        </w:rPr>
        <w:t>creatinine</w:t>
      </w:r>
      <w:proofErr w:type="spellEnd"/>
      <w:r>
        <w:rPr>
          <w:rFonts w:eastAsia="TimesNewRoman,Italic"/>
          <w:i/>
          <w:iCs/>
          <w:szCs w:val="22"/>
          <w:lang w:eastAsia="lt-LT"/>
        </w:rPr>
        <w:t xml:space="preserve"> </w:t>
      </w:r>
      <w:proofErr w:type="spellStart"/>
      <w:r>
        <w:rPr>
          <w:rFonts w:eastAsia="TimesNewRoman,Italic"/>
          <w:i/>
          <w:iCs/>
          <w:szCs w:val="22"/>
          <w:lang w:eastAsia="lt-LT"/>
        </w:rPr>
        <w:t>ratio</w:t>
      </w:r>
      <w:proofErr w:type="spellEnd"/>
      <w:r>
        <w:rPr>
          <w:rFonts w:eastAsia="TimesNewRoman"/>
          <w:szCs w:val="22"/>
          <w:lang w:eastAsia="lt-LT"/>
        </w:rPr>
        <w:t xml:space="preserve">, UACR] – nuo ≥ 200 iki ≤ 5000 mg/g). Gydymas būdavo tęsiamas tol, kol </w:t>
      </w:r>
      <w:proofErr w:type="spellStart"/>
      <w:r>
        <w:rPr>
          <w:rFonts w:eastAsia="TimesNewRoman"/>
          <w:szCs w:val="22"/>
          <w:lang w:eastAsia="lt-LT"/>
        </w:rPr>
        <w:t>aGFG</w:t>
      </w:r>
      <w:proofErr w:type="spellEnd"/>
      <w:r>
        <w:rPr>
          <w:rFonts w:eastAsia="TimesNewRoman"/>
          <w:szCs w:val="22"/>
          <w:lang w:eastAsia="lt-LT"/>
        </w:rPr>
        <w:t xml:space="preserve"> pasiekdavo &lt; 25 ml/min./1,73 m</w:t>
      </w:r>
      <w:r>
        <w:rPr>
          <w:rFonts w:eastAsia="TimesNewRoman"/>
          <w:szCs w:val="22"/>
          <w:vertAlign w:val="superscript"/>
          <w:lang w:eastAsia="lt-LT"/>
        </w:rPr>
        <w:t>2</w:t>
      </w:r>
      <w:r>
        <w:rPr>
          <w:rFonts w:eastAsia="TimesNewRoman"/>
          <w:szCs w:val="22"/>
          <w:lang w:eastAsia="lt-LT"/>
        </w:rPr>
        <w:t>.</w:t>
      </w:r>
    </w:p>
    <w:p w14:paraId="78B6C9C7" w14:textId="77777777" w:rsidR="00E96E12" w:rsidRDefault="00E96E12">
      <w:pPr>
        <w:autoSpaceDE w:val="0"/>
        <w:autoSpaceDN w:val="0"/>
        <w:adjustRightInd w:val="0"/>
        <w:rPr>
          <w:rFonts w:eastAsia="TimesNewRoman"/>
          <w:szCs w:val="22"/>
          <w:lang w:eastAsia="lt-LT"/>
        </w:rPr>
      </w:pPr>
    </w:p>
    <w:p w14:paraId="1767C97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Bendras dapagliflozino saugumo pobūdis lėtine inkstų liga sergantiems pacientams buvo panašus į nustatytą anksčiau.</w:t>
      </w:r>
    </w:p>
    <w:p w14:paraId="03A96CFF" w14:textId="77777777" w:rsidR="00E96E12" w:rsidRDefault="00E96E12">
      <w:pPr>
        <w:autoSpaceDE w:val="0"/>
        <w:autoSpaceDN w:val="0"/>
        <w:adjustRightInd w:val="0"/>
        <w:rPr>
          <w:rFonts w:eastAsia="TimesNewRoman"/>
          <w:szCs w:val="22"/>
          <w:lang w:eastAsia="lt-LT"/>
        </w:rPr>
      </w:pPr>
    </w:p>
    <w:p w14:paraId="15C7290A"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Nepageidaujamų reakcijų sąrašas lentelėse</w:t>
      </w:r>
    </w:p>
    <w:p w14:paraId="147E132B" w14:textId="77777777" w:rsidR="00E96E12" w:rsidRDefault="00E96E12">
      <w:pPr>
        <w:autoSpaceDE w:val="0"/>
        <w:autoSpaceDN w:val="0"/>
        <w:adjustRightInd w:val="0"/>
        <w:rPr>
          <w:rFonts w:eastAsia="TimesNewRoman"/>
          <w:szCs w:val="22"/>
          <w:lang w:eastAsia="lt-LT"/>
        </w:rPr>
      </w:pPr>
    </w:p>
    <w:p w14:paraId="43B2046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Žemiau išvardytos nepageidaujamos reakcijos nustatytos placebu kontroliuojamų klinikinių tyrimų metu ir vaistinį preparatą pateikus į rinką. Nė vienos jų ryšio su doze nenustatyta. Nepageidaujamos reakcijos žemiau sugrupuotos pagal dažnį ir organų sistemų klases. Atvejų dažnis apibūdinamas taip: labai dažnas (</w:t>
      </w:r>
      <w:r>
        <w:rPr>
          <w:szCs w:val="22"/>
        </w:rPr>
        <w:t>≥</w:t>
      </w:r>
      <w:r>
        <w:rPr>
          <w:rFonts w:eastAsia="TimesNewRoman"/>
          <w:szCs w:val="22"/>
          <w:lang w:eastAsia="lt-LT"/>
        </w:rPr>
        <w:t xml:space="preserve"> 1/10), dažnas (</w:t>
      </w:r>
      <w:r>
        <w:rPr>
          <w:szCs w:val="22"/>
        </w:rPr>
        <w:t>≥</w:t>
      </w:r>
      <w:r>
        <w:rPr>
          <w:rFonts w:eastAsia="TimesNewRoman"/>
          <w:szCs w:val="22"/>
          <w:lang w:eastAsia="lt-LT"/>
        </w:rPr>
        <w:t xml:space="preserve"> 1/100 ir &lt; 1/10), nedažnas (</w:t>
      </w:r>
      <w:r>
        <w:rPr>
          <w:szCs w:val="22"/>
        </w:rPr>
        <w:t>≥</w:t>
      </w:r>
      <w:r>
        <w:rPr>
          <w:rFonts w:eastAsia="TimesNewRoman"/>
          <w:szCs w:val="22"/>
          <w:lang w:eastAsia="lt-LT"/>
        </w:rPr>
        <w:t xml:space="preserve"> 1/1000 ir &lt; 1/100), retas (</w:t>
      </w:r>
      <w:r>
        <w:rPr>
          <w:szCs w:val="22"/>
        </w:rPr>
        <w:t>≥</w:t>
      </w:r>
      <w:r>
        <w:rPr>
          <w:rFonts w:eastAsia="TimesNewRoman"/>
          <w:szCs w:val="22"/>
          <w:lang w:eastAsia="lt-LT"/>
        </w:rPr>
        <w:t xml:space="preserve"> 1/10000 ir &lt; 1/1000), labai retas (&lt; 1/10000) ir dažnis nežinomas (negali būti apskaičiuotas pagal turimus duomenis).</w:t>
      </w:r>
    </w:p>
    <w:p w14:paraId="1F5EDA14" w14:textId="77777777" w:rsidR="00E96E12" w:rsidRDefault="00E96E12">
      <w:pPr>
        <w:ind w:left="567" w:hanging="567"/>
        <w:rPr>
          <w:b/>
        </w:rPr>
      </w:pPr>
    </w:p>
    <w:p w14:paraId="14E0E6C4"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lastRenderedPageBreak/>
        <w:t xml:space="preserve">1 lentelė. Nepageidaujamos reakcijos placebu kontroliuojamų klinikinių tyrimų </w:t>
      </w:r>
      <w:proofErr w:type="spellStart"/>
      <w:r>
        <w:rPr>
          <w:rFonts w:eastAsia="TimesNewRoman,Bold"/>
          <w:b/>
          <w:bCs/>
          <w:szCs w:val="22"/>
          <w:lang w:eastAsia="lt-LT"/>
        </w:rPr>
        <w:t>metu</w:t>
      </w:r>
      <w:r>
        <w:rPr>
          <w:rFonts w:eastAsia="TimesNewRoman,Bold"/>
          <w:b/>
          <w:bCs/>
          <w:szCs w:val="22"/>
          <w:vertAlign w:val="superscript"/>
          <w:lang w:eastAsia="lt-LT"/>
        </w:rPr>
        <w:t>a</w:t>
      </w:r>
      <w:proofErr w:type="spellEnd"/>
      <w:r>
        <w:rPr>
          <w:rFonts w:eastAsia="TimesNewRoman,Bold"/>
          <w:b/>
          <w:bCs/>
          <w:sz w:val="14"/>
          <w:szCs w:val="14"/>
          <w:lang w:eastAsia="lt-LT"/>
        </w:rPr>
        <w:t xml:space="preserve"> </w:t>
      </w:r>
      <w:r>
        <w:rPr>
          <w:rFonts w:eastAsia="TimesNewRoman,Bold"/>
          <w:b/>
          <w:bCs/>
          <w:szCs w:val="22"/>
          <w:lang w:eastAsia="lt-LT"/>
        </w:rPr>
        <w:t>ir vaistinį preparatą pateikus į rinką</w:t>
      </w:r>
    </w:p>
    <w:p w14:paraId="1301BB35" w14:textId="77777777" w:rsidR="00E96E12" w:rsidRDefault="00E96E12">
      <w:pPr>
        <w:ind w:left="567" w:hanging="567"/>
        <w:rPr>
          <w:b/>
        </w:rPr>
      </w:pPr>
    </w:p>
    <w:tbl>
      <w:tblPr>
        <w:tblStyle w:val="TableGrid"/>
        <w:tblW w:w="9421" w:type="dxa"/>
        <w:tblInd w:w="-110" w:type="dxa"/>
        <w:tblCellMar>
          <w:top w:w="44" w:type="dxa"/>
          <w:left w:w="106" w:type="dxa"/>
          <w:right w:w="88" w:type="dxa"/>
        </w:tblCellMar>
        <w:tblLook w:val="04A0" w:firstRow="1" w:lastRow="0" w:firstColumn="1" w:lastColumn="0" w:noHBand="0" w:noVBand="1"/>
      </w:tblPr>
      <w:tblGrid>
        <w:gridCol w:w="1348"/>
        <w:gridCol w:w="1470"/>
        <w:gridCol w:w="1586"/>
        <w:gridCol w:w="1741"/>
        <w:gridCol w:w="1429"/>
        <w:gridCol w:w="1854"/>
      </w:tblGrid>
      <w:tr w:rsidR="00E96E12" w14:paraId="6A552C75" w14:textId="77777777">
        <w:trPr>
          <w:trHeight w:val="696"/>
        </w:trPr>
        <w:tc>
          <w:tcPr>
            <w:tcW w:w="1348" w:type="dxa"/>
            <w:tcBorders>
              <w:top w:val="single" w:sz="4" w:space="0" w:color="000000"/>
              <w:left w:val="single" w:sz="4" w:space="0" w:color="000000"/>
              <w:bottom w:val="single" w:sz="4" w:space="0" w:color="000000"/>
              <w:right w:val="single" w:sz="4" w:space="0" w:color="000000"/>
            </w:tcBorders>
          </w:tcPr>
          <w:p w14:paraId="4477971A"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b/>
                <w:szCs w:val="22"/>
              </w:rPr>
              <w:t>Organų</w:t>
            </w:r>
            <w:proofErr w:type="spellEnd"/>
            <w:r>
              <w:rPr>
                <w:rFonts w:ascii="Times New Roman" w:hAnsi="Times New Roman" w:cs="Times New Roman"/>
                <w:b/>
                <w:szCs w:val="22"/>
              </w:rPr>
              <w:t xml:space="preserve"> </w:t>
            </w:r>
            <w:proofErr w:type="spellStart"/>
            <w:r>
              <w:rPr>
                <w:rFonts w:ascii="Times New Roman" w:hAnsi="Times New Roman" w:cs="Times New Roman"/>
                <w:b/>
                <w:szCs w:val="22"/>
              </w:rPr>
              <w:t>sistemų</w:t>
            </w:r>
            <w:proofErr w:type="spellEnd"/>
            <w:r>
              <w:rPr>
                <w:rFonts w:ascii="Times New Roman" w:hAnsi="Times New Roman" w:cs="Times New Roman"/>
                <w:b/>
                <w:szCs w:val="22"/>
              </w:rPr>
              <w:t xml:space="preserve"> </w:t>
            </w:r>
            <w:proofErr w:type="spellStart"/>
            <w:r>
              <w:rPr>
                <w:rFonts w:ascii="Times New Roman" w:hAnsi="Times New Roman" w:cs="Times New Roman"/>
                <w:b/>
                <w:szCs w:val="22"/>
              </w:rPr>
              <w:t>klasė</w:t>
            </w:r>
            <w:proofErr w:type="spellEnd"/>
          </w:p>
        </w:tc>
        <w:tc>
          <w:tcPr>
            <w:tcW w:w="1813" w:type="dxa"/>
            <w:tcBorders>
              <w:top w:val="single" w:sz="4" w:space="0" w:color="000000"/>
              <w:left w:val="single" w:sz="4" w:space="0" w:color="000000"/>
              <w:bottom w:val="single" w:sz="4" w:space="0" w:color="000000"/>
              <w:right w:val="single" w:sz="4" w:space="0" w:color="000000"/>
            </w:tcBorders>
            <w:vAlign w:val="center"/>
          </w:tcPr>
          <w:p w14:paraId="3AEC98C9"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b/>
                <w:szCs w:val="22"/>
              </w:rPr>
              <w:t>Labai</w:t>
            </w:r>
            <w:proofErr w:type="spellEnd"/>
            <w:r>
              <w:rPr>
                <w:rFonts w:ascii="Times New Roman" w:hAnsi="Times New Roman" w:cs="Times New Roman"/>
                <w:b/>
                <w:szCs w:val="22"/>
              </w:rPr>
              <w:t xml:space="preserve"> </w:t>
            </w:r>
            <w:proofErr w:type="spellStart"/>
            <w:r>
              <w:rPr>
                <w:rFonts w:ascii="Times New Roman" w:hAnsi="Times New Roman" w:cs="Times New Roman"/>
                <w:b/>
                <w:szCs w:val="22"/>
              </w:rPr>
              <w:t>dažnas</w:t>
            </w:r>
            <w:proofErr w:type="spellEnd"/>
          </w:p>
        </w:tc>
        <w:tc>
          <w:tcPr>
            <w:tcW w:w="1586" w:type="dxa"/>
            <w:tcBorders>
              <w:top w:val="single" w:sz="4" w:space="0" w:color="000000"/>
              <w:left w:val="single" w:sz="4" w:space="0" w:color="000000"/>
              <w:bottom w:val="single" w:sz="4" w:space="0" w:color="000000"/>
              <w:right w:val="single" w:sz="4" w:space="0" w:color="000000"/>
            </w:tcBorders>
            <w:vAlign w:val="center"/>
          </w:tcPr>
          <w:p w14:paraId="21AE36C8"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b/>
                <w:szCs w:val="22"/>
              </w:rPr>
              <w:t>Dažnas</w:t>
            </w:r>
            <w:proofErr w:type="spellEnd"/>
            <w:r>
              <w:rPr>
                <w:rFonts w:ascii="Times New Roman" w:hAnsi="Times New Roman" w:cs="Times New Roman"/>
                <w:b/>
                <w:szCs w:val="22"/>
                <w:vertAlign w:val="superscript"/>
              </w:rPr>
              <w:t>*</w:t>
            </w:r>
          </w:p>
        </w:tc>
        <w:tc>
          <w:tcPr>
            <w:tcW w:w="1741" w:type="dxa"/>
            <w:tcBorders>
              <w:top w:val="single" w:sz="4" w:space="0" w:color="000000"/>
              <w:left w:val="single" w:sz="4" w:space="0" w:color="000000"/>
              <w:bottom w:val="single" w:sz="4" w:space="0" w:color="000000"/>
              <w:right w:val="single" w:sz="4" w:space="0" w:color="000000"/>
            </w:tcBorders>
            <w:vAlign w:val="center"/>
          </w:tcPr>
          <w:p w14:paraId="33784F61"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b/>
                <w:szCs w:val="22"/>
              </w:rPr>
              <w:t>Nedažnas</w:t>
            </w:r>
            <w:proofErr w:type="spellEnd"/>
            <w:r>
              <w:rPr>
                <w:rFonts w:ascii="Times New Roman" w:hAnsi="Times New Roman" w:cs="Times New Roman"/>
                <w:b/>
                <w:szCs w:val="22"/>
                <w:vertAlign w:val="superscript"/>
              </w:rPr>
              <w:t>**</w:t>
            </w:r>
          </w:p>
        </w:tc>
        <w:tc>
          <w:tcPr>
            <w:tcW w:w="1079" w:type="dxa"/>
            <w:tcBorders>
              <w:top w:val="single" w:sz="4" w:space="0" w:color="000000"/>
              <w:left w:val="single" w:sz="4" w:space="0" w:color="000000"/>
              <w:bottom w:val="single" w:sz="4" w:space="0" w:color="000000"/>
              <w:right w:val="single" w:sz="4" w:space="0" w:color="000000"/>
            </w:tcBorders>
            <w:vAlign w:val="center"/>
          </w:tcPr>
          <w:p w14:paraId="298A02F9" w14:textId="77777777" w:rsidR="00E96E12" w:rsidRDefault="00E97765">
            <w:pPr>
              <w:spacing w:line="259" w:lineRule="auto"/>
              <w:rPr>
                <w:rFonts w:ascii="Times New Roman" w:hAnsi="Times New Roman" w:cs="Times New Roman"/>
                <w:szCs w:val="22"/>
              </w:rPr>
            </w:pPr>
            <w:proofErr w:type="spellStart"/>
            <w:r>
              <w:rPr>
                <w:rFonts w:ascii="Times New Roman" w:hAnsi="Times New Roman" w:cs="Times New Roman"/>
                <w:b/>
                <w:szCs w:val="22"/>
              </w:rPr>
              <w:t>Retas</w:t>
            </w:r>
            <w:proofErr w:type="spellEnd"/>
          </w:p>
        </w:tc>
        <w:tc>
          <w:tcPr>
            <w:tcW w:w="1854" w:type="dxa"/>
            <w:tcBorders>
              <w:top w:val="single" w:sz="4" w:space="0" w:color="000000"/>
              <w:left w:val="single" w:sz="4" w:space="0" w:color="000000"/>
              <w:bottom w:val="single" w:sz="4" w:space="0" w:color="000000"/>
              <w:right w:val="single" w:sz="4" w:space="0" w:color="000000"/>
            </w:tcBorders>
            <w:vAlign w:val="center"/>
          </w:tcPr>
          <w:p w14:paraId="2EA0CFEB"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b/>
                <w:szCs w:val="22"/>
              </w:rPr>
              <w:t>Labai</w:t>
            </w:r>
            <w:proofErr w:type="spellEnd"/>
            <w:r>
              <w:rPr>
                <w:rFonts w:ascii="Times New Roman" w:hAnsi="Times New Roman" w:cs="Times New Roman"/>
                <w:b/>
                <w:szCs w:val="22"/>
              </w:rPr>
              <w:t xml:space="preserve"> </w:t>
            </w:r>
            <w:proofErr w:type="spellStart"/>
            <w:r>
              <w:rPr>
                <w:rFonts w:ascii="Times New Roman" w:hAnsi="Times New Roman" w:cs="Times New Roman"/>
                <w:b/>
                <w:szCs w:val="22"/>
              </w:rPr>
              <w:t>retas</w:t>
            </w:r>
            <w:proofErr w:type="spellEnd"/>
          </w:p>
        </w:tc>
      </w:tr>
      <w:tr w:rsidR="00E96E12" w14:paraId="54F5AC79" w14:textId="77777777">
        <w:trPr>
          <w:trHeight w:val="1392"/>
        </w:trPr>
        <w:tc>
          <w:tcPr>
            <w:tcW w:w="1348" w:type="dxa"/>
            <w:tcBorders>
              <w:top w:val="single" w:sz="4" w:space="0" w:color="000000"/>
              <w:left w:val="single" w:sz="4" w:space="0" w:color="000000"/>
              <w:bottom w:val="single" w:sz="4" w:space="0" w:color="000000"/>
              <w:right w:val="single" w:sz="4" w:space="0" w:color="000000"/>
            </w:tcBorders>
          </w:tcPr>
          <w:p w14:paraId="60976649"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i/>
                <w:szCs w:val="22"/>
              </w:rPr>
              <w:t>Infekcijos</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ir</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infestacijos</w:t>
            </w:r>
            <w:proofErr w:type="spellEnd"/>
          </w:p>
        </w:tc>
        <w:tc>
          <w:tcPr>
            <w:tcW w:w="1813" w:type="dxa"/>
            <w:tcBorders>
              <w:top w:val="single" w:sz="4" w:space="0" w:color="000000"/>
              <w:left w:val="single" w:sz="4" w:space="0" w:color="000000"/>
              <w:bottom w:val="single" w:sz="4" w:space="0" w:color="000000"/>
              <w:right w:val="single" w:sz="4" w:space="0" w:color="000000"/>
            </w:tcBorders>
          </w:tcPr>
          <w:p w14:paraId="2B3BD9EF" w14:textId="77777777" w:rsidR="00E96E12" w:rsidRDefault="00E96E12">
            <w:pPr>
              <w:spacing w:after="160" w:line="259" w:lineRule="auto"/>
              <w:rPr>
                <w:rFonts w:ascii="Times New Roman" w:hAnsi="Times New Roman" w:cs="Times New Roman"/>
                <w:szCs w:val="22"/>
              </w:rPr>
            </w:pPr>
          </w:p>
        </w:tc>
        <w:tc>
          <w:tcPr>
            <w:tcW w:w="1586" w:type="dxa"/>
            <w:tcBorders>
              <w:top w:val="single" w:sz="4" w:space="0" w:color="000000"/>
              <w:left w:val="single" w:sz="4" w:space="0" w:color="000000"/>
              <w:bottom w:val="single" w:sz="4" w:space="0" w:color="000000"/>
              <w:right w:val="single" w:sz="4" w:space="0" w:color="000000"/>
            </w:tcBorders>
          </w:tcPr>
          <w:p w14:paraId="32247061" w14:textId="77777777" w:rsidR="00E96E12" w:rsidRDefault="00E97765">
            <w:pPr>
              <w:spacing w:after="2" w:line="237" w:lineRule="auto"/>
              <w:ind w:left="5"/>
              <w:rPr>
                <w:rFonts w:ascii="Times New Roman" w:hAnsi="Times New Roman" w:cs="Times New Roman"/>
                <w:szCs w:val="22"/>
                <w:lang w:val="pt-PT"/>
              </w:rPr>
            </w:pPr>
            <w:r>
              <w:rPr>
                <w:rFonts w:ascii="Times New Roman" w:hAnsi="Times New Roman" w:cs="Times New Roman"/>
                <w:szCs w:val="22"/>
                <w:lang w:val="pt-PT"/>
              </w:rPr>
              <w:t>Vulvovaginitas, balanitas ir susijusios genitalijų infekcijos</w:t>
            </w:r>
            <w:r>
              <w:rPr>
                <w:rFonts w:ascii="Times New Roman" w:hAnsi="Times New Roman" w:cs="Times New Roman"/>
                <w:szCs w:val="22"/>
                <w:vertAlign w:val="superscript"/>
                <w:lang w:val="pt-PT"/>
              </w:rPr>
              <w:t>*,b,c</w:t>
            </w:r>
            <w:r>
              <w:rPr>
                <w:rFonts w:ascii="Times New Roman" w:hAnsi="Times New Roman" w:cs="Times New Roman"/>
                <w:szCs w:val="22"/>
                <w:lang w:val="pt-PT"/>
              </w:rPr>
              <w:t>, šlapimo takų infekcija</w:t>
            </w:r>
            <w:r>
              <w:rPr>
                <w:rFonts w:ascii="Times New Roman" w:hAnsi="Times New Roman" w:cs="Times New Roman"/>
                <w:szCs w:val="22"/>
                <w:vertAlign w:val="superscript"/>
                <w:lang w:val="pt-PT"/>
              </w:rPr>
              <w:t>*,b,d</w:t>
            </w:r>
          </w:p>
        </w:tc>
        <w:tc>
          <w:tcPr>
            <w:tcW w:w="1741" w:type="dxa"/>
            <w:tcBorders>
              <w:top w:val="single" w:sz="4" w:space="0" w:color="000000"/>
              <w:left w:val="single" w:sz="4" w:space="0" w:color="000000"/>
              <w:bottom w:val="single" w:sz="4" w:space="0" w:color="000000"/>
              <w:right w:val="single" w:sz="4" w:space="0" w:color="000000"/>
            </w:tcBorders>
          </w:tcPr>
          <w:p w14:paraId="3AF808D0"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szCs w:val="22"/>
              </w:rPr>
              <w:t>Grybelinė</w:t>
            </w:r>
            <w:proofErr w:type="spellEnd"/>
            <w:r>
              <w:rPr>
                <w:rFonts w:ascii="Times New Roman" w:hAnsi="Times New Roman" w:cs="Times New Roman"/>
                <w:szCs w:val="22"/>
              </w:rPr>
              <w:t xml:space="preserve"> </w:t>
            </w:r>
            <w:proofErr w:type="spellStart"/>
            <w:r>
              <w:rPr>
                <w:rFonts w:ascii="Times New Roman" w:hAnsi="Times New Roman" w:cs="Times New Roman"/>
                <w:szCs w:val="22"/>
              </w:rPr>
              <w:t>infekcija</w:t>
            </w:r>
            <w:proofErr w:type="spellEnd"/>
            <w:r>
              <w:rPr>
                <w:rFonts w:ascii="Times New Roman" w:hAnsi="Times New Roman" w:cs="Times New Roman"/>
                <w:szCs w:val="22"/>
              </w:rPr>
              <w:t>**</w:t>
            </w:r>
          </w:p>
        </w:tc>
        <w:tc>
          <w:tcPr>
            <w:tcW w:w="1079" w:type="dxa"/>
            <w:tcBorders>
              <w:top w:val="single" w:sz="4" w:space="0" w:color="000000"/>
              <w:left w:val="single" w:sz="4" w:space="0" w:color="000000"/>
              <w:bottom w:val="single" w:sz="4" w:space="0" w:color="000000"/>
              <w:right w:val="single" w:sz="4" w:space="0" w:color="000000"/>
            </w:tcBorders>
          </w:tcPr>
          <w:p w14:paraId="5876E9A7" w14:textId="77777777" w:rsidR="00E96E12" w:rsidRDefault="00E96E12">
            <w:pPr>
              <w:spacing w:after="160" w:line="259" w:lineRule="auto"/>
              <w:rPr>
                <w:rFonts w:ascii="Times New Roman" w:hAnsi="Times New Roman" w:cs="Times New Roman"/>
                <w:szCs w:val="22"/>
              </w:rPr>
            </w:pPr>
          </w:p>
        </w:tc>
        <w:tc>
          <w:tcPr>
            <w:tcW w:w="1854" w:type="dxa"/>
            <w:tcBorders>
              <w:top w:val="single" w:sz="4" w:space="0" w:color="000000"/>
              <w:left w:val="single" w:sz="4" w:space="0" w:color="000000"/>
              <w:bottom w:val="single" w:sz="4" w:space="0" w:color="000000"/>
              <w:right w:val="single" w:sz="4" w:space="0" w:color="000000"/>
            </w:tcBorders>
          </w:tcPr>
          <w:p w14:paraId="64EEA08E" w14:textId="77777777" w:rsidR="00E96E12" w:rsidRDefault="00E97765">
            <w:pPr>
              <w:spacing w:line="237" w:lineRule="auto"/>
              <w:ind w:left="5"/>
              <w:rPr>
                <w:rFonts w:ascii="Times New Roman" w:hAnsi="Times New Roman" w:cs="Times New Roman"/>
                <w:szCs w:val="22"/>
                <w:lang w:val="pt-PT"/>
              </w:rPr>
            </w:pPr>
            <w:r>
              <w:rPr>
                <w:szCs w:val="22"/>
                <w:lang w:val="pt-PT"/>
              </w:rPr>
              <w:t xml:space="preserve">Tarpvietės nekrozuojantis </w:t>
            </w:r>
          </w:p>
          <w:p w14:paraId="31924F37" w14:textId="77777777" w:rsidR="00E96E12" w:rsidRDefault="00E97765">
            <w:pPr>
              <w:spacing w:line="259" w:lineRule="auto"/>
              <w:ind w:left="5"/>
              <w:rPr>
                <w:rFonts w:ascii="Times New Roman" w:hAnsi="Times New Roman" w:cs="Times New Roman"/>
                <w:szCs w:val="22"/>
                <w:lang w:val="pt-PT"/>
              </w:rPr>
            </w:pPr>
            <w:r>
              <w:rPr>
                <w:rFonts w:ascii="Times New Roman" w:hAnsi="Times New Roman" w:cs="Times New Roman"/>
                <w:szCs w:val="22"/>
                <w:lang w:val="pt-PT"/>
              </w:rPr>
              <w:t>fascitas (</w:t>
            </w:r>
            <w:r>
              <w:rPr>
                <w:rFonts w:ascii="Times New Roman" w:hAnsi="Times New Roman" w:cs="Times New Roman"/>
                <w:i/>
                <w:szCs w:val="22"/>
                <w:lang w:val="pt-PT"/>
              </w:rPr>
              <w:t xml:space="preserve">Fournier </w:t>
            </w:r>
            <w:r>
              <w:rPr>
                <w:rFonts w:ascii="Times New Roman" w:hAnsi="Times New Roman" w:cs="Times New Roman"/>
                <w:szCs w:val="22"/>
                <w:lang w:val="pt-PT"/>
              </w:rPr>
              <w:t>gangrena)</w:t>
            </w:r>
            <w:r>
              <w:rPr>
                <w:rFonts w:ascii="Times New Roman" w:hAnsi="Times New Roman" w:cs="Times New Roman"/>
                <w:szCs w:val="22"/>
                <w:vertAlign w:val="superscript"/>
                <w:lang w:val="pt-PT"/>
              </w:rPr>
              <w:t>b,i</w:t>
            </w:r>
          </w:p>
        </w:tc>
      </w:tr>
      <w:tr w:rsidR="00E96E12" w14:paraId="7A305CFA" w14:textId="77777777">
        <w:trPr>
          <w:trHeight w:val="2309"/>
        </w:trPr>
        <w:tc>
          <w:tcPr>
            <w:tcW w:w="1348" w:type="dxa"/>
            <w:tcBorders>
              <w:top w:val="single" w:sz="4" w:space="0" w:color="000000"/>
              <w:left w:val="single" w:sz="4" w:space="0" w:color="000000"/>
              <w:bottom w:val="single" w:sz="4" w:space="0" w:color="000000"/>
              <w:right w:val="single" w:sz="4" w:space="0" w:color="000000"/>
            </w:tcBorders>
          </w:tcPr>
          <w:p w14:paraId="6FE68056"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i/>
                <w:szCs w:val="22"/>
              </w:rPr>
              <w:t>Metabolizmo</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ir</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mitybos</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sutrikimai</w:t>
            </w:r>
            <w:proofErr w:type="spellEnd"/>
          </w:p>
        </w:tc>
        <w:tc>
          <w:tcPr>
            <w:tcW w:w="1813" w:type="dxa"/>
            <w:tcBorders>
              <w:top w:val="single" w:sz="4" w:space="0" w:color="000000"/>
              <w:left w:val="single" w:sz="4" w:space="0" w:color="000000"/>
              <w:bottom w:val="single" w:sz="4" w:space="0" w:color="000000"/>
              <w:right w:val="single" w:sz="4" w:space="0" w:color="000000"/>
            </w:tcBorders>
          </w:tcPr>
          <w:p w14:paraId="78D65009" w14:textId="77777777" w:rsidR="00E96E12" w:rsidRDefault="00E97765">
            <w:pPr>
              <w:spacing w:line="259" w:lineRule="auto"/>
              <w:ind w:left="5"/>
              <w:rPr>
                <w:rFonts w:ascii="Times New Roman" w:hAnsi="Times New Roman" w:cs="Times New Roman"/>
                <w:szCs w:val="22"/>
                <w:lang w:val="pt-PT"/>
              </w:rPr>
            </w:pPr>
            <w:r>
              <w:rPr>
                <w:rFonts w:ascii="Times New Roman" w:hAnsi="Times New Roman" w:cs="Times New Roman"/>
                <w:szCs w:val="22"/>
                <w:lang w:val="pt-PT"/>
              </w:rPr>
              <w:t>Hipoglikemija (vartojant kartu su sulfonilurėjos dariniu ar insulinu)</w:t>
            </w:r>
            <w:r>
              <w:rPr>
                <w:rFonts w:ascii="Times New Roman" w:hAnsi="Times New Roman" w:cs="Times New Roman"/>
                <w:szCs w:val="22"/>
                <w:vertAlign w:val="superscript"/>
                <w:lang w:val="pt-PT"/>
              </w:rPr>
              <w:t>b</w:t>
            </w:r>
          </w:p>
        </w:tc>
        <w:tc>
          <w:tcPr>
            <w:tcW w:w="1586" w:type="dxa"/>
            <w:tcBorders>
              <w:top w:val="single" w:sz="4" w:space="0" w:color="000000"/>
              <w:left w:val="single" w:sz="4" w:space="0" w:color="000000"/>
              <w:bottom w:val="single" w:sz="4" w:space="0" w:color="000000"/>
              <w:right w:val="single" w:sz="4" w:space="0" w:color="000000"/>
            </w:tcBorders>
          </w:tcPr>
          <w:p w14:paraId="50C95F95" w14:textId="77777777" w:rsidR="00E96E12" w:rsidRDefault="00E96E12">
            <w:pPr>
              <w:spacing w:after="160" w:line="259" w:lineRule="auto"/>
              <w:rPr>
                <w:rFonts w:ascii="Times New Roman" w:hAnsi="Times New Roman" w:cs="Times New Roman"/>
                <w:szCs w:val="22"/>
                <w:lang w:val="pt-PT"/>
              </w:rPr>
            </w:pPr>
          </w:p>
        </w:tc>
        <w:tc>
          <w:tcPr>
            <w:tcW w:w="1741" w:type="dxa"/>
            <w:tcBorders>
              <w:top w:val="single" w:sz="4" w:space="0" w:color="000000"/>
              <w:left w:val="single" w:sz="4" w:space="0" w:color="000000"/>
              <w:bottom w:val="single" w:sz="4" w:space="0" w:color="000000"/>
              <w:right w:val="single" w:sz="4" w:space="0" w:color="000000"/>
            </w:tcBorders>
          </w:tcPr>
          <w:p w14:paraId="5864A9C6" w14:textId="77777777" w:rsidR="00E96E12" w:rsidRDefault="00E97765">
            <w:pPr>
              <w:spacing w:line="259" w:lineRule="auto"/>
              <w:ind w:left="5"/>
              <w:rPr>
                <w:rFonts w:ascii="Times New Roman" w:hAnsi="Times New Roman" w:cs="Times New Roman"/>
                <w:szCs w:val="22"/>
                <w:lang w:val="pt-PT"/>
              </w:rPr>
            </w:pPr>
            <w:r>
              <w:rPr>
                <w:rFonts w:ascii="Times New Roman" w:hAnsi="Times New Roman" w:cs="Times New Roman"/>
                <w:szCs w:val="22"/>
                <w:lang w:val="pt-PT"/>
              </w:rPr>
              <w:t>Sumažėjęs kraujo tūris</w:t>
            </w:r>
            <w:r>
              <w:rPr>
                <w:rFonts w:ascii="Times New Roman" w:hAnsi="Times New Roman" w:cs="Times New Roman"/>
                <w:szCs w:val="22"/>
                <w:vertAlign w:val="superscript"/>
                <w:lang w:val="pt-PT"/>
              </w:rPr>
              <w:t>b,e</w:t>
            </w:r>
            <w:r>
              <w:rPr>
                <w:rFonts w:ascii="Times New Roman" w:hAnsi="Times New Roman" w:cs="Times New Roman"/>
                <w:szCs w:val="22"/>
                <w:lang w:val="pt-PT"/>
              </w:rPr>
              <w:t xml:space="preserve">, troškulys </w:t>
            </w:r>
            <w:r>
              <w:rPr>
                <w:rFonts w:ascii="Times New Roman" w:hAnsi="Times New Roman" w:cs="Times New Roman"/>
                <w:szCs w:val="22"/>
                <w:vertAlign w:val="superscript"/>
                <w:lang w:val="pt-PT"/>
              </w:rPr>
              <w:t>**</w:t>
            </w:r>
          </w:p>
        </w:tc>
        <w:tc>
          <w:tcPr>
            <w:tcW w:w="1079" w:type="dxa"/>
            <w:tcBorders>
              <w:top w:val="single" w:sz="4" w:space="0" w:color="000000"/>
              <w:left w:val="single" w:sz="4" w:space="0" w:color="000000"/>
              <w:bottom w:val="single" w:sz="4" w:space="0" w:color="000000"/>
              <w:right w:val="single" w:sz="4" w:space="0" w:color="000000"/>
            </w:tcBorders>
          </w:tcPr>
          <w:p w14:paraId="28D1F82F" w14:textId="77777777" w:rsidR="00E96E12" w:rsidRDefault="00E97765">
            <w:pPr>
              <w:spacing w:line="237" w:lineRule="auto"/>
              <w:rPr>
                <w:rFonts w:ascii="Times New Roman" w:hAnsi="Times New Roman" w:cs="Times New Roman"/>
                <w:szCs w:val="22"/>
                <w:lang w:val="pt-PT"/>
              </w:rPr>
            </w:pPr>
            <w:r>
              <w:rPr>
                <w:rFonts w:ascii="Times New Roman" w:hAnsi="Times New Roman" w:cs="Times New Roman"/>
                <w:szCs w:val="22"/>
                <w:lang w:val="pt-PT"/>
              </w:rPr>
              <w:t>diabetinė ketoacid ozė (vartojant 2 tipocukriniam diabetui gydyti)</w:t>
            </w:r>
            <w:r>
              <w:rPr>
                <w:rFonts w:ascii="Times New Roman" w:hAnsi="Times New Roman" w:cs="Times New Roman"/>
                <w:szCs w:val="22"/>
                <w:vertAlign w:val="superscript"/>
                <w:lang w:val="pt-PT"/>
              </w:rPr>
              <w:t>b,i,k</w:t>
            </w:r>
          </w:p>
        </w:tc>
        <w:tc>
          <w:tcPr>
            <w:tcW w:w="1854" w:type="dxa"/>
            <w:tcBorders>
              <w:top w:val="single" w:sz="4" w:space="0" w:color="000000"/>
              <w:left w:val="single" w:sz="4" w:space="0" w:color="000000"/>
              <w:bottom w:val="single" w:sz="4" w:space="0" w:color="000000"/>
              <w:right w:val="single" w:sz="4" w:space="0" w:color="000000"/>
            </w:tcBorders>
          </w:tcPr>
          <w:p w14:paraId="1A2AE217" w14:textId="77777777" w:rsidR="00E96E12" w:rsidRDefault="00E96E12">
            <w:pPr>
              <w:spacing w:after="160" w:line="259" w:lineRule="auto"/>
              <w:rPr>
                <w:rFonts w:ascii="Times New Roman" w:hAnsi="Times New Roman" w:cs="Times New Roman"/>
                <w:szCs w:val="22"/>
                <w:lang w:val="pt-PT"/>
              </w:rPr>
            </w:pPr>
          </w:p>
        </w:tc>
      </w:tr>
      <w:tr w:rsidR="00E96E12" w14:paraId="22502AE0" w14:textId="77777777">
        <w:trPr>
          <w:trHeight w:val="701"/>
        </w:trPr>
        <w:tc>
          <w:tcPr>
            <w:tcW w:w="1348" w:type="dxa"/>
            <w:tcBorders>
              <w:top w:val="single" w:sz="4" w:space="0" w:color="000000"/>
              <w:left w:val="single" w:sz="4" w:space="0" w:color="000000"/>
              <w:bottom w:val="single" w:sz="4" w:space="0" w:color="000000"/>
              <w:right w:val="single" w:sz="4" w:space="0" w:color="000000"/>
            </w:tcBorders>
          </w:tcPr>
          <w:p w14:paraId="2C6BCDBF"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i/>
                <w:szCs w:val="22"/>
              </w:rPr>
              <w:t>Nervų</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sistemos</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sutrikimai</w:t>
            </w:r>
            <w:proofErr w:type="spellEnd"/>
          </w:p>
        </w:tc>
        <w:tc>
          <w:tcPr>
            <w:tcW w:w="1813" w:type="dxa"/>
            <w:tcBorders>
              <w:top w:val="single" w:sz="4" w:space="0" w:color="000000"/>
              <w:left w:val="single" w:sz="4" w:space="0" w:color="000000"/>
              <w:bottom w:val="single" w:sz="4" w:space="0" w:color="000000"/>
              <w:right w:val="single" w:sz="4" w:space="0" w:color="000000"/>
            </w:tcBorders>
          </w:tcPr>
          <w:p w14:paraId="3EC0D3A8" w14:textId="77777777" w:rsidR="00E96E12" w:rsidRDefault="00E96E12">
            <w:pPr>
              <w:spacing w:after="160" w:line="259" w:lineRule="auto"/>
              <w:rPr>
                <w:rFonts w:ascii="Times New Roman" w:hAnsi="Times New Roman" w:cs="Times New Roman"/>
                <w:szCs w:val="22"/>
              </w:rPr>
            </w:pPr>
          </w:p>
        </w:tc>
        <w:tc>
          <w:tcPr>
            <w:tcW w:w="1586" w:type="dxa"/>
            <w:tcBorders>
              <w:top w:val="single" w:sz="4" w:space="0" w:color="000000"/>
              <w:left w:val="single" w:sz="4" w:space="0" w:color="000000"/>
              <w:bottom w:val="single" w:sz="4" w:space="0" w:color="000000"/>
              <w:right w:val="single" w:sz="4" w:space="0" w:color="000000"/>
            </w:tcBorders>
          </w:tcPr>
          <w:p w14:paraId="0684A183" w14:textId="77777777" w:rsidR="00E96E12" w:rsidRDefault="00E97765">
            <w:pPr>
              <w:spacing w:line="259" w:lineRule="auto"/>
              <w:ind w:left="5"/>
              <w:rPr>
                <w:rFonts w:ascii="Times New Roman" w:hAnsi="Times New Roman" w:cs="Times New Roman"/>
                <w:szCs w:val="22"/>
              </w:rPr>
            </w:pPr>
            <w:r>
              <w:rPr>
                <w:rFonts w:ascii="Times New Roman" w:hAnsi="Times New Roman" w:cs="Times New Roman"/>
                <w:szCs w:val="22"/>
              </w:rPr>
              <w:t xml:space="preserve">Galvos </w:t>
            </w:r>
            <w:proofErr w:type="spellStart"/>
            <w:r>
              <w:rPr>
                <w:rFonts w:ascii="Times New Roman" w:hAnsi="Times New Roman" w:cs="Times New Roman"/>
                <w:szCs w:val="22"/>
              </w:rPr>
              <w:t>svaigimas</w:t>
            </w:r>
            <w:proofErr w:type="spellEnd"/>
          </w:p>
        </w:tc>
        <w:tc>
          <w:tcPr>
            <w:tcW w:w="1741" w:type="dxa"/>
            <w:tcBorders>
              <w:top w:val="single" w:sz="4" w:space="0" w:color="000000"/>
              <w:left w:val="single" w:sz="4" w:space="0" w:color="000000"/>
              <w:bottom w:val="single" w:sz="4" w:space="0" w:color="000000"/>
              <w:right w:val="single" w:sz="4" w:space="0" w:color="000000"/>
            </w:tcBorders>
          </w:tcPr>
          <w:p w14:paraId="2934CB06" w14:textId="77777777" w:rsidR="00E96E12" w:rsidRDefault="00E96E12">
            <w:pPr>
              <w:spacing w:after="160" w:line="259" w:lineRule="auto"/>
              <w:rPr>
                <w:rFonts w:ascii="Times New Roman" w:hAnsi="Times New Roman" w:cs="Times New Roman"/>
                <w:szCs w:val="22"/>
              </w:rPr>
            </w:pPr>
          </w:p>
        </w:tc>
        <w:tc>
          <w:tcPr>
            <w:tcW w:w="1079" w:type="dxa"/>
            <w:tcBorders>
              <w:top w:val="single" w:sz="4" w:space="0" w:color="000000"/>
              <w:left w:val="single" w:sz="4" w:space="0" w:color="000000"/>
              <w:bottom w:val="single" w:sz="4" w:space="0" w:color="000000"/>
              <w:right w:val="single" w:sz="4" w:space="0" w:color="000000"/>
            </w:tcBorders>
          </w:tcPr>
          <w:p w14:paraId="695D7401" w14:textId="77777777" w:rsidR="00E96E12" w:rsidRDefault="00E96E12">
            <w:pPr>
              <w:spacing w:after="160" w:line="259" w:lineRule="auto"/>
              <w:rPr>
                <w:rFonts w:ascii="Times New Roman" w:hAnsi="Times New Roman" w:cs="Times New Roman"/>
                <w:szCs w:val="22"/>
              </w:rPr>
            </w:pPr>
          </w:p>
        </w:tc>
        <w:tc>
          <w:tcPr>
            <w:tcW w:w="1854" w:type="dxa"/>
            <w:tcBorders>
              <w:top w:val="single" w:sz="4" w:space="0" w:color="000000"/>
              <w:left w:val="single" w:sz="4" w:space="0" w:color="000000"/>
              <w:bottom w:val="single" w:sz="4" w:space="0" w:color="000000"/>
              <w:right w:val="single" w:sz="4" w:space="0" w:color="000000"/>
            </w:tcBorders>
          </w:tcPr>
          <w:p w14:paraId="41382780" w14:textId="77777777" w:rsidR="00E96E12" w:rsidRDefault="00E96E12">
            <w:pPr>
              <w:spacing w:after="160" w:line="259" w:lineRule="auto"/>
              <w:rPr>
                <w:rFonts w:ascii="Times New Roman" w:hAnsi="Times New Roman" w:cs="Times New Roman"/>
                <w:szCs w:val="22"/>
              </w:rPr>
            </w:pPr>
          </w:p>
        </w:tc>
      </w:tr>
      <w:tr w:rsidR="00E96E12" w14:paraId="62F0E83B" w14:textId="77777777">
        <w:trPr>
          <w:trHeight w:val="701"/>
        </w:trPr>
        <w:tc>
          <w:tcPr>
            <w:tcW w:w="1348" w:type="dxa"/>
            <w:tcBorders>
              <w:top w:val="single" w:sz="4" w:space="0" w:color="000000"/>
              <w:left w:val="single" w:sz="4" w:space="0" w:color="000000"/>
              <w:bottom w:val="single" w:sz="4" w:space="0" w:color="000000"/>
              <w:right w:val="single" w:sz="4" w:space="0" w:color="000000"/>
            </w:tcBorders>
          </w:tcPr>
          <w:p w14:paraId="788990E3"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i/>
                <w:szCs w:val="22"/>
              </w:rPr>
              <w:t>Virškinimo</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trakto</w:t>
            </w:r>
            <w:proofErr w:type="spellEnd"/>
            <w:r>
              <w:rPr>
                <w:rFonts w:ascii="Times New Roman" w:hAnsi="Times New Roman" w:cs="Times New Roman"/>
                <w:i/>
                <w:szCs w:val="22"/>
              </w:rPr>
              <w:t xml:space="preserve"> </w:t>
            </w:r>
            <w:proofErr w:type="spellStart"/>
            <w:r>
              <w:rPr>
                <w:rFonts w:ascii="Times New Roman" w:hAnsi="Times New Roman" w:cs="Times New Roman"/>
                <w:i/>
                <w:szCs w:val="22"/>
              </w:rPr>
              <w:t>sutrikimai</w:t>
            </w:r>
            <w:proofErr w:type="spellEnd"/>
          </w:p>
        </w:tc>
        <w:tc>
          <w:tcPr>
            <w:tcW w:w="1813" w:type="dxa"/>
            <w:tcBorders>
              <w:top w:val="single" w:sz="4" w:space="0" w:color="000000"/>
              <w:left w:val="single" w:sz="4" w:space="0" w:color="000000"/>
              <w:bottom w:val="single" w:sz="4" w:space="0" w:color="000000"/>
              <w:right w:val="single" w:sz="4" w:space="0" w:color="000000"/>
            </w:tcBorders>
          </w:tcPr>
          <w:p w14:paraId="50885989" w14:textId="77777777" w:rsidR="00E96E12" w:rsidRDefault="00E96E12">
            <w:pPr>
              <w:spacing w:after="160" w:line="259" w:lineRule="auto"/>
              <w:rPr>
                <w:rFonts w:ascii="Times New Roman" w:hAnsi="Times New Roman" w:cs="Times New Roman"/>
                <w:szCs w:val="22"/>
              </w:rPr>
            </w:pPr>
          </w:p>
        </w:tc>
        <w:tc>
          <w:tcPr>
            <w:tcW w:w="1586" w:type="dxa"/>
            <w:tcBorders>
              <w:top w:val="single" w:sz="4" w:space="0" w:color="000000"/>
              <w:left w:val="single" w:sz="4" w:space="0" w:color="000000"/>
              <w:bottom w:val="single" w:sz="4" w:space="0" w:color="000000"/>
              <w:right w:val="single" w:sz="4" w:space="0" w:color="000000"/>
            </w:tcBorders>
          </w:tcPr>
          <w:p w14:paraId="19DFCD64" w14:textId="77777777" w:rsidR="00E96E12" w:rsidRDefault="00E96E12">
            <w:pPr>
              <w:spacing w:after="160" w:line="259" w:lineRule="auto"/>
              <w:rPr>
                <w:rFonts w:ascii="Times New Roman" w:hAnsi="Times New Roman" w:cs="Times New Roman"/>
                <w:szCs w:val="22"/>
              </w:rPr>
            </w:pPr>
          </w:p>
        </w:tc>
        <w:tc>
          <w:tcPr>
            <w:tcW w:w="1741" w:type="dxa"/>
            <w:tcBorders>
              <w:top w:val="single" w:sz="4" w:space="0" w:color="000000"/>
              <w:left w:val="single" w:sz="4" w:space="0" w:color="000000"/>
              <w:bottom w:val="single" w:sz="4" w:space="0" w:color="000000"/>
              <w:right w:val="single" w:sz="4" w:space="0" w:color="000000"/>
            </w:tcBorders>
          </w:tcPr>
          <w:p w14:paraId="39D72908" w14:textId="77777777" w:rsidR="00E96E12" w:rsidRDefault="00E97765">
            <w:pPr>
              <w:spacing w:line="259" w:lineRule="auto"/>
              <w:ind w:left="5" w:right="11"/>
              <w:rPr>
                <w:rFonts w:ascii="Times New Roman" w:hAnsi="Times New Roman" w:cs="Times New Roman"/>
                <w:szCs w:val="22"/>
              </w:rPr>
            </w:pPr>
            <w:proofErr w:type="spellStart"/>
            <w:r>
              <w:rPr>
                <w:rFonts w:ascii="Times New Roman" w:hAnsi="Times New Roman" w:cs="Times New Roman"/>
                <w:szCs w:val="22"/>
              </w:rPr>
              <w:t>Vidurių</w:t>
            </w:r>
            <w:proofErr w:type="spellEnd"/>
            <w:r>
              <w:rPr>
                <w:rFonts w:ascii="Times New Roman" w:hAnsi="Times New Roman" w:cs="Times New Roman"/>
                <w:szCs w:val="22"/>
              </w:rPr>
              <w:t xml:space="preserve"> </w:t>
            </w:r>
            <w:proofErr w:type="spellStart"/>
            <w:r>
              <w:rPr>
                <w:rFonts w:ascii="Times New Roman" w:hAnsi="Times New Roman" w:cs="Times New Roman"/>
                <w:szCs w:val="22"/>
              </w:rPr>
              <w:t>užkietėjimas</w:t>
            </w:r>
            <w:proofErr w:type="spellEnd"/>
            <w:r>
              <w:rPr>
                <w:rFonts w:ascii="Times New Roman" w:hAnsi="Times New Roman" w:cs="Times New Roman"/>
                <w:szCs w:val="22"/>
                <w:vertAlign w:val="superscript"/>
              </w:rPr>
              <w:t>**</w:t>
            </w:r>
            <w:r>
              <w:rPr>
                <w:rFonts w:ascii="Times New Roman" w:hAnsi="Times New Roman" w:cs="Times New Roman"/>
                <w:szCs w:val="22"/>
              </w:rPr>
              <w:t xml:space="preserve">, </w:t>
            </w:r>
            <w:proofErr w:type="spellStart"/>
            <w:r>
              <w:rPr>
                <w:rFonts w:ascii="Times New Roman" w:hAnsi="Times New Roman" w:cs="Times New Roman"/>
                <w:szCs w:val="22"/>
              </w:rPr>
              <w:t>sausa</w:t>
            </w:r>
            <w:proofErr w:type="spellEnd"/>
            <w:r>
              <w:rPr>
                <w:rFonts w:ascii="Times New Roman" w:hAnsi="Times New Roman" w:cs="Times New Roman"/>
                <w:szCs w:val="22"/>
              </w:rPr>
              <w:t xml:space="preserve"> </w:t>
            </w:r>
            <w:proofErr w:type="spellStart"/>
            <w:r>
              <w:rPr>
                <w:rFonts w:ascii="Times New Roman" w:hAnsi="Times New Roman" w:cs="Times New Roman"/>
                <w:szCs w:val="22"/>
              </w:rPr>
              <w:t>burna</w:t>
            </w:r>
            <w:proofErr w:type="spellEnd"/>
            <w:r>
              <w:rPr>
                <w:rFonts w:ascii="Times New Roman" w:hAnsi="Times New Roman" w:cs="Times New Roman"/>
                <w:szCs w:val="22"/>
                <w:vertAlign w:val="superscript"/>
              </w:rPr>
              <w:t>**</w:t>
            </w:r>
          </w:p>
        </w:tc>
        <w:tc>
          <w:tcPr>
            <w:tcW w:w="1079" w:type="dxa"/>
            <w:tcBorders>
              <w:top w:val="single" w:sz="4" w:space="0" w:color="000000"/>
              <w:left w:val="single" w:sz="4" w:space="0" w:color="000000"/>
              <w:bottom w:val="single" w:sz="4" w:space="0" w:color="000000"/>
              <w:right w:val="single" w:sz="4" w:space="0" w:color="000000"/>
            </w:tcBorders>
          </w:tcPr>
          <w:p w14:paraId="0E4DD820" w14:textId="77777777" w:rsidR="00E96E12" w:rsidRDefault="00E96E12">
            <w:pPr>
              <w:spacing w:after="160" w:line="259" w:lineRule="auto"/>
              <w:rPr>
                <w:rFonts w:ascii="Times New Roman" w:hAnsi="Times New Roman" w:cs="Times New Roman"/>
                <w:szCs w:val="22"/>
              </w:rPr>
            </w:pPr>
          </w:p>
        </w:tc>
        <w:tc>
          <w:tcPr>
            <w:tcW w:w="1854" w:type="dxa"/>
            <w:tcBorders>
              <w:top w:val="single" w:sz="4" w:space="0" w:color="000000"/>
              <w:left w:val="single" w:sz="4" w:space="0" w:color="000000"/>
              <w:bottom w:val="single" w:sz="4" w:space="0" w:color="000000"/>
              <w:right w:val="single" w:sz="4" w:space="0" w:color="000000"/>
            </w:tcBorders>
          </w:tcPr>
          <w:p w14:paraId="5B68EA49" w14:textId="77777777" w:rsidR="00E96E12" w:rsidRDefault="00E96E12">
            <w:pPr>
              <w:spacing w:after="160" w:line="259" w:lineRule="auto"/>
              <w:rPr>
                <w:rFonts w:ascii="Times New Roman" w:hAnsi="Times New Roman" w:cs="Times New Roman"/>
                <w:szCs w:val="22"/>
              </w:rPr>
            </w:pPr>
          </w:p>
        </w:tc>
      </w:tr>
      <w:tr w:rsidR="00E96E12" w14:paraId="31CF063D" w14:textId="77777777">
        <w:trPr>
          <w:trHeight w:val="931"/>
        </w:trPr>
        <w:tc>
          <w:tcPr>
            <w:tcW w:w="1348" w:type="dxa"/>
            <w:tcBorders>
              <w:top w:val="single" w:sz="4" w:space="0" w:color="000000"/>
              <w:left w:val="single" w:sz="4" w:space="0" w:color="000000"/>
              <w:bottom w:val="single" w:sz="4" w:space="0" w:color="000000"/>
              <w:right w:val="single" w:sz="4" w:space="0" w:color="000000"/>
            </w:tcBorders>
          </w:tcPr>
          <w:p w14:paraId="4F0A06FC" w14:textId="77777777" w:rsidR="00E96E12" w:rsidRDefault="00E97765">
            <w:pPr>
              <w:spacing w:line="259" w:lineRule="auto"/>
              <w:ind w:left="5"/>
              <w:rPr>
                <w:rFonts w:ascii="Times New Roman" w:hAnsi="Times New Roman" w:cs="Times New Roman"/>
                <w:szCs w:val="22"/>
                <w:lang w:val="pt-PT"/>
              </w:rPr>
            </w:pPr>
            <w:r>
              <w:rPr>
                <w:rFonts w:ascii="Times New Roman" w:hAnsi="Times New Roman" w:cs="Times New Roman"/>
                <w:i/>
                <w:szCs w:val="22"/>
                <w:lang w:val="pt-PT"/>
              </w:rPr>
              <w:t>Odos ir poodinio audinio sutrikimai</w:t>
            </w:r>
          </w:p>
        </w:tc>
        <w:tc>
          <w:tcPr>
            <w:tcW w:w="1813" w:type="dxa"/>
            <w:tcBorders>
              <w:top w:val="single" w:sz="4" w:space="0" w:color="000000"/>
              <w:left w:val="single" w:sz="4" w:space="0" w:color="000000"/>
              <w:bottom w:val="single" w:sz="4" w:space="0" w:color="000000"/>
              <w:right w:val="single" w:sz="4" w:space="0" w:color="000000"/>
            </w:tcBorders>
          </w:tcPr>
          <w:p w14:paraId="4EBACC6F" w14:textId="77777777" w:rsidR="00E96E12" w:rsidRDefault="00E96E12">
            <w:pPr>
              <w:spacing w:after="160" w:line="259" w:lineRule="auto"/>
              <w:rPr>
                <w:rFonts w:ascii="Times New Roman" w:hAnsi="Times New Roman" w:cs="Times New Roman"/>
                <w:szCs w:val="22"/>
                <w:lang w:val="pt-PT"/>
              </w:rPr>
            </w:pPr>
          </w:p>
        </w:tc>
        <w:tc>
          <w:tcPr>
            <w:tcW w:w="1586" w:type="dxa"/>
            <w:tcBorders>
              <w:top w:val="single" w:sz="4" w:space="0" w:color="000000"/>
              <w:left w:val="single" w:sz="4" w:space="0" w:color="000000"/>
              <w:bottom w:val="single" w:sz="4" w:space="0" w:color="000000"/>
              <w:right w:val="single" w:sz="4" w:space="0" w:color="000000"/>
            </w:tcBorders>
          </w:tcPr>
          <w:p w14:paraId="6F41A4D3"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szCs w:val="22"/>
              </w:rPr>
              <w:t>Išbėrimas</w:t>
            </w:r>
            <w:r>
              <w:rPr>
                <w:rFonts w:ascii="Times New Roman" w:hAnsi="Times New Roman" w:cs="Times New Roman"/>
                <w:szCs w:val="22"/>
                <w:vertAlign w:val="superscript"/>
              </w:rPr>
              <w:t>j</w:t>
            </w:r>
            <w:proofErr w:type="spellEnd"/>
          </w:p>
        </w:tc>
        <w:tc>
          <w:tcPr>
            <w:tcW w:w="1741" w:type="dxa"/>
            <w:tcBorders>
              <w:top w:val="single" w:sz="4" w:space="0" w:color="000000"/>
              <w:left w:val="single" w:sz="4" w:space="0" w:color="000000"/>
              <w:bottom w:val="single" w:sz="4" w:space="0" w:color="000000"/>
              <w:right w:val="single" w:sz="4" w:space="0" w:color="000000"/>
            </w:tcBorders>
          </w:tcPr>
          <w:p w14:paraId="445D1F13" w14:textId="77777777" w:rsidR="00E96E12" w:rsidRDefault="00E96E12">
            <w:pPr>
              <w:spacing w:after="160" w:line="259" w:lineRule="auto"/>
              <w:rPr>
                <w:rFonts w:ascii="Times New Roman" w:hAnsi="Times New Roman" w:cs="Times New Roman"/>
                <w:szCs w:val="22"/>
              </w:rPr>
            </w:pPr>
          </w:p>
        </w:tc>
        <w:tc>
          <w:tcPr>
            <w:tcW w:w="1079" w:type="dxa"/>
            <w:tcBorders>
              <w:top w:val="single" w:sz="4" w:space="0" w:color="000000"/>
              <w:left w:val="single" w:sz="4" w:space="0" w:color="000000"/>
              <w:bottom w:val="single" w:sz="4" w:space="0" w:color="000000"/>
              <w:right w:val="single" w:sz="4" w:space="0" w:color="000000"/>
            </w:tcBorders>
          </w:tcPr>
          <w:p w14:paraId="437DEF73" w14:textId="77777777" w:rsidR="00E96E12" w:rsidRDefault="00E96E12">
            <w:pPr>
              <w:spacing w:after="160" w:line="259" w:lineRule="auto"/>
              <w:rPr>
                <w:rFonts w:ascii="Times New Roman" w:hAnsi="Times New Roman" w:cs="Times New Roman"/>
                <w:szCs w:val="22"/>
              </w:rPr>
            </w:pPr>
          </w:p>
        </w:tc>
        <w:tc>
          <w:tcPr>
            <w:tcW w:w="1854" w:type="dxa"/>
            <w:tcBorders>
              <w:top w:val="single" w:sz="4" w:space="0" w:color="000000"/>
              <w:left w:val="single" w:sz="4" w:space="0" w:color="000000"/>
              <w:bottom w:val="single" w:sz="4" w:space="0" w:color="000000"/>
              <w:right w:val="single" w:sz="4" w:space="0" w:color="000000"/>
            </w:tcBorders>
          </w:tcPr>
          <w:p w14:paraId="5157D68F" w14:textId="77777777" w:rsidR="00E96E12" w:rsidRDefault="00E97765">
            <w:pPr>
              <w:spacing w:line="259" w:lineRule="auto"/>
              <w:ind w:left="5"/>
              <w:rPr>
                <w:rFonts w:ascii="Times New Roman" w:hAnsi="Times New Roman" w:cs="Times New Roman"/>
                <w:szCs w:val="22"/>
              </w:rPr>
            </w:pPr>
            <w:r>
              <w:rPr>
                <w:rFonts w:ascii="Times New Roman" w:hAnsi="Times New Roman" w:cs="Times New Roman"/>
                <w:szCs w:val="22"/>
              </w:rPr>
              <w:t>Angioedema</w:t>
            </w:r>
          </w:p>
        </w:tc>
      </w:tr>
      <w:tr w:rsidR="00E96E12" w14:paraId="5AB3E1E2" w14:textId="77777777">
        <w:trPr>
          <w:trHeight w:val="1157"/>
        </w:trPr>
        <w:tc>
          <w:tcPr>
            <w:tcW w:w="1348" w:type="dxa"/>
            <w:tcBorders>
              <w:top w:val="single" w:sz="4" w:space="0" w:color="000000"/>
              <w:left w:val="single" w:sz="4" w:space="0" w:color="000000"/>
              <w:bottom w:val="single" w:sz="4" w:space="0" w:color="000000"/>
              <w:right w:val="single" w:sz="4" w:space="0" w:color="000000"/>
            </w:tcBorders>
          </w:tcPr>
          <w:p w14:paraId="6E2F2747" w14:textId="77777777" w:rsidR="00E96E12" w:rsidRDefault="00E97765">
            <w:pPr>
              <w:spacing w:line="259" w:lineRule="auto"/>
              <w:ind w:left="5"/>
              <w:rPr>
                <w:rFonts w:ascii="Times New Roman" w:hAnsi="Times New Roman" w:cs="Times New Roman"/>
                <w:szCs w:val="22"/>
                <w:lang w:val="pt-PT"/>
              </w:rPr>
            </w:pPr>
            <w:r>
              <w:rPr>
                <w:rFonts w:ascii="Times New Roman" w:hAnsi="Times New Roman" w:cs="Times New Roman"/>
                <w:i/>
                <w:szCs w:val="22"/>
                <w:lang w:val="pt-PT"/>
              </w:rPr>
              <w:t>Skeleto, raumenų ir jungiamojo audinio sutrikimai</w:t>
            </w:r>
          </w:p>
        </w:tc>
        <w:tc>
          <w:tcPr>
            <w:tcW w:w="1813" w:type="dxa"/>
            <w:tcBorders>
              <w:top w:val="single" w:sz="4" w:space="0" w:color="000000"/>
              <w:left w:val="single" w:sz="4" w:space="0" w:color="000000"/>
              <w:bottom w:val="single" w:sz="4" w:space="0" w:color="000000"/>
              <w:right w:val="single" w:sz="4" w:space="0" w:color="000000"/>
            </w:tcBorders>
          </w:tcPr>
          <w:p w14:paraId="2202B5D2" w14:textId="77777777" w:rsidR="00E96E12" w:rsidRDefault="00E96E12">
            <w:pPr>
              <w:spacing w:after="160" w:line="259" w:lineRule="auto"/>
              <w:rPr>
                <w:rFonts w:ascii="Times New Roman" w:hAnsi="Times New Roman" w:cs="Times New Roman"/>
                <w:szCs w:val="22"/>
                <w:lang w:val="pt-PT"/>
              </w:rPr>
            </w:pPr>
          </w:p>
        </w:tc>
        <w:tc>
          <w:tcPr>
            <w:tcW w:w="1586" w:type="dxa"/>
            <w:tcBorders>
              <w:top w:val="single" w:sz="4" w:space="0" w:color="000000"/>
              <w:left w:val="single" w:sz="4" w:space="0" w:color="000000"/>
              <w:bottom w:val="single" w:sz="4" w:space="0" w:color="000000"/>
              <w:right w:val="single" w:sz="4" w:space="0" w:color="000000"/>
            </w:tcBorders>
          </w:tcPr>
          <w:p w14:paraId="5D0609D6"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szCs w:val="22"/>
              </w:rPr>
              <w:t>Nugaros</w:t>
            </w:r>
            <w:proofErr w:type="spellEnd"/>
            <w:r>
              <w:rPr>
                <w:rFonts w:ascii="Times New Roman" w:hAnsi="Times New Roman" w:cs="Times New Roman"/>
                <w:szCs w:val="22"/>
              </w:rPr>
              <w:t xml:space="preserve"> </w:t>
            </w:r>
            <w:proofErr w:type="spellStart"/>
            <w:r>
              <w:rPr>
                <w:rFonts w:ascii="Times New Roman" w:hAnsi="Times New Roman" w:cs="Times New Roman"/>
                <w:szCs w:val="22"/>
              </w:rPr>
              <w:t>skausmas</w:t>
            </w:r>
            <w:proofErr w:type="spellEnd"/>
            <w:r>
              <w:rPr>
                <w:rFonts w:ascii="Times New Roman" w:hAnsi="Times New Roman" w:cs="Times New Roman"/>
                <w:szCs w:val="22"/>
              </w:rPr>
              <w:t>*</w:t>
            </w:r>
          </w:p>
        </w:tc>
        <w:tc>
          <w:tcPr>
            <w:tcW w:w="1741" w:type="dxa"/>
            <w:tcBorders>
              <w:top w:val="single" w:sz="4" w:space="0" w:color="000000"/>
              <w:left w:val="single" w:sz="4" w:space="0" w:color="000000"/>
              <w:bottom w:val="single" w:sz="4" w:space="0" w:color="000000"/>
              <w:right w:val="single" w:sz="4" w:space="0" w:color="000000"/>
            </w:tcBorders>
          </w:tcPr>
          <w:p w14:paraId="4BB43AB2" w14:textId="77777777" w:rsidR="00E96E12" w:rsidRDefault="00E96E12">
            <w:pPr>
              <w:spacing w:after="160" w:line="259" w:lineRule="auto"/>
              <w:rPr>
                <w:rFonts w:ascii="Times New Roman" w:hAnsi="Times New Roman" w:cs="Times New Roman"/>
                <w:szCs w:val="22"/>
              </w:rPr>
            </w:pPr>
          </w:p>
        </w:tc>
        <w:tc>
          <w:tcPr>
            <w:tcW w:w="1079" w:type="dxa"/>
            <w:tcBorders>
              <w:top w:val="single" w:sz="4" w:space="0" w:color="000000"/>
              <w:left w:val="single" w:sz="4" w:space="0" w:color="000000"/>
              <w:bottom w:val="single" w:sz="4" w:space="0" w:color="000000"/>
              <w:right w:val="single" w:sz="4" w:space="0" w:color="000000"/>
            </w:tcBorders>
          </w:tcPr>
          <w:p w14:paraId="5C3CA457" w14:textId="77777777" w:rsidR="00E96E12" w:rsidRDefault="00E96E12">
            <w:pPr>
              <w:spacing w:after="160" w:line="259" w:lineRule="auto"/>
              <w:rPr>
                <w:rFonts w:ascii="Times New Roman" w:hAnsi="Times New Roman" w:cs="Times New Roman"/>
                <w:szCs w:val="22"/>
              </w:rPr>
            </w:pPr>
          </w:p>
        </w:tc>
        <w:tc>
          <w:tcPr>
            <w:tcW w:w="1854" w:type="dxa"/>
            <w:tcBorders>
              <w:top w:val="single" w:sz="4" w:space="0" w:color="000000"/>
              <w:left w:val="single" w:sz="4" w:space="0" w:color="000000"/>
              <w:bottom w:val="single" w:sz="4" w:space="0" w:color="000000"/>
              <w:right w:val="single" w:sz="4" w:space="0" w:color="000000"/>
            </w:tcBorders>
          </w:tcPr>
          <w:p w14:paraId="1D798A1B" w14:textId="77777777" w:rsidR="00E96E12" w:rsidRDefault="00E96E12">
            <w:pPr>
              <w:spacing w:after="160" w:line="259" w:lineRule="auto"/>
              <w:rPr>
                <w:rFonts w:ascii="Times New Roman" w:hAnsi="Times New Roman" w:cs="Times New Roman"/>
                <w:szCs w:val="22"/>
              </w:rPr>
            </w:pPr>
          </w:p>
        </w:tc>
      </w:tr>
      <w:tr w:rsidR="00E96E12" w14:paraId="7B3496C7" w14:textId="77777777">
        <w:trPr>
          <w:trHeight w:val="701"/>
        </w:trPr>
        <w:tc>
          <w:tcPr>
            <w:tcW w:w="1348" w:type="dxa"/>
            <w:tcBorders>
              <w:top w:val="single" w:sz="4" w:space="0" w:color="000000"/>
              <w:left w:val="single" w:sz="4" w:space="0" w:color="000000"/>
              <w:bottom w:val="single" w:sz="4" w:space="0" w:color="000000"/>
              <w:right w:val="single" w:sz="4" w:space="0" w:color="000000"/>
            </w:tcBorders>
          </w:tcPr>
          <w:p w14:paraId="41ED7E28" w14:textId="77777777" w:rsidR="00E96E12" w:rsidRDefault="00E97765">
            <w:pPr>
              <w:spacing w:line="259" w:lineRule="auto"/>
              <w:ind w:left="5"/>
              <w:rPr>
                <w:rFonts w:ascii="Times New Roman" w:hAnsi="Times New Roman" w:cs="Times New Roman"/>
                <w:szCs w:val="22"/>
                <w:lang w:val="pt-PT"/>
              </w:rPr>
            </w:pPr>
            <w:r>
              <w:rPr>
                <w:rFonts w:ascii="Times New Roman" w:hAnsi="Times New Roman" w:cs="Times New Roman"/>
                <w:i/>
                <w:szCs w:val="22"/>
                <w:lang w:val="pt-PT"/>
              </w:rPr>
              <w:t>Inkstų ir šlapimo takų sutrikimai</w:t>
            </w:r>
          </w:p>
        </w:tc>
        <w:tc>
          <w:tcPr>
            <w:tcW w:w="1813" w:type="dxa"/>
            <w:tcBorders>
              <w:top w:val="single" w:sz="4" w:space="0" w:color="000000"/>
              <w:left w:val="single" w:sz="4" w:space="0" w:color="000000"/>
              <w:bottom w:val="single" w:sz="4" w:space="0" w:color="000000"/>
              <w:right w:val="single" w:sz="4" w:space="0" w:color="000000"/>
            </w:tcBorders>
          </w:tcPr>
          <w:p w14:paraId="4F0DA351" w14:textId="77777777" w:rsidR="00E96E12" w:rsidRDefault="00E96E12">
            <w:pPr>
              <w:spacing w:after="160" w:line="259" w:lineRule="auto"/>
              <w:rPr>
                <w:rFonts w:ascii="Times New Roman" w:hAnsi="Times New Roman" w:cs="Times New Roman"/>
                <w:szCs w:val="22"/>
                <w:lang w:val="pt-PT"/>
              </w:rPr>
            </w:pPr>
          </w:p>
        </w:tc>
        <w:tc>
          <w:tcPr>
            <w:tcW w:w="1586" w:type="dxa"/>
            <w:tcBorders>
              <w:top w:val="single" w:sz="4" w:space="0" w:color="000000"/>
              <w:left w:val="single" w:sz="4" w:space="0" w:color="000000"/>
              <w:bottom w:val="single" w:sz="4" w:space="0" w:color="000000"/>
              <w:right w:val="single" w:sz="4" w:space="0" w:color="000000"/>
            </w:tcBorders>
          </w:tcPr>
          <w:p w14:paraId="593F2BA6"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szCs w:val="22"/>
              </w:rPr>
              <w:t>Dizurija</w:t>
            </w:r>
            <w:proofErr w:type="spellEnd"/>
            <w:r>
              <w:rPr>
                <w:rFonts w:ascii="Times New Roman" w:hAnsi="Times New Roman" w:cs="Times New Roman"/>
                <w:szCs w:val="22"/>
              </w:rPr>
              <w:t xml:space="preserve">, </w:t>
            </w:r>
            <w:proofErr w:type="spellStart"/>
            <w:r>
              <w:rPr>
                <w:rFonts w:ascii="Times New Roman" w:hAnsi="Times New Roman" w:cs="Times New Roman"/>
                <w:szCs w:val="22"/>
              </w:rPr>
              <w:t>poliurija</w:t>
            </w:r>
            <w:proofErr w:type="spellEnd"/>
            <w:proofErr w:type="gramStart"/>
            <w:r>
              <w:rPr>
                <w:rFonts w:ascii="Times New Roman" w:hAnsi="Times New Roman" w:cs="Times New Roman"/>
                <w:szCs w:val="22"/>
              </w:rPr>
              <w:t>*,</w:t>
            </w:r>
            <w:r>
              <w:rPr>
                <w:rFonts w:ascii="Times New Roman" w:hAnsi="Times New Roman" w:cs="Times New Roman"/>
                <w:szCs w:val="22"/>
                <w:vertAlign w:val="superscript"/>
              </w:rPr>
              <w:t>f</w:t>
            </w:r>
            <w:proofErr w:type="gramEnd"/>
          </w:p>
        </w:tc>
        <w:tc>
          <w:tcPr>
            <w:tcW w:w="1741" w:type="dxa"/>
            <w:tcBorders>
              <w:top w:val="single" w:sz="4" w:space="0" w:color="000000"/>
              <w:left w:val="single" w:sz="4" w:space="0" w:color="000000"/>
              <w:bottom w:val="single" w:sz="4" w:space="0" w:color="000000"/>
              <w:right w:val="single" w:sz="4" w:space="0" w:color="000000"/>
            </w:tcBorders>
          </w:tcPr>
          <w:p w14:paraId="677A553F"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szCs w:val="22"/>
              </w:rPr>
              <w:t>Nokturija</w:t>
            </w:r>
            <w:proofErr w:type="spellEnd"/>
            <w:r>
              <w:rPr>
                <w:rFonts w:ascii="Times New Roman" w:hAnsi="Times New Roman" w:cs="Times New Roman"/>
                <w:szCs w:val="22"/>
                <w:vertAlign w:val="superscript"/>
              </w:rPr>
              <w:t>**</w:t>
            </w:r>
          </w:p>
        </w:tc>
        <w:tc>
          <w:tcPr>
            <w:tcW w:w="1079" w:type="dxa"/>
            <w:tcBorders>
              <w:top w:val="single" w:sz="4" w:space="0" w:color="000000"/>
              <w:left w:val="single" w:sz="4" w:space="0" w:color="000000"/>
              <w:bottom w:val="single" w:sz="4" w:space="0" w:color="000000"/>
              <w:right w:val="single" w:sz="4" w:space="0" w:color="000000"/>
            </w:tcBorders>
          </w:tcPr>
          <w:p w14:paraId="5B2538D6" w14:textId="77777777" w:rsidR="00E96E12" w:rsidRDefault="00E96E12">
            <w:pPr>
              <w:spacing w:after="160" w:line="259" w:lineRule="auto"/>
              <w:rPr>
                <w:rFonts w:ascii="Times New Roman" w:hAnsi="Times New Roman" w:cs="Times New Roman"/>
                <w:szCs w:val="22"/>
              </w:rPr>
            </w:pPr>
          </w:p>
        </w:tc>
        <w:tc>
          <w:tcPr>
            <w:tcW w:w="1854" w:type="dxa"/>
            <w:tcBorders>
              <w:top w:val="single" w:sz="4" w:space="0" w:color="000000"/>
              <w:left w:val="single" w:sz="4" w:space="0" w:color="000000"/>
              <w:bottom w:val="single" w:sz="4" w:space="0" w:color="000000"/>
              <w:right w:val="single" w:sz="4" w:space="0" w:color="000000"/>
            </w:tcBorders>
          </w:tcPr>
          <w:p w14:paraId="3E02599C"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szCs w:val="22"/>
              </w:rPr>
              <w:t>Tubulointersticinis</w:t>
            </w:r>
            <w:proofErr w:type="spellEnd"/>
            <w:r>
              <w:rPr>
                <w:rFonts w:ascii="Times New Roman" w:hAnsi="Times New Roman" w:cs="Times New Roman"/>
                <w:szCs w:val="22"/>
              </w:rPr>
              <w:t xml:space="preserve"> </w:t>
            </w:r>
            <w:proofErr w:type="spellStart"/>
            <w:r>
              <w:rPr>
                <w:rFonts w:ascii="Times New Roman" w:hAnsi="Times New Roman" w:cs="Times New Roman"/>
                <w:szCs w:val="22"/>
              </w:rPr>
              <w:t>nefritas</w:t>
            </w:r>
            <w:proofErr w:type="spellEnd"/>
          </w:p>
        </w:tc>
      </w:tr>
      <w:tr w:rsidR="00E96E12" w14:paraId="11A6927E" w14:textId="77777777">
        <w:trPr>
          <w:trHeight w:val="931"/>
        </w:trPr>
        <w:tc>
          <w:tcPr>
            <w:tcW w:w="1348" w:type="dxa"/>
            <w:tcBorders>
              <w:top w:val="single" w:sz="4" w:space="0" w:color="000000"/>
              <w:left w:val="single" w:sz="4" w:space="0" w:color="000000"/>
              <w:bottom w:val="single" w:sz="4" w:space="0" w:color="000000"/>
              <w:right w:val="single" w:sz="4" w:space="0" w:color="000000"/>
            </w:tcBorders>
          </w:tcPr>
          <w:p w14:paraId="2B8939B8" w14:textId="77777777" w:rsidR="00E96E12" w:rsidRDefault="00E97765">
            <w:pPr>
              <w:spacing w:line="259" w:lineRule="auto"/>
              <w:ind w:left="5"/>
              <w:rPr>
                <w:rFonts w:ascii="Times New Roman" w:hAnsi="Times New Roman" w:cs="Times New Roman"/>
                <w:szCs w:val="22"/>
                <w:lang w:val="pt-PT"/>
              </w:rPr>
            </w:pPr>
            <w:r>
              <w:rPr>
                <w:rFonts w:ascii="Times New Roman" w:hAnsi="Times New Roman" w:cs="Times New Roman"/>
                <w:i/>
                <w:szCs w:val="22"/>
                <w:lang w:val="pt-PT"/>
              </w:rPr>
              <w:t>Lytinės sistemos ir krūties sutrikimai</w:t>
            </w:r>
          </w:p>
        </w:tc>
        <w:tc>
          <w:tcPr>
            <w:tcW w:w="1813" w:type="dxa"/>
            <w:tcBorders>
              <w:top w:val="single" w:sz="4" w:space="0" w:color="000000"/>
              <w:left w:val="single" w:sz="4" w:space="0" w:color="000000"/>
              <w:bottom w:val="single" w:sz="4" w:space="0" w:color="000000"/>
              <w:right w:val="single" w:sz="4" w:space="0" w:color="000000"/>
            </w:tcBorders>
          </w:tcPr>
          <w:p w14:paraId="4A781133" w14:textId="77777777" w:rsidR="00E96E12" w:rsidRDefault="00E96E12">
            <w:pPr>
              <w:spacing w:after="160" w:line="259" w:lineRule="auto"/>
              <w:rPr>
                <w:rFonts w:ascii="Times New Roman" w:hAnsi="Times New Roman" w:cs="Times New Roman"/>
                <w:szCs w:val="22"/>
                <w:lang w:val="pt-PT"/>
              </w:rPr>
            </w:pPr>
          </w:p>
        </w:tc>
        <w:tc>
          <w:tcPr>
            <w:tcW w:w="1586" w:type="dxa"/>
            <w:tcBorders>
              <w:top w:val="single" w:sz="4" w:space="0" w:color="000000"/>
              <w:left w:val="single" w:sz="4" w:space="0" w:color="000000"/>
              <w:bottom w:val="single" w:sz="4" w:space="0" w:color="000000"/>
              <w:right w:val="single" w:sz="4" w:space="0" w:color="000000"/>
            </w:tcBorders>
          </w:tcPr>
          <w:p w14:paraId="7B38A4B2" w14:textId="77777777" w:rsidR="00E96E12" w:rsidRDefault="00E96E12">
            <w:pPr>
              <w:spacing w:after="160" w:line="259" w:lineRule="auto"/>
              <w:rPr>
                <w:rFonts w:ascii="Times New Roman" w:hAnsi="Times New Roman" w:cs="Times New Roman"/>
                <w:szCs w:val="22"/>
                <w:lang w:val="pt-PT"/>
              </w:rPr>
            </w:pPr>
          </w:p>
        </w:tc>
        <w:tc>
          <w:tcPr>
            <w:tcW w:w="1741" w:type="dxa"/>
            <w:tcBorders>
              <w:top w:val="single" w:sz="4" w:space="0" w:color="000000"/>
              <w:left w:val="single" w:sz="4" w:space="0" w:color="000000"/>
              <w:bottom w:val="single" w:sz="4" w:space="0" w:color="000000"/>
              <w:right w:val="single" w:sz="4" w:space="0" w:color="000000"/>
            </w:tcBorders>
          </w:tcPr>
          <w:p w14:paraId="47133255" w14:textId="77777777" w:rsidR="00E96E12" w:rsidRDefault="00E97765">
            <w:pPr>
              <w:spacing w:line="259" w:lineRule="auto"/>
              <w:ind w:left="5" w:right="39"/>
              <w:jc w:val="both"/>
              <w:rPr>
                <w:rFonts w:ascii="Times New Roman" w:hAnsi="Times New Roman" w:cs="Times New Roman"/>
                <w:szCs w:val="22"/>
              </w:rPr>
            </w:pPr>
            <w:proofErr w:type="spellStart"/>
            <w:r>
              <w:rPr>
                <w:rFonts w:ascii="Times New Roman" w:hAnsi="Times New Roman" w:cs="Times New Roman"/>
                <w:szCs w:val="22"/>
              </w:rPr>
              <w:t>Vulvovaginalinis</w:t>
            </w:r>
            <w:proofErr w:type="spellEnd"/>
            <w:r>
              <w:rPr>
                <w:rFonts w:ascii="Times New Roman" w:hAnsi="Times New Roman" w:cs="Times New Roman"/>
                <w:szCs w:val="22"/>
              </w:rPr>
              <w:t xml:space="preserve"> </w:t>
            </w:r>
            <w:proofErr w:type="spellStart"/>
            <w:r>
              <w:rPr>
                <w:rFonts w:ascii="Times New Roman" w:hAnsi="Times New Roman" w:cs="Times New Roman"/>
                <w:szCs w:val="22"/>
              </w:rPr>
              <w:t>niežulys</w:t>
            </w:r>
            <w:proofErr w:type="spellEnd"/>
            <w:r>
              <w:rPr>
                <w:rFonts w:ascii="Times New Roman" w:hAnsi="Times New Roman" w:cs="Times New Roman"/>
                <w:szCs w:val="22"/>
                <w:vertAlign w:val="superscript"/>
              </w:rPr>
              <w:t>**</w:t>
            </w:r>
            <w:r>
              <w:rPr>
                <w:rFonts w:ascii="Times New Roman" w:hAnsi="Times New Roman" w:cs="Times New Roman"/>
                <w:szCs w:val="22"/>
              </w:rPr>
              <w:t xml:space="preserve">, </w:t>
            </w:r>
            <w:proofErr w:type="spellStart"/>
            <w:r>
              <w:rPr>
                <w:rFonts w:ascii="Times New Roman" w:hAnsi="Times New Roman" w:cs="Times New Roman"/>
                <w:szCs w:val="22"/>
              </w:rPr>
              <w:t>genitalijų</w:t>
            </w:r>
            <w:proofErr w:type="spellEnd"/>
            <w:r>
              <w:rPr>
                <w:rFonts w:ascii="Times New Roman" w:hAnsi="Times New Roman" w:cs="Times New Roman"/>
                <w:szCs w:val="22"/>
              </w:rPr>
              <w:t xml:space="preserve"> </w:t>
            </w:r>
            <w:proofErr w:type="spellStart"/>
            <w:r>
              <w:rPr>
                <w:rFonts w:ascii="Times New Roman" w:hAnsi="Times New Roman" w:cs="Times New Roman"/>
                <w:szCs w:val="22"/>
              </w:rPr>
              <w:t>niežulys</w:t>
            </w:r>
            <w:proofErr w:type="spellEnd"/>
            <w:r>
              <w:rPr>
                <w:rFonts w:ascii="Times New Roman" w:hAnsi="Times New Roman" w:cs="Times New Roman"/>
                <w:szCs w:val="22"/>
                <w:vertAlign w:val="superscript"/>
              </w:rPr>
              <w:t>**</w:t>
            </w:r>
          </w:p>
        </w:tc>
        <w:tc>
          <w:tcPr>
            <w:tcW w:w="1079" w:type="dxa"/>
            <w:tcBorders>
              <w:top w:val="single" w:sz="4" w:space="0" w:color="000000"/>
              <w:left w:val="single" w:sz="4" w:space="0" w:color="000000"/>
              <w:bottom w:val="single" w:sz="4" w:space="0" w:color="000000"/>
              <w:right w:val="single" w:sz="4" w:space="0" w:color="000000"/>
            </w:tcBorders>
          </w:tcPr>
          <w:p w14:paraId="467EAF7C" w14:textId="77777777" w:rsidR="00E96E12" w:rsidRDefault="00E96E12">
            <w:pPr>
              <w:spacing w:after="160" w:line="259" w:lineRule="auto"/>
              <w:rPr>
                <w:rFonts w:ascii="Times New Roman" w:hAnsi="Times New Roman" w:cs="Times New Roman"/>
                <w:szCs w:val="22"/>
              </w:rPr>
            </w:pPr>
          </w:p>
        </w:tc>
        <w:tc>
          <w:tcPr>
            <w:tcW w:w="1854" w:type="dxa"/>
            <w:tcBorders>
              <w:top w:val="single" w:sz="4" w:space="0" w:color="000000"/>
              <w:left w:val="single" w:sz="4" w:space="0" w:color="000000"/>
              <w:bottom w:val="single" w:sz="4" w:space="0" w:color="000000"/>
              <w:right w:val="single" w:sz="4" w:space="0" w:color="000000"/>
            </w:tcBorders>
          </w:tcPr>
          <w:p w14:paraId="051F0244" w14:textId="77777777" w:rsidR="00E96E12" w:rsidRDefault="00E96E12">
            <w:pPr>
              <w:spacing w:after="160" w:line="259" w:lineRule="auto"/>
              <w:rPr>
                <w:rFonts w:ascii="Times New Roman" w:hAnsi="Times New Roman" w:cs="Times New Roman"/>
                <w:szCs w:val="22"/>
              </w:rPr>
            </w:pPr>
          </w:p>
        </w:tc>
      </w:tr>
      <w:tr w:rsidR="00E96E12" w14:paraId="6EDDF92C" w14:textId="77777777">
        <w:trPr>
          <w:trHeight w:val="2078"/>
        </w:trPr>
        <w:tc>
          <w:tcPr>
            <w:tcW w:w="1348" w:type="dxa"/>
            <w:tcBorders>
              <w:top w:val="single" w:sz="4" w:space="0" w:color="000000"/>
              <w:left w:val="single" w:sz="4" w:space="0" w:color="000000"/>
              <w:bottom w:val="single" w:sz="4" w:space="0" w:color="000000"/>
              <w:right w:val="single" w:sz="4" w:space="0" w:color="000000"/>
            </w:tcBorders>
          </w:tcPr>
          <w:p w14:paraId="3E4EB08F"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i/>
                <w:szCs w:val="22"/>
              </w:rPr>
              <w:t>Tyrimai</w:t>
            </w:r>
            <w:proofErr w:type="spellEnd"/>
          </w:p>
        </w:tc>
        <w:tc>
          <w:tcPr>
            <w:tcW w:w="1813" w:type="dxa"/>
            <w:tcBorders>
              <w:top w:val="single" w:sz="4" w:space="0" w:color="000000"/>
              <w:left w:val="single" w:sz="4" w:space="0" w:color="000000"/>
              <w:bottom w:val="single" w:sz="4" w:space="0" w:color="000000"/>
              <w:right w:val="single" w:sz="4" w:space="0" w:color="000000"/>
            </w:tcBorders>
          </w:tcPr>
          <w:p w14:paraId="6BD82E0C" w14:textId="77777777" w:rsidR="00E96E12" w:rsidRDefault="00E96E12">
            <w:pPr>
              <w:spacing w:after="160" w:line="259" w:lineRule="auto"/>
              <w:rPr>
                <w:rFonts w:ascii="Times New Roman" w:hAnsi="Times New Roman" w:cs="Times New Roman"/>
                <w:szCs w:val="22"/>
              </w:rPr>
            </w:pPr>
          </w:p>
        </w:tc>
        <w:tc>
          <w:tcPr>
            <w:tcW w:w="1586" w:type="dxa"/>
            <w:tcBorders>
              <w:top w:val="single" w:sz="4" w:space="0" w:color="000000"/>
              <w:left w:val="single" w:sz="4" w:space="0" w:color="000000"/>
              <w:bottom w:val="single" w:sz="4" w:space="0" w:color="000000"/>
              <w:right w:val="single" w:sz="4" w:space="0" w:color="000000"/>
            </w:tcBorders>
          </w:tcPr>
          <w:p w14:paraId="5F6B62DE" w14:textId="77777777" w:rsidR="00E96E12" w:rsidRDefault="00E97765">
            <w:pPr>
              <w:spacing w:line="251" w:lineRule="auto"/>
              <w:ind w:left="5" w:right="79"/>
              <w:jc w:val="both"/>
              <w:rPr>
                <w:rFonts w:ascii="Times New Roman" w:hAnsi="Times New Roman" w:cs="Times New Roman"/>
                <w:szCs w:val="22"/>
              </w:rPr>
            </w:pPr>
            <w:proofErr w:type="spellStart"/>
            <w:r>
              <w:rPr>
                <w:rFonts w:ascii="Times New Roman" w:hAnsi="Times New Roman" w:cs="Times New Roman"/>
                <w:szCs w:val="22"/>
              </w:rPr>
              <w:t>Padidėjęs</w:t>
            </w:r>
            <w:proofErr w:type="spellEnd"/>
            <w:r>
              <w:rPr>
                <w:rFonts w:ascii="Times New Roman" w:hAnsi="Times New Roman" w:cs="Times New Roman"/>
                <w:szCs w:val="22"/>
              </w:rPr>
              <w:t xml:space="preserve"> </w:t>
            </w:r>
            <w:proofErr w:type="spellStart"/>
            <w:r>
              <w:rPr>
                <w:rFonts w:ascii="Times New Roman" w:hAnsi="Times New Roman" w:cs="Times New Roman"/>
                <w:szCs w:val="22"/>
              </w:rPr>
              <w:t>hematokritas</w:t>
            </w:r>
            <w:r>
              <w:rPr>
                <w:rFonts w:ascii="Times New Roman" w:hAnsi="Times New Roman" w:cs="Times New Roman"/>
                <w:szCs w:val="22"/>
                <w:vertAlign w:val="superscript"/>
              </w:rPr>
              <w:t>g</w:t>
            </w:r>
            <w:proofErr w:type="spellEnd"/>
            <w:r>
              <w:rPr>
                <w:rFonts w:ascii="Times New Roman" w:hAnsi="Times New Roman" w:cs="Times New Roman"/>
                <w:szCs w:val="22"/>
              </w:rPr>
              <w:t xml:space="preserve">, </w:t>
            </w:r>
            <w:proofErr w:type="spellStart"/>
            <w:r>
              <w:rPr>
                <w:rFonts w:ascii="Times New Roman" w:hAnsi="Times New Roman" w:cs="Times New Roman"/>
                <w:szCs w:val="22"/>
              </w:rPr>
              <w:t>sumažėjęs</w:t>
            </w:r>
            <w:proofErr w:type="spellEnd"/>
            <w:r>
              <w:rPr>
                <w:rFonts w:ascii="Times New Roman" w:hAnsi="Times New Roman" w:cs="Times New Roman"/>
                <w:szCs w:val="22"/>
              </w:rPr>
              <w:t xml:space="preserve"> </w:t>
            </w:r>
            <w:proofErr w:type="spellStart"/>
            <w:r>
              <w:rPr>
                <w:rFonts w:ascii="Times New Roman" w:hAnsi="Times New Roman" w:cs="Times New Roman"/>
                <w:szCs w:val="22"/>
              </w:rPr>
              <w:t>kreatinino</w:t>
            </w:r>
            <w:proofErr w:type="spellEnd"/>
            <w:r>
              <w:rPr>
                <w:rFonts w:ascii="Times New Roman" w:hAnsi="Times New Roman" w:cs="Times New Roman"/>
                <w:szCs w:val="22"/>
              </w:rPr>
              <w:t xml:space="preserve"> </w:t>
            </w:r>
            <w:proofErr w:type="spellStart"/>
            <w:r>
              <w:rPr>
                <w:rFonts w:ascii="Times New Roman" w:hAnsi="Times New Roman" w:cs="Times New Roman"/>
                <w:szCs w:val="22"/>
              </w:rPr>
              <w:t>inkstų</w:t>
            </w:r>
            <w:proofErr w:type="spellEnd"/>
            <w:r>
              <w:rPr>
                <w:rFonts w:ascii="Times New Roman" w:hAnsi="Times New Roman" w:cs="Times New Roman"/>
                <w:szCs w:val="22"/>
              </w:rPr>
              <w:t xml:space="preserve"> </w:t>
            </w:r>
            <w:proofErr w:type="spellStart"/>
            <w:r>
              <w:rPr>
                <w:rFonts w:ascii="Times New Roman" w:hAnsi="Times New Roman" w:cs="Times New Roman"/>
                <w:szCs w:val="22"/>
              </w:rPr>
              <w:t>klirensas</w:t>
            </w:r>
            <w:proofErr w:type="spellEnd"/>
            <w:r>
              <w:rPr>
                <w:rFonts w:ascii="Times New Roman" w:hAnsi="Times New Roman" w:cs="Times New Roman"/>
                <w:szCs w:val="22"/>
              </w:rPr>
              <w:t xml:space="preserve"> (</w:t>
            </w:r>
            <w:proofErr w:type="spellStart"/>
            <w:r>
              <w:rPr>
                <w:rFonts w:ascii="Times New Roman" w:hAnsi="Times New Roman" w:cs="Times New Roman"/>
                <w:szCs w:val="22"/>
              </w:rPr>
              <w:t>pradedant</w:t>
            </w:r>
            <w:proofErr w:type="spellEnd"/>
            <w:r>
              <w:rPr>
                <w:rFonts w:ascii="Times New Roman" w:hAnsi="Times New Roman" w:cs="Times New Roman"/>
                <w:szCs w:val="22"/>
              </w:rPr>
              <w:t xml:space="preserve"> </w:t>
            </w:r>
            <w:proofErr w:type="spellStart"/>
            <w:proofErr w:type="gramStart"/>
            <w:r>
              <w:rPr>
                <w:rFonts w:ascii="Times New Roman" w:hAnsi="Times New Roman" w:cs="Times New Roman"/>
                <w:szCs w:val="22"/>
              </w:rPr>
              <w:lastRenderedPageBreak/>
              <w:t>gydyti</w:t>
            </w:r>
            <w:proofErr w:type="spellEnd"/>
            <w:r>
              <w:rPr>
                <w:rFonts w:ascii="Times New Roman" w:hAnsi="Times New Roman" w:cs="Times New Roman"/>
                <w:szCs w:val="22"/>
              </w:rPr>
              <w:t>)</w:t>
            </w:r>
            <w:r>
              <w:rPr>
                <w:rFonts w:ascii="Times New Roman" w:hAnsi="Times New Roman" w:cs="Times New Roman"/>
                <w:szCs w:val="22"/>
                <w:vertAlign w:val="superscript"/>
              </w:rPr>
              <w:t>b</w:t>
            </w:r>
            <w:proofErr w:type="gramEnd"/>
            <w:r>
              <w:rPr>
                <w:rFonts w:ascii="Times New Roman" w:hAnsi="Times New Roman" w:cs="Times New Roman"/>
                <w:szCs w:val="22"/>
              </w:rPr>
              <w:t xml:space="preserve">, </w:t>
            </w:r>
            <w:proofErr w:type="spellStart"/>
            <w:r>
              <w:rPr>
                <w:rFonts w:ascii="Times New Roman" w:hAnsi="Times New Roman" w:cs="Times New Roman"/>
                <w:szCs w:val="22"/>
              </w:rPr>
              <w:t>dislipidemija</w:t>
            </w:r>
            <w:r>
              <w:rPr>
                <w:rFonts w:ascii="Times New Roman" w:hAnsi="Times New Roman" w:cs="Times New Roman"/>
                <w:szCs w:val="22"/>
                <w:vertAlign w:val="superscript"/>
              </w:rPr>
              <w:t>h</w:t>
            </w:r>
            <w:proofErr w:type="spellEnd"/>
          </w:p>
        </w:tc>
        <w:tc>
          <w:tcPr>
            <w:tcW w:w="1741" w:type="dxa"/>
            <w:tcBorders>
              <w:top w:val="single" w:sz="4" w:space="0" w:color="000000"/>
              <w:left w:val="single" w:sz="4" w:space="0" w:color="000000"/>
              <w:bottom w:val="single" w:sz="4" w:space="0" w:color="000000"/>
              <w:right w:val="single" w:sz="4" w:space="0" w:color="000000"/>
            </w:tcBorders>
          </w:tcPr>
          <w:p w14:paraId="35BCB6B1" w14:textId="77777777" w:rsidR="00E96E12" w:rsidRDefault="00E97765">
            <w:pPr>
              <w:spacing w:line="259" w:lineRule="auto"/>
              <w:ind w:left="5"/>
              <w:rPr>
                <w:rFonts w:ascii="Times New Roman" w:hAnsi="Times New Roman" w:cs="Times New Roman"/>
                <w:szCs w:val="22"/>
              </w:rPr>
            </w:pPr>
            <w:proofErr w:type="spellStart"/>
            <w:r>
              <w:rPr>
                <w:rFonts w:ascii="Times New Roman" w:hAnsi="Times New Roman" w:cs="Times New Roman"/>
                <w:szCs w:val="22"/>
              </w:rPr>
              <w:lastRenderedPageBreak/>
              <w:t>Padidėjusi</w:t>
            </w:r>
            <w:proofErr w:type="spellEnd"/>
            <w:r>
              <w:rPr>
                <w:rFonts w:ascii="Times New Roman" w:hAnsi="Times New Roman" w:cs="Times New Roman"/>
                <w:szCs w:val="22"/>
              </w:rPr>
              <w:t xml:space="preserve"> </w:t>
            </w:r>
            <w:proofErr w:type="spellStart"/>
            <w:r>
              <w:rPr>
                <w:rFonts w:ascii="Times New Roman" w:hAnsi="Times New Roman" w:cs="Times New Roman"/>
                <w:szCs w:val="22"/>
              </w:rPr>
              <w:t>kreatinino</w:t>
            </w:r>
            <w:proofErr w:type="spellEnd"/>
            <w:r>
              <w:rPr>
                <w:rFonts w:ascii="Times New Roman" w:hAnsi="Times New Roman" w:cs="Times New Roman"/>
                <w:szCs w:val="22"/>
              </w:rPr>
              <w:t xml:space="preserve"> </w:t>
            </w:r>
            <w:proofErr w:type="spellStart"/>
            <w:r>
              <w:rPr>
                <w:rFonts w:ascii="Times New Roman" w:hAnsi="Times New Roman" w:cs="Times New Roman"/>
                <w:szCs w:val="22"/>
              </w:rPr>
              <w:t>koncentracija</w:t>
            </w:r>
            <w:proofErr w:type="spellEnd"/>
            <w:r>
              <w:rPr>
                <w:rFonts w:ascii="Times New Roman" w:hAnsi="Times New Roman" w:cs="Times New Roman"/>
                <w:szCs w:val="22"/>
              </w:rPr>
              <w:t xml:space="preserve"> </w:t>
            </w:r>
            <w:proofErr w:type="spellStart"/>
            <w:r>
              <w:rPr>
                <w:rFonts w:ascii="Times New Roman" w:hAnsi="Times New Roman" w:cs="Times New Roman"/>
                <w:szCs w:val="22"/>
              </w:rPr>
              <w:t>kraujyje</w:t>
            </w:r>
            <w:proofErr w:type="spellEnd"/>
            <w:r>
              <w:rPr>
                <w:rFonts w:ascii="Times New Roman" w:hAnsi="Times New Roman" w:cs="Times New Roman"/>
                <w:szCs w:val="22"/>
              </w:rPr>
              <w:t xml:space="preserve"> (</w:t>
            </w:r>
            <w:proofErr w:type="spellStart"/>
            <w:r>
              <w:rPr>
                <w:rFonts w:ascii="Times New Roman" w:hAnsi="Times New Roman" w:cs="Times New Roman"/>
                <w:szCs w:val="22"/>
              </w:rPr>
              <w:t>pradedant</w:t>
            </w:r>
            <w:proofErr w:type="spellEnd"/>
            <w:r>
              <w:rPr>
                <w:rFonts w:ascii="Times New Roman" w:hAnsi="Times New Roman" w:cs="Times New Roman"/>
                <w:szCs w:val="22"/>
              </w:rPr>
              <w:t xml:space="preserve"> </w:t>
            </w:r>
            <w:proofErr w:type="spellStart"/>
            <w:proofErr w:type="gramStart"/>
            <w:r>
              <w:rPr>
                <w:rFonts w:ascii="Times New Roman" w:hAnsi="Times New Roman" w:cs="Times New Roman"/>
                <w:szCs w:val="22"/>
              </w:rPr>
              <w:t>gydyti</w:t>
            </w:r>
            <w:proofErr w:type="spellEnd"/>
            <w:r>
              <w:rPr>
                <w:rFonts w:ascii="Times New Roman" w:hAnsi="Times New Roman" w:cs="Times New Roman"/>
                <w:szCs w:val="22"/>
              </w:rPr>
              <w:t>)</w:t>
            </w:r>
            <w:r>
              <w:rPr>
                <w:rFonts w:ascii="Times New Roman" w:hAnsi="Times New Roman" w:cs="Times New Roman"/>
                <w:szCs w:val="22"/>
                <w:vertAlign w:val="superscript"/>
              </w:rPr>
              <w:t>**,b</w:t>
            </w:r>
            <w:proofErr w:type="gramEnd"/>
            <w:r>
              <w:rPr>
                <w:rFonts w:ascii="Times New Roman" w:hAnsi="Times New Roman" w:cs="Times New Roman"/>
                <w:szCs w:val="22"/>
              </w:rPr>
              <w:t xml:space="preserve">, </w:t>
            </w:r>
            <w:proofErr w:type="spellStart"/>
            <w:r>
              <w:rPr>
                <w:rFonts w:ascii="Times New Roman" w:hAnsi="Times New Roman" w:cs="Times New Roman"/>
                <w:szCs w:val="22"/>
              </w:rPr>
              <w:t>padidėjusi</w:t>
            </w:r>
            <w:proofErr w:type="spellEnd"/>
            <w:r>
              <w:rPr>
                <w:rFonts w:ascii="Times New Roman" w:hAnsi="Times New Roman" w:cs="Times New Roman"/>
                <w:szCs w:val="22"/>
              </w:rPr>
              <w:t xml:space="preserve"> </w:t>
            </w:r>
            <w:proofErr w:type="spellStart"/>
            <w:r>
              <w:rPr>
                <w:rFonts w:ascii="Times New Roman" w:hAnsi="Times New Roman" w:cs="Times New Roman"/>
                <w:szCs w:val="22"/>
              </w:rPr>
              <w:t>šlapalo</w:t>
            </w:r>
            <w:proofErr w:type="spellEnd"/>
            <w:r>
              <w:rPr>
                <w:rFonts w:ascii="Times New Roman" w:hAnsi="Times New Roman" w:cs="Times New Roman"/>
                <w:szCs w:val="22"/>
              </w:rPr>
              <w:t xml:space="preserve"> </w:t>
            </w:r>
            <w:proofErr w:type="spellStart"/>
            <w:r>
              <w:rPr>
                <w:rFonts w:ascii="Times New Roman" w:hAnsi="Times New Roman" w:cs="Times New Roman"/>
                <w:szCs w:val="22"/>
              </w:rPr>
              <w:lastRenderedPageBreak/>
              <w:t>koncentracija</w:t>
            </w:r>
            <w:proofErr w:type="spellEnd"/>
            <w:r>
              <w:rPr>
                <w:rFonts w:ascii="Times New Roman" w:hAnsi="Times New Roman" w:cs="Times New Roman"/>
                <w:szCs w:val="22"/>
              </w:rPr>
              <w:t xml:space="preserve"> </w:t>
            </w:r>
            <w:proofErr w:type="spellStart"/>
            <w:r>
              <w:rPr>
                <w:rFonts w:ascii="Times New Roman" w:hAnsi="Times New Roman" w:cs="Times New Roman"/>
                <w:szCs w:val="22"/>
              </w:rPr>
              <w:t>kraujyje</w:t>
            </w:r>
            <w:proofErr w:type="spellEnd"/>
            <w:r>
              <w:rPr>
                <w:rFonts w:ascii="Times New Roman" w:hAnsi="Times New Roman" w:cs="Times New Roman"/>
                <w:szCs w:val="22"/>
                <w:vertAlign w:val="superscript"/>
              </w:rPr>
              <w:t>**</w:t>
            </w:r>
            <w:r>
              <w:rPr>
                <w:rFonts w:ascii="Times New Roman" w:hAnsi="Times New Roman" w:cs="Times New Roman"/>
                <w:szCs w:val="22"/>
              </w:rPr>
              <w:t xml:space="preserve">, </w:t>
            </w:r>
            <w:proofErr w:type="spellStart"/>
            <w:r>
              <w:rPr>
                <w:rFonts w:ascii="Times New Roman" w:hAnsi="Times New Roman" w:cs="Times New Roman"/>
                <w:szCs w:val="22"/>
              </w:rPr>
              <w:t>sumažėjęs</w:t>
            </w:r>
            <w:proofErr w:type="spellEnd"/>
            <w:r>
              <w:rPr>
                <w:rFonts w:ascii="Times New Roman" w:hAnsi="Times New Roman" w:cs="Times New Roman"/>
                <w:szCs w:val="22"/>
              </w:rPr>
              <w:t xml:space="preserve"> </w:t>
            </w:r>
            <w:proofErr w:type="spellStart"/>
            <w:r>
              <w:rPr>
                <w:rFonts w:ascii="Times New Roman" w:hAnsi="Times New Roman" w:cs="Times New Roman"/>
                <w:szCs w:val="22"/>
              </w:rPr>
              <w:t>svoris</w:t>
            </w:r>
            <w:proofErr w:type="spellEnd"/>
            <w:r>
              <w:rPr>
                <w:rFonts w:ascii="Times New Roman" w:hAnsi="Times New Roman" w:cs="Times New Roman"/>
                <w:szCs w:val="22"/>
                <w:vertAlign w:val="superscript"/>
              </w:rPr>
              <w:t>**</w:t>
            </w:r>
          </w:p>
        </w:tc>
        <w:tc>
          <w:tcPr>
            <w:tcW w:w="1079" w:type="dxa"/>
            <w:tcBorders>
              <w:top w:val="single" w:sz="4" w:space="0" w:color="000000"/>
              <w:left w:val="single" w:sz="4" w:space="0" w:color="000000"/>
              <w:bottom w:val="single" w:sz="4" w:space="0" w:color="000000"/>
              <w:right w:val="single" w:sz="4" w:space="0" w:color="000000"/>
            </w:tcBorders>
          </w:tcPr>
          <w:p w14:paraId="23B96830" w14:textId="77777777" w:rsidR="00E96E12" w:rsidRDefault="00E96E12">
            <w:pPr>
              <w:spacing w:after="160" w:line="259" w:lineRule="auto"/>
              <w:rPr>
                <w:rFonts w:ascii="Times New Roman" w:hAnsi="Times New Roman" w:cs="Times New Roman"/>
                <w:szCs w:val="22"/>
              </w:rPr>
            </w:pPr>
          </w:p>
        </w:tc>
        <w:tc>
          <w:tcPr>
            <w:tcW w:w="1854" w:type="dxa"/>
            <w:tcBorders>
              <w:top w:val="single" w:sz="4" w:space="0" w:color="000000"/>
              <w:left w:val="single" w:sz="4" w:space="0" w:color="000000"/>
              <w:bottom w:val="single" w:sz="4" w:space="0" w:color="000000"/>
              <w:right w:val="single" w:sz="4" w:space="0" w:color="000000"/>
            </w:tcBorders>
          </w:tcPr>
          <w:p w14:paraId="1ADEC2A5" w14:textId="77777777" w:rsidR="00E96E12" w:rsidRDefault="00E96E12">
            <w:pPr>
              <w:spacing w:after="160" w:line="259" w:lineRule="auto"/>
              <w:rPr>
                <w:rFonts w:ascii="Times New Roman" w:hAnsi="Times New Roman" w:cs="Times New Roman"/>
                <w:szCs w:val="22"/>
              </w:rPr>
            </w:pPr>
          </w:p>
        </w:tc>
      </w:tr>
    </w:tbl>
    <w:p w14:paraId="54AD06E4"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a</w:t>
      </w:r>
      <w:r>
        <w:rPr>
          <w:rFonts w:eastAsia="TimesNewRoman"/>
          <w:sz w:val="18"/>
          <w:szCs w:val="18"/>
          <w:lang w:eastAsia="lt-LT"/>
        </w:rPr>
        <w:t xml:space="preserve"> Lentelėje pateikiami iki 24 savaičių trukmės (trumpalaikių) tyrimų duomenys nepriklausomai nuo neatidėliotinos pagalbos </w:t>
      </w:r>
      <w:proofErr w:type="spellStart"/>
      <w:r>
        <w:rPr>
          <w:rFonts w:eastAsia="TimesNewRoman"/>
          <w:sz w:val="18"/>
          <w:szCs w:val="18"/>
          <w:lang w:eastAsia="lt-LT"/>
        </w:rPr>
        <w:t>glikemijai</w:t>
      </w:r>
      <w:proofErr w:type="spellEnd"/>
      <w:r>
        <w:rPr>
          <w:rFonts w:eastAsia="TimesNewRoman"/>
          <w:sz w:val="18"/>
          <w:szCs w:val="18"/>
          <w:lang w:eastAsia="lt-LT"/>
        </w:rPr>
        <w:t xml:space="preserve"> koreguoti taikymo.</w:t>
      </w:r>
    </w:p>
    <w:p w14:paraId="0CEE470D"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b</w:t>
      </w:r>
      <w:r>
        <w:rPr>
          <w:rFonts w:eastAsia="TimesNewRoman"/>
          <w:sz w:val="18"/>
          <w:szCs w:val="18"/>
          <w:lang w:eastAsia="lt-LT"/>
        </w:rPr>
        <w:t xml:space="preserve"> Papildoma informacija pateikiama atitinkamoje skyriaus dalyje žemiau.</w:t>
      </w:r>
    </w:p>
    <w:p w14:paraId="2C28789E"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c</w:t>
      </w:r>
      <w:r>
        <w:rPr>
          <w:rFonts w:eastAsia="TimesNewRoman"/>
          <w:sz w:val="18"/>
          <w:szCs w:val="18"/>
          <w:lang w:eastAsia="lt-LT"/>
        </w:rPr>
        <w:t xml:space="preserve"> </w:t>
      </w:r>
      <w:proofErr w:type="spellStart"/>
      <w:r>
        <w:rPr>
          <w:rFonts w:eastAsia="TimesNewRoman"/>
          <w:sz w:val="18"/>
          <w:szCs w:val="18"/>
          <w:lang w:eastAsia="lt-LT"/>
        </w:rPr>
        <w:t>Vulvovaginitas</w:t>
      </w:r>
      <w:proofErr w:type="spellEnd"/>
      <w:r>
        <w:rPr>
          <w:rFonts w:eastAsia="TimesNewRoman"/>
          <w:sz w:val="18"/>
          <w:szCs w:val="18"/>
          <w:lang w:eastAsia="lt-LT"/>
        </w:rPr>
        <w:t xml:space="preserve">, balanitas ir susijusios genitalijų infekcijos apima, pvz., šiuos iš anksto numatytus pasirinktinius terminus: </w:t>
      </w:r>
      <w:proofErr w:type="spellStart"/>
      <w:r>
        <w:rPr>
          <w:rFonts w:eastAsia="TimesNewRoman"/>
          <w:sz w:val="18"/>
          <w:szCs w:val="18"/>
          <w:lang w:eastAsia="lt-LT"/>
        </w:rPr>
        <w:t>vulvovaginalinė</w:t>
      </w:r>
      <w:proofErr w:type="spellEnd"/>
      <w:r>
        <w:rPr>
          <w:rFonts w:eastAsia="TimesNewRoman"/>
          <w:sz w:val="18"/>
          <w:szCs w:val="18"/>
          <w:lang w:eastAsia="lt-LT"/>
        </w:rPr>
        <w:t xml:space="preserve"> grybelinė infekcija, makšties infekcija, balanitas, grybelinė genitalijų infekcija, </w:t>
      </w:r>
      <w:proofErr w:type="spellStart"/>
      <w:r>
        <w:rPr>
          <w:rFonts w:eastAsia="TimesNewRoman"/>
          <w:sz w:val="18"/>
          <w:szCs w:val="18"/>
          <w:lang w:eastAsia="lt-LT"/>
        </w:rPr>
        <w:t>vulvovaginalinė</w:t>
      </w:r>
      <w:proofErr w:type="spellEnd"/>
      <w:r>
        <w:rPr>
          <w:rFonts w:eastAsia="TimesNewRoman"/>
          <w:sz w:val="18"/>
          <w:szCs w:val="18"/>
          <w:lang w:eastAsia="lt-LT"/>
        </w:rPr>
        <w:t xml:space="preserve"> </w:t>
      </w:r>
      <w:proofErr w:type="spellStart"/>
      <w:r>
        <w:rPr>
          <w:rFonts w:eastAsia="TimesNewRoman"/>
          <w:sz w:val="18"/>
          <w:szCs w:val="18"/>
          <w:lang w:eastAsia="lt-LT"/>
        </w:rPr>
        <w:t>kandidozė</w:t>
      </w:r>
      <w:proofErr w:type="spellEnd"/>
      <w:r>
        <w:rPr>
          <w:rFonts w:eastAsia="TimesNewRoman"/>
          <w:sz w:val="18"/>
          <w:szCs w:val="18"/>
          <w:lang w:eastAsia="lt-LT"/>
        </w:rPr>
        <w:t xml:space="preserve">, </w:t>
      </w:r>
      <w:proofErr w:type="spellStart"/>
      <w:r>
        <w:rPr>
          <w:rFonts w:eastAsia="TimesNewRoman"/>
          <w:sz w:val="18"/>
          <w:szCs w:val="18"/>
          <w:lang w:eastAsia="lt-LT"/>
        </w:rPr>
        <w:t>vulvovaginitas</w:t>
      </w:r>
      <w:proofErr w:type="spellEnd"/>
      <w:r>
        <w:rPr>
          <w:rFonts w:eastAsia="TimesNewRoman"/>
          <w:sz w:val="18"/>
          <w:szCs w:val="18"/>
          <w:lang w:eastAsia="lt-LT"/>
        </w:rPr>
        <w:t xml:space="preserve">, </w:t>
      </w:r>
      <w:proofErr w:type="spellStart"/>
      <w:r>
        <w:rPr>
          <w:rFonts w:eastAsia="TimesNewRoman"/>
          <w:sz w:val="18"/>
          <w:szCs w:val="18"/>
          <w:lang w:eastAsia="lt-LT"/>
        </w:rPr>
        <w:t>kandidozinis</w:t>
      </w:r>
      <w:proofErr w:type="spellEnd"/>
      <w:r>
        <w:rPr>
          <w:rFonts w:eastAsia="TimesNewRoman"/>
          <w:sz w:val="18"/>
          <w:szCs w:val="18"/>
          <w:lang w:eastAsia="lt-LT"/>
        </w:rPr>
        <w:t xml:space="preserve"> balanitas, genitalijų </w:t>
      </w:r>
      <w:proofErr w:type="spellStart"/>
      <w:r>
        <w:rPr>
          <w:rFonts w:eastAsia="TimesNewRoman"/>
          <w:sz w:val="18"/>
          <w:szCs w:val="18"/>
          <w:lang w:eastAsia="lt-LT"/>
        </w:rPr>
        <w:t>kandidozė</w:t>
      </w:r>
      <w:proofErr w:type="spellEnd"/>
      <w:r>
        <w:rPr>
          <w:rFonts w:eastAsia="TimesNewRoman"/>
          <w:sz w:val="18"/>
          <w:szCs w:val="18"/>
          <w:lang w:eastAsia="lt-LT"/>
        </w:rPr>
        <w:t xml:space="preserve">, genitalijų infekcija, vyrų genitalijų infekcijos, varpos infekcija, </w:t>
      </w:r>
      <w:proofErr w:type="spellStart"/>
      <w:r>
        <w:rPr>
          <w:rFonts w:eastAsia="TimesNewRoman"/>
          <w:sz w:val="18"/>
          <w:szCs w:val="18"/>
          <w:lang w:eastAsia="lt-LT"/>
        </w:rPr>
        <w:t>vulvitas</w:t>
      </w:r>
      <w:proofErr w:type="spellEnd"/>
      <w:r>
        <w:rPr>
          <w:rFonts w:eastAsia="TimesNewRoman"/>
          <w:sz w:val="18"/>
          <w:szCs w:val="18"/>
          <w:lang w:eastAsia="lt-LT"/>
        </w:rPr>
        <w:t xml:space="preserve">, bakterinis vaginitas, </w:t>
      </w:r>
      <w:proofErr w:type="spellStart"/>
      <w:r>
        <w:rPr>
          <w:rFonts w:eastAsia="TimesNewRoman"/>
          <w:sz w:val="18"/>
          <w:szCs w:val="18"/>
          <w:lang w:eastAsia="lt-LT"/>
        </w:rPr>
        <w:t>vulvos</w:t>
      </w:r>
      <w:proofErr w:type="spellEnd"/>
      <w:r>
        <w:rPr>
          <w:rFonts w:eastAsia="TimesNewRoman"/>
          <w:sz w:val="18"/>
          <w:szCs w:val="18"/>
          <w:lang w:eastAsia="lt-LT"/>
        </w:rPr>
        <w:t xml:space="preserve"> pūlinys.</w:t>
      </w:r>
    </w:p>
    <w:p w14:paraId="27A81666"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d</w:t>
      </w:r>
      <w:r>
        <w:rPr>
          <w:rFonts w:eastAsia="TimesNewRoman"/>
          <w:sz w:val="18"/>
          <w:szCs w:val="18"/>
          <w:lang w:eastAsia="lt-LT"/>
        </w:rPr>
        <w:t xml:space="preserve"> Šlapimo takų infekcija apima šiuos pirmiausiai pasirenkamus terminus, išvardytus pagal užprotokoluotą dažnį: šlapimo takų infekcija, cistitas, </w:t>
      </w:r>
      <w:proofErr w:type="spellStart"/>
      <w:r>
        <w:rPr>
          <w:rFonts w:eastAsia="TimesNewRoman,Italic"/>
          <w:i/>
          <w:iCs/>
          <w:sz w:val="18"/>
          <w:szCs w:val="18"/>
          <w:lang w:eastAsia="lt-LT"/>
        </w:rPr>
        <w:t>Escherichia</w:t>
      </w:r>
      <w:proofErr w:type="spellEnd"/>
      <w:r>
        <w:rPr>
          <w:rFonts w:eastAsia="TimesNewRoman,Italic"/>
          <w:i/>
          <w:iCs/>
          <w:sz w:val="18"/>
          <w:szCs w:val="18"/>
          <w:lang w:eastAsia="lt-LT"/>
        </w:rPr>
        <w:t xml:space="preserve"> </w:t>
      </w:r>
      <w:r>
        <w:rPr>
          <w:rFonts w:eastAsia="TimesNewRoman"/>
          <w:sz w:val="18"/>
          <w:szCs w:val="18"/>
          <w:lang w:eastAsia="lt-LT"/>
        </w:rPr>
        <w:t xml:space="preserve">sukelta šlapimo takų infekcija, lytinių ir šlapimo takų infekcija, </w:t>
      </w:r>
      <w:proofErr w:type="spellStart"/>
      <w:r>
        <w:rPr>
          <w:rFonts w:eastAsia="TimesNewRoman"/>
          <w:sz w:val="18"/>
          <w:szCs w:val="18"/>
          <w:lang w:eastAsia="lt-LT"/>
        </w:rPr>
        <w:t>pielonefritas</w:t>
      </w:r>
      <w:proofErr w:type="spellEnd"/>
      <w:r>
        <w:rPr>
          <w:rFonts w:eastAsia="TimesNewRoman"/>
          <w:sz w:val="18"/>
          <w:szCs w:val="18"/>
          <w:lang w:eastAsia="lt-LT"/>
        </w:rPr>
        <w:t xml:space="preserve">, </w:t>
      </w:r>
      <w:proofErr w:type="spellStart"/>
      <w:r>
        <w:rPr>
          <w:rFonts w:eastAsia="TimesNewRoman"/>
          <w:sz w:val="18"/>
          <w:szCs w:val="18"/>
          <w:lang w:eastAsia="lt-LT"/>
        </w:rPr>
        <w:t>trigonitas</w:t>
      </w:r>
      <w:proofErr w:type="spellEnd"/>
      <w:r>
        <w:rPr>
          <w:rFonts w:eastAsia="TimesNewRoman"/>
          <w:sz w:val="18"/>
          <w:szCs w:val="18"/>
          <w:lang w:eastAsia="lt-LT"/>
        </w:rPr>
        <w:t xml:space="preserve">, </w:t>
      </w:r>
      <w:proofErr w:type="spellStart"/>
      <w:r>
        <w:rPr>
          <w:rFonts w:eastAsia="TimesNewRoman"/>
          <w:sz w:val="18"/>
          <w:szCs w:val="18"/>
          <w:lang w:eastAsia="lt-LT"/>
        </w:rPr>
        <w:t>uretritas</w:t>
      </w:r>
      <w:proofErr w:type="spellEnd"/>
      <w:r>
        <w:rPr>
          <w:rFonts w:eastAsia="TimesNewRoman"/>
          <w:sz w:val="18"/>
          <w:szCs w:val="18"/>
          <w:lang w:eastAsia="lt-LT"/>
        </w:rPr>
        <w:t>, inkstų infekcija ir prostatitas.</w:t>
      </w:r>
    </w:p>
    <w:p w14:paraId="76700817"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 xml:space="preserve">e </w:t>
      </w:r>
      <w:r>
        <w:rPr>
          <w:rFonts w:eastAsia="TimesNewRoman"/>
          <w:sz w:val="18"/>
          <w:szCs w:val="18"/>
          <w:lang w:eastAsia="lt-LT"/>
        </w:rPr>
        <w:t xml:space="preserve">Kraujo tūrio sumažėjimas apima, pvz. šiuos iš anksto numatytus pasirinktinius terminus: dehidratacija, </w:t>
      </w:r>
      <w:proofErr w:type="spellStart"/>
      <w:r>
        <w:rPr>
          <w:rFonts w:eastAsia="TimesNewRoman"/>
          <w:sz w:val="18"/>
          <w:szCs w:val="18"/>
          <w:lang w:eastAsia="lt-LT"/>
        </w:rPr>
        <w:t>hipovolemija</w:t>
      </w:r>
      <w:proofErr w:type="spellEnd"/>
      <w:r>
        <w:rPr>
          <w:rFonts w:eastAsia="TimesNewRoman"/>
          <w:sz w:val="18"/>
          <w:szCs w:val="18"/>
          <w:lang w:eastAsia="lt-LT"/>
        </w:rPr>
        <w:t xml:space="preserve">, </w:t>
      </w:r>
      <w:proofErr w:type="spellStart"/>
      <w:r>
        <w:rPr>
          <w:rFonts w:eastAsia="TimesNewRoman"/>
          <w:sz w:val="18"/>
          <w:szCs w:val="18"/>
          <w:lang w:eastAsia="lt-LT"/>
        </w:rPr>
        <w:t>hipotenzija</w:t>
      </w:r>
      <w:proofErr w:type="spellEnd"/>
      <w:r>
        <w:rPr>
          <w:rFonts w:eastAsia="TimesNewRoman"/>
          <w:sz w:val="18"/>
          <w:szCs w:val="18"/>
          <w:lang w:eastAsia="lt-LT"/>
        </w:rPr>
        <w:t>.</w:t>
      </w:r>
    </w:p>
    <w:p w14:paraId="42F34DAC"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f</w:t>
      </w:r>
      <w:r>
        <w:rPr>
          <w:rFonts w:eastAsia="TimesNewRoman"/>
          <w:sz w:val="18"/>
          <w:szCs w:val="18"/>
          <w:lang w:eastAsia="lt-LT"/>
        </w:rPr>
        <w:t xml:space="preserve"> </w:t>
      </w:r>
      <w:proofErr w:type="spellStart"/>
      <w:r>
        <w:rPr>
          <w:rFonts w:eastAsia="TimesNewRoman"/>
          <w:sz w:val="18"/>
          <w:szCs w:val="18"/>
          <w:lang w:eastAsia="lt-LT"/>
        </w:rPr>
        <w:t>Poliurija</w:t>
      </w:r>
      <w:proofErr w:type="spellEnd"/>
      <w:r>
        <w:rPr>
          <w:rFonts w:eastAsia="TimesNewRoman"/>
          <w:sz w:val="18"/>
          <w:szCs w:val="18"/>
          <w:lang w:eastAsia="lt-LT"/>
        </w:rPr>
        <w:t xml:space="preserve"> apima šiuos iš anksto numatytus pirmiausiai pasirenkamus terminus: </w:t>
      </w:r>
      <w:proofErr w:type="spellStart"/>
      <w:r>
        <w:rPr>
          <w:rFonts w:eastAsia="TimesNewRoman"/>
          <w:sz w:val="18"/>
          <w:szCs w:val="18"/>
          <w:lang w:eastAsia="lt-LT"/>
        </w:rPr>
        <w:t>polakiurija</w:t>
      </w:r>
      <w:proofErr w:type="spellEnd"/>
      <w:r>
        <w:rPr>
          <w:rFonts w:eastAsia="TimesNewRoman"/>
          <w:sz w:val="18"/>
          <w:szCs w:val="18"/>
          <w:lang w:eastAsia="lt-LT"/>
        </w:rPr>
        <w:t xml:space="preserve">, </w:t>
      </w:r>
      <w:proofErr w:type="spellStart"/>
      <w:r>
        <w:rPr>
          <w:rFonts w:eastAsia="TimesNewRoman"/>
          <w:sz w:val="18"/>
          <w:szCs w:val="18"/>
          <w:lang w:eastAsia="lt-LT"/>
        </w:rPr>
        <w:t>poliurija</w:t>
      </w:r>
      <w:proofErr w:type="spellEnd"/>
      <w:r>
        <w:rPr>
          <w:rFonts w:eastAsia="TimesNewRoman"/>
          <w:sz w:val="18"/>
          <w:szCs w:val="18"/>
          <w:lang w:eastAsia="lt-LT"/>
        </w:rPr>
        <w:t>, padidėjęs šlapimo išskyrimas.</w:t>
      </w:r>
    </w:p>
    <w:p w14:paraId="0AF787F2"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g</w:t>
      </w:r>
      <w:r>
        <w:rPr>
          <w:rFonts w:eastAsia="TimesNewRoman"/>
          <w:sz w:val="18"/>
          <w:szCs w:val="18"/>
          <w:lang w:eastAsia="lt-LT"/>
        </w:rPr>
        <w:t xml:space="preserve"> Vidutinis </w:t>
      </w:r>
      <w:proofErr w:type="spellStart"/>
      <w:r>
        <w:rPr>
          <w:rFonts w:eastAsia="TimesNewRoman"/>
          <w:sz w:val="18"/>
          <w:szCs w:val="18"/>
          <w:lang w:eastAsia="lt-LT"/>
        </w:rPr>
        <w:t>hematokrito</w:t>
      </w:r>
      <w:proofErr w:type="spellEnd"/>
      <w:r>
        <w:rPr>
          <w:rFonts w:eastAsia="TimesNewRoman"/>
          <w:sz w:val="18"/>
          <w:szCs w:val="18"/>
          <w:lang w:eastAsia="lt-LT"/>
        </w:rPr>
        <w:t xml:space="preserve"> pokytis, palyginus su buvusiu iki tyrimo, vartojus 10 mg dapagliflozino buvo 2,30 %, vartojus placebą – minus 0,33 %. </w:t>
      </w:r>
      <w:proofErr w:type="spellStart"/>
      <w:r>
        <w:rPr>
          <w:rFonts w:eastAsia="TimesNewRoman"/>
          <w:sz w:val="18"/>
          <w:szCs w:val="18"/>
          <w:lang w:eastAsia="lt-LT"/>
        </w:rPr>
        <w:t>Hematokrito</w:t>
      </w:r>
      <w:proofErr w:type="spellEnd"/>
      <w:r>
        <w:rPr>
          <w:rFonts w:eastAsia="TimesNewRoman"/>
          <w:sz w:val="18"/>
          <w:szCs w:val="18"/>
          <w:lang w:eastAsia="lt-LT"/>
        </w:rPr>
        <w:t xml:space="preserve"> rodiklis &gt; 55 % užprotokoluotas 1,3 % 10 mg dapagliflozino ir 0,4 % placebo vartojusių žmonių.</w:t>
      </w:r>
    </w:p>
    <w:p w14:paraId="5526F4D4"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h</w:t>
      </w:r>
      <w:r>
        <w:rPr>
          <w:rFonts w:eastAsia="TimesNewRoman"/>
          <w:sz w:val="18"/>
          <w:szCs w:val="18"/>
          <w:lang w:eastAsia="lt-LT"/>
        </w:rPr>
        <w:t xml:space="preserve"> Vidutinis procentinis pokytis, palyginus su rodikliais iki tyrimo, vartojus 10 mg dapagliflozino ir placebą, buvo: bendrojo cholesterolio – atitinkamai 2,5 % ir 0,0 %, DTL cholesterolio 6,0 % ir 2,7 %, MTL cholesterolio 2,9 % ir -1,0 %, trigliceridų -2,7 % ir -0,7 %.</w:t>
      </w:r>
    </w:p>
    <w:p w14:paraId="528B3F68"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i</w:t>
      </w:r>
      <w:r>
        <w:rPr>
          <w:rFonts w:eastAsia="TimesNewRoman"/>
          <w:sz w:val="18"/>
          <w:szCs w:val="18"/>
          <w:lang w:eastAsia="lt-LT"/>
        </w:rPr>
        <w:t xml:space="preserve"> Žr. 4.4 skyrių.</w:t>
      </w:r>
    </w:p>
    <w:p w14:paraId="430C632E"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j</w:t>
      </w:r>
      <w:r>
        <w:rPr>
          <w:rFonts w:eastAsia="TimesNewRoman"/>
          <w:sz w:val="18"/>
          <w:szCs w:val="18"/>
          <w:lang w:eastAsia="lt-LT"/>
        </w:rPr>
        <w:t xml:space="preserve"> Ši nepageidaujama reakcija identifikuota stebint į rinką pateikto vaistinio preparato veikimą. Išbėrimo sąvoka apima šiuos pasirinktinius terminus, išvardytus pagal dažnį klinikinių tyrimų metu: išbėrimas, išplitęs išbėrimas, niežtintis išbėrimas, išbėrimas dėmėmis, išbėrimas dėmėmis ir mazgeliais, išbėrimas </w:t>
      </w:r>
      <w:proofErr w:type="spellStart"/>
      <w:r>
        <w:rPr>
          <w:rFonts w:eastAsia="TimesNewRoman"/>
          <w:sz w:val="18"/>
          <w:szCs w:val="18"/>
          <w:lang w:eastAsia="lt-LT"/>
        </w:rPr>
        <w:t>pūlinėliais</w:t>
      </w:r>
      <w:proofErr w:type="spellEnd"/>
      <w:r>
        <w:rPr>
          <w:rFonts w:eastAsia="TimesNewRoman"/>
          <w:sz w:val="18"/>
          <w:szCs w:val="18"/>
          <w:lang w:eastAsia="lt-LT"/>
        </w:rPr>
        <w:t xml:space="preserve">, išbėrimas pūslelėmis ir </w:t>
      </w:r>
      <w:proofErr w:type="spellStart"/>
      <w:r>
        <w:rPr>
          <w:rFonts w:eastAsia="TimesNewRoman"/>
          <w:sz w:val="18"/>
          <w:szCs w:val="18"/>
          <w:lang w:eastAsia="lt-LT"/>
        </w:rPr>
        <w:t>eriteminis</w:t>
      </w:r>
      <w:proofErr w:type="spellEnd"/>
      <w:r>
        <w:rPr>
          <w:rFonts w:eastAsia="TimesNewRoman"/>
          <w:sz w:val="18"/>
          <w:szCs w:val="18"/>
          <w:lang w:eastAsia="lt-LT"/>
        </w:rPr>
        <w:t xml:space="preserve"> išbėrimas. Aktyviai ir placebu kontroliuojamų klinikinių tyrimų metu (dapagliflozinas: N = 5936, visi kontroliniai vaistiniai preparatai – N = 3403) išbėrimo atsiradimo dažnis vartojant dapaglifloziną ir visus kontrolinius vaistinius preparatus buvo panašus (po 1,4 %).</w:t>
      </w:r>
    </w:p>
    <w:p w14:paraId="4D45B2DA"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k</w:t>
      </w:r>
      <w:r>
        <w:rPr>
          <w:rFonts w:eastAsia="TimesNewRoman"/>
          <w:sz w:val="18"/>
          <w:szCs w:val="18"/>
          <w:lang w:eastAsia="lt-LT"/>
        </w:rPr>
        <w:t xml:space="preserve"> Užfiksuota poveikio kardiovaskulinėms komplikacijoms 2 tipo diabetu sergantiems pacientams tyrimo (DECLARE) metu. Nurodytas dažnis per metus.</w:t>
      </w:r>
    </w:p>
    <w:p w14:paraId="05EB388E"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Pasireiškė ≥ 2 % žmonių ≥ 1 % (bent 3 žmonėmis) daugiau vartojant 10 mg dapagliflozino, negu vartojant placebą.</w:t>
      </w:r>
    </w:p>
    <w:p w14:paraId="2BE54D85"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Tyrėjo nuomone, galimai susiję, tikriausiai susiję arba susiję su tiriamuoju vaistiniu preparatu. Pasireiškė ≥ 0,2 % žmonių ir ≥ 0,1 % (bent 3 žmonėmis) daugiau vartojant 10 mg dapagliflozino, negu vartojant placebą.</w:t>
      </w:r>
    </w:p>
    <w:p w14:paraId="16DBA80F" w14:textId="77777777" w:rsidR="00E96E12" w:rsidRDefault="00E96E12">
      <w:pPr>
        <w:ind w:left="567" w:hanging="567"/>
        <w:rPr>
          <w:b/>
          <w:sz w:val="18"/>
          <w:szCs w:val="18"/>
        </w:rPr>
      </w:pPr>
    </w:p>
    <w:p w14:paraId="03CAF888"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Atrinktų nepageidaujamų reakcijų apibūdinimas</w:t>
      </w:r>
    </w:p>
    <w:p w14:paraId="1CAD2BE9" w14:textId="77777777" w:rsidR="00E96E12" w:rsidRDefault="00E96E12">
      <w:pPr>
        <w:autoSpaceDE w:val="0"/>
        <w:autoSpaceDN w:val="0"/>
        <w:adjustRightInd w:val="0"/>
        <w:rPr>
          <w:rFonts w:eastAsia="TimesNewRoman,Italic"/>
          <w:i/>
          <w:iCs/>
          <w:szCs w:val="22"/>
          <w:lang w:eastAsia="lt-LT"/>
        </w:rPr>
      </w:pPr>
    </w:p>
    <w:p w14:paraId="3A7A4D75" w14:textId="77777777" w:rsidR="00E96E12" w:rsidRDefault="00E97765">
      <w:pPr>
        <w:autoSpaceDE w:val="0"/>
        <w:autoSpaceDN w:val="0"/>
        <w:adjustRightInd w:val="0"/>
        <w:rPr>
          <w:rFonts w:eastAsia="TimesNewRoman,Italic"/>
          <w:i/>
          <w:iCs/>
          <w:szCs w:val="22"/>
          <w:lang w:eastAsia="lt-LT"/>
        </w:rPr>
      </w:pPr>
      <w:proofErr w:type="spellStart"/>
      <w:r>
        <w:rPr>
          <w:rFonts w:eastAsia="TimesNewRoman,Italic"/>
          <w:i/>
          <w:iCs/>
          <w:szCs w:val="22"/>
          <w:lang w:eastAsia="lt-LT"/>
        </w:rPr>
        <w:t>Vulvovaginitas</w:t>
      </w:r>
      <w:proofErr w:type="spellEnd"/>
      <w:r>
        <w:rPr>
          <w:rFonts w:eastAsia="TimesNewRoman,Italic"/>
          <w:i/>
          <w:iCs/>
          <w:szCs w:val="22"/>
          <w:lang w:eastAsia="lt-LT"/>
        </w:rPr>
        <w:t>, balanitas ir susijusios genitalijų infekcijos</w:t>
      </w:r>
    </w:p>
    <w:p w14:paraId="00FA43B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Paėmus 13 tyrimų saugumo populiaciją nustatyta, kad </w:t>
      </w:r>
      <w:proofErr w:type="spellStart"/>
      <w:r>
        <w:rPr>
          <w:rFonts w:eastAsia="TimesNewRoman"/>
          <w:szCs w:val="22"/>
          <w:lang w:eastAsia="lt-LT"/>
        </w:rPr>
        <w:t>vulvovaginitas</w:t>
      </w:r>
      <w:proofErr w:type="spellEnd"/>
      <w:r>
        <w:rPr>
          <w:rFonts w:eastAsia="TimesNewRoman"/>
          <w:szCs w:val="22"/>
          <w:lang w:eastAsia="lt-LT"/>
        </w:rPr>
        <w:t>, balanitas ir susijusių genitalijų infekcijų pasireiškė 5,5 % 10 mg dapagliflozino ir 0,6 % placebą vartojusių asmenų. Dauguma šių infekcijų buvo lengvo ar vidutinio sunkumo, jas patyrusiems asmenims būdavo veiksmingas pradinis įprastinio gydymo kursas, dapagliflozino vartojimą dėl jų tekdavo nutraukti retai. Tokių infekcijų dažniau pasireiškė moterims (8,4 % vartojant dapaglifloziną ir 1,2 % vartojant placebą), infekcijos pasikartojimo tikimybė buvo didesnė negu naujos infekcijos.</w:t>
      </w:r>
    </w:p>
    <w:p w14:paraId="1C059961" w14:textId="77777777" w:rsidR="00E96E12" w:rsidRDefault="00E96E12">
      <w:pPr>
        <w:autoSpaceDE w:val="0"/>
        <w:autoSpaceDN w:val="0"/>
        <w:adjustRightInd w:val="0"/>
        <w:rPr>
          <w:rFonts w:eastAsia="TimesNewRoman"/>
          <w:szCs w:val="22"/>
          <w:lang w:eastAsia="lt-LT"/>
        </w:rPr>
      </w:pPr>
    </w:p>
    <w:p w14:paraId="1DD9F16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DECLARE tyrimo metu genitalijų infekcijų kaip sunkių nepageidaujamų reiškinių užfiksuota nedaugeliui pacientų. Jų skaičius dapagliflozino ir placebo grupėse nesiskyrė (buvo po 2).</w:t>
      </w:r>
    </w:p>
    <w:p w14:paraId="4D0F1FF3" w14:textId="77777777" w:rsidR="00E96E12" w:rsidRDefault="00E96E12">
      <w:pPr>
        <w:autoSpaceDE w:val="0"/>
        <w:autoSpaceDN w:val="0"/>
        <w:adjustRightInd w:val="0"/>
        <w:rPr>
          <w:rFonts w:eastAsia="TimesNewRoman"/>
          <w:szCs w:val="22"/>
          <w:lang w:eastAsia="lt-LT"/>
        </w:rPr>
      </w:pPr>
    </w:p>
    <w:p w14:paraId="5849847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DAPA-HF tyrimo metu sunkių genitalijų infekcijų kaip nepageidaujamų reiškinių dapagliflozino grupėje neužfiksuota, o placebo – užfiksuota vienam pacientui. Dėl genitalijų infekcijų kaip nepageidaujamų reiškinių gydymą nutraukė 7 dapagliflozino grupės (0,3 %) ir niekas iš placebo grupės pacientų.</w:t>
      </w:r>
    </w:p>
    <w:p w14:paraId="176B502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DELIVER tyrimo metu po vieną abejų grupių pacientą (&lt; 0,1 %) susirgo genitalijų infekcija, užfiksuota kaip sunkus nepageidaujamas reiškinys. Dėl genitalijų infekcijų kaip nepageidaujamų reiškinių dapagliflozino vartojimą nutraukė 3 pacientai (0,1 %) (placebo grupėje tokių atvejų nebuvo).</w:t>
      </w:r>
    </w:p>
    <w:p w14:paraId="0AEDAA61" w14:textId="77777777" w:rsidR="00E96E12" w:rsidRDefault="00E96E12">
      <w:pPr>
        <w:autoSpaceDE w:val="0"/>
        <w:autoSpaceDN w:val="0"/>
        <w:adjustRightInd w:val="0"/>
        <w:rPr>
          <w:rFonts w:eastAsia="TimesNewRoman"/>
          <w:szCs w:val="22"/>
          <w:lang w:eastAsia="lt-LT"/>
        </w:rPr>
      </w:pPr>
    </w:p>
    <w:p w14:paraId="5AADFB0B" w14:textId="77777777" w:rsidR="00E96E12" w:rsidRDefault="00E97765">
      <w:pPr>
        <w:autoSpaceDE w:val="0"/>
        <w:autoSpaceDN w:val="0"/>
        <w:adjustRightInd w:val="0"/>
        <w:rPr>
          <w:rFonts w:eastAsia="TimesNewRoman"/>
          <w:szCs w:val="22"/>
          <w:lang w:eastAsia="lt-LT"/>
        </w:rPr>
      </w:pPr>
      <w:r>
        <w:rPr>
          <w:rFonts w:eastAsia="TimesNewRoman"/>
          <w:szCs w:val="22"/>
          <w:lang w:eastAsia="lt-LT"/>
        </w:rPr>
        <w:lastRenderedPageBreak/>
        <w:t>DAPA-CKD tyrimo metu 3 (0,1 %) dapagliflozino grupės pacientai patyrė sunkių nepageidaujamų reiškinių – lytinių organų infekcijų, o placebo grupėje jų nebuvo. 3 (0,1 %) dapagliflozino grupės pacientai dėl nepageidaujamų reiškinių – lytinių organų infekcijų nutraukė tiriamojo vaistinio preparato vartojimą, placebo grupėje tokių atvejų nebuvo. Sunkių nepageidaujamų reiškinių – lytinių organų infekcijų ar lytinių organų infekcijų, dėl kurių tektų nutraukti vaistinio preparato vartojimą, diabetu nesirgusiems pacientams neužfiksuota.</w:t>
      </w:r>
    </w:p>
    <w:p w14:paraId="5F84AA7D" w14:textId="77777777" w:rsidR="00E96E12" w:rsidRDefault="00E96E12">
      <w:pPr>
        <w:autoSpaceDE w:val="0"/>
        <w:autoSpaceDN w:val="0"/>
        <w:adjustRightInd w:val="0"/>
        <w:rPr>
          <w:rFonts w:eastAsia="TimesNewRoman"/>
          <w:szCs w:val="22"/>
          <w:lang w:eastAsia="lt-LT"/>
        </w:rPr>
      </w:pPr>
    </w:p>
    <w:p w14:paraId="7F8D60E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Gauta pranešimų apie kartu su genitalijų infekcijomis nustatytus </w:t>
      </w:r>
      <w:proofErr w:type="spellStart"/>
      <w:r>
        <w:rPr>
          <w:rFonts w:eastAsia="TimesNewRoman"/>
          <w:szCs w:val="22"/>
          <w:lang w:eastAsia="lt-LT"/>
        </w:rPr>
        <w:t>fimozės</w:t>
      </w:r>
      <w:proofErr w:type="spellEnd"/>
      <w:r>
        <w:rPr>
          <w:rFonts w:eastAsia="TimesNewRoman"/>
          <w:szCs w:val="22"/>
          <w:lang w:eastAsia="lt-LT"/>
        </w:rPr>
        <w:t xml:space="preserve"> ir (arba) įgytos </w:t>
      </w:r>
      <w:proofErr w:type="spellStart"/>
      <w:r>
        <w:rPr>
          <w:rFonts w:eastAsia="TimesNewRoman"/>
          <w:szCs w:val="22"/>
          <w:lang w:eastAsia="lt-LT"/>
        </w:rPr>
        <w:t>fimozės</w:t>
      </w:r>
      <w:proofErr w:type="spellEnd"/>
      <w:r>
        <w:rPr>
          <w:rFonts w:eastAsia="TimesNewRoman"/>
          <w:szCs w:val="22"/>
          <w:lang w:eastAsia="lt-LT"/>
        </w:rPr>
        <w:t xml:space="preserve"> atvejus; kai kuriais atvejais buvo reikalingas apipjaustymas.</w:t>
      </w:r>
    </w:p>
    <w:p w14:paraId="6DCBD33D" w14:textId="77777777" w:rsidR="00E96E12" w:rsidRDefault="00E96E12">
      <w:pPr>
        <w:autoSpaceDE w:val="0"/>
        <w:autoSpaceDN w:val="0"/>
        <w:adjustRightInd w:val="0"/>
        <w:rPr>
          <w:rFonts w:eastAsia="TimesNewRoman"/>
          <w:szCs w:val="22"/>
          <w:lang w:eastAsia="lt-LT"/>
        </w:rPr>
      </w:pPr>
    </w:p>
    <w:p w14:paraId="3F73AA18" w14:textId="77777777" w:rsidR="00E96E12" w:rsidRDefault="00E97765">
      <w:pPr>
        <w:autoSpaceDE w:val="0"/>
        <w:autoSpaceDN w:val="0"/>
        <w:adjustRightInd w:val="0"/>
        <w:rPr>
          <w:rFonts w:eastAsia="TimesNewRoman,Italic"/>
          <w:i/>
          <w:iCs/>
          <w:szCs w:val="22"/>
          <w:lang w:eastAsia="lt-LT"/>
        </w:rPr>
      </w:pPr>
      <w:proofErr w:type="spellStart"/>
      <w:r>
        <w:rPr>
          <w:rFonts w:eastAsia="TimesNewRoman,Italic"/>
          <w:i/>
          <w:iCs/>
          <w:szCs w:val="22"/>
          <w:lang w:eastAsia="lt-LT"/>
        </w:rPr>
        <w:t>Tarpvietės</w:t>
      </w:r>
      <w:proofErr w:type="spellEnd"/>
      <w:r>
        <w:rPr>
          <w:rFonts w:eastAsia="TimesNewRoman,Italic"/>
          <w:i/>
          <w:iCs/>
          <w:szCs w:val="22"/>
          <w:lang w:eastAsia="lt-LT"/>
        </w:rPr>
        <w:t xml:space="preserve"> </w:t>
      </w:r>
      <w:proofErr w:type="spellStart"/>
      <w:r>
        <w:rPr>
          <w:rFonts w:eastAsia="TimesNewRoman,Italic"/>
          <w:i/>
          <w:iCs/>
          <w:szCs w:val="22"/>
          <w:lang w:eastAsia="lt-LT"/>
        </w:rPr>
        <w:t>nekrozuojantis</w:t>
      </w:r>
      <w:proofErr w:type="spellEnd"/>
      <w:r>
        <w:rPr>
          <w:rFonts w:eastAsia="TimesNewRoman,Italic"/>
          <w:i/>
          <w:iCs/>
          <w:szCs w:val="22"/>
          <w:lang w:eastAsia="lt-LT"/>
        </w:rPr>
        <w:t xml:space="preserve"> </w:t>
      </w:r>
      <w:proofErr w:type="spellStart"/>
      <w:r>
        <w:rPr>
          <w:rFonts w:eastAsia="TimesNewRoman,Italic"/>
          <w:i/>
          <w:iCs/>
          <w:szCs w:val="22"/>
          <w:lang w:eastAsia="lt-LT"/>
        </w:rPr>
        <w:t>fascitas</w:t>
      </w:r>
      <w:proofErr w:type="spellEnd"/>
      <w:r>
        <w:rPr>
          <w:rFonts w:eastAsia="TimesNewRoman,Italic"/>
          <w:i/>
          <w:iCs/>
          <w:szCs w:val="22"/>
          <w:lang w:eastAsia="lt-LT"/>
        </w:rPr>
        <w:t xml:space="preserve"> (</w:t>
      </w:r>
      <w:proofErr w:type="spellStart"/>
      <w:r>
        <w:rPr>
          <w:rFonts w:eastAsia="TimesNewRoman,Italic"/>
          <w:i/>
          <w:iCs/>
          <w:szCs w:val="22"/>
          <w:lang w:eastAsia="lt-LT"/>
        </w:rPr>
        <w:t>Fournier</w:t>
      </w:r>
      <w:proofErr w:type="spellEnd"/>
      <w:r>
        <w:rPr>
          <w:rFonts w:eastAsia="TimesNewRoman,Italic"/>
          <w:i/>
          <w:iCs/>
          <w:szCs w:val="22"/>
          <w:lang w:eastAsia="lt-LT"/>
        </w:rPr>
        <w:t xml:space="preserve"> gangrena)</w:t>
      </w:r>
    </w:p>
    <w:p w14:paraId="535139F4"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Vartojant į rinką SGLT2 pateiktų inhibitorių, įskaitant dapaglifloziną, gauta pranešimų apie </w:t>
      </w:r>
      <w:proofErr w:type="spellStart"/>
      <w:r>
        <w:rPr>
          <w:rFonts w:eastAsia="TimesNewRoman"/>
          <w:szCs w:val="22"/>
          <w:lang w:eastAsia="lt-LT"/>
        </w:rPr>
        <w:t>tarpvietės</w:t>
      </w:r>
      <w:proofErr w:type="spellEnd"/>
      <w:r>
        <w:rPr>
          <w:rFonts w:eastAsia="TimesNewRoman"/>
          <w:szCs w:val="22"/>
          <w:lang w:eastAsia="lt-LT"/>
        </w:rPr>
        <w:t xml:space="preserve"> </w:t>
      </w:r>
      <w:proofErr w:type="spellStart"/>
      <w:r>
        <w:rPr>
          <w:rFonts w:eastAsia="TimesNewRoman"/>
          <w:szCs w:val="22"/>
          <w:lang w:eastAsia="lt-LT"/>
        </w:rPr>
        <w:t>nekrozuojančio</w:t>
      </w:r>
      <w:proofErr w:type="spellEnd"/>
      <w:r>
        <w:rPr>
          <w:rFonts w:eastAsia="TimesNewRoman"/>
          <w:szCs w:val="22"/>
          <w:lang w:eastAsia="lt-LT"/>
        </w:rPr>
        <w:t xml:space="preserve"> </w:t>
      </w:r>
      <w:proofErr w:type="spellStart"/>
      <w:r>
        <w:rPr>
          <w:rFonts w:eastAsia="TimesNewRoman"/>
          <w:szCs w:val="22"/>
          <w:lang w:eastAsia="lt-LT"/>
        </w:rPr>
        <w:t>fascito</w:t>
      </w:r>
      <w:proofErr w:type="spellEnd"/>
      <w:r>
        <w:rPr>
          <w:rFonts w:eastAsia="TimesNewRoman"/>
          <w:szCs w:val="22"/>
          <w:lang w:eastAsia="lt-LT"/>
        </w:rPr>
        <w:t xml:space="preserve"> (dar vadinamo </w:t>
      </w:r>
      <w:proofErr w:type="spellStart"/>
      <w:r>
        <w:rPr>
          <w:rFonts w:eastAsia="TimesNewRoman,Italic"/>
          <w:i/>
          <w:iCs/>
          <w:szCs w:val="22"/>
          <w:lang w:eastAsia="lt-LT"/>
        </w:rPr>
        <w:t>Fournier</w:t>
      </w:r>
      <w:proofErr w:type="spellEnd"/>
      <w:r>
        <w:rPr>
          <w:rFonts w:eastAsia="TimesNewRoman,Italic"/>
          <w:i/>
          <w:iCs/>
          <w:szCs w:val="22"/>
          <w:lang w:eastAsia="lt-LT"/>
        </w:rPr>
        <w:t xml:space="preserve"> </w:t>
      </w:r>
      <w:r>
        <w:rPr>
          <w:rFonts w:eastAsia="TimesNewRoman"/>
          <w:szCs w:val="22"/>
          <w:lang w:eastAsia="lt-LT"/>
        </w:rPr>
        <w:t>gangrena) atvejus (žr. 4.4 skyrių).</w:t>
      </w:r>
    </w:p>
    <w:p w14:paraId="6E291A4F" w14:textId="77777777" w:rsidR="00E96E12" w:rsidRDefault="00E96E12">
      <w:pPr>
        <w:autoSpaceDE w:val="0"/>
        <w:autoSpaceDN w:val="0"/>
        <w:adjustRightInd w:val="0"/>
        <w:rPr>
          <w:rFonts w:eastAsia="TimesNewRoman"/>
          <w:szCs w:val="22"/>
          <w:lang w:eastAsia="lt-LT"/>
        </w:rPr>
      </w:pPr>
    </w:p>
    <w:p w14:paraId="39E32C4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DECLARE tyrime dalyvavo 17 160 pacientų, sirgusių 2 tipo cukriniu diabetu. Ekspozicijos trukmės mediana buvo 48 mėn., iš viso užfiksuoti 6 </w:t>
      </w:r>
      <w:proofErr w:type="spellStart"/>
      <w:r>
        <w:rPr>
          <w:rFonts w:eastAsia="TimesNewRoman,Italic"/>
          <w:i/>
          <w:iCs/>
          <w:szCs w:val="22"/>
          <w:lang w:eastAsia="lt-LT"/>
        </w:rPr>
        <w:t>Fournier</w:t>
      </w:r>
      <w:proofErr w:type="spellEnd"/>
      <w:r>
        <w:rPr>
          <w:rFonts w:eastAsia="TimesNewRoman,Italic"/>
          <w:i/>
          <w:iCs/>
          <w:szCs w:val="22"/>
          <w:lang w:eastAsia="lt-LT"/>
        </w:rPr>
        <w:t xml:space="preserve"> </w:t>
      </w:r>
      <w:r>
        <w:rPr>
          <w:rFonts w:eastAsia="TimesNewRoman"/>
          <w:szCs w:val="22"/>
          <w:lang w:eastAsia="lt-LT"/>
        </w:rPr>
        <w:t>gangrenos atvejai (1 dapagliflozino grupėje ir 5 – placebo).</w:t>
      </w:r>
    </w:p>
    <w:p w14:paraId="5B268911" w14:textId="77777777" w:rsidR="00E96E12" w:rsidRDefault="00E96E12">
      <w:pPr>
        <w:autoSpaceDE w:val="0"/>
        <w:autoSpaceDN w:val="0"/>
        <w:adjustRightInd w:val="0"/>
        <w:rPr>
          <w:rFonts w:eastAsia="TimesNewRoman,Italic"/>
          <w:i/>
          <w:iCs/>
          <w:szCs w:val="22"/>
          <w:lang w:eastAsia="lt-LT"/>
        </w:rPr>
      </w:pPr>
    </w:p>
    <w:p w14:paraId="706532E1"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Hipoglikemija</w:t>
      </w:r>
    </w:p>
    <w:p w14:paraId="755DDC8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Hipoglikemijos pasireiškimo dažnis priklausė nuo kitų vaistinių preparatų, vartotų cukrinio diabeto klinikinių tyrimų metu.</w:t>
      </w:r>
    </w:p>
    <w:p w14:paraId="2CE2B59C" w14:textId="77777777" w:rsidR="00E96E12" w:rsidRDefault="00E96E12">
      <w:pPr>
        <w:autoSpaceDE w:val="0"/>
        <w:autoSpaceDN w:val="0"/>
        <w:adjustRightInd w:val="0"/>
        <w:rPr>
          <w:rFonts w:eastAsia="TimesNewRoman"/>
          <w:szCs w:val="22"/>
          <w:lang w:eastAsia="lt-LT"/>
        </w:rPr>
      </w:pPr>
    </w:p>
    <w:p w14:paraId="105DF7E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Per 102 dapagliflozino </w:t>
      </w:r>
      <w:proofErr w:type="spellStart"/>
      <w:r>
        <w:rPr>
          <w:rFonts w:eastAsia="TimesNewRoman"/>
          <w:szCs w:val="22"/>
          <w:lang w:eastAsia="lt-LT"/>
        </w:rPr>
        <w:t>monoterapijos</w:t>
      </w:r>
      <w:proofErr w:type="spellEnd"/>
      <w:r>
        <w:rPr>
          <w:rFonts w:eastAsia="TimesNewRoman"/>
          <w:szCs w:val="22"/>
          <w:lang w:eastAsia="lt-LT"/>
        </w:rPr>
        <w:t xml:space="preserve">, papildomo kombinuoto gydymo su </w:t>
      </w:r>
      <w:proofErr w:type="spellStart"/>
      <w:r>
        <w:rPr>
          <w:rFonts w:eastAsia="TimesNewRoman"/>
          <w:szCs w:val="22"/>
          <w:lang w:eastAsia="lt-LT"/>
        </w:rPr>
        <w:t>metforminu</w:t>
      </w:r>
      <w:proofErr w:type="spellEnd"/>
      <w:r>
        <w:rPr>
          <w:rFonts w:eastAsia="TimesNewRoman"/>
          <w:szCs w:val="22"/>
          <w:lang w:eastAsia="lt-LT"/>
        </w:rPr>
        <w:t xml:space="preserve"> ir papildomo kombinuoto gydymo su </w:t>
      </w:r>
      <w:proofErr w:type="spellStart"/>
      <w:r>
        <w:rPr>
          <w:rFonts w:eastAsia="TimesNewRoman"/>
          <w:szCs w:val="22"/>
          <w:lang w:eastAsia="lt-LT"/>
        </w:rPr>
        <w:t>sitagliptinu</w:t>
      </w:r>
      <w:proofErr w:type="spellEnd"/>
      <w:r>
        <w:rPr>
          <w:rFonts w:eastAsia="TimesNewRoman"/>
          <w:szCs w:val="22"/>
          <w:lang w:eastAsia="lt-LT"/>
        </w:rPr>
        <w:t xml:space="preserve"> (kartu dar vartojant </w:t>
      </w:r>
      <w:proofErr w:type="spellStart"/>
      <w:r>
        <w:rPr>
          <w:rFonts w:eastAsia="TimesNewRoman"/>
          <w:szCs w:val="22"/>
          <w:lang w:eastAsia="lt-LT"/>
        </w:rPr>
        <w:t>metformino</w:t>
      </w:r>
      <w:proofErr w:type="spellEnd"/>
      <w:r>
        <w:rPr>
          <w:rFonts w:eastAsia="TimesNewRoman"/>
          <w:szCs w:val="22"/>
          <w:lang w:eastAsia="lt-LT"/>
        </w:rPr>
        <w:t xml:space="preserve"> arba jo nevartojant) gydymo savaites lengvų hipoglikemijos epizodų dažnis visų gydymo grupių, įskaitant placebo, pacientams buvo panašus (&lt; 5 %). Visų tyrimų metu sunkių hipoglikemijos reiškinių buvo nedažnai, jų dažnis dapagliflozino ir placebo grupių pacientams buvo panašus. Tiriant papildomą kombinuotą gydymą su </w:t>
      </w:r>
      <w:proofErr w:type="spellStart"/>
      <w:r>
        <w:rPr>
          <w:rFonts w:eastAsia="TimesNewRoman"/>
          <w:szCs w:val="22"/>
          <w:lang w:eastAsia="lt-LT"/>
        </w:rPr>
        <w:t>sulfonilurėjos</w:t>
      </w:r>
      <w:proofErr w:type="spellEnd"/>
      <w:r>
        <w:rPr>
          <w:rFonts w:eastAsia="TimesNewRoman"/>
          <w:szCs w:val="22"/>
          <w:lang w:eastAsia="lt-LT"/>
        </w:rPr>
        <w:t xml:space="preserve"> derinio ir insulino preparatais, hipoglikemija pasireiškė dažniau (žr. 4.5 skyrių).</w:t>
      </w:r>
    </w:p>
    <w:p w14:paraId="7FFCA87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Papildomo kombinuoto gydymo su </w:t>
      </w:r>
      <w:proofErr w:type="spellStart"/>
      <w:r>
        <w:rPr>
          <w:rFonts w:eastAsia="TimesNewRoman"/>
          <w:szCs w:val="22"/>
          <w:lang w:eastAsia="lt-LT"/>
        </w:rPr>
        <w:t>glimepiridu</w:t>
      </w:r>
      <w:proofErr w:type="spellEnd"/>
      <w:r>
        <w:rPr>
          <w:rFonts w:eastAsia="TimesNewRoman"/>
          <w:szCs w:val="22"/>
          <w:lang w:eastAsia="lt-LT"/>
        </w:rPr>
        <w:t xml:space="preserve"> tyrimo metu lengvų hipoglikemijos epizodų per 24 ir 48 savaites 10 mg dapagliflozino ir </w:t>
      </w:r>
      <w:proofErr w:type="spellStart"/>
      <w:r>
        <w:rPr>
          <w:rFonts w:eastAsia="TimesNewRoman"/>
          <w:szCs w:val="22"/>
          <w:lang w:eastAsia="lt-LT"/>
        </w:rPr>
        <w:t>glimepirido</w:t>
      </w:r>
      <w:proofErr w:type="spellEnd"/>
      <w:r>
        <w:rPr>
          <w:rFonts w:eastAsia="TimesNewRoman"/>
          <w:szCs w:val="22"/>
          <w:lang w:eastAsia="lt-LT"/>
        </w:rPr>
        <w:t xml:space="preserve"> derinio grupės pacientams pasireiškė dažniau (atitinkamai 6 % ir 7,9 %), negu placebo ir </w:t>
      </w:r>
      <w:proofErr w:type="spellStart"/>
      <w:r>
        <w:rPr>
          <w:rFonts w:eastAsia="TimesNewRoman"/>
          <w:szCs w:val="22"/>
          <w:lang w:eastAsia="lt-LT"/>
        </w:rPr>
        <w:t>glimepirido</w:t>
      </w:r>
      <w:proofErr w:type="spellEnd"/>
      <w:r>
        <w:rPr>
          <w:rFonts w:eastAsia="TimesNewRoman"/>
          <w:szCs w:val="22"/>
          <w:lang w:eastAsia="lt-LT"/>
        </w:rPr>
        <w:t xml:space="preserve"> derinio (atitinkamai 2,1 % ir 2,1 %).</w:t>
      </w:r>
    </w:p>
    <w:p w14:paraId="1AD7E2FB" w14:textId="77777777" w:rsidR="00E96E12" w:rsidRDefault="00E96E12">
      <w:pPr>
        <w:autoSpaceDE w:val="0"/>
        <w:autoSpaceDN w:val="0"/>
        <w:adjustRightInd w:val="0"/>
        <w:rPr>
          <w:rFonts w:eastAsia="TimesNewRoman"/>
          <w:szCs w:val="22"/>
          <w:lang w:eastAsia="lt-LT"/>
        </w:rPr>
      </w:pPr>
    </w:p>
    <w:p w14:paraId="672B738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Tyrimo insulino poveikiui papildyti metu stipriai išreikštos hipoglikemijos epizodų per 24 savaites patyrė 0,5 %, o per 104 savaites – 1 % 10 mg dapagliflozino ir insulino derinio grupės pacientų. Be to, per 24 ir 104 savaites tokių epizodų patyrė 0,5 % placebo ir insulino derinį vartojusių pacientų. Lengvų hipoglikemijos epizodų per 24 savaites patyrė 40,3 %, o per 104 savaites – 53,1 % 10 mg dapagliflozino ir insulino derinio grupės pacientų; tokių pacientų placebo ir insulino derinio grupėje buvo atitinkamai 34,0 % ir 41,6 %.</w:t>
      </w:r>
    </w:p>
    <w:p w14:paraId="08FAD7CF" w14:textId="77777777" w:rsidR="00E96E12" w:rsidRDefault="00E96E12">
      <w:pPr>
        <w:autoSpaceDE w:val="0"/>
        <w:autoSpaceDN w:val="0"/>
        <w:adjustRightInd w:val="0"/>
        <w:rPr>
          <w:rFonts w:eastAsia="TimesNewRoman"/>
          <w:szCs w:val="22"/>
          <w:lang w:eastAsia="lt-LT"/>
        </w:rPr>
      </w:pPr>
    </w:p>
    <w:p w14:paraId="1A35DFA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Tyrimo </w:t>
      </w:r>
      <w:proofErr w:type="spellStart"/>
      <w:r>
        <w:rPr>
          <w:rFonts w:eastAsia="TimesNewRoman"/>
          <w:szCs w:val="22"/>
          <w:lang w:eastAsia="lt-LT"/>
        </w:rPr>
        <w:t>metformino</w:t>
      </w:r>
      <w:proofErr w:type="spellEnd"/>
      <w:r>
        <w:rPr>
          <w:rFonts w:eastAsia="TimesNewRoman"/>
          <w:szCs w:val="22"/>
          <w:lang w:eastAsia="lt-LT"/>
        </w:rPr>
        <w:t xml:space="preserve"> ir </w:t>
      </w:r>
      <w:proofErr w:type="spellStart"/>
      <w:r>
        <w:rPr>
          <w:rFonts w:eastAsia="TimesNewRoman"/>
          <w:szCs w:val="22"/>
          <w:lang w:eastAsia="lt-LT"/>
        </w:rPr>
        <w:t>sulfonilurėjos</w:t>
      </w:r>
      <w:proofErr w:type="spellEnd"/>
      <w:r>
        <w:rPr>
          <w:rFonts w:eastAsia="TimesNewRoman"/>
          <w:szCs w:val="22"/>
          <w:lang w:eastAsia="lt-LT"/>
        </w:rPr>
        <w:t xml:space="preserve"> darinio poveikiui papildyti, iki 24 savaičių stipriai išreikštos hipoglikemijos epizodų nepatirta. Lengvos hipoglikemijos epizodų patyrė 12,8 % pacientų, vartojusių dapagliflozino (10 mg), </w:t>
      </w:r>
      <w:proofErr w:type="spellStart"/>
      <w:r>
        <w:rPr>
          <w:rFonts w:eastAsia="TimesNewRoman"/>
          <w:szCs w:val="22"/>
          <w:lang w:eastAsia="lt-LT"/>
        </w:rPr>
        <w:t>metformino</w:t>
      </w:r>
      <w:proofErr w:type="spellEnd"/>
      <w:r>
        <w:rPr>
          <w:rFonts w:eastAsia="TimesNewRoman"/>
          <w:szCs w:val="22"/>
          <w:lang w:eastAsia="lt-LT"/>
        </w:rPr>
        <w:t xml:space="preserve"> ir </w:t>
      </w:r>
      <w:proofErr w:type="spellStart"/>
      <w:r>
        <w:rPr>
          <w:rFonts w:eastAsia="TimesNewRoman"/>
          <w:szCs w:val="22"/>
          <w:lang w:eastAsia="lt-LT"/>
        </w:rPr>
        <w:t>sulfonilurėjos</w:t>
      </w:r>
      <w:proofErr w:type="spellEnd"/>
      <w:r>
        <w:rPr>
          <w:rFonts w:eastAsia="TimesNewRoman"/>
          <w:szCs w:val="22"/>
          <w:lang w:eastAsia="lt-LT"/>
        </w:rPr>
        <w:t xml:space="preserve"> darinio, bei 3,7 % pacientų, vartojusių placebo, </w:t>
      </w:r>
      <w:proofErr w:type="spellStart"/>
      <w:r>
        <w:rPr>
          <w:rFonts w:eastAsia="TimesNewRoman"/>
          <w:szCs w:val="22"/>
          <w:lang w:eastAsia="lt-LT"/>
        </w:rPr>
        <w:t>metformino</w:t>
      </w:r>
      <w:proofErr w:type="spellEnd"/>
      <w:r>
        <w:rPr>
          <w:rFonts w:eastAsia="TimesNewRoman"/>
          <w:szCs w:val="22"/>
          <w:lang w:eastAsia="lt-LT"/>
        </w:rPr>
        <w:t xml:space="preserve"> ir </w:t>
      </w:r>
      <w:proofErr w:type="spellStart"/>
      <w:r>
        <w:rPr>
          <w:rFonts w:eastAsia="TimesNewRoman"/>
          <w:szCs w:val="22"/>
          <w:lang w:eastAsia="lt-LT"/>
        </w:rPr>
        <w:t>sulfonilurėjos</w:t>
      </w:r>
      <w:proofErr w:type="spellEnd"/>
      <w:r>
        <w:rPr>
          <w:rFonts w:eastAsia="TimesNewRoman"/>
          <w:szCs w:val="22"/>
          <w:lang w:eastAsia="lt-LT"/>
        </w:rPr>
        <w:t xml:space="preserve"> darinio.</w:t>
      </w:r>
    </w:p>
    <w:p w14:paraId="1FD250D4" w14:textId="77777777" w:rsidR="00E96E12" w:rsidRDefault="00E96E12">
      <w:pPr>
        <w:autoSpaceDE w:val="0"/>
        <w:autoSpaceDN w:val="0"/>
        <w:adjustRightInd w:val="0"/>
        <w:rPr>
          <w:rFonts w:eastAsia="TimesNewRoman"/>
          <w:szCs w:val="22"/>
          <w:lang w:eastAsia="lt-LT"/>
        </w:rPr>
      </w:pPr>
    </w:p>
    <w:p w14:paraId="6273A73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DECLARE tyrimo metu didžiosios hipoglikemijos rizikos padidėjimo vartojant dapaglifloziną (palyginus su placebu) nenustatyta. Didžiosios hipoglikemijos atvejų užfiksuota 58 (0,7 %) dapaglifloziną ir 83 (1,0 %) placebą vartojusiems pacientams.</w:t>
      </w:r>
    </w:p>
    <w:p w14:paraId="09E2A66D" w14:textId="77777777" w:rsidR="00E96E12" w:rsidRDefault="00E96E12">
      <w:pPr>
        <w:autoSpaceDE w:val="0"/>
        <w:autoSpaceDN w:val="0"/>
        <w:adjustRightInd w:val="0"/>
        <w:rPr>
          <w:rFonts w:eastAsia="TimesNewRoman"/>
          <w:szCs w:val="22"/>
          <w:lang w:eastAsia="lt-LT"/>
        </w:rPr>
      </w:pPr>
    </w:p>
    <w:p w14:paraId="571754F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DAPA-HF tyrimo metu didžiosios hipoglikemijos reiškinių užfiksuota po 4 (0,2 %) dapagliflozino ir placebo grupės pacientams.</w:t>
      </w:r>
    </w:p>
    <w:p w14:paraId="3523C93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DELIVER tyrimo metu didžiosios hipoglikemijos reiškinių užfiksuota 6 dapagliflozino grupės pacientams (0,2 %) ir 7 placebo grupės pacientams (0,2 %). Visi pacientai, kuriems užfiksuota didžiosios hipoglikemijos reiškinių, sirgo 2 tipo cukriniu diabetu.</w:t>
      </w:r>
    </w:p>
    <w:p w14:paraId="38EA5CDB" w14:textId="77777777" w:rsidR="00E96E12" w:rsidRDefault="00E96E12">
      <w:pPr>
        <w:autoSpaceDE w:val="0"/>
        <w:autoSpaceDN w:val="0"/>
        <w:adjustRightInd w:val="0"/>
        <w:rPr>
          <w:rFonts w:eastAsia="TimesNewRoman"/>
          <w:szCs w:val="22"/>
          <w:lang w:eastAsia="lt-LT"/>
        </w:rPr>
      </w:pPr>
    </w:p>
    <w:p w14:paraId="11F9014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DAPA-CKD tyrimo metu didžiosios hipoglikemijos atvejų užfiksuota 14 (0,7 %) dapagliflozino ir 28 (1,3 %) placebo grupės pacientams (visi jie sirgo 2 tipo cukriniu diabetu).</w:t>
      </w:r>
    </w:p>
    <w:p w14:paraId="18B37BE1" w14:textId="77777777" w:rsidR="00E96E12" w:rsidRDefault="00E96E12">
      <w:pPr>
        <w:autoSpaceDE w:val="0"/>
        <w:autoSpaceDN w:val="0"/>
        <w:adjustRightInd w:val="0"/>
        <w:rPr>
          <w:rFonts w:eastAsia="TimesNewRoman,Italic"/>
          <w:i/>
          <w:iCs/>
          <w:szCs w:val="22"/>
          <w:lang w:eastAsia="lt-LT"/>
        </w:rPr>
      </w:pPr>
    </w:p>
    <w:p w14:paraId="38A43437"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lastRenderedPageBreak/>
        <w:t>Sumažėjęs skysčio tūris</w:t>
      </w:r>
    </w:p>
    <w:p w14:paraId="0E73F4C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13 tyrimų saugumo populiacijoje sumažėjusiam skysčio tūriui būdingų reakcijų (dehidratacija, </w:t>
      </w:r>
      <w:proofErr w:type="spellStart"/>
      <w:r>
        <w:rPr>
          <w:rFonts w:eastAsia="TimesNewRoman"/>
          <w:szCs w:val="22"/>
          <w:lang w:eastAsia="lt-LT"/>
        </w:rPr>
        <w:t>hipovolemija</w:t>
      </w:r>
      <w:proofErr w:type="spellEnd"/>
      <w:r>
        <w:rPr>
          <w:rFonts w:eastAsia="TimesNewRoman"/>
          <w:szCs w:val="22"/>
          <w:lang w:eastAsia="lt-LT"/>
        </w:rPr>
        <w:t xml:space="preserve"> arba </w:t>
      </w:r>
      <w:proofErr w:type="spellStart"/>
      <w:r>
        <w:rPr>
          <w:rFonts w:eastAsia="TimesNewRoman"/>
          <w:szCs w:val="22"/>
          <w:lang w:eastAsia="lt-LT"/>
        </w:rPr>
        <w:t>hipotenzija</w:t>
      </w:r>
      <w:proofErr w:type="spellEnd"/>
      <w:r>
        <w:rPr>
          <w:rFonts w:eastAsia="TimesNewRoman"/>
          <w:szCs w:val="22"/>
          <w:lang w:eastAsia="lt-LT"/>
        </w:rPr>
        <w:t>) užfiksuota 1,1 % 10 mg dapagliflozino ir 0,7 % placebą vartojusių asmenų. Sunkių reakcijų pasireiškė &lt; 0,2 % asmenų, jų dažnis 10 mg dapagliflozino ir placebą vartojusiems pacientams buvo panašus (žr. 4.4 skyrių).</w:t>
      </w:r>
    </w:p>
    <w:p w14:paraId="1182451F" w14:textId="77777777" w:rsidR="00E96E12" w:rsidRDefault="00E96E12">
      <w:pPr>
        <w:autoSpaceDE w:val="0"/>
        <w:autoSpaceDN w:val="0"/>
        <w:adjustRightInd w:val="0"/>
        <w:rPr>
          <w:rFonts w:eastAsia="TimesNewRoman"/>
          <w:szCs w:val="22"/>
          <w:lang w:eastAsia="lt-LT"/>
        </w:rPr>
      </w:pPr>
    </w:p>
    <w:p w14:paraId="4DA26D0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DECLARE tyrimo metu sumažėjusiam skysčio tūrio būdingų reiškinių skaičius gydymo grupėse buvo panašus: jų patyrė atitinkamai 213 (2,5 %) dapagliflozino ir 207 (2,4 %) placebo grupės pacientai. Sunkių nepageidaujamų reiškinių užfiksuota atitinkamai 81 (0,9 %) ir 70 (0,8 %) dapagliflozino ir placebo grupės pacientų. Šių reiškinių skaičius gydymo grupėse ir pagal amžių, diuretikų vartojimą, kraujospūdį bei </w:t>
      </w:r>
      <w:proofErr w:type="spellStart"/>
      <w:r>
        <w:rPr>
          <w:rFonts w:eastAsia="TimesNewRoman"/>
          <w:szCs w:val="22"/>
          <w:lang w:eastAsia="lt-LT"/>
        </w:rPr>
        <w:t>angiotenziną</w:t>
      </w:r>
      <w:proofErr w:type="spellEnd"/>
      <w:r>
        <w:rPr>
          <w:rFonts w:eastAsia="TimesNewRoman"/>
          <w:szCs w:val="22"/>
          <w:lang w:eastAsia="lt-LT"/>
        </w:rPr>
        <w:t xml:space="preserve"> konvertuojančio fermento inhibitorių (AKFI) ar </w:t>
      </w:r>
      <w:proofErr w:type="spellStart"/>
      <w:r>
        <w:rPr>
          <w:rFonts w:eastAsia="TimesNewRoman"/>
          <w:szCs w:val="22"/>
          <w:lang w:eastAsia="lt-LT"/>
        </w:rPr>
        <w:t>angiotenzino</w:t>
      </w:r>
      <w:proofErr w:type="spellEnd"/>
      <w:r>
        <w:rPr>
          <w:rFonts w:eastAsia="TimesNewRoman"/>
          <w:szCs w:val="22"/>
          <w:lang w:eastAsia="lt-LT"/>
        </w:rPr>
        <w:t xml:space="preserve"> II tipo receptorių Nr. 1 blokatorių (ARB) vartojimą sudarytuose pogrupiuose buvo iš esmės panašus. Pacientams, kurių pradinis </w:t>
      </w:r>
      <w:proofErr w:type="spellStart"/>
      <w:r>
        <w:rPr>
          <w:rFonts w:eastAsia="TimesNewRoman"/>
          <w:szCs w:val="22"/>
          <w:lang w:eastAsia="lt-LT"/>
        </w:rPr>
        <w:t>aGFG</w:t>
      </w:r>
      <w:proofErr w:type="spellEnd"/>
      <w:r>
        <w:rPr>
          <w:rFonts w:eastAsia="TimesNewRoman"/>
          <w:szCs w:val="22"/>
          <w:lang w:eastAsia="lt-LT"/>
        </w:rPr>
        <w:t xml:space="preserve"> buvo &lt; 60 ml/min./1,73 m</w:t>
      </w:r>
      <w:r>
        <w:rPr>
          <w:rFonts w:eastAsia="TimesNewRoman"/>
          <w:vertAlign w:val="superscript"/>
        </w:rPr>
        <w:t>2</w:t>
      </w:r>
      <w:r>
        <w:rPr>
          <w:rFonts w:eastAsia="TimesNewRoman"/>
          <w:szCs w:val="22"/>
          <w:lang w:eastAsia="lt-LT"/>
        </w:rPr>
        <w:t>, skysčio tūrio sumažėjimui būdingų sunkių nepageidaujamų reiškinių dapagliflozino grupėje užfiksuota 19, placebo – 13 kartų.</w:t>
      </w:r>
    </w:p>
    <w:p w14:paraId="6B3DC3A4" w14:textId="77777777" w:rsidR="00E96E12" w:rsidRDefault="00E96E12">
      <w:pPr>
        <w:autoSpaceDE w:val="0"/>
        <w:autoSpaceDN w:val="0"/>
        <w:adjustRightInd w:val="0"/>
        <w:rPr>
          <w:rFonts w:eastAsia="TimesNewRoman"/>
          <w:szCs w:val="22"/>
          <w:lang w:eastAsia="lt-LT"/>
        </w:rPr>
      </w:pPr>
    </w:p>
    <w:p w14:paraId="3B874E7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DAPA-HF tyrimo metu skysčių tūrio sumažėjimui būdingų reiškinių užfiksuota 170 (7,2 %) dapagliflozino ir 153 (6,5 %) placebo grupės pacientų. Sunkių reiškinių su skysčių tūrio sumažėjimo simptomais užfiksuota mažiau dapagliflozino (23, </w:t>
      </w:r>
      <w:proofErr w:type="spellStart"/>
      <w:r>
        <w:rPr>
          <w:rFonts w:eastAsia="TimesNewRoman"/>
          <w:szCs w:val="22"/>
          <w:lang w:eastAsia="lt-LT"/>
        </w:rPr>
        <w:t>t.y</w:t>
      </w:r>
      <w:proofErr w:type="spellEnd"/>
      <w:r>
        <w:rPr>
          <w:rFonts w:eastAsia="TimesNewRoman"/>
          <w:szCs w:val="22"/>
          <w:lang w:eastAsia="lt-LT"/>
        </w:rPr>
        <w:t xml:space="preserve">. 1,0 %) negu placebo (38, </w:t>
      </w:r>
      <w:proofErr w:type="spellStart"/>
      <w:r>
        <w:rPr>
          <w:rFonts w:eastAsia="TimesNewRoman"/>
          <w:szCs w:val="22"/>
          <w:lang w:eastAsia="lt-LT"/>
        </w:rPr>
        <w:t>t.y</w:t>
      </w:r>
      <w:proofErr w:type="spellEnd"/>
      <w:r>
        <w:rPr>
          <w:rFonts w:eastAsia="TimesNewRoman"/>
          <w:szCs w:val="22"/>
          <w:lang w:eastAsia="lt-LT"/>
        </w:rPr>
        <w:t xml:space="preserve">. 1,6 %) grupės pacientų. Jų skaičius buvo panašus nepriklausomai nuo sirgimo cukriniu diabetu iš pradžių ir pradinio </w:t>
      </w:r>
      <w:proofErr w:type="spellStart"/>
      <w:r>
        <w:rPr>
          <w:rFonts w:eastAsia="TimesNewRoman"/>
          <w:szCs w:val="22"/>
          <w:lang w:eastAsia="lt-LT"/>
        </w:rPr>
        <w:t>aGFG</w:t>
      </w:r>
      <w:proofErr w:type="spellEnd"/>
      <w:r>
        <w:rPr>
          <w:rFonts w:eastAsia="TimesNewRoman"/>
          <w:szCs w:val="22"/>
          <w:lang w:eastAsia="lt-LT"/>
        </w:rPr>
        <w:t>.</w:t>
      </w:r>
    </w:p>
    <w:p w14:paraId="50D9BD4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DELIVER tyrimo metu sunkių reiškinių su skysčių tūrio sumažėjimo simptomais užfiksuota 35 dapagliflozino grupėms pacientams (1,1</w:t>
      </w:r>
      <w:r>
        <w:rPr>
          <w:rFonts w:eastAsia="TimesNewRoman"/>
        </w:rPr>
        <w:t> </w:t>
      </w:r>
      <w:r>
        <w:rPr>
          <w:rFonts w:eastAsia="TimesNewRoman"/>
          <w:szCs w:val="22"/>
          <w:lang w:eastAsia="lt-LT"/>
        </w:rPr>
        <w:t>%) ir 31 placebo grupės pacientui (1 %).</w:t>
      </w:r>
    </w:p>
    <w:p w14:paraId="4C3F911B" w14:textId="77777777" w:rsidR="00E96E12" w:rsidRDefault="00E96E12">
      <w:pPr>
        <w:autoSpaceDE w:val="0"/>
        <w:autoSpaceDN w:val="0"/>
        <w:adjustRightInd w:val="0"/>
        <w:rPr>
          <w:rFonts w:eastAsia="TimesNewRoman"/>
          <w:szCs w:val="22"/>
          <w:lang w:eastAsia="lt-LT"/>
        </w:rPr>
      </w:pPr>
    </w:p>
    <w:p w14:paraId="3DAE8EC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DAPA-CKD tyrimo metu skysčio tūrio sumažėjimui būdingų reiškinių užfiksuota 120 (5,6 %) dapagliflozino ir 84 (3,9 %) placebo grupės pacientams. Sunkių reiškinių su skysčio tūrio sumažėjimo simptomais užfiksuota 16 (0,7 %) dapagliflozino 15 (0,7 %) placebo grupės pacientų.</w:t>
      </w:r>
    </w:p>
    <w:p w14:paraId="6CA742B3" w14:textId="77777777" w:rsidR="00E96E12" w:rsidRDefault="00E96E12">
      <w:pPr>
        <w:autoSpaceDE w:val="0"/>
        <w:autoSpaceDN w:val="0"/>
        <w:adjustRightInd w:val="0"/>
        <w:rPr>
          <w:rFonts w:eastAsia="TimesNewRoman,Italic"/>
          <w:i/>
          <w:iCs/>
          <w:szCs w:val="22"/>
          <w:lang w:eastAsia="lt-LT"/>
        </w:rPr>
      </w:pPr>
    </w:p>
    <w:p w14:paraId="67B6BCE5"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 xml:space="preserve">Diabetinė </w:t>
      </w:r>
      <w:proofErr w:type="spellStart"/>
      <w:r>
        <w:rPr>
          <w:rFonts w:eastAsia="TimesNewRoman,Italic"/>
          <w:i/>
          <w:iCs/>
          <w:szCs w:val="22"/>
          <w:u w:val="single"/>
          <w:lang w:eastAsia="lt-LT"/>
        </w:rPr>
        <w:t>ketoacidozė</w:t>
      </w:r>
      <w:proofErr w:type="spellEnd"/>
      <w:r>
        <w:rPr>
          <w:rFonts w:eastAsia="TimesNewRoman,Italic"/>
          <w:i/>
          <w:iCs/>
          <w:szCs w:val="22"/>
          <w:u w:val="single"/>
          <w:lang w:eastAsia="lt-LT"/>
        </w:rPr>
        <w:t xml:space="preserve"> 2 tipo cukriniu diabetu sergantiems pacientams</w:t>
      </w:r>
    </w:p>
    <w:p w14:paraId="68797E5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DECLARE tyrimo metu (vartojimo laikotarpio mediana buvo 48 mėn.) DKA reiškinių užfiksuota 27 dapagliflozino 10 mg ir 12 placebo grupės pacientų. Užfiksuoti reiškiniai tolygiai pasiskirstė tyrimo laikotarpiu. 22 iš 27 dapagliflozino grupės pacientų, patyrusių DKA reiškinių, tuo metu vartojo insuliną. DKA pasireiškimą skatino tokie faktoriai, kokių ir reikėtų tikėtis 2 cukriniu diabetu sergantiems pacientams (žr. 4.4 skyrių).</w:t>
      </w:r>
    </w:p>
    <w:p w14:paraId="17F1F2E8" w14:textId="77777777" w:rsidR="00E96E12" w:rsidRDefault="00E96E12">
      <w:pPr>
        <w:autoSpaceDE w:val="0"/>
        <w:autoSpaceDN w:val="0"/>
        <w:adjustRightInd w:val="0"/>
        <w:rPr>
          <w:rFonts w:eastAsia="TimesNewRoman"/>
          <w:szCs w:val="22"/>
          <w:lang w:eastAsia="lt-LT"/>
        </w:rPr>
      </w:pPr>
    </w:p>
    <w:p w14:paraId="3800737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DAPA-HF tyrimo metu DKA reiškinių užfiksuota trims 2 tipo cukriniu diabetu sirgusiems dapagliflozino grupės pacientams.</w:t>
      </w:r>
    </w:p>
    <w:p w14:paraId="045982A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Placebo grupės pacientams jų neužfiksuota. DELIVER tyrimo metu DKA užfiksuota 2 dapagliflozino grupės pacientams, sirgusiems 2 tipo cukriniu diabetu (placebo grupėje DKA atvejų neužfiksuota).</w:t>
      </w:r>
    </w:p>
    <w:p w14:paraId="78F52663" w14:textId="77777777" w:rsidR="00E96E12" w:rsidRDefault="00E96E12">
      <w:pPr>
        <w:autoSpaceDE w:val="0"/>
        <w:autoSpaceDN w:val="0"/>
        <w:adjustRightInd w:val="0"/>
        <w:rPr>
          <w:rFonts w:eastAsia="TimesNewRoman"/>
          <w:szCs w:val="22"/>
          <w:lang w:eastAsia="lt-LT"/>
        </w:rPr>
      </w:pPr>
    </w:p>
    <w:p w14:paraId="6FCEA43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DAPA-CKD tyrimo metu DKA reiškinių nebuvo nė vienam dapagliflozino grupės pacientui. 2 tokie reiškiniai užfiksuoti 2 tipo diabetu sirgusiems placebo grupės pacientams.</w:t>
      </w:r>
    </w:p>
    <w:p w14:paraId="657FB729" w14:textId="77777777" w:rsidR="00E96E12" w:rsidRDefault="00E96E12">
      <w:pPr>
        <w:autoSpaceDE w:val="0"/>
        <w:autoSpaceDN w:val="0"/>
        <w:adjustRightInd w:val="0"/>
        <w:rPr>
          <w:rFonts w:eastAsia="TimesNewRoman,Italic"/>
          <w:i/>
          <w:iCs/>
          <w:szCs w:val="22"/>
          <w:lang w:eastAsia="lt-LT"/>
        </w:rPr>
      </w:pPr>
    </w:p>
    <w:p w14:paraId="6FA29B99"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Šlapimo takų infekcijos</w:t>
      </w:r>
    </w:p>
    <w:p w14:paraId="4C38388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13 tyrimų saugumo populiacijos pacientams, vartojusiems10 mg dapagliflozino, šlapimo takų infekcijų pasireiškė dažniau negu vartojusiems placebą (jų dažnis buvo atitinkamai 4,7 % ir 3,5 %, žr. 4.4 skyrių). Dauguma šių infekcijų buvo lengvo ar vidutinio sunkumo, jas patyrusiems asmenims būdavo veiksmingas pradinis įprastinio gydymo kursas, dapagliflozino vartojimą dėl jų tekdavo nutraukti retai. Tokių infekcijų dažniau pasireiškė moterims, infekcijos pasikartojimo tikimybė taip pat buvo didesnė anksčiau jomis sirgusiems asmenims.</w:t>
      </w:r>
    </w:p>
    <w:p w14:paraId="23DCE437" w14:textId="77777777" w:rsidR="00E96E12" w:rsidRDefault="00E96E12">
      <w:pPr>
        <w:autoSpaceDE w:val="0"/>
        <w:autoSpaceDN w:val="0"/>
        <w:adjustRightInd w:val="0"/>
        <w:rPr>
          <w:rFonts w:eastAsia="TimesNewRoman"/>
          <w:szCs w:val="22"/>
          <w:lang w:eastAsia="lt-LT"/>
        </w:rPr>
      </w:pPr>
    </w:p>
    <w:p w14:paraId="6C2BD7A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DECLARE tyrimo metu sunkių šlapimo takų infekcijų reiškinių 10 mg dapagliflozino vartojusiems pacientams pasireiškė rečiau negu vartojusiems placebą – užfiksuoti atitinkamai 79 (0,9 %) ir 109 (1,3 %) jų atvejai.</w:t>
      </w:r>
    </w:p>
    <w:p w14:paraId="68FD6BBF" w14:textId="77777777" w:rsidR="00E96E12" w:rsidRDefault="00E96E12">
      <w:pPr>
        <w:autoSpaceDE w:val="0"/>
        <w:autoSpaceDN w:val="0"/>
        <w:adjustRightInd w:val="0"/>
        <w:rPr>
          <w:rFonts w:eastAsia="TimesNewRoman"/>
          <w:szCs w:val="22"/>
          <w:lang w:eastAsia="lt-LT"/>
        </w:rPr>
      </w:pPr>
    </w:p>
    <w:p w14:paraId="5D1B7A3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DAPA-HF tyrimo metu šlapimo takų infekcijų kaip sunkių nepageidaujamų reiškinių užfiksuota 14 (0,6 %) dapagliflozino ir 17 (0,7 %) placebo grupės pacientų. Dėl šlapimo takų infekcijų kaip nepageidaujamų reiškinių gydymą nutraukė po 5 (0,2 %) dapagliflozino ir placebo grupių pacientus.</w:t>
      </w:r>
    </w:p>
    <w:p w14:paraId="022D8008" w14:textId="77777777" w:rsidR="00E96E12" w:rsidRDefault="00E97765">
      <w:pPr>
        <w:autoSpaceDE w:val="0"/>
        <w:autoSpaceDN w:val="0"/>
        <w:adjustRightInd w:val="0"/>
        <w:rPr>
          <w:rFonts w:eastAsia="TimesNewRoman"/>
          <w:szCs w:val="22"/>
          <w:lang w:eastAsia="lt-LT"/>
        </w:rPr>
      </w:pPr>
      <w:r>
        <w:rPr>
          <w:rFonts w:eastAsia="TimesNewRoman"/>
          <w:szCs w:val="22"/>
          <w:lang w:eastAsia="lt-LT"/>
        </w:rPr>
        <w:lastRenderedPageBreak/>
        <w:t>DELIVER tyrimo metu šlapimo takų infekcijų kaip sunkių nepageidaujamų reiškinių užfiksuota 41 dapagliflozino grupės pacientui (1,3 %) ir 37 placebo grupės pacientams (1,2 %). Dėl šlapimo takų infekcijų kaip nepageidaujamų reiškinių dapagliflozino vartojimą nutraukė 13 pacientų (0,4 %), o placebo – 9 (0,3 %).</w:t>
      </w:r>
    </w:p>
    <w:p w14:paraId="26956EC7" w14:textId="77777777" w:rsidR="00E96E12" w:rsidRDefault="00E96E12">
      <w:pPr>
        <w:autoSpaceDE w:val="0"/>
        <w:autoSpaceDN w:val="0"/>
        <w:adjustRightInd w:val="0"/>
        <w:rPr>
          <w:rFonts w:eastAsia="TimesNewRoman"/>
          <w:szCs w:val="22"/>
          <w:lang w:eastAsia="lt-LT"/>
        </w:rPr>
      </w:pPr>
    </w:p>
    <w:p w14:paraId="4DC780C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DAPA-CKD tyrimo metu šlapimo takų infekcijų kaip sunkių nepageidaujamų reiškinių užfiksuota 29 (1,3 %) dapagliflozino ir 18 (0,8 %) placebo grupės pacientų. Dėl šlapimo takų infekcijų kaip nepageidaujamų reiškinių gydymą nutraukė 8 (0,4 %) dapagliflozino ir 3 (0,1 %) placebo grupės pacientai. Diabetu nesirgusių pacientų, kuriems pasireiškė šlapimo takų infekcijų kaip sunkių nepageidaujamų reiškinių ar sunkių nepageidaujamų reiškinių, dėl kurių teko nutraukti tiriamojo vaistinio preparato vartojimą, abejose grupėse buvo panašiai – sunkių nepageidaujamų reiškinių patyrė atitinkamai 6 (0,9 %) ir 4 (0,6 %), o nepageidaujamų reiškinių, dėl kurių teko nutraukti tiriamojo vaistinio preparato vartojimą, – atitinkamai 1 (0,1 %) ir 0 dapagliflozino ir placebo grupių pacientų.</w:t>
      </w:r>
    </w:p>
    <w:p w14:paraId="79A4B493" w14:textId="77777777" w:rsidR="00E96E12" w:rsidRDefault="00E96E12">
      <w:pPr>
        <w:autoSpaceDE w:val="0"/>
        <w:autoSpaceDN w:val="0"/>
        <w:adjustRightInd w:val="0"/>
        <w:rPr>
          <w:rFonts w:eastAsia="TimesNewRoman,Italic"/>
          <w:i/>
          <w:iCs/>
          <w:szCs w:val="22"/>
          <w:lang w:eastAsia="lt-LT"/>
        </w:rPr>
      </w:pPr>
    </w:p>
    <w:p w14:paraId="3EB05A85" w14:textId="77777777" w:rsidR="00E96E12" w:rsidRDefault="00E97765">
      <w:pPr>
        <w:autoSpaceDE w:val="0"/>
        <w:autoSpaceDN w:val="0"/>
        <w:adjustRightInd w:val="0"/>
        <w:rPr>
          <w:rFonts w:eastAsia="TimesNewRoman"/>
          <w:szCs w:val="22"/>
          <w:u w:val="single"/>
          <w:lang w:eastAsia="lt-LT"/>
        </w:rPr>
      </w:pPr>
      <w:r>
        <w:rPr>
          <w:rFonts w:eastAsia="TimesNewRoman,Italic"/>
          <w:i/>
          <w:iCs/>
          <w:szCs w:val="22"/>
          <w:u w:val="single"/>
          <w:lang w:eastAsia="lt-LT"/>
        </w:rPr>
        <w:t>Kreatinino koncentracijos padidėjimas</w:t>
      </w:r>
    </w:p>
    <w:p w14:paraId="0E8D888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Nepageidaujamos reakcijos, susijusios su kreatinino koncentracijos padidėjimu (pvz., sumažėjęs kreatinino inkstų klirensas, sutrikusi inkstų funkcija, padidėjęs kreatinino kiekis kraujyje ir sumažėjęs </w:t>
      </w:r>
      <w:proofErr w:type="spellStart"/>
      <w:r>
        <w:rPr>
          <w:rFonts w:eastAsia="TimesNewRoman"/>
          <w:szCs w:val="22"/>
          <w:lang w:eastAsia="lt-LT"/>
        </w:rPr>
        <w:t>glomerulų</w:t>
      </w:r>
      <w:proofErr w:type="spellEnd"/>
      <w:r>
        <w:rPr>
          <w:rFonts w:eastAsia="TimesNewRoman"/>
          <w:szCs w:val="22"/>
          <w:lang w:eastAsia="lt-LT"/>
        </w:rPr>
        <w:t xml:space="preserve"> filtracijos greitis), buvo sugrupuotos. Bendrais 13 tyrimų saugumo duomenimis, šios grupės reakcijų pasireiškė 3,2 % 10 mg dapagliflozino ir 1,8 % placebo vartojusių pacientų. Atitinkamai jų patyrė 1,3 % 10 mg dapagliflozino ir 0,8 % placebo vartojusių pacientų, kurių inkstų funkcija buvo normali arba nesmarkiai sutrikusi (pradinis apskaičiuotas </w:t>
      </w:r>
      <w:proofErr w:type="spellStart"/>
      <w:r>
        <w:rPr>
          <w:rFonts w:eastAsia="TimesNewRoman"/>
          <w:szCs w:val="22"/>
          <w:lang w:eastAsia="lt-LT"/>
        </w:rPr>
        <w:t>glomerulų</w:t>
      </w:r>
      <w:proofErr w:type="spellEnd"/>
      <w:r>
        <w:rPr>
          <w:rFonts w:eastAsia="TimesNewRoman"/>
          <w:szCs w:val="22"/>
          <w:lang w:eastAsia="lt-LT"/>
        </w:rPr>
        <w:t xml:space="preserve"> filtracijos greitis ≥ 60 ml/min/1,73 m</w:t>
      </w:r>
      <w:r>
        <w:rPr>
          <w:rFonts w:eastAsia="TimesNewRoman"/>
          <w:vertAlign w:val="superscript"/>
        </w:rPr>
        <w:t>2</w:t>
      </w:r>
      <w:r>
        <w:rPr>
          <w:rFonts w:eastAsia="TimesNewRoman"/>
          <w:szCs w:val="22"/>
          <w:lang w:eastAsia="lt-LT"/>
        </w:rPr>
        <w:t xml:space="preserve">). Šios reakcijos buvo dažnesnės (18,5 % vartojusių 10 mg dapagliflozino ir 9,3 % vartojusių placebo) pacientams, kurių pradinis apskaičiuotas </w:t>
      </w:r>
      <w:proofErr w:type="spellStart"/>
      <w:r>
        <w:rPr>
          <w:rFonts w:eastAsia="TimesNewRoman"/>
          <w:szCs w:val="22"/>
          <w:lang w:eastAsia="lt-LT"/>
        </w:rPr>
        <w:t>glomerulų</w:t>
      </w:r>
      <w:proofErr w:type="spellEnd"/>
      <w:r>
        <w:rPr>
          <w:rFonts w:eastAsia="TimesNewRoman"/>
          <w:szCs w:val="22"/>
          <w:lang w:eastAsia="lt-LT"/>
        </w:rPr>
        <w:t xml:space="preserve"> filtracijos greitis buvo nuo ≥ 30 iki &lt; 60 ml/min/1,73 m</w:t>
      </w:r>
      <w:r>
        <w:rPr>
          <w:rFonts w:eastAsia="TimesNewRoman"/>
          <w:szCs w:val="22"/>
          <w:vertAlign w:val="superscript"/>
          <w:lang w:eastAsia="lt-LT"/>
        </w:rPr>
        <w:t>2</w:t>
      </w:r>
      <w:r>
        <w:rPr>
          <w:rFonts w:eastAsia="TimesNewRoman"/>
          <w:szCs w:val="22"/>
          <w:lang w:eastAsia="lt-LT"/>
        </w:rPr>
        <w:t>.</w:t>
      </w:r>
    </w:p>
    <w:p w14:paraId="66BC095F" w14:textId="77777777" w:rsidR="00E96E12" w:rsidRDefault="00E96E12">
      <w:pPr>
        <w:autoSpaceDE w:val="0"/>
        <w:autoSpaceDN w:val="0"/>
        <w:adjustRightInd w:val="0"/>
        <w:rPr>
          <w:rFonts w:eastAsia="TimesNewRoman"/>
          <w:szCs w:val="22"/>
          <w:lang w:eastAsia="lt-LT"/>
        </w:rPr>
      </w:pPr>
    </w:p>
    <w:p w14:paraId="56C0694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Tolesnis su inkstais susijusių nepageidaujamų reiškinių patyrusių pacientų vertinimas parodė, kad kreatinino koncentracijos serume, palyginus su pradine, pokytis daugumai neviršijo 44 </w:t>
      </w:r>
      <w:proofErr w:type="spellStart"/>
      <w:r>
        <w:rPr>
          <w:rFonts w:eastAsia="TimesNewRoman"/>
          <w:szCs w:val="22"/>
          <w:lang w:eastAsia="lt-LT"/>
        </w:rPr>
        <w:t>mikromolių</w:t>
      </w:r>
      <w:proofErr w:type="spellEnd"/>
      <w:r>
        <w:rPr>
          <w:rFonts w:eastAsia="TimesNewRoman"/>
          <w:szCs w:val="22"/>
          <w:lang w:eastAsia="lt-LT"/>
        </w:rPr>
        <w:t xml:space="preserve"> litre (0,5 mg/dl). Kreatinino padaugėjimas nepertraukiamo gydymo metu dažniausiai būdavo trumpalaikis arba praeidavo jį nutraukus.</w:t>
      </w:r>
    </w:p>
    <w:p w14:paraId="2E940550" w14:textId="77777777" w:rsidR="00E96E12" w:rsidRDefault="00E96E12">
      <w:pPr>
        <w:autoSpaceDE w:val="0"/>
        <w:autoSpaceDN w:val="0"/>
        <w:adjustRightInd w:val="0"/>
        <w:rPr>
          <w:rFonts w:eastAsia="TimesNewRoman"/>
          <w:szCs w:val="22"/>
          <w:lang w:eastAsia="lt-LT"/>
        </w:rPr>
      </w:pPr>
    </w:p>
    <w:p w14:paraId="7F9CA83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DECLARE tyrimo, kuriame dalyvavo senyvi ir sutrikusią inkstų funkciją (</w:t>
      </w:r>
      <w:proofErr w:type="spellStart"/>
      <w:r>
        <w:rPr>
          <w:rFonts w:eastAsia="TimesNewRoman"/>
          <w:szCs w:val="22"/>
          <w:lang w:eastAsia="lt-LT"/>
        </w:rPr>
        <w:t>aGFG</w:t>
      </w:r>
      <w:proofErr w:type="spellEnd"/>
      <w:r>
        <w:rPr>
          <w:rFonts w:eastAsia="TimesNewRoman"/>
          <w:szCs w:val="22"/>
          <w:lang w:eastAsia="lt-LT"/>
        </w:rPr>
        <w:t xml:space="preserve"> &lt; 60 ml/min./1,73 m</w:t>
      </w:r>
      <w:r>
        <w:rPr>
          <w:rFonts w:eastAsia="TimesNewRoman"/>
          <w:szCs w:val="22"/>
          <w:vertAlign w:val="superscript"/>
          <w:lang w:eastAsia="lt-LT"/>
        </w:rPr>
        <w:t>2</w:t>
      </w:r>
      <w:r>
        <w:rPr>
          <w:rFonts w:eastAsia="TimesNewRoman"/>
          <w:szCs w:val="22"/>
          <w:lang w:eastAsia="lt-LT"/>
        </w:rPr>
        <w:t xml:space="preserve">) turėję pacientai, metu laikui bėgant </w:t>
      </w:r>
      <w:proofErr w:type="spellStart"/>
      <w:r>
        <w:rPr>
          <w:rFonts w:eastAsia="TimesNewRoman"/>
          <w:szCs w:val="22"/>
          <w:lang w:eastAsia="lt-LT"/>
        </w:rPr>
        <w:t>aGFG</w:t>
      </w:r>
      <w:proofErr w:type="spellEnd"/>
      <w:r>
        <w:rPr>
          <w:rFonts w:eastAsia="TimesNewRoman"/>
          <w:szCs w:val="22"/>
          <w:lang w:eastAsia="lt-LT"/>
        </w:rPr>
        <w:t xml:space="preserve"> mažėjo abejose grupėse. Dapagliflozino grupės pacientų vidutinis </w:t>
      </w:r>
      <w:proofErr w:type="spellStart"/>
      <w:r>
        <w:rPr>
          <w:rFonts w:eastAsia="TimesNewRoman"/>
          <w:szCs w:val="22"/>
          <w:lang w:eastAsia="lt-LT"/>
        </w:rPr>
        <w:t>aGFG</w:t>
      </w:r>
      <w:proofErr w:type="spellEnd"/>
      <w:r>
        <w:rPr>
          <w:rFonts w:eastAsia="TimesNewRoman"/>
          <w:szCs w:val="22"/>
          <w:lang w:eastAsia="lt-LT"/>
        </w:rPr>
        <w:t xml:space="preserve"> po 1 metų buvo šiek tiek mažesnis, o po 4 metų – šiek tiek didesnis negu placebo.</w:t>
      </w:r>
    </w:p>
    <w:p w14:paraId="37ED9A13" w14:textId="77777777" w:rsidR="00E96E12" w:rsidRDefault="00E96E12">
      <w:pPr>
        <w:autoSpaceDE w:val="0"/>
        <w:autoSpaceDN w:val="0"/>
        <w:adjustRightInd w:val="0"/>
        <w:rPr>
          <w:rFonts w:eastAsia="TimesNewRoman"/>
          <w:szCs w:val="22"/>
          <w:lang w:eastAsia="lt-LT"/>
        </w:rPr>
      </w:pPr>
    </w:p>
    <w:p w14:paraId="313C93F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DAPA-HF ir DELIVER tyrimų metu dapagliflozino ir placebo grupių pacientų </w:t>
      </w:r>
      <w:proofErr w:type="spellStart"/>
      <w:r>
        <w:rPr>
          <w:rFonts w:eastAsia="TimesNewRoman"/>
          <w:szCs w:val="22"/>
          <w:lang w:eastAsia="lt-LT"/>
        </w:rPr>
        <w:t>aGFG</w:t>
      </w:r>
      <w:proofErr w:type="spellEnd"/>
      <w:r>
        <w:rPr>
          <w:rFonts w:eastAsia="TimesNewRoman"/>
          <w:szCs w:val="22"/>
          <w:lang w:eastAsia="lt-LT"/>
        </w:rPr>
        <w:t xml:space="preserve"> ilgainiui mažėjo. DAPA-HF tyrimo metu vidutinis </w:t>
      </w:r>
      <w:proofErr w:type="spellStart"/>
      <w:r>
        <w:rPr>
          <w:rFonts w:eastAsia="TimesNewRoman"/>
          <w:szCs w:val="22"/>
          <w:lang w:eastAsia="lt-LT"/>
        </w:rPr>
        <w:t>aGFG</w:t>
      </w:r>
      <w:proofErr w:type="spellEnd"/>
      <w:r>
        <w:rPr>
          <w:rFonts w:eastAsia="TimesNewRoman"/>
          <w:szCs w:val="22"/>
          <w:lang w:eastAsia="lt-LT"/>
        </w:rPr>
        <w:t xml:space="preserve"> iš pradžių sumažėjo 4,3 ml/min./1,73 m</w:t>
      </w:r>
      <w:r>
        <w:rPr>
          <w:rFonts w:eastAsia="TimesNewRoman"/>
          <w:szCs w:val="22"/>
          <w:vertAlign w:val="superscript"/>
          <w:lang w:eastAsia="lt-LT"/>
        </w:rPr>
        <w:t>2</w:t>
      </w:r>
      <w:r>
        <w:rPr>
          <w:rFonts w:eastAsia="TimesNewRoman"/>
          <w:szCs w:val="22"/>
          <w:lang w:eastAsia="lt-LT"/>
        </w:rPr>
        <w:t xml:space="preserve"> dapagliflozino ir 1,1 ml/min./1,73 m</w:t>
      </w:r>
      <w:r>
        <w:rPr>
          <w:rFonts w:eastAsia="TimesNewRoman"/>
          <w:szCs w:val="22"/>
          <w:vertAlign w:val="superscript"/>
          <w:lang w:eastAsia="lt-LT"/>
        </w:rPr>
        <w:t>2</w:t>
      </w:r>
      <w:r>
        <w:rPr>
          <w:rFonts w:eastAsia="TimesNewRoman"/>
          <w:sz w:val="14"/>
          <w:szCs w:val="14"/>
          <w:lang w:eastAsia="lt-LT"/>
        </w:rPr>
        <w:t xml:space="preserve"> </w:t>
      </w:r>
      <w:r>
        <w:rPr>
          <w:rFonts w:eastAsia="TimesNewRoman"/>
          <w:szCs w:val="22"/>
          <w:lang w:eastAsia="lt-LT"/>
        </w:rPr>
        <w:t xml:space="preserve">– placebo grupės pacientams. Po 20 mėn. </w:t>
      </w:r>
      <w:proofErr w:type="spellStart"/>
      <w:r>
        <w:rPr>
          <w:rFonts w:eastAsia="TimesNewRoman"/>
          <w:szCs w:val="22"/>
          <w:lang w:eastAsia="lt-LT"/>
        </w:rPr>
        <w:t>aGFG</w:t>
      </w:r>
      <w:proofErr w:type="spellEnd"/>
      <w:r>
        <w:rPr>
          <w:rFonts w:eastAsia="TimesNewRoman"/>
          <w:szCs w:val="22"/>
          <w:lang w:eastAsia="lt-LT"/>
        </w:rPr>
        <w:t>, palyginus su pradiniu, sumažėjimas abejų grupių pacientams buvo panašus (5,3 ml/min./1,73 m</w:t>
      </w:r>
      <w:r>
        <w:rPr>
          <w:rFonts w:eastAsia="TimesNewRoman"/>
          <w:szCs w:val="22"/>
          <w:vertAlign w:val="superscript"/>
          <w:lang w:eastAsia="lt-LT"/>
        </w:rPr>
        <w:t>2</w:t>
      </w:r>
      <w:r>
        <w:rPr>
          <w:rFonts w:eastAsia="TimesNewRoman"/>
          <w:sz w:val="14"/>
          <w:szCs w:val="14"/>
          <w:lang w:eastAsia="lt-LT"/>
        </w:rPr>
        <w:t xml:space="preserve"> </w:t>
      </w:r>
      <w:r>
        <w:rPr>
          <w:rFonts w:eastAsia="TimesNewRoman"/>
          <w:szCs w:val="22"/>
          <w:lang w:eastAsia="lt-LT"/>
        </w:rPr>
        <w:t>– dapagliflozino ir 4,5 ml/min./1,73 m</w:t>
      </w:r>
      <w:r>
        <w:rPr>
          <w:rFonts w:eastAsia="TimesNewRoman"/>
          <w:szCs w:val="22"/>
          <w:vertAlign w:val="superscript"/>
          <w:lang w:eastAsia="lt-LT"/>
        </w:rPr>
        <w:t>2</w:t>
      </w:r>
      <w:r>
        <w:rPr>
          <w:rFonts w:eastAsia="TimesNewRoman"/>
          <w:sz w:val="14"/>
          <w:szCs w:val="14"/>
          <w:lang w:eastAsia="lt-LT"/>
        </w:rPr>
        <w:t xml:space="preserve"> </w:t>
      </w:r>
      <w:r>
        <w:rPr>
          <w:rFonts w:eastAsia="TimesNewRoman"/>
          <w:szCs w:val="22"/>
          <w:lang w:eastAsia="lt-LT"/>
        </w:rPr>
        <w:t xml:space="preserve">– placebo). Praėjus pirmajam DELIVER tyrimo mėnesiui, dapagliflozino grupės pacientams vidutinis </w:t>
      </w:r>
      <w:proofErr w:type="spellStart"/>
      <w:r>
        <w:rPr>
          <w:rFonts w:eastAsia="TimesNewRoman"/>
          <w:szCs w:val="22"/>
          <w:lang w:eastAsia="lt-LT"/>
        </w:rPr>
        <w:t>aGFR</w:t>
      </w:r>
      <w:proofErr w:type="spellEnd"/>
      <w:r>
        <w:rPr>
          <w:rFonts w:eastAsia="TimesNewRoman"/>
          <w:szCs w:val="22"/>
          <w:lang w:eastAsia="lt-LT"/>
        </w:rPr>
        <w:t xml:space="preserve"> buvo sumažėjęs 3,7 ml/min/1,73 m</w:t>
      </w:r>
      <w:r>
        <w:rPr>
          <w:rFonts w:eastAsia="TimesNewRoman"/>
          <w:szCs w:val="22"/>
          <w:vertAlign w:val="superscript"/>
          <w:lang w:eastAsia="lt-LT"/>
        </w:rPr>
        <w:t>2</w:t>
      </w:r>
      <w:r>
        <w:rPr>
          <w:rFonts w:eastAsia="TimesNewRoman"/>
          <w:szCs w:val="22"/>
          <w:lang w:eastAsia="lt-LT"/>
        </w:rPr>
        <w:t>, o placebo – 0,4 ml/min/1,73 m</w:t>
      </w:r>
      <w:r>
        <w:rPr>
          <w:rFonts w:eastAsia="TimesNewRoman"/>
          <w:szCs w:val="22"/>
          <w:vertAlign w:val="superscript"/>
          <w:lang w:eastAsia="lt-LT"/>
        </w:rPr>
        <w:t>2</w:t>
      </w:r>
      <w:r>
        <w:rPr>
          <w:rFonts w:eastAsia="TimesNewRoman"/>
          <w:szCs w:val="22"/>
          <w:lang w:eastAsia="lt-LT"/>
        </w:rPr>
        <w:t xml:space="preserve">. Po 24 mėnesių </w:t>
      </w:r>
      <w:proofErr w:type="spellStart"/>
      <w:r>
        <w:rPr>
          <w:rFonts w:eastAsia="TimesNewRoman"/>
          <w:szCs w:val="22"/>
          <w:lang w:eastAsia="lt-LT"/>
        </w:rPr>
        <w:t>aGFG</w:t>
      </w:r>
      <w:proofErr w:type="spellEnd"/>
      <w:r>
        <w:rPr>
          <w:rFonts w:eastAsia="TimesNewRoman"/>
          <w:szCs w:val="22"/>
          <w:lang w:eastAsia="lt-LT"/>
        </w:rPr>
        <w:t>, palyginus su pradiniu, pokytis buvo panašus: dapagliflozino grupės pacientams</w:t>
      </w:r>
    </w:p>
    <w:p w14:paraId="7C04FBA9" w14:textId="77777777" w:rsidR="00E96E12" w:rsidRDefault="00E97765">
      <w:pPr>
        <w:autoSpaceDE w:val="0"/>
        <w:autoSpaceDN w:val="0"/>
        <w:adjustRightInd w:val="0"/>
        <w:rPr>
          <w:rFonts w:eastAsia="TimesNewRoman"/>
          <w:szCs w:val="22"/>
          <w:lang w:eastAsia="lt-LT"/>
        </w:rPr>
      </w:pPr>
      <w:proofErr w:type="spellStart"/>
      <w:r>
        <w:rPr>
          <w:rFonts w:eastAsia="TimesNewRoman"/>
          <w:szCs w:val="22"/>
          <w:lang w:eastAsia="lt-LT"/>
        </w:rPr>
        <w:t>aGFG</w:t>
      </w:r>
      <w:proofErr w:type="spellEnd"/>
      <w:r>
        <w:rPr>
          <w:rFonts w:eastAsia="TimesNewRoman"/>
          <w:szCs w:val="22"/>
          <w:lang w:eastAsia="lt-LT"/>
        </w:rPr>
        <w:t xml:space="preserve"> buvo sumažėjęs 4,2 ml/min/1,73 m</w:t>
      </w:r>
      <w:r>
        <w:rPr>
          <w:rFonts w:eastAsia="TimesNewRoman"/>
          <w:szCs w:val="22"/>
          <w:vertAlign w:val="superscript"/>
          <w:lang w:eastAsia="lt-LT"/>
        </w:rPr>
        <w:t>2</w:t>
      </w:r>
      <w:r>
        <w:rPr>
          <w:rFonts w:eastAsia="TimesNewRoman"/>
          <w:szCs w:val="22"/>
          <w:lang w:eastAsia="lt-LT"/>
        </w:rPr>
        <w:t>, o placebo – 3,2 ml/min/1,73 m</w:t>
      </w:r>
      <w:r>
        <w:rPr>
          <w:rFonts w:eastAsia="TimesNewRoman"/>
          <w:szCs w:val="22"/>
          <w:vertAlign w:val="superscript"/>
          <w:lang w:eastAsia="lt-LT"/>
        </w:rPr>
        <w:t>2</w:t>
      </w:r>
      <w:r>
        <w:rPr>
          <w:rFonts w:eastAsia="TimesNewRoman"/>
          <w:szCs w:val="22"/>
          <w:lang w:eastAsia="lt-LT"/>
        </w:rPr>
        <w:t>.</w:t>
      </w:r>
    </w:p>
    <w:p w14:paraId="6637848B" w14:textId="77777777" w:rsidR="00E96E12" w:rsidRDefault="00E96E12">
      <w:pPr>
        <w:autoSpaceDE w:val="0"/>
        <w:autoSpaceDN w:val="0"/>
        <w:adjustRightInd w:val="0"/>
        <w:rPr>
          <w:rFonts w:eastAsia="TimesNewRoman"/>
          <w:szCs w:val="22"/>
          <w:lang w:eastAsia="lt-LT"/>
        </w:rPr>
      </w:pPr>
    </w:p>
    <w:p w14:paraId="7AE4B5F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DAPA-CKD tyrimo metu dapagliflozino ir placebo grupių pacientų </w:t>
      </w:r>
      <w:proofErr w:type="spellStart"/>
      <w:r>
        <w:rPr>
          <w:rFonts w:eastAsia="TimesNewRoman"/>
          <w:szCs w:val="22"/>
          <w:lang w:eastAsia="lt-LT"/>
        </w:rPr>
        <w:t>aGFG</w:t>
      </w:r>
      <w:proofErr w:type="spellEnd"/>
      <w:r>
        <w:rPr>
          <w:rFonts w:eastAsia="TimesNewRoman"/>
          <w:szCs w:val="22"/>
          <w:lang w:eastAsia="lt-LT"/>
        </w:rPr>
        <w:t xml:space="preserve"> ilgainiui mažėjo. Pradinis (po 14 dienų) vidutinio </w:t>
      </w:r>
      <w:proofErr w:type="spellStart"/>
      <w:r>
        <w:rPr>
          <w:rFonts w:eastAsia="TimesNewRoman"/>
          <w:szCs w:val="22"/>
          <w:lang w:eastAsia="lt-LT"/>
        </w:rPr>
        <w:t>aGFG</w:t>
      </w:r>
      <w:proofErr w:type="spellEnd"/>
      <w:r>
        <w:rPr>
          <w:rFonts w:eastAsia="TimesNewRoman"/>
          <w:szCs w:val="22"/>
          <w:lang w:eastAsia="lt-LT"/>
        </w:rPr>
        <w:t xml:space="preserve"> sumažėjimas buvo 4 ml/min./1,73 m</w:t>
      </w:r>
      <w:r>
        <w:rPr>
          <w:rFonts w:eastAsia="TimesNewRoman"/>
          <w:szCs w:val="22"/>
          <w:vertAlign w:val="superscript"/>
          <w:lang w:eastAsia="lt-LT"/>
        </w:rPr>
        <w:t>2</w:t>
      </w:r>
      <w:r>
        <w:rPr>
          <w:rFonts w:eastAsia="TimesNewRoman"/>
          <w:sz w:val="14"/>
          <w:szCs w:val="14"/>
          <w:lang w:eastAsia="lt-LT"/>
        </w:rPr>
        <w:t xml:space="preserve"> </w:t>
      </w:r>
      <w:r>
        <w:rPr>
          <w:rFonts w:eastAsia="TimesNewRoman"/>
          <w:szCs w:val="22"/>
          <w:lang w:eastAsia="lt-LT"/>
        </w:rPr>
        <w:t>dapagliflozino ir 0,8 ml/min./1,73 m</w:t>
      </w:r>
      <w:r>
        <w:rPr>
          <w:rFonts w:eastAsia="TimesNewRoman"/>
          <w:szCs w:val="22"/>
          <w:vertAlign w:val="superscript"/>
          <w:lang w:eastAsia="lt-LT"/>
        </w:rPr>
        <w:t>2</w:t>
      </w:r>
      <w:r>
        <w:rPr>
          <w:rFonts w:eastAsia="TimesNewRoman"/>
          <w:sz w:val="14"/>
          <w:szCs w:val="14"/>
          <w:lang w:eastAsia="lt-LT"/>
        </w:rPr>
        <w:t xml:space="preserve"> </w:t>
      </w:r>
      <w:r>
        <w:rPr>
          <w:rFonts w:eastAsia="TimesNewRoman"/>
          <w:szCs w:val="22"/>
          <w:lang w:eastAsia="lt-LT"/>
        </w:rPr>
        <w:t xml:space="preserve">– placebo grupės pacientams. Po 28 mėn. </w:t>
      </w:r>
      <w:proofErr w:type="spellStart"/>
      <w:r>
        <w:rPr>
          <w:rFonts w:eastAsia="TimesNewRoman"/>
          <w:szCs w:val="22"/>
          <w:lang w:eastAsia="lt-LT"/>
        </w:rPr>
        <w:t>aGFG</w:t>
      </w:r>
      <w:proofErr w:type="spellEnd"/>
      <w:r>
        <w:rPr>
          <w:rFonts w:eastAsia="TimesNewRoman"/>
          <w:szCs w:val="22"/>
          <w:lang w:eastAsia="lt-LT"/>
        </w:rPr>
        <w:t>, palyginus su pradiniu, sumažėjimas dapagliflozino grupės pacientams buvo 7,4 ml/min./1,73 m</w:t>
      </w:r>
      <w:r>
        <w:rPr>
          <w:rFonts w:eastAsia="TimesNewRoman"/>
          <w:szCs w:val="22"/>
          <w:vertAlign w:val="superscript"/>
          <w:lang w:eastAsia="lt-LT"/>
        </w:rPr>
        <w:t>2</w:t>
      </w:r>
      <w:r>
        <w:rPr>
          <w:rFonts w:eastAsia="TimesNewRoman"/>
          <w:szCs w:val="22"/>
          <w:lang w:eastAsia="lt-LT"/>
        </w:rPr>
        <w:t>, placebo – 8,6 ml/min./1,73 m</w:t>
      </w:r>
      <w:r>
        <w:rPr>
          <w:rFonts w:eastAsia="TimesNewRoman"/>
          <w:szCs w:val="22"/>
          <w:vertAlign w:val="superscript"/>
          <w:lang w:eastAsia="lt-LT"/>
        </w:rPr>
        <w:t>2</w:t>
      </w:r>
      <w:r>
        <w:rPr>
          <w:rFonts w:eastAsia="TimesNewRoman"/>
          <w:szCs w:val="22"/>
          <w:lang w:eastAsia="lt-LT"/>
        </w:rPr>
        <w:t>.</w:t>
      </w:r>
    </w:p>
    <w:p w14:paraId="3325AD08" w14:textId="77777777" w:rsidR="00E96E12" w:rsidRDefault="00E96E12">
      <w:pPr>
        <w:autoSpaceDE w:val="0"/>
        <w:autoSpaceDN w:val="0"/>
        <w:adjustRightInd w:val="0"/>
        <w:rPr>
          <w:rFonts w:eastAsia="TimesNewRoman"/>
          <w:szCs w:val="22"/>
          <w:lang w:eastAsia="lt-LT"/>
        </w:rPr>
      </w:pPr>
    </w:p>
    <w:p w14:paraId="476BDFC0"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Vaikų populiacija</w:t>
      </w:r>
    </w:p>
    <w:p w14:paraId="1073AC68" w14:textId="77777777" w:rsidR="00E96E12" w:rsidRDefault="00E96E12">
      <w:pPr>
        <w:autoSpaceDE w:val="0"/>
        <w:autoSpaceDN w:val="0"/>
        <w:adjustRightInd w:val="0"/>
        <w:rPr>
          <w:rFonts w:eastAsia="TimesNewRoman"/>
          <w:szCs w:val="22"/>
          <w:lang w:eastAsia="lt-LT"/>
        </w:rPr>
      </w:pPr>
    </w:p>
    <w:p w14:paraId="40A9DB9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saugumo pobūdis, nustatytas 10 metų ir vyresnių vaikų, sergančių 2 tipo cukriniu diabetu, klinikinio tyrimo metu (žr. 5.1 skyrių), buvo panašus kaip atliekant suaugusiųjų tyrimus.</w:t>
      </w:r>
    </w:p>
    <w:p w14:paraId="4F59E01C" w14:textId="77777777" w:rsidR="00E96E12" w:rsidRDefault="00E96E12">
      <w:pPr>
        <w:widowControl w:val="0"/>
        <w:tabs>
          <w:tab w:val="left" w:pos="567"/>
        </w:tabs>
        <w:autoSpaceDE w:val="0"/>
        <w:autoSpaceDN w:val="0"/>
        <w:adjustRightInd w:val="0"/>
        <w:rPr>
          <w:rFonts w:eastAsia="Calibri"/>
          <w:noProof/>
          <w:snapToGrid w:val="0"/>
          <w:szCs w:val="22"/>
          <w:u w:val="single"/>
        </w:rPr>
      </w:pPr>
    </w:p>
    <w:p w14:paraId="45F76B1D" w14:textId="77777777" w:rsidR="00E96E12" w:rsidRDefault="00E97765">
      <w:pPr>
        <w:widowControl w:val="0"/>
        <w:tabs>
          <w:tab w:val="left" w:pos="567"/>
        </w:tabs>
        <w:autoSpaceDE w:val="0"/>
        <w:autoSpaceDN w:val="0"/>
        <w:adjustRightInd w:val="0"/>
        <w:rPr>
          <w:rFonts w:eastAsia="Calibri"/>
          <w:snapToGrid w:val="0"/>
          <w:szCs w:val="22"/>
          <w:u w:val="single"/>
        </w:rPr>
      </w:pPr>
      <w:r>
        <w:rPr>
          <w:rFonts w:eastAsia="Calibri"/>
          <w:noProof/>
          <w:snapToGrid w:val="0"/>
          <w:szCs w:val="22"/>
          <w:u w:val="single"/>
        </w:rPr>
        <w:t>Pranešimas apie įtariamas nepageidaujamas reakcijas</w:t>
      </w:r>
    </w:p>
    <w:p w14:paraId="3FD50250" w14:textId="77777777" w:rsidR="00E96E12" w:rsidRDefault="00E97765">
      <w:pPr>
        <w:jc w:val="both"/>
        <w:rPr>
          <w:szCs w:val="22"/>
          <w:lang w:eastAsia="lt-LT"/>
        </w:rPr>
      </w:pPr>
      <w:r>
        <w:rPr>
          <w:szCs w:val="22"/>
          <w:lang w:eastAsia="lt-LT"/>
        </w:rPr>
        <w:lastRenderedPageBreak/>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w:t>
      </w:r>
    </w:p>
    <w:p w14:paraId="69C69B8A" w14:textId="77777777" w:rsidR="00E96E12" w:rsidRDefault="00E96E12">
      <w:pPr>
        <w:autoSpaceDE w:val="0"/>
        <w:autoSpaceDN w:val="0"/>
        <w:adjustRightInd w:val="0"/>
        <w:rPr>
          <w:rFonts w:eastAsia="TimesNewRoman"/>
          <w:szCs w:val="22"/>
          <w:lang w:eastAsia="lt-LT"/>
        </w:rPr>
      </w:pPr>
    </w:p>
    <w:p w14:paraId="0349ED3B" w14:textId="77777777" w:rsidR="00E96E12" w:rsidRDefault="00E97765">
      <w:pPr>
        <w:ind w:left="567" w:hanging="567"/>
        <w:rPr>
          <w:b/>
        </w:rPr>
      </w:pPr>
      <w:r>
        <w:rPr>
          <w:b/>
        </w:rPr>
        <w:t>4.9</w:t>
      </w:r>
      <w:r>
        <w:rPr>
          <w:b/>
        </w:rPr>
        <w:tab/>
        <w:t>Perdozavimas</w:t>
      </w:r>
    </w:p>
    <w:p w14:paraId="461E99B8" w14:textId="77777777" w:rsidR="00E96E12" w:rsidRDefault="00E96E12">
      <w:pPr>
        <w:ind w:left="567" w:hanging="567"/>
      </w:pPr>
    </w:p>
    <w:p w14:paraId="1EFC04E9"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Simptomai</w:t>
      </w:r>
    </w:p>
    <w:p w14:paraId="455519B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Vienkartinės iki 500 mg dapagliflozino dozės per burną (pastaroji yra 50 kartų didesnė už didžiausią rekomenduojamą žmogui) toksinio poveikio sveikiems asmenims nesukėlė. Su doze susijusį laikotarpį (pavartojus 500 mg dozę – bent 5 paras) šių asmenų šlapime buvo randama gliukozės, pranešimų apie dehidrataciją, </w:t>
      </w:r>
      <w:proofErr w:type="spellStart"/>
      <w:r>
        <w:rPr>
          <w:rFonts w:eastAsia="TimesNewRoman"/>
          <w:szCs w:val="22"/>
          <w:lang w:eastAsia="lt-LT"/>
        </w:rPr>
        <w:t>hipotenziją</w:t>
      </w:r>
      <w:proofErr w:type="spellEnd"/>
      <w:r>
        <w:rPr>
          <w:rFonts w:eastAsia="TimesNewRoman"/>
          <w:szCs w:val="22"/>
          <w:lang w:eastAsia="lt-LT"/>
        </w:rPr>
        <w:t xml:space="preserve"> ar sutrikusią elektrolitų pusiausvyrą negauta, klinikai reikšmingo poveikio koreguotam </w:t>
      </w:r>
      <w:proofErr w:type="spellStart"/>
      <w:r>
        <w:rPr>
          <w:rFonts w:eastAsia="TimesNewRoman"/>
          <w:szCs w:val="22"/>
          <w:lang w:eastAsia="lt-LT"/>
        </w:rPr>
        <w:t>QTc</w:t>
      </w:r>
      <w:proofErr w:type="spellEnd"/>
      <w:r>
        <w:rPr>
          <w:rFonts w:eastAsia="TimesNewRoman"/>
          <w:szCs w:val="22"/>
          <w:lang w:eastAsia="lt-LT"/>
        </w:rPr>
        <w:t xml:space="preserve"> intervalui nebuvo. Hipoglikemijos pasireiškimo dažnis buvo panašus kaip vartojant placebą. Klinikinių tyrimų metu sveikiems ir 2 tipo cukriniu diabetu sergantiems asmenims vartojus vienkartines iki 100 mg dozes (pastaroji yra 10 kartų didesnė už didžiausią rekomenduojamą žmogui), hipoglikemijos pasireiškimo dažnis buvo šiek tiek didesnis negu vartojant placebą ir ryšio su doze neturėjo. Nepageidaujamų reiškinių, įskaitant dehidrataciją ir </w:t>
      </w:r>
      <w:proofErr w:type="spellStart"/>
      <w:r>
        <w:rPr>
          <w:rFonts w:eastAsia="TimesNewRoman"/>
          <w:szCs w:val="22"/>
          <w:lang w:eastAsia="lt-LT"/>
        </w:rPr>
        <w:t>hipotenziją</w:t>
      </w:r>
      <w:proofErr w:type="spellEnd"/>
      <w:r>
        <w:rPr>
          <w:rFonts w:eastAsia="TimesNewRoman"/>
          <w:szCs w:val="22"/>
          <w:lang w:eastAsia="lt-LT"/>
        </w:rPr>
        <w:t>, dažniai buvo panašūs kaip</w:t>
      </w:r>
      <w:r>
        <w:rPr>
          <w:rFonts w:ascii="TimesNewRoman" w:eastAsia="TimesNewRoman" w:cs="TimesNewRoman"/>
          <w:szCs w:val="22"/>
          <w:lang w:eastAsia="lt-LT"/>
        </w:rPr>
        <w:t xml:space="preserve"> </w:t>
      </w:r>
      <w:r>
        <w:rPr>
          <w:rFonts w:eastAsia="TimesNewRoman"/>
          <w:szCs w:val="22"/>
          <w:lang w:eastAsia="lt-LT"/>
        </w:rPr>
        <w:t>vartojant placebą, klinikai reikšmingų su doze susijusių laboratorinių rodiklių (elektrolitų koncentracijos serume ir biologinių inkstų funkcijos rodiklių) pokyčių nebuvo.</w:t>
      </w:r>
    </w:p>
    <w:p w14:paraId="6CC753DF" w14:textId="77777777" w:rsidR="00E96E12" w:rsidRDefault="00E96E12">
      <w:pPr>
        <w:autoSpaceDE w:val="0"/>
        <w:autoSpaceDN w:val="0"/>
        <w:adjustRightInd w:val="0"/>
        <w:rPr>
          <w:rFonts w:eastAsia="TimesNewRoman"/>
          <w:szCs w:val="22"/>
          <w:lang w:eastAsia="lt-LT"/>
        </w:rPr>
      </w:pPr>
    </w:p>
    <w:p w14:paraId="35E9712C"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Gydymas</w:t>
      </w:r>
    </w:p>
    <w:p w14:paraId="57A772D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Perdozavus reikia taikyti atitinkamą palaikomąjį gydymą, atsižvelgiant į paciento klinikinę būklę. Dapagliflozino šalinimas hemodializės būdu netirtas.</w:t>
      </w:r>
    </w:p>
    <w:p w14:paraId="4DED4B04" w14:textId="77777777" w:rsidR="00E96E12" w:rsidRDefault="00E96E12"/>
    <w:p w14:paraId="2363B90A" w14:textId="77777777" w:rsidR="00E96E12" w:rsidRDefault="00E96E12"/>
    <w:p w14:paraId="43BE6D47" w14:textId="77777777" w:rsidR="00E96E12" w:rsidRDefault="00E97765">
      <w:pPr>
        <w:ind w:left="567" w:hanging="567"/>
        <w:rPr>
          <w:b/>
          <w:caps/>
        </w:rPr>
      </w:pPr>
      <w:r>
        <w:rPr>
          <w:b/>
          <w:caps/>
        </w:rPr>
        <w:t>5.</w:t>
      </w:r>
      <w:r>
        <w:rPr>
          <w:b/>
          <w:caps/>
        </w:rPr>
        <w:tab/>
      </w:r>
      <w:r>
        <w:rPr>
          <w:b/>
        </w:rPr>
        <w:t xml:space="preserve">FARMAKOLOGINĖS </w:t>
      </w:r>
      <w:r>
        <w:rPr>
          <w:b/>
          <w:caps/>
        </w:rPr>
        <w:t>savybės</w:t>
      </w:r>
    </w:p>
    <w:p w14:paraId="7B7322EB" w14:textId="77777777" w:rsidR="00E96E12" w:rsidRDefault="00E96E12">
      <w:pPr>
        <w:ind w:left="567" w:hanging="567"/>
      </w:pPr>
    </w:p>
    <w:p w14:paraId="0B0F8151" w14:textId="77777777" w:rsidR="00E96E12" w:rsidRDefault="00E97765">
      <w:pPr>
        <w:ind w:left="567" w:hanging="567"/>
        <w:rPr>
          <w:b/>
        </w:rPr>
      </w:pPr>
      <w:r>
        <w:rPr>
          <w:b/>
        </w:rPr>
        <w:t>5.1</w:t>
      </w:r>
      <w:r>
        <w:rPr>
          <w:b/>
        </w:rPr>
        <w:tab/>
      </w:r>
      <w:proofErr w:type="spellStart"/>
      <w:r>
        <w:rPr>
          <w:b/>
        </w:rPr>
        <w:t>Farmakodinaminės</w:t>
      </w:r>
      <w:proofErr w:type="spellEnd"/>
      <w:r>
        <w:rPr>
          <w:b/>
        </w:rPr>
        <w:t xml:space="preserve"> savybės </w:t>
      </w:r>
    </w:p>
    <w:p w14:paraId="6CE0C249" w14:textId="77777777" w:rsidR="00E96E12" w:rsidRDefault="00E96E12">
      <w:pPr>
        <w:ind w:left="567" w:hanging="567"/>
      </w:pPr>
    </w:p>
    <w:p w14:paraId="058A5DC3" w14:textId="77777777" w:rsidR="00E96E12" w:rsidRDefault="00E97765">
      <w:pPr>
        <w:autoSpaceDE w:val="0"/>
        <w:autoSpaceDN w:val="0"/>
        <w:adjustRightInd w:val="0"/>
        <w:rPr>
          <w:rFonts w:eastAsia="TimesNewRoman"/>
          <w:szCs w:val="22"/>
          <w:lang w:eastAsia="lt-LT"/>
        </w:rPr>
      </w:pPr>
      <w:proofErr w:type="spellStart"/>
      <w:r>
        <w:rPr>
          <w:rFonts w:eastAsia="TimesNewRoman"/>
          <w:szCs w:val="22"/>
          <w:lang w:eastAsia="lt-LT"/>
        </w:rPr>
        <w:t>Farmakoterapinė</w:t>
      </w:r>
      <w:proofErr w:type="spellEnd"/>
      <w:r>
        <w:rPr>
          <w:rFonts w:eastAsia="TimesNewRoman"/>
          <w:szCs w:val="22"/>
          <w:lang w:eastAsia="lt-LT"/>
        </w:rPr>
        <w:t xml:space="preserve"> grupė – vaistiniai preparatai nuo cukrinio diabeto, natrio ir gliukozės vienakrypčio nešiklio 2 (SGLT2) inhibitoriai, ATC kodas – A10BK01.</w:t>
      </w:r>
    </w:p>
    <w:p w14:paraId="283BC367" w14:textId="77777777" w:rsidR="00E96E12" w:rsidRDefault="00E96E12">
      <w:pPr>
        <w:autoSpaceDE w:val="0"/>
        <w:autoSpaceDN w:val="0"/>
        <w:adjustRightInd w:val="0"/>
        <w:rPr>
          <w:rFonts w:eastAsia="TimesNewRoman"/>
          <w:szCs w:val="22"/>
          <w:lang w:eastAsia="lt-LT"/>
        </w:rPr>
      </w:pPr>
    </w:p>
    <w:p w14:paraId="17C41DCA"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Veikimo mechanizmas</w:t>
      </w:r>
    </w:p>
    <w:p w14:paraId="59B779EA" w14:textId="77777777" w:rsidR="00E96E12" w:rsidRDefault="00E96E12">
      <w:pPr>
        <w:autoSpaceDE w:val="0"/>
        <w:autoSpaceDN w:val="0"/>
        <w:adjustRightInd w:val="0"/>
        <w:rPr>
          <w:rFonts w:eastAsia="TimesNewRoman"/>
          <w:szCs w:val="22"/>
          <w:lang w:eastAsia="lt-LT"/>
        </w:rPr>
      </w:pPr>
    </w:p>
    <w:p w14:paraId="6ECCF44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Dapagliflozinas yra labai stipraus (</w:t>
      </w:r>
      <w:proofErr w:type="spellStart"/>
      <w:r>
        <w:rPr>
          <w:rFonts w:eastAsia="TimesNewRoman"/>
          <w:szCs w:val="22"/>
          <w:lang w:eastAsia="lt-LT"/>
        </w:rPr>
        <w:t>K</w:t>
      </w:r>
      <w:r>
        <w:rPr>
          <w:rFonts w:eastAsia="TimesNewRoman"/>
          <w:sz w:val="14"/>
          <w:szCs w:val="14"/>
          <w:lang w:eastAsia="lt-LT"/>
        </w:rPr>
        <w:t>i</w:t>
      </w:r>
      <w:proofErr w:type="spellEnd"/>
      <w:r>
        <w:rPr>
          <w:rFonts w:eastAsia="TimesNewRoman"/>
          <w:sz w:val="14"/>
          <w:szCs w:val="14"/>
          <w:lang w:eastAsia="lt-LT"/>
        </w:rPr>
        <w:t xml:space="preserve"> </w:t>
      </w:r>
      <w:r>
        <w:rPr>
          <w:rFonts w:eastAsia="TimesNewRoman"/>
          <w:szCs w:val="22"/>
          <w:lang w:eastAsia="lt-LT"/>
        </w:rPr>
        <w:t xml:space="preserve">– 0,55 </w:t>
      </w:r>
      <w:proofErr w:type="spellStart"/>
      <w:r>
        <w:rPr>
          <w:rFonts w:eastAsia="TimesNewRoman"/>
          <w:szCs w:val="22"/>
          <w:lang w:eastAsia="lt-LT"/>
        </w:rPr>
        <w:t>nM</w:t>
      </w:r>
      <w:proofErr w:type="spellEnd"/>
      <w:r>
        <w:rPr>
          <w:rFonts w:eastAsia="TimesNewRoman"/>
          <w:szCs w:val="22"/>
          <w:lang w:eastAsia="lt-LT"/>
        </w:rPr>
        <w:t>), selektyvaus ir laikino veikimo SGLT2 inhibitorius.</w:t>
      </w:r>
    </w:p>
    <w:p w14:paraId="47C51633" w14:textId="77777777" w:rsidR="00E96E12" w:rsidRDefault="00E96E12">
      <w:pPr>
        <w:autoSpaceDE w:val="0"/>
        <w:autoSpaceDN w:val="0"/>
        <w:adjustRightInd w:val="0"/>
        <w:rPr>
          <w:rFonts w:eastAsia="TimesNewRoman"/>
          <w:szCs w:val="22"/>
          <w:lang w:eastAsia="lt-LT"/>
        </w:rPr>
      </w:pPr>
    </w:p>
    <w:p w14:paraId="6EF16F7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Dapagliflozinui slopinant SGLT2, proksimaliniuose inkstų kanalėliuose iš </w:t>
      </w:r>
      <w:proofErr w:type="spellStart"/>
      <w:r>
        <w:rPr>
          <w:rFonts w:eastAsia="TimesNewRoman"/>
          <w:szCs w:val="22"/>
          <w:lang w:eastAsia="lt-LT"/>
        </w:rPr>
        <w:t>glomerulų</w:t>
      </w:r>
      <w:proofErr w:type="spellEnd"/>
      <w:r>
        <w:rPr>
          <w:rFonts w:eastAsia="TimesNewRoman"/>
          <w:szCs w:val="22"/>
          <w:lang w:eastAsia="lt-LT"/>
        </w:rPr>
        <w:t xml:space="preserve"> filtrato </w:t>
      </w:r>
      <w:proofErr w:type="spellStart"/>
      <w:r>
        <w:rPr>
          <w:rFonts w:eastAsia="TimesNewRoman"/>
          <w:szCs w:val="22"/>
          <w:lang w:eastAsia="lt-LT"/>
        </w:rPr>
        <w:t>reabsorbuojama</w:t>
      </w:r>
      <w:proofErr w:type="spellEnd"/>
      <w:r>
        <w:rPr>
          <w:rFonts w:eastAsia="TimesNewRoman"/>
          <w:szCs w:val="22"/>
          <w:lang w:eastAsia="lt-LT"/>
        </w:rPr>
        <w:t xml:space="preserve"> mažiau gliukozės ir kartu mažiau natrio, todėl gliukozė šalinama su šlapimu, pasireiškia osmosinė diurezė. Dėl to veikiant dapagliflozinui daugiau natrio pasiekia distalinius kanalėlius; tai nulemia grįžtamojo ryšio tarp kanalėlių ir </w:t>
      </w:r>
      <w:proofErr w:type="spellStart"/>
      <w:r>
        <w:rPr>
          <w:rFonts w:eastAsia="TimesNewRoman"/>
          <w:szCs w:val="22"/>
          <w:lang w:eastAsia="lt-LT"/>
        </w:rPr>
        <w:t>glomerulų</w:t>
      </w:r>
      <w:proofErr w:type="spellEnd"/>
      <w:r>
        <w:rPr>
          <w:rFonts w:eastAsia="TimesNewRoman"/>
          <w:szCs w:val="22"/>
          <w:lang w:eastAsia="lt-LT"/>
        </w:rPr>
        <w:t xml:space="preserve"> veiklos sustiprėjimą bei spaudimo </w:t>
      </w:r>
      <w:proofErr w:type="spellStart"/>
      <w:r>
        <w:rPr>
          <w:rFonts w:eastAsia="TimesNewRoman"/>
          <w:szCs w:val="22"/>
          <w:lang w:eastAsia="lt-LT"/>
        </w:rPr>
        <w:t>glomeruluose</w:t>
      </w:r>
      <w:proofErr w:type="spellEnd"/>
      <w:r>
        <w:rPr>
          <w:rFonts w:eastAsia="TimesNewRoman"/>
          <w:szCs w:val="22"/>
          <w:lang w:eastAsia="lt-LT"/>
        </w:rPr>
        <w:t xml:space="preserve"> sumažėjimą. Dėl šių pokyčių ir osmosinės diurezės sumažėja skysčių perteklius, kraujospūdis, </w:t>
      </w:r>
      <w:proofErr w:type="spellStart"/>
      <w:r>
        <w:rPr>
          <w:rFonts w:eastAsia="TimesNewRoman"/>
          <w:szCs w:val="22"/>
          <w:lang w:eastAsia="lt-LT"/>
        </w:rPr>
        <w:t>prieškrūvis</w:t>
      </w:r>
      <w:proofErr w:type="spellEnd"/>
      <w:r>
        <w:rPr>
          <w:rFonts w:eastAsia="TimesNewRoman"/>
          <w:szCs w:val="22"/>
          <w:lang w:eastAsia="lt-LT"/>
        </w:rPr>
        <w:t xml:space="preserve"> ir </w:t>
      </w:r>
      <w:proofErr w:type="spellStart"/>
      <w:r>
        <w:rPr>
          <w:rFonts w:eastAsia="TimesNewRoman"/>
          <w:szCs w:val="22"/>
          <w:lang w:eastAsia="lt-LT"/>
        </w:rPr>
        <w:t>pokrūvis</w:t>
      </w:r>
      <w:proofErr w:type="spellEnd"/>
      <w:r>
        <w:rPr>
          <w:rFonts w:eastAsia="TimesNewRoman"/>
          <w:szCs w:val="22"/>
          <w:lang w:eastAsia="lt-LT"/>
        </w:rPr>
        <w:t xml:space="preserve">, o tai gali palankiai veikti širdies </w:t>
      </w:r>
      <w:proofErr w:type="spellStart"/>
      <w:r>
        <w:rPr>
          <w:rFonts w:eastAsia="TimesNewRoman"/>
          <w:szCs w:val="22"/>
          <w:lang w:eastAsia="lt-LT"/>
        </w:rPr>
        <w:t>remodeliavimo</w:t>
      </w:r>
      <w:proofErr w:type="spellEnd"/>
      <w:r>
        <w:rPr>
          <w:rFonts w:eastAsia="TimesNewRoman"/>
          <w:szCs w:val="22"/>
          <w:lang w:eastAsia="lt-LT"/>
        </w:rPr>
        <w:t xml:space="preserve"> procesą, </w:t>
      </w:r>
      <w:proofErr w:type="spellStart"/>
      <w:r>
        <w:rPr>
          <w:rFonts w:eastAsia="TimesNewRoman"/>
          <w:szCs w:val="22"/>
          <w:lang w:eastAsia="lt-LT"/>
        </w:rPr>
        <w:t>diastolinę</w:t>
      </w:r>
      <w:proofErr w:type="spellEnd"/>
      <w:r>
        <w:rPr>
          <w:rFonts w:eastAsia="TimesNewRoman"/>
          <w:szCs w:val="22"/>
          <w:lang w:eastAsia="lt-LT"/>
        </w:rPr>
        <w:t xml:space="preserve"> funkciją ir padėti išsaugoti inkstų funkciją. Palankus dapagliflozino poveikis širdies ir inkstų veiklai priklauso ne vien nuo gliukozės koncentracijos kraujyje sumažėjimo. DAPA-HF, DELIVER ir DAPA-CKD tyrimų duomenimis, jis pasireiškia ir nesergant cukriniu diabetu. Be to, padidėja </w:t>
      </w:r>
      <w:proofErr w:type="spellStart"/>
      <w:r>
        <w:rPr>
          <w:rFonts w:eastAsia="TimesNewRoman"/>
          <w:szCs w:val="22"/>
          <w:lang w:eastAsia="lt-LT"/>
        </w:rPr>
        <w:t>hematokritas</w:t>
      </w:r>
      <w:proofErr w:type="spellEnd"/>
      <w:r>
        <w:rPr>
          <w:rFonts w:eastAsia="TimesNewRoman"/>
          <w:szCs w:val="22"/>
          <w:lang w:eastAsia="lt-LT"/>
        </w:rPr>
        <w:t xml:space="preserve"> ir sumažėja kūno svoris.</w:t>
      </w:r>
      <w:r>
        <w:t xml:space="preserve"> </w:t>
      </w:r>
      <w:r>
        <w:rPr>
          <w:rFonts w:eastAsia="TimesNewRoman"/>
          <w:szCs w:val="22"/>
          <w:lang w:eastAsia="lt-LT"/>
        </w:rPr>
        <w:t xml:space="preserve">Kitas poveikis yra </w:t>
      </w:r>
      <w:proofErr w:type="spellStart"/>
      <w:r>
        <w:rPr>
          <w:rFonts w:eastAsia="TimesNewRoman"/>
          <w:szCs w:val="22"/>
          <w:lang w:eastAsia="lt-LT"/>
        </w:rPr>
        <w:t>hematokrito</w:t>
      </w:r>
      <w:proofErr w:type="spellEnd"/>
      <w:r>
        <w:rPr>
          <w:rFonts w:eastAsia="TimesNewRoman"/>
          <w:szCs w:val="22"/>
          <w:lang w:eastAsia="lt-LT"/>
        </w:rPr>
        <w:t xml:space="preserve"> padidėjimas ir kūno svorio sumažėjimas.</w:t>
      </w:r>
    </w:p>
    <w:p w14:paraId="3F4E8A11" w14:textId="77777777" w:rsidR="00E96E12" w:rsidRDefault="00E96E12">
      <w:pPr>
        <w:autoSpaceDE w:val="0"/>
        <w:autoSpaceDN w:val="0"/>
        <w:adjustRightInd w:val="0"/>
        <w:rPr>
          <w:rFonts w:eastAsia="TimesNewRoman"/>
          <w:szCs w:val="22"/>
          <w:lang w:eastAsia="lt-LT"/>
        </w:rPr>
      </w:pPr>
    </w:p>
    <w:p w14:paraId="431373A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Dapagliflozinas mažina gliukozės reabsorbciją inkstuose ir nulemia jos išskyrimą su šlapimu, todėl mažina gliukozės koncentraciją plazmoje nevalgius ir po valgio. Šis gliukozės išskyrimas (</w:t>
      </w:r>
      <w:proofErr w:type="spellStart"/>
      <w:r>
        <w:rPr>
          <w:rFonts w:eastAsia="TimesNewRoman"/>
          <w:szCs w:val="22"/>
          <w:lang w:eastAsia="lt-LT"/>
        </w:rPr>
        <w:t>gliukurezinis</w:t>
      </w:r>
      <w:proofErr w:type="spellEnd"/>
      <w:r>
        <w:rPr>
          <w:rFonts w:eastAsia="TimesNewRoman"/>
          <w:szCs w:val="22"/>
          <w:lang w:eastAsia="lt-LT"/>
        </w:rPr>
        <w:t xml:space="preserve"> poveikis) pastebimas po pirmos dozės, tęsiasi visą 24 val. vartojimo intervalą ir išlieka kol taikomas gydymas. Tokiu būdu inkstų pašalinamas gliukozės kiekis priklauso nuo jos koncentracijos kraujyje ir </w:t>
      </w:r>
      <w:proofErr w:type="spellStart"/>
      <w:r>
        <w:rPr>
          <w:rFonts w:eastAsia="TimesNewRoman"/>
          <w:szCs w:val="22"/>
          <w:lang w:eastAsia="lt-LT"/>
        </w:rPr>
        <w:t>glomerulų</w:t>
      </w:r>
      <w:proofErr w:type="spellEnd"/>
      <w:r>
        <w:rPr>
          <w:rFonts w:eastAsia="TimesNewRoman"/>
          <w:szCs w:val="22"/>
          <w:lang w:eastAsia="lt-LT"/>
        </w:rPr>
        <w:t xml:space="preserve"> filtracijos greičio. Dėl to žmonėms, kurių kraujyje gliukozės koncentracija normali, dapagliflozino sukeliamos hipoglikemijos tikimybė yra maža. Dapagliflozinas netrikdo normalios endogeninės gliukozės gamybos reaguojant į hipoglikemiją, jo poveikis nepriklauso nuo insulino sekrecijos ir insulino veikimo. Dapagliflozino klinikinių tyrimų metu </w:t>
      </w:r>
      <w:r>
        <w:rPr>
          <w:rFonts w:eastAsia="TimesNewRoman"/>
          <w:szCs w:val="22"/>
          <w:lang w:eastAsia="lt-LT"/>
        </w:rPr>
        <w:lastRenderedPageBreak/>
        <w:t>pagerėjimas taip pat nustatytas tiriant beta ląstelių funkcijos homeostazės vertinimo modeliu (beta ląstelių HOMA).</w:t>
      </w:r>
    </w:p>
    <w:p w14:paraId="5C47F64D" w14:textId="77777777" w:rsidR="00E96E12" w:rsidRDefault="00E96E12">
      <w:pPr>
        <w:autoSpaceDE w:val="0"/>
        <w:autoSpaceDN w:val="0"/>
        <w:adjustRightInd w:val="0"/>
        <w:rPr>
          <w:rFonts w:eastAsia="TimesNewRoman"/>
          <w:szCs w:val="22"/>
          <w:lang w:eastAsia="lt-LT"/>
        </w:rPr>
      </w:pPr>
    </w:p>
    <w:p w14:paraId="4FC0C9C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SGLT2 yra selektyviai išreikštas inkstuose. Kitų gliukozės nešiklių, svarbių jos pernešimui į periferinius audinius, dapagliflozinas neslopina. Jo poveikis SGLT2 yra daugiau kaip 1 400 kartų selektyvesnis už poveikį pagrindiniam gliukozės absorbcijos nešikliui žarnose – SGLT1.</w:t>
      </w:r>
    </w:p>
    <w:p w14:paraId="3208CC87" w14:textId="77777777" w:rsidR="00E96E12" w:rsidRDefault="00E96E12">
      <w:pPr>
        <w:autoSpaceDE w:val="0"/>
        <w:autoSpaceDN w:val="0"/>
        <w:adjustRightInd w:val="0"/>
        <w:rPr>
          <w:rFonts w:eastAsia="TimesNewRoman"/>
          <w:szCs w:val="22"/>
          <w:lang w:eastAsia="lt-LT"/>
        </w:rPr>
      </w:pPr>
    </w:p>
    <w:p w14:paraId="169B2199" w14:textId="77777777" w:rsidR="00E96E12" w:rsidRDefault="00E97765">
      <w:pPr>
        <w:autoSpaceDE w:val="0"/>
        <w:autoSpaceDN w:val="0"/>
        <w:adjustRightInd w:val="0"/>
        <w:rPr>
          <w:rFonts w:eastAsia="TimesNewRoman"/>
          <w:szCs w:val="22"/>
          <w:u w:val="single"/>
          <w:lang w:eastAsia="lt-LT"/>
        </w:rPr>
      </w:pPr>
      <w:proofErr w:type="spellStart"/>
      <w:r>
        <w:rPr>
          <w:rFonts w:eastAsia="TimesNewRoman"/>
          <w:szCs w:val="22"/>
          <w:u w:val="single"/>
          <w:lang w:eastAsia="lt-LT"/>
        </w:rPr>
        <w:t>Farmakodinaminis</w:t>
      </w:r>
      <w:proofErr w:type="spellEnd"/>
      <w:r>
        <w:rPr>
          <w:rFonts w:eastAsia="TimesNewRoman"/>
          <w:szCs w:val="22"/>
          <w:u w:val="single"/>
          <w:lang w:eastAsia="lt-LT"/>
        </w:rPr>
        <w:t xml:space="preserve"> poveikis</w:t>
      </w:r>
    </w:p>
    <w:p w14:paraId="5864BA28" w14:textId="77777777" w:rsidR="00E96E12" w:rsidRDefault="00E96E12">
      <w:pPr>
        <w:autoSpaceDE w:val="0"/>
        <w:autoSpaceDN w:val="0"/>
        <w:adjustRightInd w:val="0"/>
        <w:rPr>
          <w:rFonts w:eastAsia="TimesNewRoman"/>
          <w:szCs w:val="22"/>
          <w:lang w:eastAsia="lt-LT"/>
        </w:rPr>
      </w:pPr>
    </w:p>
    <w:p w14:paraId="2B4666A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Padidėjęs gliukozės kiekis rastas sveikų asmenų ir 2 tipo cukriniu diabetu sergančių pacientų, vartojusių dapaglifloziną, šlapime. 2 tipo cukriniu diabetu sergantiems asmenims 12 savaičių vartojus 10 mg dapagliflozino per parą, su šlapimu buvo išskiriama maždaug 70 g gliukozės (atitinka 280 kcal) per parą. Įrodytas ilgalaikis (iki 2 metų) gliukozės išskyrimas su 2 tipo cukriniu diabetu sergančių asmenų, vartojančių 10 mg dapagliflozino per parą, šlapimu.</w:t>
      </w:r>
    </w:p>
    <w:p w14:paraId="46DBD6A6" w14:textId="77777777" w:rsidR="00E96E12" w:rsidRDefault="00E96E12">
      <w:pPr>
        <w:autoSpaceDE w:val="0"/>
        <w:autoSpaceDN w:val="0"/>
        <w:adjustRightInd w:val="0"/>
        <w:rPr>
          <w:rFonts w:eastAsia="TimesNewRoman"/>
          <w:szCs w:val="22"/>
          <w:lang w:eastAsia="lt-LT"/>
        </w:rPr>
      </w:pPr>
    </w:p>
    <w:p w14:paraId="7AC685E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Gliukozės išskyrimas su šlapimu veikiant dapagliflozinui 2 tipo cukriniu diabetu sergantiems asmenims taip pat ir didina šlapimo tūrį – sukelia osmosinę diurezę. Po 12 savaičių nustatyta, kad 2 tipo cukriniu diabetu sergančių asmenų, vartojančių 10 mg dapagliflozino, paros šlapimo tūris tebėra padidėjęs, o tas padidėjimas sudaro apie 375 ml. Šlapimo tūrio padidėjimas buvo susijęs su nežymiu ir trumpalaikiu natrio išskyrimo su šlapimu padidėjimu, kuris natrio koncentracijos serume pokyčių nesukėlė.</w:t>
      </w:r>
    </w:p>
    <w:p w14:paraId="2D0CDD52" w14:textId="77777777" w:rsidR="00E96E12" w:rsidRDefault="00E96E12">
      <w:pPr>
        <w:autoSpaceDE w:val="0"/>
        <w:autoSpaceDN w:val="0"/>
        <w:adjustRightInd w:val="0"/>
        <w:rPr>
          <w:rFonts w:eastAsia="TimesNewRoman"/>
          <w:szCs w:val="22"/>
          <w:lang w:eastAsia="lt-LT"/>
        </w:rPr>
      </w:pPr>
    </w:p>
    <w:p w14:paraId="61934EF4" w14:textId="77777777" w:rsidR="00E96E12" w:rsidRDefault="00E97765">
      <w:pPr>
        <w:autoSpaceDE w:val="0"/>
        <w:autoSpaceDN w:val="0"/>
        <w:adjustRightInd w:val="0"/>
        <w:rPr>
          <w:rFonts w:eastAsia="TimesNewRoman"/>
          <w:szCs w:val="22"/>
          <w:lang w:eastAsia="lt-LT"/>
        </w:rPr>
      </w:pPr>
      <w:r>
        <w:rPr>
          <w:rFonts w:eastAsia="TimesNewRoman"/>
          <w:szCs w:val="22"/>
          <w:lang w:eastAsia="lt-LT"/>
        </w:rPr>
        <w:t>Be to, trumpam (3-7 paroms) padidėjo šlapimo rūgšties išskyrimas ir ilgam sumažėjo jos koncentracija serume. Po 24 savaičių šlapimo rūgšties koncentracija serume buvo sumažėjusi nuo minus 48,3 iki minus 18,3 </w:t>
      </w:r>
      <w:proofErr w:type="spellStart"/>
      <w:r>
        <w:rPr>
          <w:rFonts w:eastAsia="TimesNewRoman"/>
          <w:szCs w:val="22"/>
          <w:lang w:eastAsia="lt-LT"/>
        </w:rPr>
        <w:t>mikromolių</w:t>
      </w:r>
      <w:proofErr w:type="spellEnd"/>
      <w:r>
        <w:rPr>
          <w:rFonts w:eastAsia="TimesNewRoman"/>
          <w:szCs w:val="22"/>
          <w:lang w:eastAsia="lt-LT"/>
        </w:rPr>
        <w:t xml:space="preserve"> litre (tai atitinka nuo minus 0,87 iki minus 0,</w:t>
      </w:r>
      <w:r>
        <w:rPr>
          <w:rFonts w:eastAsia="TimesNewRoman"/>
        </w:rPr>
        <w:t>33 mg</w:t>
      </w:r>
      <w:r>
        <w:rPr>
          <w:rFonts w:eastAsia="TimesNewRoman"/>
          <w:szCs w:val="22"/>
          <w:lang w:eastAsia="lt-LT"/>
        </w:rPr>
        <w:t>/dl).</w:t>
      </w:r>
    </w:p>
    <w:p w14:paraId="6B48E15F" w14:textId="77777777" w:rsidR="00E96E12" w:rsidRDefault="00E96E12">
      <w:pPr>
        <w:autoSpaceDE w:val="0"/>
        <w:autoSpaceDN w:val="0"/>
        <w:adjustRightInd w:val="0"/>
        <w:rPr>
          <w:rFonts w:eastAsia="TimesNewRoman"/>
          <w:szCs w:val="22"/>
          <w:lang w:eastAsia="lt-LT"/>
        </w:rPr>
      </w:pPr>
    </w:p>
    <w:p w14:paraId="65FAE794"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Klinikinis veiksmingumas ir saugumas</w:t>
      </w:r>
    </w:p>
    <w:p w14:paraId="65931286" w14:textId="77777777" w:rsidR="00E96E12" w:rsidRDefault="00E96E12">
      <w:pPr>
        <w:autoSpaceDE w:val="0"/>
        <w:autoSpaceDN w:val="0"/>
        <w:adjustRightInd w:val="0"/>
        <w:rPr>
          <w:rFonts w:eastAsia="TimesNewRoman"/>
          <w:szCs w:val="22"/>
          <w:lang w:eastAsia="lt-LT"/>
        </w:rPr>
      </w:pPr>
    </w:p>
    <w:p w14:paraId="563A7EE3" w14:textId="77777777" w:rsidR="00E96E12" w:rsidRDefault="00E97765">
      <w:pPr>
        <w:autoSpaceDE w:val="0"/>
        <w:autoSpaceDN w:val="0"/>
        <w:adjustRightInd w:val="0"/>
        <w:rPr>
          <w:rFonts w:eastAsia="TimesNewRoman"/>
          <w:i/>
          <w:szCs w:val="22"/>
          <w:lang w:eastAsia="lt-LT"/>
        </w:rPr>
      </w:pPr>
      <w:r>
        <w:rPr>
          <w:rFonts w:eastAsia="TimesNewRoman"/>
          <w:i/>
          <w:szCs w:val="22"/>
          <w:lang w:eastAsia="lt-LT"/>
        </w:rPr>
        <w:t>2 tipo cukrinis diabetas</w:t>
      </w:r>
    </w:p>
    <w:p w14:paraId="1D22ACFF" w14:textId="77777777" w:rsidR="00E96E12" w:rsidRDefault="00E96E12">
      <w:pPr>
        <w:autoSpaceDE w:val="0"/>
        <w:autoSpaceDN w:val="0"/>
        <w:adjustRightInd w:val="0"/>
        <w:rPr>
          <w:rFonts w:eastAsia="TimesNewRoman"/>
          <w:szCs w:val="22"/>
          <w:lang w:eastAsia="lt-LT"/>
        </w:rPr>
      </w:pPr>
    </w:p>
    <w:p w14:paraId="56538701" w14:textId="77777777" w:rsidR="00E96E12" w:rsidRDefault="00E97765">
      <w:pPr>
        <w:autoSpaceDE w:val="0"/>
        <w:autoSpaceDN w:val="0"/>
        <w:adjustRightInd w:val="0"/>
        <w:rPr>
          <w:rFonts w:eastAsia="TimesNewRoman"/>
          <w:szCs w:val="22"/>
          <w:lang w:eastAsia="lt-LT"/>
        </w:rPr>
      </w:pPr>
      <w:proofErr w:type="spellStart"/>
      <w:r>
        <w:rPr>
          <w:rFonts w:eastAsia="TimesNewRoman"/>
          <w:szCs w:val="22"/>
          <w:lang w:eastAsia="lt-LT"/>
        </w:rPr>
        <w:t>Glikemijos</w:t>
      </w:r>
      <w:proofErr w:type="spellEnd"/>
      <w:r>
        <w:rPr>
          <w:rFonts w:eastAsia="TimesNewRoman"/>
          <w:szCs w:val="22"/>
          <w:lang w:eastAsia="lt-LT"/>
        </w:rPr>
        <w:t xml:space="preserve"> kontrolė ir sergamumo kardiovaskulinėmis bei inkstų ligomis ir mirštamumo nuo jų mažinimas yra 2 tipo diabeto gydymo sudėtinės dalys.</w:t>
      </w:r>
    </w:p>
    <w:p w14:paraId="5D6F1F6E" w14:textId="77777777" w:rsidR="00E96E12" w:rsidRDefault="00E96E12">
      <w:pPr>
        <w:autoSpaceDE w:val="0"/>
        <w:autoSpaceDN w:val="0"/>
        <w:adjustRightInd w:val="0"/>
        <w:rPr>
          <w:rFonts w:eastAsia="TimesNewRoman"/>
          <w:szCs w:val="22"/>
          <w:lang w:eastAsia="lt-LT"/>
        </w:rPr>
      </w:pPr>
    </w:p>
    <w:p w14:paraId="0B15B8A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Atlikta 14 dvigubai koduotų atsitiktinės atrankos kontroliuojamų </w:t>
      </w:r>
      <w:proofErr w:type="spellStart"/>
      <w:r>
        <w:rPr>
          <w:rFonts w:eastAsia="TimesNewRoman"/>
          <w:szCs w:val="22"/>
          <w:lang w:eastAsia="lt-LT"/>
        </w:rPr>
        <w:t>Dagrafors</w:t>
      </w:r>
      <w:proofErr w:type="spellEnd"/>
      <w:r>
        <w:rPr>
          <w:rFonts w:eastAsia="TimesNewRoman"/>
          <w:szCs w:val="22"/>
          <w:lang w:eastAsia="lt-LT"/>
        </w:rPr>
        <w:t xml:space="preserve"> poveikio </w:t>
      </w:r>
      <w:proofErr w:type="spellStart"/>
      <w:r>
        <w:rPr>
          <w:rFonts w:eastAsia="TimesNewRoman"/>
          <w:szCs w:val="22"/>
          <w:lang w:eastAsia="lt-LT"/>
        </w:rPr>
        <w:t>glikemijai</w:t>
      </w:r>
      <w:proofErr w:type="spellEnd"/>
      <w:r>
        <w:rPr>
          <w:rFonts w:eastAsia="TimesNewRoman"/>
          <w:szCs w:val="22"/>
          <w:lang w:eastAsia="lt-LT"/>
        </w:rPr>
        <w:t xml:space="preserve"> veiksmingumo ir saugumo klinikinių tyrimų. Juose dalyvavo 7 056 antrojo tipo cukriniu diabetu sirgę suaugę asmenys, iš kurių 4 737 vartojo dapaglifloziną. 12 tyrimų metu gydymas truko 24 savaites, 8 tyrimai turėjo ilgalaikę nuo 24 iki 80 savaičių trukmės tęstinę fazę (iš viso truko iki 104 savaičių), vieno tyrimo metu gydymas truko 28 savaites, vienas tyrimas truko 52 savaites ir turėjo 52 ir 104 savaičių tęstines fazes (iš viso truko 208 savaites). Tiriamieji diabetu sirgo nuo 1,4 iki 16,9 metų. 50 % tiriamųjų inkstų funkcija buvo lengvai, 11 % – vidutiniškai sutrikusi. 51</w:t>
      </w:r>
      <w:r>
        <w:rPr>
          <w:rFonts w:eastAsia="TimesNewRoman"/>
        </w:rPr>
        <w:t> </w:t>
      </w:r>
      <w:r>
        <w:rPr>
          <w:rFonts w:eastAsia="TimesNewRoman"/>
          <w:szCs w:val="22"/>
          <w:lang w:eastAsia="lt-LT"/>
        </w:rPr>
        <w:t xml:space="preserve">% tiriamųjų buvo vyrai, 84 % – baltieji, 8 % – azijiečiai, 4 % – juodieji ir 4 % – kitų rasių. 81 % dalyvavusių pacientų kūno masės indeksas buvo </w:t>
      </w:r>
      <w:r>
        <w:rPr>
          <w:szCs w:val="22"/>
        </w:rPr>
        <w:t>≥</w:t>
      </w:r>
      <w:r>
        <w:rPr>
          <w:rFonts w:eastAsia="TimesNewRoman"/>
          <w:szCs w:val="22"/>
          <w:lang w:eastAsia="lt-LT"/>
        </w:rPr>
        <w:t>27. Be to, atlikti du 12 savaičių trukmės placebu kontroliuojami tyrimai, kuriuose dalyvavusiems pacientams buvo tinkamai nekontroliuojamas 2 tipo diabetas ir hipertenzija.</w:t>
      </w:r>
    </w:p>
    <w:p w14:paraId="5B596B2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Poveikio kardiovaskulinėms komplikacijoms tyrimo (</w:t>
      </w:r>
      <w:r>
        <w:rPr>
          <w:rFonts w:eastAsia="TimesNewRoman,Italic"/>
          <w:i/>
          <w:iCs/>
          <w:szCs w:val="22"/>
          <w:lang w:eastAsia="lt-LT"/>
        </w:rPr>
        <w:t>DECLARE</w:t>
      </w:r>
      <w:r>
        <w:rPr>
          <w:rFonts w:eastAsia="TimesNewRoman"/>
          <w:szCs w:val="22"/>
          <w:lang w:eastAsia="lt-LT"/>
        </w:rPr>
        <w:t>) metu lygintas 10 mg dapagliflozino ir placebo poveikis kardiovaskulinėms ir inkstų komplikacijoms 17 160 pacientų, kurie sirgo 2 tipo cukriniu diabetu ir sirgo arba nesirgo kardiovaskulinėmis ligomis.</w:t>
      </w:r>
    </w:p>
    <w:p w14:paraId="1071AA5E" w14:textId="77777777" w:rsidR="00E96E12" w:rsidRDefault="00E96E12">
      <w:pPr>
        <w:autoSpaceDE w:val="0"/>
        <w:autoSpaceDN w:val="0"/>
        <w:adjustRightInd w:val="0"/>
        <w:rPr>
          <w:rFonts w:eastAsia="TimesNewRoman"/>
          <w:szCs w:val="22"/>
          <w:lang w:eastAsia="lt-LT"/>
        </w:rPr>
      </w:pPr>
    </w:p>
    <w:p w14:paraId="73A185C7" w14:textId="77777777" w:rsidR="00E96E12" w:rsidRDefault="00E97765">
      <w:pPr>
        <w:autoSpaceDE w:val="0"/>
        <w:autoSpaceDN w:val="0"/>
        <w:adjustRightInd w:val="0"/>
        <w:rPr>
          <w:rFonts w:eastAsia="TimesNewRoman"/>
          <w:szCs w:val="22"/>
          <w:u w:val="single"/>
          <w:lang w:eastAsia="lt-LT"/>
        </w:rPr>
      </w:pPr>
      <w:proofErr w:type="spellStart"/>
      <w:r>
        <w:rPr>
          <w:rFonts w:eastAsia="TimesNewRoman,Italic"/>
          <w:i/>
          <w:iCs/>
          <w:szCs w:val="22"/>
          <w:u w:val="single"/>
          <w:lang w:eastAsia="lt-LT"/>
        </w:rPr>
        <w:t>Glikemijos</w:t>
      </w:r>
      <w:proofErr w:type="spellEnd"/>
      <w:r>
        <w:rPr>
          <w:rFonts w:eastAsia="TimesNewRoman,Italic"/>
          <w:i/>
          <w:iCs/>
          <w:szCs w:val="22"/>
          <w:u w:val="single"/>
          <w:lang w:eastAsia="lt-LT"/>
        </w:rPr>
        <w:t xml:space="preserve"> kontrolė</w:t>
      </w:r>
    </w:p>
    <w:p w14:paraId="169614E3" w14:textId="77777777" w:rsidR="00E96E12" w:rsidRDefault="00E97765">
      <w:pPr>
        <w:autoSpaceDE w:val="0"/>
        <w:autoSpaceDN w:val="0"/>
        <w:adjustRightInd w:val="0"/>
        <w:rPr>
          <w:rFonts w:eastAsia="TimesNewRoman,Italic"/>
          <w:i/>
          <w:iCs/>
          <w:szCs w:val="22"/>
          <w:lang w:eastAsia="lt-LT"/>
        </w:rPr>
      </w:pPr>
      <w:proofErr w:type="spellStart"/>
      <w:r>
        <w:rPr>
          <w:rFonts w:eastAsia="TimesNewRoman,Italic"/>
          <w:i/>
          <w:iCs/>
          <w:szCs w:val="22"/>
          <w:lang w:eastAsia="lt-LT"/>
        </w:rPr>
        <w:t>Monoterapija</w:t>
      </w:r>
      <w:proofErr w:type="spellEnd"/>
    </w:p>
    <w:p w14:paraId="16AC0A0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Atliktas dvigubai koduotas placebu kontroliuojamas 24 savaičių trukmės dapagliflozino </w:t>
      </w:r>
      <w:proofErr w:type="spellStart"/>
      <w:r>
        <w:rPr>
          <w:rFonts w:eastAsia="TimesNewRoman"/>
          <w:szCs w:val="22"/>
          <w:lang w:eastAsia="lt-LT"/>
        </w:rPr>
        <w:t>monoterapijos</w:t>
      </w:r>
      <w:proofErr w:type="spellEnd"/>
      <w:r>
        <w:rPr>
          <w:rFonts w:eastAsia="TimesNewRoman"/>
          <w:szCs w:val="22"/>
          <w:lang w:eastAsia="lt-LT"/>
        </w:rPr>
        <w:t xml:space="preserve"> saugumo ir veiksmingumo tinkamai nekontroliuojamu 2 tipo cukriniu diabetu sergantiems asmenims tyrimas su tęstine faze. 1 kartą per parą vartotas dapagliflozinas sukėlė statistikai reikšmingą (p &lt; 0,0001) HbA1c koncentracijos sumažėjimą palyginus su placebu (2 lentelė).</w:t>
      </w:r>
    </w:p>
    <w:p w14:paraId="610985E8" w14:textId="77777777" w:rsidR="00E96E12" w:rsidRDefault="00E96E12">
      <w:pPr>
        <w:autoSpaceDE w:val="0"/>
        <w:autoSpaceDN w:val="0"/>
        <w:adjustRightInd w:val="0"/>
        <w:rPr>
          <w:rFonts w:eastAsia="TimesNewRoman"/>
          <w:szCs w:val="22"/>
          <w:lang w:eastAsia="lt-LT"/>
        </w:rPr>
      </w:pPr>
    </w:p>
    <w:p w14:paraId="45630D8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Tęstinėje fazėje HbA1c koncentracija išliko sumažėjusi ir po 102 savaičių. Koreguotas vidutinis jos, palyginus su buvusia iki gydymo, sumažėjimas po šio laikotarpio 10 mg dapagliflozino grupės pacientų kraujyje buvo 0,61 %, o placebo – 0,17 %.</w:t>
      </w:r>
    </w:p>
    <w:p w14:paraId="040B556E" w14:textId="77777777" w:rsidR="00E96E12" w:rsidRDefault="00E96E12">
      <w:pPr>
        <w:autoSpaceDE w:val="0"/>
        <w:autoSpaceDN w:val="0"/>
        <w:adjustRightInd w:val="0"/>
        <w:rPr>
          <w:rFonts w:ascii="TimesNewRoman,Bold" w:eastAsia="TimesNewRoman,Bold" w:cs="TimesNewRoman,Bold"/>
          <w:b/>
          <w:bCs/>
          <w:szCs w:val="22"/>
          <w:lang w:eastAsia="lt-LT"/>
        </w:rPr>
      </w:pPr>
    </w:p>
    <w:p w14:paraId="41D91ED3"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2 lentelė. Duomenys po 24 savaičių (</w:t>
      </w:r>
      <w:proofErr w:type="spellStart"/>
      <w:r>
        <w:rPr>
          <w:rFonts w:eastAsia="TimesNewRoman,Bold"/>
          <w:b/>
          <w:bCs/>
          <w:szCs w:val="22"/>
          <w:lang w:eastAsia="lt-LT"/>
        </w:rPr>
        <w:t>LOCF</w:t>
      </w:r>
      <w:r>
        <w:rPr>
          <w:rFonts w:eastAsia="TimesNewRoman,Bold"/>
          <w:b/>
          <w:bCs/>
          <w:szCs w:val="22"/>
          <w:vertAlign w:val="superscript"/>
          <w:lang w:eastAsia="lt-LT"/>
        </w:rPr>
        <w:t>a</w:t>
      </w:r>
      <w:proofErr w:type="spellEnd"/>
      <w:r>
        <w:rPr>
          <w:rFonts w:eastAsia="TimesNewRoman,Bold"/>
          <w:b/>
          <w:bCs/>
          <w:szCs w:val="22"/>
          <w:lang w:eastAsia="lt-LT"/>
        </w:rPr>
        <w:t xml:space="preserve">), gauti kontroliuojamo dapagliflozino </w:t>
      </w:r>
      <w:proofErr w:type="spellStart"/>
      <w:r>
        <w:rPr>
          <w:rFonts w:eastAsia="TimesNewRoman,Bold"/>
          <w:b/>
          <w:bCs/>
          <w:szCs w:val="22"/>
          <w:lang w:eastAsia="lt-LT"/>
        </w:rPr>
        <w:t>monoterapijos</w:t>
      </w:r>
      <w:proofErr w:type="spellEnd"/>
      <w:r>
        <w:rPr>
          <w:rFonts w:eastAsia="TimesNewRoman,Bold"/>
          <w:b/>
          <w:bCs/>
          <w:szCs w:val="22"/>
          <w:lang w:eastAsia="lt-LT"/>
        </w:rPr>
        <w:t xml:space="preserve"> tyrimo metu</w:t>
      </w:r>
    </w:p>
    <w:p w14:paraId="41805187" w14:textId="77777777" w:rsidR="00E96E12" w:rsidRDefault="00E96E12">
      <w:pPr>
        <w:autoSpaceDE w:val="0"/>
        <w:autoSpaceDN w:val="0"/>
        <w:adjustRightInd w:val="0"/>
        <w:rPr>
          <w:rFonts w:eastAsia="TimesNewRoman,Bold"/>
          <w:b/>
          <w:bCs/>
          <w:szCs w:val="22"/>
          <w:lang w:eastAsia="lt-LT"/>
        </w:rPr>
      </w:pPr>
    </w:p>
    <w:tbl>
      <w:tblPr>
        <w:tblStyle w:val="Lentelstinklelis"/>
        <w:tblW w:w="0" w:type="auto"/>
        <w:tblLook w:val="04A0" w:firstRow="1" w:lastRow="0" w:firstColumn="1" w:lastColumn="0" w:noHBand="0" w:noVBand="1"/>
      </w:tblPr>
      <w:tblGrid>
        <w:gridCol w:w="3020"/>
        <w:gridCol w:w="3020"/>
        <w:gridCol w:w="3021"/>
      </w:tblGrid>
      <w:tr w:rsidR="00E96E12" w14:paraId="79CE34B7" w14:textId="77777777">
        <w:tc>
          <w:tcPr>
            <w:tcW w:w="9061" w:type="dxa"/>
            <w:gridSpan w:val="3"/>
            <w:tcBorders>
              <w:top w:val="single" w:sz="4" w:space="0" w:color="auto"/>
              <w:left w:val="nil"/>
              <w:bottom w:val="single" w:sz="4" w:space="0" w:color="auto"/>
              <w:right w:val="nil"/>
            </w:tcBorders>
          </w:tcPr>
          <w:p w14:paraId="72C48FD1" w14:textId="77777777" w:rsidR="00E96E12" w:rsidRDefault="00E97765">
            <w:pPr>
              <w:widowControl w:val="0"/>
              <w:tabs>
                <w:tab w:val="left" w:pos="567"/>
              </w:tabs>
              <w:jc w:val="center"/>
              <w:rPr>
                <w:b/>
                <w:szCs w:val="22"/>
                <w:lang w:val="en-GB"/>
              </w:rPr>
            </w:pPr>
            <w:proofErr w:type="spellStart"/>
            <w:r>
              <w:rPr>
                <w:b/>
                <w:szCs w:val="22"/>
                <w:lang w:val="en-GB"/>
              </w:rPr>
              <w:t>Monoterapija</w:t>
            </w:r>
            <w:proofErr w:type="spellEnd"/>
          </w:p>
        </w:tc>
      </w:tr>
      <w:tr w:rsidR="00E96E12" w14:paraId="1EDC1198" w14:textId="77777777">
        <w:tc>
          <w:tcPr>
            <w:tcW w:w="3020" w:type="dxa"/>
            <w:tcBorders>
              <w:top w:val="single" w:sz="4" w:space="0" w:color="auto"/>
              <w:left w:val="nil"/>
              <w:bottom w:val="single" w:sz="4" w:space="0" w:color="auto"/>
              <w:right w:val="nil"/>
            </w:tcBorders>
          </w:tcPr>
          <w:p w14:paraId="76C950FB" w14:textId="77777777" w:rsidR="00E96E12" w:rsidRDefault="00E96E12">
            <w:pPr>
              <w:widowControl w:val="0"/>
              <w:tabs>
                <w:tab w:val="left" w:pos="567"/>
              </w:tabs>
              <w:rPr>
                <w:szCs w:val="22"/>
                <w:lang w:val="en-GB"/>
              </w:rPr>
            </w:pPr>
          </w:p>
        </w:tc>
        <w:tc>
          <w:tcPr>
            <w:tcW w:w="3020" w:type="dxa"/>
            <w:tcBorders>
              <w:top w:val="single" w:sz="4" w:space="0" w:color="auto"/>
              <w:left w:val="nil"/>
              <w:bottom w:val="single" w:sz="4" w:space="0" w:color="auto"/>
              <w:right w:val="nil"/>
            </w:tcBorders>
          </w:tcPr>
          <w:p w14:paraId="24349ACE" w14:textId="77777777" w:rsidR="00E96E12" w:rsidRDefault="00E97765">
            <w:pPr>
              <w:widowControl w:val="0"/>
              <w:tabs>
                <w:tab w:val="left" w:pos="567"/>
              </w:tabs>
              <w:jc w:val="center"/>
              <w:rPr>
                <w:b/>
                <w:szCs w:val="22"/>
                <w:lang w:val="en-GB"/>
              </w:rPr>
            </w:pPr>
            <w:r>
              <w:rPr>
                <w:b/>
                <w:color w:val="000000"/>
                <w:kern w:val="2"/>
                <w:szCs w:val="22"/>
                <w:lang w:eastAsia="en-GB"/>
                <w14:ligatures w14:val="standardContextual"/>
              </w:rPr>
              <w:t>10 mg dapagliflozino</w:t>
            </w:r>
          </w:p>
        </w:tc>
        <w:tc>
          <w:tcPr>
            <w:tcW w:w="3021" w:type="dxa"/>
            <w:tcBorders>
              <w:top w:val="single" w:sz="4" w:space="0" w:color="auto"/>
              <w:left w:val="nil"/>
              <w:bottom w:val="single" w:sz="4" w:space="0" w:color="auto"/>
              <w:right w:val="nil"/>
            </w:tcBorders>
          </w:tcPr>
          <w:p w14:paraId="1123A0CA" w14:textId="77777777" w:rsidR="00E96E12" w:rsidRDefault="00E97765">
            <w:pPr>
              <w:widowControl w:val="0"/>
              <w:tabs>
                <w:tab w:val="left" w:pos="567"/>
              </w:tabs>
              <w:jc w:val="center"/>
              <w:rPr>
                <w:b/>
                <w:szCs w:val="22"/>
                <w:lang w:val="en-GB"/>
              </w:rPr>
            </w:pPr>
            <w:proofErr w:type="spellStart"/>
            <w:r>
              <w:rPr>
                <w:b/>
                <w:szCs w:val="22"/>
                <w:lang w:val="en-GB"/>
              </w:rPr>
              <w:t>Placebas</w:t>
            </w:r>
            <w:proofErr w:type="spellEnd"/>
          </w:p>
        </w:tc>
      </w:tr>
      <w:tr w:rsidR="00E96E12" w14:paraId="06938385" w14:textId="77777777">
        <w:tc>
          <w:tcPr>
            <w:tcW w:w="3020" w:type="dxa"/>
            <w:tcBorders>
              <w:top w:val="single" w:sz="4" w:space="0" w:color="auto"/>
              <w:left w:val="nil"/>
              <w:bottom w:val="single" w:sz="4" w:space="0" w:color="auto"/>
              <w:right w:val="nil"/>
            </w:tcBorders>
          </w:tcPr>
          <w:p w14:paraId="7B9BAE23" w14:textId="77777777" w:rsidR="00E96E12" w:rsidRDefault="00E97765">
            <w:pPr>
              <w:widowControl w:val="0"/>
              <w:tabs>
                <w:tab w:val="left" w:pos="567"/>
              </w:tabs>
              <w:rPr>
                <w:szCs w:val="22"/>
                <w:vertAlign w:val="superscript"/>
                <w:lang w:val="en-GB"/>
              </w:rPr>
            </w:pPr>
            <w:r>
              <w:rPr>
                <w:szCs w:val="22"/>
                <w:lang w:val="en-GB"/>
              </w:rPr>
              <w:t>N</w:t>
            </w:r>
            <w:r>
              <w:rPr>
                <w:szCs w:val="22"/>
                <w:vertAlign w:val="superscript"/>
                <w:lang w:val="en-GB"/>
              </w:rPr>
              <w:t>b</w:t>
            </w:r>
          </w:p>
        </w:tc>
        <w:tc>
          <w:tcPr>
            <w:tcW w:w="3020" w:type="dxa"/>
            <w:tcBorders>
              <w:top w:val="single" w:sz="4" w:space="0" w:color="auto"/>
              <w:left w:val="nil"/>
              <w:bottom w:val="single" w:sz="4" w:space="0" w:color="auto"/>
              <w:right w:val="nil"/>
            </w:tcBorders>
          </w:tcPr>
          <w:p w14:paraId="1E745E37" w14:textId="77777777" w:rsidR="00E96E12" w:rsidRDefault="00E97765">
            <w:pPr>
              <w:widowControl w:val="0"/>
              <w:tabs>
                <w:tab w:val="left" w:pos="567"/>
              </w:tabs>
              <w:jc w:val="center"/>
              <w:rPr>
                <w:szCs w:val="22"/>
                <w:lang w:val="en-GB"/>
              </w:rPr>
            </w:pPr>
            <w:r>
              <w:rPr>
                <w:szCs w:val="22"/>
                <w:lang w:val="en-GB"/>
              </w:rPr>
              <w:t>70</w:t>
            </w:r>
          </w:p>
        </w:tc>
        <w:tc>
          <w:tcPr>
            <w:tcW w:w="3021" w:type="dxa"/>
            <w:tcBorders>
              <w:top w:val="single" w:sz="4" w:space="0" w:color="auto"/>
              <w:left w:val="nil"/>
              <w:bottom w:val="single" w:sz="4" w:space="0" w:color="auto"/>
              <w:right w:val="nil"/>
            </w:tcBorders>
          </w:tcPr>
          <w:p w14:paraId="714F343A" w14:textId="77777777" w:rsidR="00E96E12" w:rsidRDefault="00E97765">
            <w:pPr>
              <w:widowControl w:val="0"/>
              <w:tabs>
                <w:tab w:val="left" w:pos="567"/>
              </w:tabs>
              <w:jc w:val="center"/>
              <w:rPr>
                <w:szCs w:val="22"/>
                <w:lang w:val="en-GB"/>
              </w:rPr>
            </w:pPr>
            <w:r>
              <w:rPr>
                <w:szCs w:val="22"/>
                <w:lang w:val="en-GB"/>
              </w:rPr>
              <w:t>75</w:t>
            </w:r>
          </w:p>
        </w:tc>
      </w:tr>
      <w:tr w:rsidR="00E96E12" w14:paraId="40C26FAF" w14:textId="77777777">
        <w:tc>
          <w:tcPr>
            <w:tcW w:w="3020" w:type="dxa"/>
            <w:tcBorders>
              <w:top w:val="single" w:sz="4" w:space="0" w:color="auto"/>
              <w:left w:val="nil"/>
              <w:bottom w:val="nil"/>
              <w:right w:val="nil"/>
            </w:tcBorders>
          </w:tcPr>
          <w:p w14:paraId="64292EE6" w14:textId="77777777" w:rsidR="00E96E12" w:rsidRDefault="00E97765">
            <w:pPr>
              <w:widowControl w:val="0"/>
              <w:tabs>
                <w:tab w:val="left" w:pos="567"/>
              </w:tabs>
              <w:rPr>
                <w:b/>
                <w:szCs w:val="22"/>
                <w:lang w:val="pt-PT"/>
              </w:rPr>
            </w:pPr>
            <w:r>
              <w:rPr>
                <w:b/>
                <w:szCs w:val="22"/>
                <w:lang w:val="pt-PT"/>
              </w:rPr>
              <w:t xml:space="preserve">HbA1c koncentracija (%) </w:t>
            </w:r>
          </w:p>
          <w:p w14:paraId="1AF9267E" w14:textId="77777777" w:rsidR="00E96E12" w:rsidRDefault="00E97765">
            <w:pPr>
              <w:widowControl w:val="0"/>
              <w:tabs>
                <w:tab w:val="left" w:pos="567"/>
              </w:tabs>
              <w:rPr>
                <w:b/>
                <w:szCs w:val="22"/>
                <w:lang w:val="pt-PT"/>
              </w:rPr>
            </w:pPr>
            <w:r>
              <w:rPr>
                <w:color w:val="000000"/>
                <w:kern w:val="2"/>
                <w:szCs w:val="22"/>
                <w:lang w:eastAsia="en-GB"/>
                <w14:ligatures w14:val="standardContextual"/>
              </w:rPr>
              <w:t>iki tyrimo (vidurkis)</w:t>
            </w:r>
          </w:p>
        </w:tc>
        <w:tc>
          <w:tcPr>
            <w:tcW w:w="3020" w:type="dxa"/>
            <w:tcBorders>
              <w:top w:val="single" w:sz="4" w:space="0" w:color="auto"/>
              <w:left w:val="nil"/>
              <w:bottom w:val="nil"/>
              <w:right w:val="nil"/>
            </w:tcBorders>
          </w:tcPr>
          <w:p w14:paraId="634669B1" w14:textId="77777777" w:rsidR="00E96E12" w:rsidRDefault="00E96E12">
            <w:pPr>
              <w:widowControl w:val="0"/>
              <w:tabs>
                <w:tab w:val="left" w:pos="567"/>
              </w:tabs>
              <w:jc w:val="center"/>
              <w:rPr>
                <w:szCs w:val="22"/>
                <w:lang w:val="pt-PT"/>
              </w:rPr>
            </w:pPr>
          </w:p>
          <w:p w14:paraId="1F5194CD" w14:textId="77777777" w:rsidR="00E96E12" w:rsidRDefault="00E97765">
            <w:pPr>
              <w:widowControl w:val="0"/>
              <w:tabs>
                <w:tab w:val="left" w:pos="567"/>
              </w:tabs>
              <w:jc w:val="center"/>
              <w:rPr>
                <w:szCs w:val="22"/>
                <w:lang w:val="en-GB"/>
              </w:rPr>
            </w:pPr>
            <w:r>
              <w:rPr>
                <w:szCs w:val="22"/>
                <w:lang w:val="en-GB"/>
              </w:rPr>
              <w:t>8,01</w:t>
            </w:r>
          </w:p>
        </w:tc>
        <w:tc>
          <w:tcPr>
            <w:tcW w:w="3021" w:type="dxa"/>
            <w:tcBorders>
              <w:top w:val="single" w:sz="4" w:space="0" w:color="auto"/>
              <w:left w:val="nil"/>
              <w:bottom w:val="nil"/>
              <w:right w:val="nil"/>
            </w:tcBorders>
          </w:tcPr>
          <w:p w14:paraId="17C64CB9" w14:textId="77777777" w:rsidR="00E96E12" w:rsidRDefault="00E96E12">
            <w:pPr>
              <w:widowControl w:val="0"/>
              <w:tabs>
                <w:tab w:val="left" w:pos="567"/>
              </w:tabs>
              <w:jc w:val="center"/>
              <w:rPr>
                <w:szCs w:val="22"/>
                <w:lang w:val="en-GB"/>
              </w:rPr>
            </w:pPr>
          </w:p>
          <w:p w14:paraId="2D7A1D4A" w14:textId="77777777" w:rsidR="00E96E12" w:rsidRDefault="00E97765">
            <w:pPr>
              <w:widowControl w:val="0"/>
              <w:tabs>
                <w:tab w:val="left" w:pos="567"/>
              </w:tabs>
              <w:jc w:val="center"/>
              <w:rPr>
                <w:szCs w:val="22"/>
                <w:lang w:val="en-GB"/>
              </w:rPr>
            </w:pPr>
            <w:r>
              <w:rPr>
                <w:szCs w:val="22"/>
                <w:lang w:val="en-GB"/>
              </w:rPr>
              <w:t>7,79</w:t>
            </w:r>
          </w:p>
        </w:tc>
      </w:tr>
      <w:tr w:rsidR="00E96E12" w14:paraId="3185423C" w14:textId="77777777">
        <w:tc>
          <w:tcPr>
            <w:tcW w:w="3020" w:type="dxa"/>
            <w:tcBorders>
              <w:top w:val="nil"/>
              <w:left w:val="nil"/>
              <w:bottom w:val="nil"/>
              <w:right w:val="nil"/>
            </w:tcBorders>
          </w:tcPr>
          <w:p w14:paraId="7E435134" w14:textId="77777777" w:rsidR="00E96E12" w:rsidRDefault="00E97765">
            <w:pPr>
              <w:widowControl w:val="0"/>
              <w:tabs>
                <w:tab w:val="left" w:pos="176"/>
              </w:tabs>
              <w:rPr>
                <w:szCs w:val="22"/>
                <w:lang w:val="en-US"/>
              </w:rPr>
            </w:pPr>
            <w:r>
              <w:rPr>
                <w:color w:val="000000"/>
                <w:kern w:val="2"/>
                <w:szCs w:val="22"/>
                <w:lang w:eastAsia="en-GB"/>
                <w14:ligatures w14:val="standardContextual"/>
              </w:rPr>
              <w:t>pokytis palyginus su buvusia iki tyrimo</w:t>
            </w:r>
            <w:r>
              <w:rPr>
                <w:color w:val="000000"/>
                <w:kern w:val="2"/>
                <w:szCs w:val="22"/>
                <w:vertAlign w:val="superscript"/>
                <w:lang w:eastAsia="en-GB"/>
                <w14:ligatures w14:val="standardContextual"/>
              </w:rPr>
              <w:t>c</w:t>
            </w:r>
          </w:p>
        </w:tc>
        <w:tc>
          <w:tcPr>
            <w:tcW w:w="3020" w:type="dxa"/>
            <w:tcBorders>
              <w:top w:val="nil"/>
              <w:left w:val="nil"/>
              <w:bottom w:val="nil"/>
              <w:right w:val="nil"/>
            </w:tcBorders>
          </w:tcPr>
          <w:p w14:paraId="778F46C7" w14:textId="77777777" w:rsidR="00E96E12" w:rsidRDefault="00E97765">
            <w:pPr>
              <w:widowControl w:val="0"/>
              <w:tabs>
                <w:tab w:val="left" w:pos="567"/>
              </w:tabs>
              <w:jc w:val="center"/>
              <w:rPr>
                <w:szCs w:val="22"/>
                <w:lang w:val="en-GB"/>
              </w:rPr>
            </w:pPr>
            <w:r>
              <w:rPr>
                <w:szCs w:val="22"/>
                <w:lang w:val="en-GB"/>
              </w:rPr>
              <w:t>-0,89</w:t>
            </w:r>
          </w:p>
        </w:tc>
        <w:tc>
          <w:tcPr>
            <w:tcW w:w="3021" w:type="dxa"/>
            <w:tcBorders>
              <w:top w:val="nil"/>
              <w:left w:val="nil"/>
              <w:bottom w:val="nil"/>
              <w:right w:val="nil"/>
            </w:tcBorders>
          </w:tcPr>
          <w:p w14:paraId="4E9B291E" w14:textId="77777777" w:rsidR="00E96E12" w:rsidRDefault="00E97765">
            <w:pPr>
              <w:widowControl w:val="0"/>
              <w:tabs>
                <w:tab w:val="left" w:pos="567"/>
              </w:tabs>
              <w:jc w:val="center"/>
              <w:rPr>
                <w:szCs w:val="22"/>
                <w:lang w:val="en-GB"/>
              </w:rPr>
            </w:pPr>
            <w:r>
              <w:rPr>
                <w:szCs w:val="22"/>
                <w:lang w:val="en-GB"/>
              </w:rPr>
              <w:t>-0,23</w:t>
            </w:r>
          </w:p>
        </w:tc>
      </w:tr>
      <w:tr w:rsidR="00E96E12" w14:paraId="05C53B24" w14:textId="77777777">
        <w:tc>
          <w:tcPr>
            <w:tcW w:w="3020" w:type="dxa"/>
            <w:tcBorders>
              <w:top w:val="nil"/>
              <w:left w:val="nil"/>
              <w:bottom w:val="nil"/>
              <w:right w:val="nil"/>
            </w:tcBorders>
          </w:tcPr>
          <w:p w14:paraId="604AC592" w14:textId="77777777" w:rsidR="00E96E12" w:rsidRDefault="00E97765">
            <w:pPr>
              <w:widowControl w:val="0"/>
              <w:tabs>
                <w:tab w:val="left" w:pos="176"/>
              </w:tabs>
              <w:ind w:left="176" w:hanging="176"/>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tc>
        <w:tc>
          <w:tcPr>
            <w:tcW w:w="3020" w:type="dxa"/>
            <w:tcBorders>
              <w:top w:val="nil"/>
              <w:left w:val="nil"/>
              <w:bottom w:val="nil"/>
              <w:right w:val="nil"/>
            </w:tcBorders>
          </w:tcPr>
          <w:p w14:paraId="2F8A60B6" w14:textId="77777777" w:rsidR="00E96E12" w:rsidRDefault="00E97765">
            <w:pPr>
              <w:widowControl w:val="0"/>
              <w:tabs>
                <w:tab w:val="left" w:pos="567"/>
              </w:tabs>
              <w:jc w:val="center"/>
              <w:rPr>
                <w:szCs w:val="22"/>
                <w:lang w:val="en-GB"/>
              </w:rPr>
            </w:pPr>
            <w:r>
              <w:rPr>
                <w:szCs w:val="22"/>
                <w:lang w:val="en-GB"/>
              </w:rPr>
              <w:t>-0,66*</w:t>
            </w:r>
          </w:p>
        </w:tc>
        <w:tc>
          <w:tcPr>
            <w:tcW w:w="3021" w:type="dxa"/>
            <w:tcBorders>
              <w:top w:val="nil"/>
              <w:left w:val="nil"/>
              <w:bottom w:val="nil"/>
              <w:right w:val="nil"/>
            </w:tcBorders>
          </w:tcPr>
          <w:p w14:paraId="6AACE475" w14:textId="77777777" w:rsidR="00E96E12" w:rsidRDefault="00E96E12">
            <w:pPr>
              <w:widowControl w:val="0"/>
              <w:tabs>
                <w:tab w:val="left" w:pos="567"/>
              </w:tabs>
              <w:jc w:val="center"/>
              <w:rPr>
                <w:szCs w:val="22"/>
                <w:lang w:val="en-GB"/>
              </w:rPr>
            </w:pPr>
          </w:p>
        </w:tc>
      </w:tr>
      <w:tr w:rsidR="00E96E12" w14:paraId="0E6BCC08" w14:textId="77777777">
        <w:tc>
          <w:tcPr>
            <w:tcW w:w="3020" w:type="dxa"/>
            <w:tcBorders>
              <w:top w:val="nil"/>
              <w:left w:val="nil"/>
              <w:bottom w:val="single" w:sz="4" w:space="0" w:color="auto"/>
              <w:right w:val="nil"/>
            </w:tcBorders>
          </w:tcPr>
          <w:p w14:paraId="7A7A975C" w14:textId="77777777" w:rsidR="00E96E12" w:rsidRDefault="00E97765">
            <w:pPr>
              <w:widowControl w:val="0"/>
              <w:tabs>
                <w:tab w:val="left" w:pos="176"/>
              </w:tabs>
              <w:ind w:left="176" w:hanging="176"/>
              <w:rPr>
                <w:szCs w:val="22"/>
                <w:lang w:val="en-GB"/>
              </w:rPr>
            </w:pPr>
            <w:r>
              <w:rPr>
                <w:szCs w:val="22"/>
                <w:lang w:val="en-US"/>
              </w:rPr>
              <w:t>(95% PI)</w:t>
            </w:r>
          </w:p>
        </w:tc>
        <w:tc>
          <w:tcPr>
            <w:tcW w:w="3020" w:type="dxa"/>
            <w:tcBorders>
              <w:top w:val="nil"/>
              <w:left w:val="nil"/>
              <w:bottom w:val="single" w:sz="4" w:space="0" w:color="auto"/>
              <w:right w:val="nil"/>
            </w:tcBorders>
          </w:tcPr>
          <w:p w14:paraId="4C0DA8F8" w14:textId="77777777" w:rsidR="00E96E12" w:rsidRDefault="00E97765">
            <w:pPr>
              <w:widowControl w:val="0"/>
              <w:tabs>
                <w:tab w:val="left" w:pos="567"/>
              </w:tabs>
              <w:jc w:val="center"/>
              <w:rPr>
                <w:szCs w:val="22"/>
                <w:lang w:val="en-GB"/>
              </w:rPr>
            </w:pPr>
            <w:r>
              <w:rPr>
                <w:szCs w:val="22"/>
                <w:lang w:val="en-GB"/>
              </w:rPr>
              <w:t>(-0,96, -0,36)</w:t>
            </w:r>
          </w:p>
        </w:tc>
        <w:tc>
          <w:tcPr>
            <w:tcW w:w="3021" w:type="dxa"/>
            <w:tcBorders>
              <w:top w:val="nil"/>
              <w:left w:val="nil"/>
              <w:bottom w:val="single" w:sz="4" w:space="0" w:color="auto"/>
              <w:right w:val="nil"/>
            </w:tcBorders>
          </w:tcPr>
          <w:p w14:paraId="4318185F" w14:textId="77777777" w:rsidR="00E96E12" w:rsidRDefault="00E96E12">
            <w:pPr>
              <w:widowControl w:val="0"/>
              <w:tabs>
                <w:tab w:val="left" w:pos="567"/>
              </w:tabs>
              <w:jc w:val="center"/>
              <w:rPr>
                <w:szCs w:val="22"/>
                <w:lang w:val="en-GB"/>
              </w:rPr>
            </w:pPr>
          </w:p>
        </w:tc>
      </w:tr>
      <w:tr w:rsidR="00E96E12" w14:paraId="6123E7BC" w14:textId="77777777">
        <w:tc>
          <w:tcPr>
            <w:tcW w:w="3020" w:type="dxa"/>
            <w:tcBorders>
              <w:top w:val="single" w:sz="4" w:space="0" w:color="auto"/>
              <w:left w:val="nil"/>
              <w:bottom w:val="nil"/>
              <w:right w:val="nil"/>
            </w:tcBorders>
          </w:tcPr>
          <w:p w14:paraId="587F0860" w14:textId="77777777" w:rsidR="00E96E12" w:rsidRDefault="00E97765">
            <w:pPr>
              <w:spacing w:after="3"/>
              <w:rPr>
                <w:color w:val="000000"/>
                <w:lang w:eastAsia="en-GB"/>
              </w:rPr>
            </w:pPr>
            <w:r>
              <w:rPr>
                <w:b/>
                <w:color w:val="000000"/>
                <w:szCs w:val="22"/>
                <w:lang w:eastAsia="en-GB"/>
              </w:rPr>
              <w:t>Asmenys, kurių HbA1c pasidarė &lt; 7 %</w:t>
            </w:r>
          </w:p>
        </w:tc>
        <w:tc>
          <w:tcPr>
            <w:tcW w:w="3020" w:type="dxa"/>
            <w:tcBorders>
              <w:top w:val="single" w:sz="4" w:space="0" w:color="auto"/>
              <w:left w:val="nil"/>
              <w:bottom w:val="nil"/>
              <w:right w:val="nil"/>
            </w:tcBorders>
            <w:vAlign w:val="bottom"/>
          </w:tcPr>
          <w:p w14:paraId="1C7130EE" w14:textId="77777777" w:rsidR="00E96E12" w:rsidRDefault="00E96E12">
            <w:pPr>
              <w:widowControl w:val="0"/>
              <w:tabs>
                <w:tab w:val="left" w:pos="567"/>
              </w:tabs>
              <w:jc w:val="center"/>
              <w:rPr>
                <w:szCs w:val="22"/>
                <w:lang w:val="en-GB"/>
              </w:rPr>
            </w:pPr>
          </w:p>
        </w:tc>
        <w:tc>
          <w:tcPr>
            <w:tcW w:w="3021" w:type="dxa"/>
            <w:tcBorders>
              <w:top w:val="single" w:sz="4" w:space="0" w:color="auto"/>
              <w:left w:val="nil"/>
              <w:bottom w:val="nil"/>
              <w:right w:val="nil"/>
            </w:tcBorders>
            <w:vAlign w:val="bottom"/>
          </w:tcPr>
          <w:p w14:paraId="3D6EDD13" w14:textId="77777777" w:rsidR="00E96E12" w:rsidRDefault="00E96E12">
            <w:pPr>
              <w:widowControl w:val="0"/>
              <w:tabs>
                <w:tab w:val="left" w:pos="567"/>
              </w:tabs>
              <w:jc w:val="center"/>
              <w:rPr>
                <w:szCs w:val="22"/>
                <w:lang w:val="en-GB"/>
              </w:rPr>
            </w:pPr>
          </w:p>
        </w:tc>
      </w:tr>
      <w:tr w:rsidR="00E96E12" w14:paraId="25FDA74C" w14:textId="77777777">
        <w:tc>
          <w:tcPr>
            <w:tcW w:w="3020" w:type="dxa"/>
            <w:tcBorders>
              <w:top w:val="nil"/>
              <w:left w:val="nil"/>
              <w:bottom w:val="single" w:sz="4" w:space="0" w:color="auto"/>
              <w:right w:val="nil"/>
            </w:tcBorders>
          </w:tcPr>
          <w:p w14:paraId="397DFC3A" w14:textId="77777777" w:rsidR="00E96E12" w:rsidRDefault="00E97765">
            <w:r>
              <w:rPr>
                <w:color w:val="000000"/>
                <w:szCs w:val="22"/>
                <w:lang w:eastAsia="en-GB"/>
              </w:rPr>
              <w:t>koreguota pagal koncentraciją iki tyrimo</w:t>
            </w:r>
          </w:p>
        </w:tc>
        <w:tc>
          <w:tcPr>
            <w:tcW w:w="3020" w:type="dxa"/>
            <w:tcBorders>
              <w:top w:val="nil"/>
              <w:left w:val="nil"/>
              <w:bottom w:val="single" w:sz="4" w:space="0" w:color="auto"/>
              <w:right w:val="nil"/>
            </w:tcBorders>
          </w:tcPr>
          <w:p w14:paraId="31420A3F" w14:textId="77777777" w:rsidR="00E96E12" w:rsidRDefault="00E97765">
            <w:pPr>
              <w:widowControl w:val="0"/>
              <w:tabs>
                <w:tab w:val="left" w:pos="567"/>
              </w:tabs>
              <w:jc w:val="center"/>
              <w:rPr>
                <w:szCs w:val="22"/>
                <w:lang w:val="en-GB"/>
              </w:rPr>
            </w:pPr>
            <w:r>
              <w:rPr>
                <w:szCs w:val="22"/>
                <w:lang w:val="en-GB"/>
              </w:rPr>
              <w:t>50,8</w:t>
            </w:r>
            <w:r>
              <w:rPr>
                <w:szCs w:val="22"/>
                <w:vertAlign w:val="superscript"/>
                <w:lang w:val="en-US"/>
              </w:rPr>
              <w:t>§</w:t>
            </w:r>
          </w:p>
        </w:tc>
        <w:tc>
          <w:tcPr>
            <w:tcW w:w="3021" w:type="dxa"/>
            <w:tcBorders>
              <w:top w:val="nil"/>
              <w:left w:val="nil"/>
              <w:bottom w:val="single" w:sz="4" w:space="0" w:color="auto"/>
              <w:right w:val="nil"/>
            </w:tcBorders>
          </w:tcPr>
          <w:p w14:paraId="4D8FF02C" w14:textId="77777777" w:rsidR="00E96E12" w:rsidRDefault="00E97765">
            <w:pPr>
              <w:widowControl w:val="0"/>
              <w:tabs>
                <w:tab w:val="left" w:pos="567"/>
              </w:tabs>
              <w:jc w:val="center"/>
              <w:rPr>
                <w:szCs w:val="22"/>
                <w:lang w:val="en-GB"/>
              </w:rPr>
            </w:pPr>
            <w:r>
              <w:rPr>
                <w:szCs w:val="22"/>
                <w:lang w:val="en-GB"/>
              </w:rPr>
              <w:t>31,6</w:t>
            </w:r>
          </w:p>
        </w:tc>
      </w:tr>
      <w:tr w:rsidR="00E96E12" w14:paraId="003EBAE7" w14:textId="77777777">
        <w:tc>
          <w:tcPr>
            <w:tcW w:w="3020" w:type="dxa"/>
            <w:tcBorders>
              <w:top w:val="single" w:sz="4" w:space="0" w:color="auto"/>
              <w:left w:val="nil"/>
              <w:bottom w:val="nil"/>
              <w:right w:val="nil"/>
            </w:tcBorders>
          </w:tcPr>
          <w:p w14:paraId="0F07C3E3" w14:textId="77777777" w:rsidR="00E96E12" w:rsidRDefault="00E97765">
            <w:pPr>
              <w:widowControl w:val="0"/>
              <w:tabs>
                <w:tab w:val="left" w:pos="567"/>
              </w:tabs>
              <w:rPr>
                <w:szCs w:val="22"/>
                <w:lang w:val="en-GB"/>
              </w:rPr>
            </w:pPr>
            <w:proofErr w:type="spellStart"/>
            <w:r>
              <w:rPr>
                <w:b/>
                <w:szCs w:val="22"/>
                <w:lang w:val="en-US"/>
              </w:rPr>
              <w:t>Kūno</w:t>
            </w:r>
            <w:proofErr w:type="spellEnd"/>
            <w:r>
              <w:rPr>
                <w:b/>
                <w:szCs w:val="22"/>
                <w:lang w:val="en-US"/>
              </w:rPr>
              <w:t xml:space="preserve"> </w:t>
            </w:r>
            <w:proofErr w:type="spellStart"/>
            <w:r>
              <w:rPr>
                <w:b/>
                <w:szCs w:val="22"/>
                <w:lang w:val="en-US"/>
              </w:rPr>
              <w:t>svoris</w:t>
            </w:r>
            <w:proofErr w:type="spellEnd"/>
            <w:r>
              <w:rPr>
                <w:b/>
                <w:szCs w:val="22"/>
                <w:lang w:val="en-US"/>
              </w:rPr>
              <w:t xml:space="preserve"> (kg)</w:t>
            </w:r>
          </w:p>
        </w:tc>
        <w:tc>
          <w:tcPr>
            <w:tcW w:w="3020" w:type="dxa"/>
            <w:tcBorders>
              <w:top w:val="single" w:sz="4" w:space="0" w:color="auto"/>
              <w:left w:val="nil"/>
              <w:bottom w:val="nil"/>
              <w:right w:val="nil"/>
            </w:tcBorders>
          </w:tcPr>
          <w:p w14:paraId="37F29490" w14:textId="77777777" w:rsidR="00E96E12" w:rsidRDefault="00E96E12">
            <w:pPr>
              <w:widowControl w:val="0"/>
              <w:tabs>
                <w:tab w:val="left" w:pos="567"/>
              </w:tabs>
              <w:jc w:val="center"/>
              <w:rPr>
                <w:szCs w:val="22"/>
                <w:lang w:val="en-GB"/>
              </w:rPr>
            </w:pPr>
          </w:p>
        </w:tc>
        <w:tc>
          <w:tcPr>
            <w:tcW w:w="3021" w:type="dxa"/>
            <w:tcBorders>
              <w:top w:val="single" w:sz="4" w:space="0" w:color="auto"/>
              <w:left w:val="nil"/>
              <w:bottom w:val="nil"/>
              <w:right w:val="nil"/>
            </w:tcBorders>
          </w:tcPr>
          <w:p w14:paraId="703A1B85" w14:textId="77777777" w:rsidR="00E96E12" w:rsidRDefault="00E96E12">
            <w:pPr>
              <w:widowControl w:val="0"/>
              <w:tabs>
                <w:tab w:val="left" w:pos="567"/>
              </w:tabs>
              <w:jc w:val="center"/>
              <w:rPr>
                <w:szCs w:val="22"/>
                <w:lang w:val="en-GB"/>
              </w:rPr>
            </w:pPr>
          </w:p>
        </w:tc>
      </w:tr>
      <w:tr w:rsidR="00E96E12" w14:paraId="1717820F" w14:textId="77777777">
        <w:tc>
          <w:tcPr>
            <w:tcW w:w="3020" w:type="dxa"/>
            <w:tcBorders>
              <w:top w:val="nil"/>
              <w:left w:val="nil"/>
              <w:bottom w:val="nil"/>
              <w:right w:val="nil"/>
            </w:tcBorders>
          </w:tcPr>
          <w:p w14:paraId="0194CD85" w14:textId="77777777" w:rsidR="00E96E12" w:rsidRDefault="00E97765">
            <w:pPr>
              <w:widowControl w:val="0"/>
              <w:tabs>
                <w:tab w:val="left" w:pos="567"/>
              </w:tabs>
              <w:rPr>
                <w:szCs w:val="22"/>
                <w:lang w:val="en-GB"/>
              </w:rPr>
            </w:pPr>
            <w:proofErr w:type="spellStart"/>
            <w:r>
              <w:rPr>
                <w:szCs w:val="22"/>
                <w:lang w:val="en-US"/>
              </w:rPr>
              <w:t>Ikik</w:t>
            </w:r>
            <w:proofErr w:type="spellEnd"/>
            <w:r>
              <w:rPr>
                <w:szCs w:val="22"/>
                <w:lang w:val="en-US"/>
              </w:rPr>
              <w:t xml:space="preserve"> </w:t>
            </w:r>
            <w:proofErr w:type="spellStart"/>
            <w:r>
              <w:rPr>
                <w:szCs w:val="22"/>
                <w:lang w:val="en-US"/>
              </w:rPr>
              <w:t>tyrimo</w:t>
            </w:r>
            <w:proofErr w:type="spellEnd"/>
            <w:r>
              <w:rPr>
                <w:szCs w:val="22"/>
                <w:lang w:val="en-US"/>
              </w:rPr>
              <w:t xml:space="preserve"> (</w:t>
            </w:r>
            <w:proofErr w:type="spellStart"/>
            <w:r>
              <w:rPr>
                <w:szCs w:val="22"/>
                <w:lang w:val="en-US"/>
              </w:rPr>
              <w:t>vidurkis</w:t>
            </w:r>
            <w:proofErr w:type="spellEnd"/>
            <w:r>
              <w:rPr>
                <w:szCs w:val="22"/>
                <w:lang w:val="en-US"/>
              </w:rPr>
              <w:t>)</w:t>
            </w:r>
          </w:p>
        </w:tc>
        <w:tc>
          <w:tcPr>
            <w:tcW w:w="3020" w:type="dxa"/>
            <w:tcBorders>
              <w:top w:val="nil"/>
              <w:left w:val="nil"/>
              <w:bottom w:val="nil"/>
              <w:right w:val="nil"/>
            </w:tcBorders>
          </w:tcPr>
          <w:p w14:paraId="449D1121" w14:textId="77777777" w:rsidR="00E96E12" w:rsidRDefault="00E97765">
            <w:pPr>
              <w:widowControl w:val="0"/>
              <w:tabs>
                <w:tab w:val="left" w:pos="567"/>
              </w:tabs>
              <w:jc w:val="center"/>
              <w:rPr>
                <w:szCs w:val="22"/>
                <w:lang w:val="en-GB"/>
              </w:rPr>
            </w:pPr>
            <w:r>
              <w:rPr>
                <w:szCs w:val="22"/>
                <w:lang w:val="en-GB"/>
              </w:rPr>
              <w:t>94,13</w:t>
            </w:r>
          </w:p>
        </w:tc>
        <w:tc>
          <w:tcPr>
            <w:tcW w:w="3021" w:type="dxa"/>
            <w:tcBorders>
              <w:top w:val="nil"/>
              <w:left w:val="nil"/>
              <w:bottom w:val="nil"/>
              <w:right w:val="nil"/>
            </w:tcBorders>
          </w:tcPr>
          <w:p w14:paraId="58A6EE79" w14:textId="77777777" w:rsidR="00E96E12" w:rsidRDefault="00E97765">
            <w:pPr>
              <w:widowControl w:val="0"/>
              <w:tabs>
                <w:tab w:val="left" w:pos="567"/>
              </w:tabs>
              <w:jc w:val="center"/>
              <w:rPr>
                <w:szCs w:val="22"/>
                <w:lang w:val="en-GB"/>
              </w:rPr>
            </w:pPr>
            <w:r>
              <w:rPr>
                <w:szCs w:val="22"/>
                <w:lang w:val="en-GB"/>
              </w:rPr>
              <w:t>88,77</w:t>
            </w:r>
          </w:p>
        </w:tc>
      </w:tr>
      <w:tr w:rsidR="00E96E12" w14:paraId="471D990F" w14:textId="77777777">
        <w:tc>
          <w:tcPr>
            <w:tcW w:w="3020" w:type="dxa"/>
            <w:tcBorders>
              <w:top w:val="nil"/>
              <w:left w:val="nil"/>
              <w:bottom w:val="nil"/>
              <w:right w:val="nil"/>
            </w:tcBorders>
          </w:tcPr>
          <w:p w14:paraId="7BE534B7" w14:textId="77777777" w:rsidR="00E96E12" w:rsidRDefault="00E97765">
            <w:pPr>
              <w:widowControl w:val="0"/>
              <w:tabs>
                <w:tab w:val="left" w:pos="567"/>
              </w:tabs>
              <w:rPr>
                <w:szCs w:val="22"/>
                <w:lang w:val="lt-LT"/>
              </w:rPr>
            </w:pPr>
            <w:r>
              <w:rPr>
                <w:color w:val="000000"/>
                <w:szCs w:val="22"/>
                <w:lang w:eastAsia="en-GB"/>
              </w:rPr>
              <w:t>pokytis palyginus su buvusiu iki tyrimo</w:t>
            </w:r>
            <w:r>
              <w:rPr>
                <w:color w:val="000000"/>
                <w:szCs w:val="22"/>
                <w:vertAlign w:val="superscript"/>
                <w:lang w:eastAsia="en-GB"/>
              </w:rPr>
              <w:t>c</w:t>
            </w:r>
          </w:p>
        </w:tc>
        <w:tc>
          <w:tcPr>
            <w:tcW w:w="3020" w:type="dxa"/>
            <w:tcBorders>
              <w:top w:val="nil"/>
              <w:left w:val="nil"/>
              <w:bottom w:val="nil"/>
              <w:right w:val="nil"/>
            </w:tcBorders>
          </w:tcPr>
          <w:p w14:paraId="23244452" w14:textId="77777777" w:rsidR="00E96E12" w:rsidRDefault="00E97765">
            <w:pPr>
              <w:widowControl w:val="0"/>
              <w:tabs>
                <w:tab w:val="left" w:pos="567"/>
              </w:tabs>
              <w:jc w:val="center"/>
              <w:rPr>
                <w:szCs w:val="22"/>
                <w:lang w:val="en-GB"/>
              </w:rPr>
            </w:pPr>
            <w:r>
              <w:rPr>
                <w:szCs w:val="22"/>
                <w:lang w:val="en-GB"/>
              </w:rPr>
              <w:t>-3,16</w:t>
            </w:r>
          </w:p>
        </w:tc>
        <w:tc>
          <w:tcPr>
            <w:tcW w:w="3021" w:type="dxa"/>
            <w:tcBorders>
              <w:top w:val="nil"/>
              <w:left w:val="nil"/>
              <w:bottom w:val="nil"/>
              <w:right w:val="nil"/>
            </w:tcBorders>
          </w:tcPr>
          <w:p w14:paraId="415DD0BC" w14:textId="77777777" w:rsidR="00E96E12" w:rsidRDefault="00E97765">
            <w:pPr>
              <w:widowControl w:val="0"/>
              <w:tabs>
                <w:tab w:val="left" w:pos="567"/>
              </w:tabs>
              <w:jc w:val="center"/>
              <w:rPr>
                <w:szCs w:val="22"/>
                <w:lang w:val="en-GB"/>
              </w:rPr>
            </w:pPr>
            <w:r>
              <w:rPr>
                <w:szCs w:val="22"/>
                <w:lang w:val="en-GB"/>
              </w:rPr>
              <w:t>-2,19</w:t>
            </w:r>
          </w:p>
        </w:tc>
      </w:tr>
      <w:tr w:rsidR="00E96E12" w14:paraId="3744C5AA" w14:textId="77777777">
        <w:tc>
          <w:tcPr>
            <w:tcW w:w="3020" w:type="dxa"/>
            <w:tcBorders>
              <w:top w:val="nil"/>
              <w:left w:val="nil"/>
              <w:bottom w:val="nil"/>
              <w:right w:val="nil"/>
            </w:tcBorders>
          </w:tcPr>
          <w:p w14:paraId="5585A958"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tc>
        <w:tc>
          <w:tcPr>
            <w:tcW w:w="3020" w:type="dxa"/>
            <w:tcBorders>
              <w:top w:val="nil"/>
              <w:left w:val="nil"/>
              <w:bottom w:val="nil"/>
              <w:right w:val="nil"/>
            </w:tcBorders>
          </w:tcPr>
          <w:p w14:paraId="03BE6718" w14:textId="77777777" w:rsidR="00E96E12" w:rsidRDefault="00E97765">
            <w:pPr>
              <w:widowControl w:val="0"/>
              <w:tabs>
                <w:tab w:val="left" w:pos="567"/>
              </w:tabs>
              <w:jc w:val="center"/>
              <w:rPr>
                <w:szCs w:val="22"/>
                <w:lang w:val="en-GB"/>
              </w:rPr>
            </w:pPr>
            <w:r>
              <w:rPr>
                <w:szCs w:val="22"/>
                <w:lang w:val="en-GB"/>
              </w:rPr>
              <w:t>-0,97</w:t>
            </w:r>
          </w:p>
        </w:tc>
        <w:tc>
          <w:tcPr>
            <w:tcW w:w="3021" w:type="dxa"/>
            <w:tcBorders>
              <w:top w:val="nil"/>
              <w:left w:val="nil"/>
              <w:bottom w:val="nil"/>
              <w:right w:val="nil"/>
            </w:tcBorders>
          </w:tcPr>
          <w:p w14:paraId="3A85BA31" w14:textId="77777777" w:rsidR="00E96E12" w:rsidRDefault="00E96E12">
            <w:pPr>
              <w:widowControl w:val="0"/>
              <w:tabs>
                <w:tab w:val="left" w:pos="567"/>
              </w:tabs>
              <w:jc w:val="center"/>
              <w:rPr>
                <w:szCs w:val="22"/>
                <w:lang w:val="en-GB"/>
              </w:rPr>
            </w:pPr>
          </w:p>
        </w:tc>
      </w:tr>
      <w:tr w:rsidR="00E96E12" w14:paraId="43A5BA8D" w14:textId="77777777">
        <w:tc>
          <w:tcPr>
            <w:tcW w:w="3020" w:type="dxa"/>
            <w:tcBorders>
              <w:top w:val="nil"/>
              <w:left w:val="nil"/>
              <w:bottom w:val="single" w:sz="4" w:space="0" w:color="auto"/>
              <w:right w:val="nil"/>
            </w:tcBorders>
          </w:tcPr>
          <w:p w14:paraId="645FD8C2" w14:textId="77777777" w:rsidR="00E96E12" w:rsidRDefault="00E97765">
            <w:pPr>
              <w:widowControl w:val="0"/>
              <w:tabs>
                <w:tab w:val="left" w:pos="567"/>
              </w:tabs>
              <w:rPr>
                <w:szCs w:val="22"/>
                <w:lang w:val="en-GB"/>
              </w:rPr>
            </w:pPr>
            <w:r>
              <w:rPr>
                <w:szCs w:val="22"/>
                <w:lang w:val="en-US"/>
              </w:rPr>
              <w:t>(95% PI)</w:t>
            </w:r>
          </w:p>
        </w:tc>
        <w:tc>
          <w:tcPr>
            <w:tcW w:w="3020" w:type="dxa"/>
            <w:tcBorders>
              <w:top w:val="nil"/>
              <w:left w:val="nil"/>
              <w:bottom w:val="single" w:sz="4" w:space="0" w:color="auto"/>
              <w:right w:val="nil"/>
            </w:tcBorders>
          </w:tcPr>
          <w:p w14:paraId="4C0B67B0" w14:textId="77777777" w:rsidR="00E96E12" w:rsidRDefault="00E97765">
            <w:pPr>
              <w:widowControl w:val="0"/>
              <w:tabs>
                <w:tab w:val="left" w:pos="567"/>
              </w:tabs>
              <w:jc w:val="center"/>
              <w:rPr>
                <w:szCs w:val="22"/>
                <w:lang w:val="en-GB"/>
              </w:rPr>
            </w:pPr>
            <w:r>
              <w:rPr>
                <w:szCs w:val="22"/>
                <w:lang w:val="en-GB"/>
              </w:rPr>
              <w:t>(-2,20, 0,25)</w:t>
            </w:r>
          </w:p>
        </w:tc>
        <w:tc>
          <w:tcPr>
            <w:tcW w:w="3021" w:type="dxa"/>
            <w:tcBorders>
              <w:top w:val="nil"/>
              <w:left w:val="nil"/>
              <w:bottom w:val="single" w:sz="4" w:space="0" w:color="auto"/>
              <w:right w:val="nil"/>
            </w:tcBorders>
          </w:tcPr>
          <w:p w14:paraId="6C95A347" w14:textId="77777777" w:rsidR="00E96E12" w:rsidRDefault="00E96E12">
            <w:pPr>
              <w:widowControl w:val="0"/>
              <w:tabs>
                <w:tab w:val="left" w:pos="567"/>
              </w:tabs>
              <w:jc w:val="center"/>
              <w:rPr>
                <w:szCs w:val="22"/>
                <w:lang w:val="en-GB"/>
              </w:rPr>
            </w:pPr>
          </w:p>
        </w:tc>
      </w:tr>
    </w:tbl>
    <w:p w14:paraId="47F29275" w14:textId="77777777" w:rsidR="00E96E12" w:rsidRDefault="00E97765">
      <w:pPr>
        <w:autoSpaceDE w:val="0"/>
        <w:autoSpaceDN w:val="0"/>
        <w:adjustRightInd w:val="0"/>
        <w:rPr>
          <w:rFonts w:eastAsia="TimesNewRoman"/>
          <w:sz w:val="20"/>
          <w:szCs w:val="20"/>
          <w:lang w:eastAsia="lt-LT"/>
        </w:rPr>
      </w:pPr>
      <w:r>
        <w:rPr>
          <w:rFonts w:eastAsia="TimesNewRoman"/>
          <w:sz w:val="13"/>
          <w:szCs w:val="13"/>
          <w:lang w:eastAsia="lt-LT"/>
        </w:rPr>
        <w:t xml:space="preserve">a </w:t>
      </w:r>
      <w:r>
        <w:rPr>
          <w:rFonts w:eastAsia="TimesNewRoman"/>
          <w:sz w:val="20"/>
          <w:szCs w:val="20"/>
          <w:lang w:eastAsia="lt-LT"/>
        </w:rPr>
        <w:t xml:space="preserve">LOCF – paskutinė atlikta apžiūra (jei prireikė pagalbos </w:t>
      </w:r>
      <w:proofErr w:type="spellStart"/>
      <w:r>
        <w:rPr>
          <w:rFonts w:eastAsia="TimesNewRoman"/>
          <w:sz w:val="20"/>
          <w:szCs w:val="20"/>
          <w:lang w:eastAsia="lt-LT"/>
        </w:rPr>
        <w:t>glikemijai</w:t>
      </w:r>
      <w:proofErr w:type="spellEnd"/>
      <w:r>
        <w:rPr>
          <w:rFonts w:eastAsia="TimesNewRoman"/>
          <w:sz w:val="20"/>
          <w:szCs w:val="20"/>
          <w:lang w:eastAsia="lt-LT"/>
        </w:rPr>
        <w:t xml:space="preserve"> koreguoti, tai paskutinė apžiūra iki</w:t>
      </w:r>
    </w:p>
    <w:p w14:paraId="3FE9672C" w14:textId="77777777" w:rsidR="00E96E12" w:rsidRDefault="00E97765">
      <w:pPr>
        <w:spacing w:after="36" w:line="248" w:lineRule="auto"/>
        <w:ind w:right="649"/>
        <w:rPr>
          <w:color w:val="000000"/>
          <w:kern w:val="2"/>
          <w:sz w:val="20"/>
          <w:szCs w:val="22"/>
          <w:vertAlign w:val="superscript"/>
          <w:lang w:eastAsia="en-GB"/>
          <w14:ligatures w14:val="standardContextual"/>
        </w:rPr>
      </w:pPr>
      <w:r>
        <w:rPr>
          <w:rFonts w:eastAsia="TimesNewRoman"/>
          <w:sz w:val="20"/>
          <w:szCs w:val="20"/>
          <w:lang w:eastAsia="lt-LT"/>
        </w:rPr>
        <w:t>jos).</w:t>
      </w:r>
    </w:p>
    <w:p w14:paraId="7827E690" w14:textId="77777777" w:rsidR="00E96E12" w:rsidRDefault="00E97765">
      <w:pPr>
        <w:spacing w:after="36" w:line="248" w:lineRule="auto"/>
        <w:ind w:right="649"/>
        <w:rPr>
          <w:color w:val="000000"/>
          <w:kern w:val="2"/>
          <w:sz w:val="20"/>
          <w:szCs w:val="22"/>
          <w:lang w:eastAsia="en-GB"/>
          <w14:ligatures w14:val="standardContextual"/>
        </w:rPr>
      </w:pPr>
      <w:r>
        <w:rPr>
          <w:color w:val="000000"/>
          <w:kern w:val="2"/>
          <w:sz w:val="20"/>
          <w:szCs w:val="22"/>
          <w:vertAlign w:val="superscript"/>
          <w:lang w:eastAsia="en-GB"/>
          <w14:ligatures w14:val="standardContextual"/>
        </w:rPr>
        <w:t xml:space="preserve">b </w:t>
      </w:r>
      <w:r>
        <w:rPr>
          <w:color w:val="000000"/>
          <w:kern w:val="2"/>
          <w:sz w:val="20"/>
          <w:szCs w:val="22"/>
          <w:lang w:eastAsia="en-GB"/>
          <w14:ligatures w14:val="standardContextual"/>
        </w:rPr>
        <w:t>Visi atsitiktinai atrinkti asmenys, pavartoję bent vieną dozę dvigubai aklo tyrimo trumpu dvigubai aklu laikotarpiu.</w:t>
      </w:r>
    </w:p>
    <w:p w14:paraId="2DC50B83" w14:textId="77777777" w:rsidR="00E96E12" w:rsidRDefault="00E97765">
      <w:pPr>
        <w:spacing w:after="36" w:line="248" w:lineRule="auto"/>
        <w:ind w:right="649"/>
        <w:rPr>
          <w:color w:val="000000"/>
          <w:kern w:val="2"/>
          <w:szCs w:val="22"/>
          <w:lang w:eastAsia="en-GB"/>
          <w14:ligatures w14:val="standardContextual"/>
        </w:rPr>
      </w:pPr>
      <w:r>
        <w:rPr>
          <w:color w:val="000000"/>
          <w:kern w:val="2"/>
          <w:sz w:val="20"/>
          <w:szCs w:val="22"/>
          <w:vertAlign w:val="superscript"/>
          <w:lang w:eastAsia="en-GB"/>
          <w14:ligatures w14:val="standardContextual"/>
        </w:rPr>
        <w:t xml:space="preserve">c </w:t>
      </w:r>
      <w:r>
        <w:rPr>
          <w:color w:val="000000"/>
          <w:kern w:val="2"/>
          <w:sz w:val="20"/>
          <w:szCs w:val="22"/>
          <w:lang w:eastAsia="en-GB"/>
          <w14:ligatures w14:val="standardContextual"/>
        </w:rPr>
        <w:t>Mažiausių kvadratų metodu apskaičiuotas vidurkis, koreguotas pagal dydį iki tyrimo.</w:t>
      </w:r>
    </w:p>
    <w:p w14:paraId="7B577B53" w14:textId="77777777" w:rsidR="00E96E12" w:rsidRDefault="00E97765">
      <w:pPr>
        <w:spacing w:after="14" w:line="248" w:lineRule="auto"/>
        <w:ind w:right="20"/>
        <w:rPr>
          <w:color w:val="000000"/>
          <w:kern w:val="2"/>
          <w:szCs w:val="22"/>
          <w:lang w:eastAsia="en-GB"/>
          <w14:ligatures w14:val="standardContextual"/>
        </w:rPr>
      </w:pPr>
      <w:r>
        <w:rPr>
          <w:color w:val="000000"/>
          <w:kern w:val="2"/>
          <w:sz w:val="20"/>
          <w:szCs w:val="22"/>
          <w:vertAlign w:val="superscript"/>
          <w:lang w:eastAsia="en-GB"/>
          <w14:ligatures w14:val="standardContextual"/>
        </w:rPr>
        <w:t xml:space="preserve">* </w:t>
      </w:r>
      <w:r>
        <w:rPr>
          <w:color w:val="000000"/>
          <w:kern w:val="2"/>
          <w:sz w:val="20"/>
          <w:szCs w:val="22"/>
          <w:lang w:eastAsia="en-GB"/>
          <w14:ligatures w14:val="standardContextual"/>
        </w:rPr>
        <w:t>p &lt; 0,0001 plg. su placebu.</w:t>
      </w:r>
    </w:p>
    <w:p w14:paraId="66231E14" w14:textId="77777777" w:rsidR="00E96E12" w:rsidRDefault="00E96E12">
      <w:pPr>
        <w:autoSpaceDE w:val="0"/>
        <w:autoSpaceDN w:val="0"/>
        <w:adjustRightInd w:val="0"/>
        <w:rPr>
          <w:rFonts w:eastAsia="TimesNewRoman,Italic"/>
          <w:i/>
          <w:iCs/>
          <w:szCs w:val="22"/>
          <w:lang w:eastAsia="lt-LT"/>
        </w:rPr>
      </w:pPr>
    </w:p>
    <w:p w14:paraId="6C45DA14"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Vartojimas kitų vaistinių preparatų poveikiui papildyti</w:t>
      </w:r>
    </w:p>
    <w:p w14:paraId="4ECC11E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Atliktas 52 savaičių, aktyviai kontroliuojamas, ne prastesnio poveikio, tyrimas su 52 ir 104 savaičių tęstinėmis fazėmis asmenims, kurių </w:t>
      </w:r>
      <w:proofErr w:type="spellStart"/>
      <w:r>
        <w:rPr>
          <w:rFonts w:eastAsia="TimesNewRoman"/>
          <w:szCs w:val="22"/>
          <w:lang w:eastAsia="lt-LT"/>
        </w:rPr>
        <w:t>glikemija</w:t>
      </w:r>
      <w:proofErr w:type="spellEnd"/>
      <w:r>
        <w:rPr>
          <w:rFonts w:eastAsia="TimesNewRoman"/>
          <w:szCs w:val="22"/>
          <w:lang w:eastAsia="lt-LT"/>
        </w:rPr>
        <w:t xml:space="preserve"> nebuvo tinkamai kontroliuojama (HbA1 &gt; 6,5 % ir ≤ 10 %, lygintas dapagliflozino ir </w:t>
      </w:r>
      <w:proofErr w:type="spellStart"/>
      <w:r>
        <w:rPr>
          <w:rFonts w:eastAsia="TimesNewRoman"/>
          <w:szCs w:val="22"/>
          <w:lang w:eastAsia="lt-LT"/>
        </w:rPr>
        <w:t>sulfonilurėjos</w:t>
      </w:r>
      <w:proofErr w:type="spellEnd"/>
      <w:r>
        <w:rPr>
          <w:rFonts w:eastAsia="TimesNewRoman"/>
          <w:szCs w:val="22"/>
          <w:lang w:eastAsia="lt-LT"/>
        </w:rPr>
        <w:t xml:space="preserve"> darinio </w:t>
      </w:r>
      <w:proofErr w:type="spellStart"/>
      <w:r>
        <w:rPr>
          <w:rFonts w:eastAsia="TimesNewRoman"/>
          <w:szCs w:val="22"/>
          <w:lang w:eastAsia="lt-LT"/>
        </w:rPr>
        <w:t>glipizido</w:t>
      </w:r>
      <w:proofErr w:type="spellEnd"/>
      <w:r>
        <w:rPr>
          <w:rFonts w:eastAsia="TimesNewRoman"/>
          <w:szCs w:val="22"/>
          <w:lang w:eastAsia="lt-LT"/>
        </w:rPr>
        <w:t xml:space="preserve"> poveikis gydymui </w:t>
      </w:r>
      <w:proofErr w:type="spellStart"/>
      <w:r>
        <w:rPr>
          <w:rFonts w:eastAsia="TimesNewRoman"/>
          <w:szCs w:val="22"/>
          <w:lang w:eastAsia="lt-LT"/>
        </w:rPr>
        <w:t>metforminu</w:t>
      </w:r>
      <w:proofErr w:type="spellEnd"/>
      <w:r>
        <w:rPr>
          <w:rFonts w:eastAsia="TimesNewRoman"/>
          <w:szCs w:val="22"/>
          <w:lang w:eastAsia="lt-LT"/>
        </w:rPr>
        <w:t xml:space="preserve"> papildyti). Nustatyta, kad 52 savaites vartojus dapagliflozino vidutinis HbA1c koncentracijos, palyginus su buvusia iki tyrimo, sumažėjimas buvo panašus kaip vartojus </w:t>
      </w:r>
      <w:proofErr w:type="spellStart"/>
      <w:r>
        <w:rPr>
          <w:rFonts w:eastAsia="TimesNewRoman"/>
          <w:szCs w:val="22"/>
          <w:lang w:eastAsia="lt-LT"/>
        </w:rPr>
        <w:t>glipizidą</w:t>
      </w:r>
      <w:proofErr w:type="spellEnd"/>
      <w:r>
        <w:rPr>
          <w:rFonts w:eastAsia="TimesNewRoman"/>
          <w:szCs w:val="22"/>
          <w:lang w:eastAsia="lt-LT"/>
        </w:rPr>
        <w:t xml:space="preserve"> – tai rodo ne prastesnį poveikį (3 lentelė). 104-ją savaitę dapaglifloziną vartojusių pacientų koreguota vidutinė HbA1c koncentracija buvo mažesnė už pradinę 0,32 %, o vartojusių </w:t>
      </w:r>
      <w:proofErr w:type="spellStart"/>
      <w:r>
        <w:rPr>
          <w:rFonts w:eastAsia="TimesNewRoman"/>
          <w:szCs w:val="22"/>
          <w:lang w:eastAsia="lt-LT"/>
        </w:rPr>
        <w:t>glipizidą</w:t>
      </w:r>
      <w:proofErr w:type="spellEnd"/>
      <w:r>
        <w:rPr>
          <w:rFonts w:eastAsia="TimesNewRoman"/>
          <w:szCs w:val="22"/>
          <w:lang w:eastAsia="lt-LT"/>
        </w:rPr>
        <w:t xml:space="preserve"> – 0,14 %. Po 208 savaičių dapagliflozino grupės pacientų koreguota vidutinė HbA1c koncentracija buvo 0,10 % mažesnė už pradinę, o </w:t>
      </w:r>
      <w:proofErr w:type="spellStart"/>
      <w:r>
        <w:rPr>
          <w:rFonts w:eastAsia="TimesNewRoman"/>
          <w:szCs w:val="22"/>
          <w:lang w:eastAsia="lt-LT"/>
        </w:rPr>
        <w:t>glipizido</w:t>
      </w:r>
      <w:proofErr w:type="spellEnd"/>
      <w:r>
        <w:rPr>
          <w:rFonts w:eastAsia="TimesNewRoman"/>
          <w:szCs w:val="22"/>
          <w:lang w:eastAsia="lt-LT"/>
        </w:rPr>
        <w:t xml:space="preserve"> – 0,20 % už ją didesnė. Per 52, 104 ir 208 savaites bent vienas hipoglikemijos epizodas įvyko reikšmingai mažiau dapagliflozino (atitinkamai 3,5 %, 4,3 % ir 5,0 %) negu </w:t>
      </w:r>
      <w:proofErr w:type="spellStart"/>
      <w:r>
        <w:rPr>
          <w:rFonts w:eastAsia="TimesNewRoman"/>
          <w:szCs w:val="22"/>
          <w:lang w:eastAsia="lt-LT"/>
        </w:rPr>
        <w:t>glipizido</w:t>
      </w:r>
      <w:proofErr w:type="spellEnd"/>
      <w:r>
        <w:rPr>
          <w:rFonts w:eastAsia="TimesNewRoman"/>
          <w:szCs w:val="22"/>
          <w:lang w:eastAsia="lt-LT"/>
        </w:rPr>
        <w:t xml:space="preserve"> grupės asmenų (atitinkamai 40,8 %, 47,0 % ir 50,0 %). 104-ją ir 208-ją savaitę tyrime atitinkamai buvo likę 56,2 % ir 39,7 % dapagliflozino bei 50,0 % ir 34,6 % </w:t>
      </w:r>
      <w:proofErr w:type="spellStart"/>
      <w:r>
        <w:rPr>
          <w:rFonts w:eastAsia="TimesNewRoman"/>
          <w:szCs w:val="22"/>
          <w:lang w:eastAsia="lt-LT"/>
        </w:rPr>
        <w:t>glipizido</w:t>
      </w:r>
      <w:proofErr w:type="spellEnd"/>
      <w:r>
        <w:rPr>
          <w:rFonts w:eastAsia="TimesNewRoman"/>
          <w:szCs w:val="22"/>
          <w:lang w:eastAsia="lt-LT"/>
        </w:rPr>
        <w:t xml:space="preserve"> grupės pacientų.</w:t>
      </w:r>
    </w:p>
    <w:p w14:paraId="05D870DE" w14:textId="77777777" w:rsidR="00E96E12" w:rsidRDefault="00E96E12">
      <w:pPr>
        <w:autoSpaceDE w:val="0"/>
        <w:autoSpaceDN w:val="0"/>
        <w:adjustRightInd w:val="0"/>
        <w:rPr>
          <w:rFonts w:eastAsia="TimesNewRoman"/>
          <w:szCs w:val="22"/>
          <w:lang w:eastAsia="lt-LT"/>
        </w:rPr>
      </w:pPr>
    </w:p>
    <w:p w14:paraId="5B6E97DD"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3 lentelė. Tyrimo su aktyvia kontrole duomenys po 52 savaičių (</w:t>
      </w:r>
      <w:proofErr w:type="spellStart"/>
      <w:r>
        <w:rPr>
          <w:rFonts w:eastAsia="TimesNewRoman,Bold"/>
          <w:b/>
          <w:bCs/>
          <w:szCs w:val="22"/>
          <w:lang w:eastAsia="lt-LT"/>
        </w:rPr>
        <w:t>LOCF</w:t>
      </w:r>
      <w:r>
        <w:rPr>
          <w:rFonts w:eastAsia="TimesNewRoman,Bold"/>
          <w:b/>
          <w:bCs/>
          <w:szCs w:val="22"/>
          <w:vertAlign w:val="superscript"/>
          <w:lang w:eastAsia="lt-LT"/>
        </w:rPr>
        <w:t>a</w:t>
      </w:r>
      <w:proofErr w:type="spellEnd"/>
      <w:r>
        <w:rPr>
          <w:rFonts w:eastAsia="TimesNewRoman,Bold"/>
          <w:b/>
          <w:bCs/>
          <w:szCs w:val="22"/>
          <w:lang w:eastAsia="lt-LT"/>
        </w:rPr>
        <w:t xml:space="preserve">) lyginant dapaglifloziną ir </w:t>
      </w:r>
      <w:proofErr w:type="spellStart"/>
      <w:r>
        <w:rPr>
          <w:rFonts w:eastAsia="TimesNewRoman,Bold"/>
          <w:b/>
          <w:bCs/>
          <w:szCs w:val="22"/>
          <w:lang w:eastAsia="lt-LT"/>
        </w:rPr>
        <w:t>glipizidą</w:t>
      </w:r>
      <w:proofErr w:type="spellEnd"/>
      <w:r>
        <w:rPr>
          <w:rFonts w:eastAsia="TimesNewRoman,Bold"/>
          <w:b/>
          <w:bCs/>
          <w:szCs w:val="22"/>
          <w:lang w:eastAsia="lt-LT"/>
        </w:rPr>
        <w:t xml:space="preserve"> papildomam kombinuotam gydymui su </w:t>
      </w:r>
      <w:proofErr w:type="spellStart"/>
      <w:r>
        <w:rPr>
          <w:rFonts w:eastAsia="TimesNewRoman,Bold"/>
          <w:b/>
          <w:bCs/>
          <w:szCs w:val="22"/>
          <w:lang w:eastAsia="lt-LT"/>
        </w:rPr>
        <w:t>metforminu</w:t>
      </w:r>
      <w:proofErr w:type="spellEnd"/>
    </w:p>
    <w:p w14:paraId="3CC4E15C" w14:textId="77777777" w:rsidR="00E96E12" w:rsidRDefault="00E96E12">
      <w:pPr>
        <w:widowControl w:val="0"/>
        <w:tabs>
          <w:tab w:val="left" w:pos="567"/>
        </w:tabs>
        <w:rPr>
          <w:b/>
          <w:szCs w:val="22"/>
        </w:rPr>
      </w:pPr>
    </w:p>
    <w:tbl>
      <w:tblPr>
        <w:tblStyle w:val="Lentelstinklelis"/>
        <w:tblW w:w="9214" w:type="dxa"/>
        <w:tblLook w:val="04A0" w:firstRow="1" w:lastRow="0" w:firstColumn="1" w:lastColumn="0" w:noHBand="0" w:noVBand="1"/>
      </w:tblPr>
      <w:tblGrid>
        <w:gridCol w:w="3686"/>
        <w:gridCol w:w="3020"/>
        <w:gridCol w:w="2508"/>
      </w:tblGrid>
      <w:tr w:rsidR="00E96E12" w14:paraId="4D5663EE" w14:textId="77777777">
        <w:tc>
          <w:tcPr>
            <w:tcW w:w="3686" w:type="dxa"/>
            <w:tcBorders>
              <w:top w:val="single" w:sz="4" w:space="0" w:color="auto"/>
              <w:left w:val="nil"/>
              <w:bottom w:val="single" w:sz="4" w:space="0" w:color="auto"/>
              <w:right w:val="nil"/>
            </w:tcBorders>
          </w:tcPr>
          <w:p w14:paraId="68066BB9" w14:textId="77777777" w:rsidR="00E96E12" w:rsidRDefault="00E97765">
            <w:pPr>
              <w:widowControl w:val="0"/>
              <w:tabs>
                <w:tab w:val="left" w:pos="567"/>
              </w:tabs>
              <w:rPr>
                <w:szCs w:val="22"/>
                <w:lang w:val="en-GB"/>
              </w:rPr>
            </w:pPr>
            <w:proofErr w:type="spellStart"/>
            <w:r>
              <w:rPr>
                <w:szCs w:val="22"/>
                <w:lang w:val="en-GB"/>
              </w:rPr>
              <w:t>Rodiklis</w:t>
            </w:r>
            <w:proofErr w:type="spellEnd"/>
          </w:p>
        </w:tc>
        <w:tc>
          <w:tcPr>
            <w:tcW w:w="3020" w:type="dxa"/>
            <w:tcBorders>
              <w:top w:val="single" w:sz="4" w:space="0" w:color="auto"/>
              <w:left w:val="nil"/>
              <w:bottom w:val="single" w:sz="4" w:space="0" w:color="auto"/>
              <w:right w:val="nil"/>
            </w:tcBorders>
          </w:tcPr>
          <w:p w14:paraId="595F8839" w14:textId="77777777" w:rsidR="00E96E12" w:rsidRDefault="00E97765">
            <w:pPr>
              <w:widowControl w:val="0"/>
              <w:tabs>
                <w:tab w:val="left" w:pos="567"/>
              </w:tabs>
              <w:rPr>
                <w:b/>
                <w:szCs w:val="22"/>
                <w:lang w:val="en-GB"/>
              </w:rPr>
            </w:pPr>
            <w:proofErr w:type="spellStart"/>
            <w:r>
              <w:rPr>
                <w:b/>
                <w:szCs w:val="22"/>
                <w:lang w:val="en-GB"/>
              </w:rPr>
              <w:t>Dapagliflozinas</w:t>
            </w:r>
            <w:proofErr w:type="spellEnd"/>
            <w:r>
              <w:rPr>
                <w:b/>
                <w:szCs w:val="22"/>
                <w:lang w:val="en-GB"/>
              </w:rPr>
              <w:t xml:space="preserve"> + </w:t>
            </w:r>
            <w:proofErr w:type="spellStart"/>
            <w:r>
              <w:rPr>
                <w:b/>
                <w:szCs w:val="22"/>
                <w:lang w:val="en-GB"/>
              </w:rPr>
              <w:t>metforminas</w:t>
            </w:r>
            <w:proofErr w:type="spellEnd"/>
          </w:p>
        </w:tc>
        <w:tc>
          <w:tcPr>
            <w:tcW w:w="2508" w:type="dxa"/>
            <w:tcBorders>
              <w:top w:val="single" w:sz="4" w:space="0" w:color="auto"/>
              <w:left w:val="nil"/>
              <w:bottom w:val="single" w:sz="4" w:space="0" w:color="auto"/>
              <w:right w:val="nil"/>
            </w:tcBorders>
          </w:tcPr>
          <w:p w14:paraId="40F9E1C0" w14:textId="77777777" w:rsidR="00E96E12" w:rsidRDefault="00E97765">
            <w:pPr>
              <w:widowControl w:val="0"/>
              <w:tabs>
                <w:tab w:val="left" w:pos="567"/>
              </w:tabs>
              <w:rPr>
                <w:b/>
                <w:szCs w:val="22"/>
                <w:lang w:val="en-GB"/>
              </w:rPr>
            </w:pPr>
            <w:proofErr w:type="spellStart"/>
            <w:r>
              <w:rPr>
                <w:b/>
                <w:szCs w:val="22"/>
                <w:lang w:val="en-GB"/>
              </w:rPr>
              <w:t>Glipizidas</w:t>
            </w:r>
            <w:proofErr w:type="spellEnd"/>
            <w:r>
              <w:rPr>
                <w:b/>
                <w:szCs w:val="22"/>
                <w:lang w:val="en-GB"/>
              </w:rPr>
              <w:t xml:space="preserve">+ </w:t>
            </w:r>
            <w:proofErr w:type="spellStart"/>
            <w:r>
              <w:rPr>
                <w:b/>
                <w:szCs w:val="22"/>
                <w:lang w:val="en-GB"/>
              </w:rPr>
              <w:t>metforminas</w:t>
            </w:r>
            <w:proofErr w:type="spellEnd"/>
          </w:p>
        </w:tc>
      </w:tr>
      <w:tr w:rsidR="00E96E12" w14:paraId="13091924" w14:textId="77777777">
        <w:tc>
          <w:tcPr>
            <w:tcW w:w="3686" w:type="dxa"/>
            <w:tcBorders>
              <w:top w:val="single" w:sz="4" w:space="0" w:color="auto"/>
              <w:left w:val="nil"/>
              <w:bottom w:val="single" w:sz="4" w:space="0" w:color="auto"/>
              <w:right w:val="nil"/>
            </w:tcBorders>
          </w:tcPr>
          <w:p w14:paraId="064491DB" w14:textId="77777777" w:rsidR="00E96E12" w:rsidRDefault="00E97765">
            <w:pPr>
              <w:widowControl w:val="0"/>
              <w:tabs>
                <w:tab w:val="left" w:pos="567"/>
              </w:tabs>
              <w:rPr>
                <w:szCs w:val="22"/>
                <w:vertAlign w:val="superscript"/>
                <w:lang w:val="en-GB"/>
              </w:rPr>
            </w:pPr>
            <w:r>
              <w:rPr>
                <w:szCs w:val="22"/>
                <w:lang w:val="en-GB"/>
              </w:rPr>
              <w:t>N</w:t>
            </w:r>
            <w:r>
              <w:rPr>
                <w:szCs w:val="22"/>
                <w:vertAlign w:val="superscript"/>
                <w:lang w:val="en-GB"/>
              </w:rPr>
              <w:t>b</w:t>
            </w:r>
          </w:p>
        </w:tc>
        <w:tc>
          <w:tcPr>
            <w:tcW w:w="3020" w:type="dxa"/>
            <w:tcBorders>
              <w:top w:val="single" w:sz="4" w:space="0" w:color="auto"/>
              <w:left w:val="nil"/>
              <w:bottom w:val="single" w:sz="4" w:space="0" w:color="auto"/>
              <w:right w:val="nil"/>
            </w:tcBorders>
          </w:tcPr>
          <w:p w14:paraId="0F9C43B8" w14:textId="77777777" w:rsidR="00E96E12" w:rsidRDefault="00E97765">
            <w:pPr>
              <w:widowControl w:val="0"/>
              <w:tabs>
                <w:tab w:val="left" w:pos="567"/>
              </w:tabs>
              <w:jc w:val="center"/>
              <w:rPr>
                <w:szCs w:val="22"/>
                <w:lang w:val="en-GB"/>
              </w:rPr>
            </w:pPr>
            <w:r>
              <w:rPr>
                <w:szCs w:val="22"/>
                <w:lang w:val="en-GB"/>
              </w:rPr>
              <w:t>400</w:t>
            </w:r>
          </w:p>
        </w:tc>
        <w:tc>
          <w:tcPr>
            <w:tcW w:w="2508" w:type="dxa"/>
            <w:tcBorders>
              <w:top w:val="single" w:sz="4" w:space="0" w:color="auto"/>
              <w:left w:val="nil"/>
              <w:bottom w:val="single" w:sz="4" w:space="0" w:color="auto"/>
              <w:right w:val="nil"/>
            </w:tcBorders>
          </w:tcPr>
          <w:p w14:paraId="78DEB66B" w14:textId="77777777" w:rsidR="00E96E12" w:rsidRDefault="00E97765">
            <w:pPr>
              <w:widowControl w:val="0"/>
              <w:tabs>
                <w:tab w:val="left" w:pos="567"/>
              </w:tabs>
              <w:jc w:val="center"/>
              <w:rPr>
                <w:szCs w:val="22"/>
                <w:lang w:val="en-GB"/>
              </w:rPr>
            </w:pPr>
            <w:r>
              <w:rPr>
                <w:szCs w:val="22"/>
                <w:lang w:val="en-GB"/>
              </w:rPr>
              <w:t>401</w:t>
            </w:r>
          </w:p>
        </w:tc>
      </w:tr>
      <w:tr w:rsidR="00E96E12" w14:paraId="34831584" w14:textId="77777777">
        <w:tc>
          <w:tcPr>
            <w:tcW w:w="3686" w:type="dxa"/>
            <w:tcBorders>
              <w:top w:val="single" w:sz="4" w:space="0" w:color="auto"/>
              <w:left w:val="nil"/>
              <w:bottom w:val="nil"/>
              <w:right w:val="nil"/>
            </w:tcBorders>
          </w:tcPr>
          <w:p w14:paraId="5F162DB4" w14:textId="77777777" w:rsidR="00E96E12" w:rsidRDefault="00E97765">
            <w:pPr>
              <w:widowControl w:val="0"/>
              <w:tabs>
                <w:tab w:val="left" w:pos="567"/>
              </w:tabs>
              <w:rPr>
                <w:b/>
                <w:szCs w:val="22"/>
                <w:lang w:val="pt-PT"/>
              </w:rPr>
            </w:pPr>
            <w:r>
              <w:rPr>
                <w:b/>
                <w:szCs w:val="22"/>
                <w:lang w:val="pt-PT"/>
              </w:rPr>
              <w:t>HbA1c (%) koncentracija</w:t>
            </w:r>
          </w:p>
          <w:p w14:paraId="70E431FF" w14:textId="77777777" w:rsidR="00E96E12" w:rsidRDefault="00E97765">
            <w:pPr>
              <w:widowControl w:val="0"/>
              <w:tabs>
                <w:tab w:val="left" w:pos="567"/>
              </w:tabs>
              <w:rPr>
                <w:b/>
                <w:szCs w:val="22"/>
                <w:lang w:val="pt-PT"/>
              </w:rPr>
            </w:pPr>
            <w:r>
              <w:rPr>
                <w:b/>
                <w:szCs w:val="22"/>
                <w:lang w:val="pt-PT"/>
              </w:rPr>
              <w:t>Iki tyrimo (vidurkis)</w:t>
            </w:r>
          </w:p>
        </w:tc>
        <w:tc>
          <w:tcPr>
            <w:tcW w:w="3020" w:type="dxa"/>
            <w:tcBorders>
              <w:top w:val="single" w:sz="4" w:space="0" w:color="auto"/>
              <w:left w:val="nil"/>
              <w:bottom w:val="nil"/>
              <w:right w:val="nil"/>
            </w:tcBorders>
          </w:tcPr>
          <w:p w14:paraId="7D5EFB25" w14:textId="77777777" w:rsidR="00E96E12" w:rsidRDefault="00E96E12">
            <w:pPr>
              <w:widowControl w:val="0"/>
              <w:tabs>
                <w:tab w:val="left" w:pos="567"/>
              </w:tabs>
              <w:jc w:val="center"/>
              <w:rPr>
                <w:szCs w:val="22"/>
                <w:lang w:val="pt-PT"/>
              </w:rPr>
            </w:pPr>
          </w:p>
          <w:p w14:paraId="3FD5AFDB" w14:textId="77777777" w:rsidR="00E96E12" w:rsidRDefault="00E97765">
            <w:pPr>
              <w:widowControl w:val="0"/>
              <w:tabs>
                <w:tab w:val="left" w:pos="567"/>
              </w:tabs>
              <w:jc w:val="center"/>
              <w:rPr>
                <w:szCs w:val="22"/>
                <w:lang w:val="en-GB"/>
              </w:rPr>
            </w:pPr>
            <w:r>
              <w:rPr>
                <w:szCs w:val="22"/>
                <w:lang w:val="en-GB"/>
              </w:rPr>
              <w:t>7,69</w:t>
            </w:r>
          </w:p>
        </w:tc>
        <w:tc>
          <w:tcPr>
            <w:tcW w:w="2508" w:type="dxa"/>
            <w:tcBorders>
              <w:top w:val="single" w:sz="4" w:space="0" w:color="auto"/>
              <w:left w:val="nil"/>
              <w:bottom w:val="nil"/>
              <w:right w:val="nil"/>
            </w:tcBorders>
          </w:tcPr>
          <w:p w14:paraId="03C83051" w14:textId="77777777" w:rsidR="00E96E12" w:rsidRDefault="00E96E12">
            <w:pPr>
              <w:widowControl w:val="0"/>
              <w:tabs>
                <w:tab w:val="left" w:pos="567"/>
              </w:tabs>
              <w:jc w:val="center"/>
              <w:rPr>
                <w:szCs w:val="22"/>
                <w:lang w:val="en-GB"/>
              </w:rPr>
            </w:pPr>
          </w:p>
          <w:p w14:paraId="31F2390A" w14:textId="77777777" w:rsidR="00E96E12" w:rsidRDefault="00E97765">
            <w:pPr>
              <w:widowControl w:val="0"/>
              <w:tabs>
                <w:tab w:val="left" w:pos="567"/>
              </w:tabs>
              <w:jc w:val="center"/>
              <w:rPr>
                <w:szCs w:val="22"/>
                <w:lang w:val="en-GB"/>
              </w:rPr>
            </w:pPr>
            <w:r>
              <w:rPr>
                <w:szCs w:val="22"/>
                <w:lang w:val="en-GB"/>
              </w:rPr>
              <w:t>7,74</w:t>
            </w:r>
          </w:p>
        </w:tc>
      </w:tr>
      <w:tr w:rsidR="00E96E12" w14:paraId="0CD4E352" w14:textId="77777777">
        <w:tc>
          <w:tcPr>
            <w:tcW w:w="3686" w:type="dxa"/>
            <w:tcBorders>
              <w:top w:val="nil"/>
              <w:left w:val="nil"/>
              <w:bottom w:val="nil"/>
              <w:right w:val="nil"/>
            </w:tcBorders>
          </w:tcPr>
          <w:p w14:paraId="23DD3D79" w14:textId="77777777" w:rsidR="00E96E12" w:rsidRDefault="00E97765">
            <w:pPr>
              <w:widowControl w:val="0"/>
              <w:tabs>
                <w:tab w:val="left" w:pos="567"/>
              </w:tabs>
              <w:rPr>
                <w:szCs w:val="22"/>
                <w:lang w:val="en-US"/>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buvusia</w:t>
            </w:r>
            <w:proofErr w:type="spellEnd"/>
            <w:r>
              <w:rPr>
                <w:szCs w:val="22"/>
                <w:lang w:val="en-US"/>
              </w:rPr>
              <w:t xml:space="preserve"> </w:t>
            </w:r>
            <w:proofErr w:type="spellStart"/>
            <w:r>
              <w:rPr>
                <w:szCs w:val="22"/>
                <w:lang w:val="en-US"/>
              </w:rPr>
              <w:t>iki</w:t>
            </w:r>
            <w:proofErr w:type="spellEnd"/>
            <w:r>
              <w:rPr>
                <w:szCs w:val="22"/>
                <w:lang w:val="en-US"/>
              </w:rPr>
              <w:t xml:space="preserve"> </w:t>
            </w:r>
            <w:proofErr w:type="spellStart"/>
            <w:r>
              <w:rPr>
                <w:szCs w:val="22"/>
                <w:lang w:val="en-US"/>
              </w:rPr>
              <w:t>tyrimo</w:t>
            </w:r>
            <w:r>
              <w:rPr>
                <w:szCs w:val="22"/>
                <w:vertAlign w:val="superscript"/>
                <w:lang w:val="en-US"/>
              </w:rPr>
              <w:t>c</w:t>
            </w:r>
            <w:proofErr w:type="spellEnd"/>
          </w:p>
        </w:tc>
        <w:tc>
          <w:tcPr>
            <w:tcW w:w="3020" w:type="dxa"/>
            <w:tcBorders>
              <w:top w:val="nil"/>
              <w:left w:val="nil"/>
              <w:bottom w:val="nil"/>
              <w:right w:val="nil"/>
            </w:tcBorders>
          </w:tcPr>
          <w:p w14:paraId="798C2099" w14:textId="77777777" w:rsidR="00E96E12" w:rsidRDefault="00E97765">
            <w:pPr>
              <w:widowControl w:val="0"/>
              <w:tabs>
                <w:tab w:val="left" w:pos="567"/>
              </w:tabs>
              <w:jc w:val="center"/>
              <w:rPr>
                <w:szCs w:val="22"/>
                <w:lang w:val="en-GB"/>
              </w:rPr>
            </w:pPr>
            <w:r>
              <w:rPr>
                <w:szCs w:val="22"/>
                <w:lang w:val="en-GB"/>
              </w:rPr>
              <w:t>-0,52</w:t>
            </w:r>
          </w:p>
        </w:tc>
        <w:tc>
          <w:tcPr>
            <w:tcW w:w="2508" w:type="dxa"/>
            <w:tcBorders>
              <w:top w:val="nil"/>
              <w:left w:val="nil"/>
              <w:bottom w:val="nil"/>
              <w:right w:val="nil"/>
            </w:tcBorders>
          </w:tcPr>
          <w:p w14:paraId="0FCB7F07" w14:textId="77777777" w:rsidR="00E96E12" w:rsidRDefault="00E97765">
            <w:pPr>
              <w:widowControl w:val="0"/>
              <w:tabs>
                <w:tab w:val="left" w:pos="567"/>
              </w:tabs>
              <w:jc w:val="center"/>
              <w:rPr>
                <w:szCs w:val="22"/>
                <w:lang w:val="en-GB"/>
              </w:rPr>
            </w:pPr>
            <w:r>
              <w:rPr>
                <w:szCs w:val="22"/>
                <w:lang w:val="en-GB"/>
              </w:rPr>
              <w:t>-0,52</w:t>
            </w:r>
          </w:p>
        </w:tc>
      </w:tr>
      <w:tr w:rsidR="00E96E12" w14:paraId="371C0642" w14:textId="77777777">
        <w:tc>
          <w:tcPr>
            <w:tcW w:w="3686" w:type="dxa"/>
            <w:tcBorders>
              <w:top w:val="nil"/>
              <w:left w:val="nil"/>
              <w:bottom w:val="nil"/>
              <w:right w:val="nil"/>
            </w:tcBorders>
          </w:tcPr>
          <w:p w14:paraId="5E2187F8" w14:textId="77777777" w:rsidR="00E96E12" w:rsidRDefault="00E97765">
            <w:pPr>
              <w:widowControl w:val="0"/>
              <w:tabs>
                <w:tab w:val="left" w:pos="567"/>
              </w:tabs>
              <w:rPr>
                <w:szCs w:val="22"/>
                <w:lang w:val="pt-PT"/>
              </w:rPr>
            </w:pPr>
            <w:r>
              <w:rPr>
                <w:szCs w:val="22"/>
                <w:lang w:val="pt-PT"/>
              </w:rPr>
              <w:t>Skirtumas nuo glipizido ir metformino derinio</w:t>
            </w:r>
            <w:r>
              <w:rPr>
                <w:szCs w:val="22"/>
                <w:vertAlign w:val="superscript"/>
                <w:lang w:val="pt-PT"/>
              </w:rPr>
              <w:t>c</w:t>
            </w:r>
          </w:p>
        </w:tc>
        <w:tc>
          <w:tcPr>
            <w:tcW w:w="3020" w:type="dxa"/>
            <w:tcBorders>
              <w:top w:val="nil"/>
              <w:left w:val="nil"/>
              <w:bottom w:val="nil"/>
              <w:right w:val="nil"/>
            </w:tcBorders>
          </w:tcPr>
          <w:p w14:paraId="476A245D" w14:textId="77777777" w:rsidR="00E96E12" w:rsidRDefault="00E97765">
            <w:pPr>
              <w:widowControl w:val="0"/>
              <w:tabs>
                <w:tab w:val="left" w:pos="567"/>
              </w:tabs>
              <w:jc w:val="center"/>
              <w:rPr>
                <w:szCs w:val="22"/>
                <w:lang w:val="en-GB"/>
              </w:rPr>
            </w:pPr>
            <w:r>
              <w:rPr>
                <w:szCs w:val="22"/>
                <w:lang w:val="en-GB"/>
              </w:rPr>
              <w:t>-0,00</w:t>
            </w:r>
            <w:r>
              <w:rPr>
                <w:szCs w:val="22"/>
                <w:vertAlign w:val="superscript"/>
                <w:lang w:val="en-GB"/>
              </w:rPr>
              <w:t>d</w:t>
            </w:r>
          </w:p>
        </w:tc>
        <w:tc>
          <w:tcPr>
            <w:tcW w:w="2508" w:type="dxa"/>
            <w:tcBorders>
              <w:top w:val="nil"/>
              <w:left w:val="nil"/>
              <w:bottom w:val="nil"/>
              <w:right w:val="nil"/>
            </w:tcBorders>
          </w:tcPr>
          <w:p w14:paraId="4E01D382" w14:textId="77777777" w:rsidR="00E96E12" w:rsidRDefault="00E96E12">
            <w:pPr>
              <w:widowControl w:val="0"/>
              <w:tabs>
                <w:tab w:val="left" w:pos="567"/>
              </w:tabs>
              <w:jc w:val="center"/>
              <w:rPr>
                <w:szCs w:val="22"/>
                <w:lang w:val="en-GB"/>
              </w:rPr>
            </w:pPr>
          </w:p>
        </w:tc>
      </w:tr>
      <w:tr w:rsidR="00E96E12" w14:paraId="08AA59C4" w14:textId="77777777">
        <w:tc>
          <w:tcPr>
            <w:tcW w:w="3686" w:type="dxa"/>
            <w:tcBorders>
              <w:top w:val="nil"/>
              <w:left w:val="nil"/>
              <w:bottom w:val="single" w:sz="4" w:space="0" w:color="auto"/>
              <w:right w:val="nil"/>
            </w:tcBorders>
          </w:tcPr>
          <w:p w14:paraId="4928D842" w14:textId="77777777" w:rsidR="00E96E12" w:rsidRDefault="00E97765">
            <w:pPr>
              <w:widowControl w:val="0"/>
              <w:tabs>
                <w:tab w:val="left" w:pos="567"/>
              </w:tabs>
              <w:rPr>
                <w:szCs w:val="22"/>
                <w:lang w:val="en-GB"/>
              </w:rPr>
            </w:pPr>
            <w:r>
              <w:rPr>
                <w:szCs w:val="22"/>
                <w:lang w:val="en-US"/>
              </w:rPr>
              <w:lastRenderedPageBreak/>
              <w:t>(95% PI)</w:t>
            </w:r>
          </w:p>
        </w:tc>
        <w:tc>
          <w:tcPr>
            <w:tcW w:w="3020" w:type="dxa"/>
            <w:tcBorders>
              <w:top w:val="nil"/>
              <w:left w:val="nil"/>
              <w:bottom w:val="single" w:sz="4" w:space="0" w:color="auto"/>
              <w:right w:val="nil"/>
            </w:tcBorders>
          </w:tcPr>
          <w:p w14:paraId="3EFD445A" w14:textId="77777777" w:rsidR="00E96E12" w:rsidRDefault="00E97765">
            <w:pPr>
              <w:widowControl w:val="0"/>
              <w:tabs>
                <w:tab w:val="left" w:pos="567"/>
              </w:tabs>
              <w:jc w:val="center"/>
              <w:rPr>
                <w:szCs w:val="22"/>
                <w:lang w:val="en-GB"/>
              </w:rPr>
            </w:pPr>
            <w:r>
              <w:rPr>
                <w:szCs w:val="22"/>
                <w:lang w:val="en-GB"/>
              </w:rPr>
              <w:t>(-0,11, 0,11)</w:t>
            </w:r>
          </w:p>
        </w:tc>
        <w:tc>
          <w:tcPr>
            <w:tcW w:w="2508" w:type="dxa"/>
            <w:tcBorders>
              <w:top w:val="nil"/>
              <w:left w:val="nil"/>
              <w:bottom w:val="single" w:sz="4" w:space="0" w:color="auto"/>
              <w:right w:val="nil"/>
            </w:tcBorders>
          </w:tcPr>
          <w:p w14:paraId="15340B83" w14:textId="77777777" w:rsidR="00E96E12" w:rsidRDefault="00E96E12">
            <w:pPr>
              <w:widowControl w:val="0"/>
              <w:tabs>
                <w:tab w:val="left" w:pos="567"/>
              </w:tabs>
              <w:jc w:val="center"/>
              <w:rPr>
                <w:szCs w:val="22"/>
                <w:lang w:val="en-GB"/>
              </w:rPr>
            </w:pPr>
          </w:p>
        </w:tc>
      </w:tr>
      <w:tr w:rsidR="00E96E12" w14:paraId="5595B79F" w14:textId="77777777">
        <w:tc>
          <w:tcPr>
            <w:tcW w:w="3686" w:type="dxa"/>
            <w:tcBorders>
              <w:top w:val="single" w:sz="4" w:space="0" w:color="auto"/>
              <w:left w:val="nil"/>
              <w:bottom w:val="nil"/>
              <w:right w:val="nil"/>
            </w:tcBorders>
          </w:tcPr>
          <w:p w14:paraId="0A425806" w14:textId="77777777" w:rsidR="00E96E12" w:rsidRDefault="00E97765">
            <w:pPr>
              <w:widowControl w:val="0"/>
              <w:tabs>
                <w:tab w:val="left" w:pos="567"/>
              </w:tabs>
              <w:rPr>
                <w:szCs w:val="22"/>
                <w:lang w:val="en-GB"/>
              </w:rPr>
            </w:pPr>
            <w:proofErr w:type="spellStart"/>
            <w:r>
              <w:rPr>
                <w:b/>
                <w:szCs w:val="22"/>
                <w:lang w:val="en-US"/>
              </w:rPr>
              <w:t>Kūno</w:t>
            </w:r>
            <w:proofErr w:type="spellEnd"/>
            <w:r>
              <w:rPr>
                <w:b/>
                <w:szCs w:val="22"/>
                <w:lang w:val="en-US"/>
              </w:rPr>
              <w:t xml:space="preserve"> </w:t>
            </w:r>
            <w:proofErr w:type="spellStart"/>
            <w:r>
              <w:rPr>
                <w:b/>
                <w:szCs w:val="22"/>
                <w:lang w:val="en-US"/>
              </w:rPr>
              <w:t>svoris</w:t>
            </w:r>
            <w:proofErr w:type="spellEnd"/>
            <w:r>
              <w:rPr>
                <w:b/>
                <w:szCs w:val="22"/>
                <w:lang w:val="en-US"/>
              </w:rPr>
              <w:t xml:space="preserve"> (kg)</w:t>
            </w:r>
          </w:p>
        </w:tc>
        <w:tc>
          <w:tcPr>
            <w:tcW w:w="3020" w:type="dxa"/>
            <w:tcBorders>
              <w:top w:val="single" w:sz="4" w:space="0" w:color="auto"/>
              <w:left w:val="nil"/>
              <w:bottom w:val="nil"/>
              <w:right w:val="nil"/>
            </w:tcBorders>
          </w:tcPr>
          <w:p w14:paraId="2E378AEA" w14:textId="77777777" w:rsidR="00E96E12" w:rsidRDefault="00E96E12">
            <w:pPr>
              <w:widowControl w:val="0"/>
              <w:tabs>
                <w:tab w:val="left" w:pos="567"/>
              </w:tabs>
              <w:jc w:val="center"/>
              <w:rPr>
                <w:szCs w:val="22"/>
                <w:lang w:val="en-GB"/>
              </w:rPr>
            </w:pPr>
          </w:p>
        </w:tc>
        <w:tc>
          <w:tcPr>
            <w:tcW w:w="2508" w:type="dxa"/>
            <w:tcBorders>
              <w:top w:val="single" w:sz="4" w:space="0" w:color="auto"/>
              <w:left w:val="nil"/>
              <w:bottom w:val="nil"/>
              <w:right w:val="nil"/>
            </w:tcBorders>
          </w:tcPr>
          <w:p w14:paraId="23D8F758" w14:textId="77777777" w:rsidR="00E96E12" w:rsidRDefault="00E96E12">
            <w:pPr>
              <w:widowControl w:val="0"/>
              <w:tabs>
                <w:tab w:val="left" w:pos="567"/>
              </w:tabs>
              <w:jc w:val="center"/>
              <w:rPr>
                <w:szCs w:val="22"/>
                <w:lang w:val="en-GB"/>
              </w:rPr>
            </w:pPr>
          </w:p>
        </w:tc>
      </w:tr>
      <w:tr w:rsidR="00E96E12" w14:paraId="1C9813A0" w14:textId="77777777">
        <w:tc>
          <w:tcPr>
            <w:tcW w:w="3686" w:type="dxa"/>
            <w:tcBorders>
              <w:top w:val="nil"/>
              <w:left w:val="nil"/>
              <w:bottom w:val="nil"/>
              <w:right w:val="nil"/>
            </w:tcBorders>
          </w:tcPr>
          <w:p w14:paraId="6BB221A1" w14:textId="77777777" w:rsidR="00E96E12" w:rsidRDefault="00E97765">
            <w:pPr>
              <w:widowControl w:val="0"/>
              <w:tabs>
                <w:tab w:val="left" w:pos="567"/>
              </w:tabs>
              <w:rPr>
                <w:szCs w:val="22"/>
                <w:lang w:val="en-GB"/>
              </w:rPr>
            </w:pPr>
            <w:r>
              <w:rPr>
                <w:szCs w:val="22"/>
                <w:lang w:val="en-US"/>
              </w:rPr>
              <w:t xml:space="preserve">Iki </w:t>
            </w:r>
            <w:proofErr w:type="spellStart"/>
            <w:r>
              <w:rPr>
                <w:szCs w:val="22"/>
                <w:lang w:val="en-US"/>
              </w:rPr>
              <w:t>tyrimo</w:t>
            </w:r>
            <w:proofErr w:type="spellEnd"/>
            <w:r>
              <w:rPr>
                <w:szCs w:val="22"/>
                <w:lang w:val="en-US"/>
              </w:rPr>
              <w:t xml:space="preserve"> (</w:t>
            </w:r>
            <w:proofErr w:type="spellStart"/>
            <w:r>
              <w:rPr>
                <w:szCs w:val="22"/>
                <w:lang w:val="en-US"/>
              </w:rPr>
              <w:t>vidurkis</w:t>
            </w:r>
            <w:proofErr w:type="spellEnd"/>
            <w:r>
              <w:rPr>
                <w:szCs w:val="22"/>
                <w:lang w:val="en-US"/>
              </w:rPr>
              <w:t>)</w:t>
            </w:r>
          </w:p>
        </w:tc>
        <w:tc>
          <w:tcPr>
            <w:tcW w:w="3020" w:type="dxa"/>
            <w:tcBorders>
              <w:top w:val="nil"/>
              <w:left w:val="nil"/>
              <w:bottom w:val="nil"/>
              <w:right w:val="nil"/>
            </w:tcBorders>
          </w:tcPr>
          <w:p w14:paraId="2BC119A5" w14:textId="77777777" w:rsidR="00E96E12" w:rsidRDefault="00E97765">
            <w:pPr>
              <w:widowControl w:val="0"/>
              <w:tabs>
                <w:tab w:val="left" w:pos="567"/>
              </w:tabs>
              <w:jc w:val="center"/>
              <w:rPr>
                <w:szCs w:val="22"/>
                <w:lang w:val="en-GB"/>
              </w:rPr>
            </w:pPr>
            <w:r>
              <w:rPr>
                <w:szCs w:val="22"/>
                <w:lang w:val="en-GB"/>
              </w:rPr>
              <w:t>88,44</w:t>
            </w:r>
          </w:p>
        </w:tc>
        <w:tc>
          <w:tcPr>
            <w:tcW w:w="2508" w:type="dxa"/>
            <w:tcBorders>
              <w:top w:val="nil"/>
              <w:left w:val="nil"/>
              <w:bottom w:val="nil"/>
              <w:right w:val="nil"/>
            </w:tcBorders>
          </w:tcPr>
          <w:p w14:paraId="2A01A808" w14:textId="77777777" w:rsidR="00E96E12" w:rsidRDefault="00E97765">
            <w:pPr>
              <w:widowControl w:val="0"/>
              <w:tabs>
                <w:tab w:val="left" w:pos="567"/>
              </w:tabs>
              <w:jc w:val="center"/>
              <w:rPr>
                <w:szCs w:val="22"/>
                <w:lang w:val="en-GB"/>
              </w:rPr>
            </w:pPr>
            <w:r>
              <w:rPr>
                <w:szCs w:val="22"/>
                <w:lang w:val="en-GB"/>
              </w:rPr>
              <w:t>87,60</w:t>
            </w:r>
          </w:p>
        </w:tc>
      </w:tr>
      <w:tr w:rsidR="00E96E12" w14:paraId="24C97919" w14:textId="77777777">
        <w:tc>
          <w:tcPr>
            <w:tcW w:w="3686" w:type="dxa"/>
            <w:tcBorders>
              <w:top w:val="nil"/>
              <w:left w:val="nil"/>
              <w:bottom w:val="nil"/>
              <w:right w:val="nil"/>
            </w:tcBorders>
          </w:tcPr>
          <w:p w14:paraId="11359700" w14:textId="77777777" w:rsidR="00E96E12" w:rsidRDefault="00E97765">
            <w:pPr>
              <w:widowControl w:val="0"/>
              <w:tabs>
                <w:tab w:val="left" w:pos="567"/>
              </w:tabs>
              <w:rPr>
                <w:szCs w:val="22"/>
                <w:lang w:val="en-GB"/>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buvusia</w:t>
            </w:r>
            <w:proofErr w:type="spellEnd"/>
            <w:r>
              <w:rPr>
                <w:szCs w:val="22"/>
                <w:lang w:val="en-US"/>
              </w:rPr>
              <w:t xml:space="preserve"> </w:t>
            </w:r>
            <w:proofErr w:type="spellStart"/>
            <w:r>
              <w:rPr>
                <w:szCs w:val="22"/>
                <w:lang w:val="en-US"/>
              </w:rPr>
              <w:t>iki</w:t>
            </w:r>
            <w:proofErr w:type="spellEnd"/>
            <w:r>
              <w:rPr>
                <w:szCs w:val="22"/>
                <w:lang w:val="en-US"/>
              </w:rPr>
              <w:t xml:space="preserve"> </w:t>
            </w:r>
            <w:proofErr w:type="spellStart"/>
            <w:r>
              <w:rPr>
                <w:szCs w:val="22"/>
                <w:lang w:val="en-US"/>
              </w:rPr>
              <w:t>tyrimo</w:t>
            </w:r>
            <w:r>
              <w:rPr>
                <w:szCs w:val="22"/>
                <w:vertAlign w:val="superscript"/>
                <w:lang w:val="en-US"/>
              </w:rPr>
              <w:t>c</w:t>
            </w:r>
            <w:proofErr w:type="spellEnd"/>
          </w:p>
        </w:tc>
        <w:tc>
          <w:tcPr>
            <w:tcW w:w="3020" w:type="dxa"/>
            <w:tcBorders>
              <w:top w:val="nil"/>
              <w:left w:val="nil"/>
              <w:bottom w:val="nil"/>
              <w:right w:val="nil"/>
            </w:tcBorders>
          </w:tcPr>
          <w:p w14:paraId="4FEEA57A" w14:textId="77777777" w:rsidR="00E96E12" w:rsidRDefault="00E97765">
            <w:pPr>
              <w:widowControl w:val="0"/>
              <w:tabs>
                <w:tab w:val="left" w:pos="567"/>
              </w:tabs>
              <w:jc w:val="center"/>
              <w:rPr>
                <w:szCs w:val="22"/>
                <w:lang w:val="en-GB"/>
              </w:rPr>
            </w:pPr>
            <w:r>
              <w:rPr>
                <w:szCs w:val="22"/>
                <w:lang w:val="en-GB"/>
              </w:rPr>
              <w:t>-3,22</w:t>
            </w:r>
          </w:p>
        </w:tc>
        <w:tc>
          <w:tcPr>
            <w:tcW w:w="2508" w:type="dxa"/>
            <w:tcBorders>
              <w:top w:val="nil"/>
              <w:left w:val="nil"/>
              <w:bottom w:val="nil"/>
              <w:right w:val="nil"/>
            </w:tcBorders>
          </w:tcPr>
          <w:p w14:paraId="114F284B" w14:textId="77777777" w:rsidR="00E96E12" w:rsidRDefault="00E97765">
            <w:pPr>
              <w:widowControl w:val="0"/>
              <w:tabs>
                <w:tab w:val="left" w:pos="567"/>
              </w:tabs>
              <w:jc w:val="center"/>
              <w:rPr>
                <w:szCs w:val="22"/>
                <w:lang w:val="en-GB"/>
              </w:rPr>
            </w:pPr>
            <w:r>
              <w:rPr>
                <w:szCs w:val="22"/>
                <w:lang w:val="en-GB"/>
              </w:rPr>
              <w:t>1,44</w:t>
            </w:r>
          </w:p>
        </w:tc>
      </w:tr>
      <w:tr w:rsidR="00E96E12" w14:paraId="25268194" w14:textId="77777777">
        <w:tc>
          <w:tcPr>
            <w:tcW w:w="3686" w:type="dxa"/>
            <w:tcBorders>
              <w:top w:val="nil"/>
              <w:left w:val="nil"/>
              <w:bottom w:val="nil"/>
              <w:right w:val="nil"/>
            </w:tcBorders>
          </w:tcPr>
          <w:p w14:paraId="6037823B" w14:textId="77777777" w:rsidR="00E96E12" w:rsidRDefault="00E97765">
            <w:pPr>
              <w:widowControl w:val="0"/>
              <w:tabs>
                <w:tab w:val="left" w:pos="567"/>
              </w:tabs>
              <w:rPr>
                <w:szCs w:val="22"/>
                <w:lang w:val="pt-PT"/>
              </w:rPr>
            </w:pPr>
            <w:r>
              <w:rPr>
                <w:szCs w:val="22"/>
                <w:lang w:val="pt-PT"/>
              </w:rPr>
              <w:t>Skirtumas nuo glipizide ir metformino derinio</w:t>
            </w:r>
            <w:r>
              <w:rPr>
                <w:szCs w:val="22"/>
                <w:vertAlign w:val="superscript"/>
                <w:lang w:val="pt-PT"/>
              </w:rPr>
              <w:t>c</w:t>
            </w:r>
          </w:p>
        </w:tc>
        <w:tc>
          <w:tcPr>
            <w:tcW w:w="3020" w:type="dxa"/>
            <w:tcBorders>
              <w:top w:val="nil"/>
              <w:left w:val="nil"/>
              <w:bottom w:val="nil"/>
              <w:right w:val="nil"/>
            </w:tcBorders>
          </w:tcPr>
          <w:p w14:paraId="4C8BFC95" w14:textId="77777777" w:rsidR="00E96E12" w:rsidRDefault="00E97765">
            <w:pPr>
              <w:widowControl w:val="0"/>
              <w:tabs>
                <w:tab w:val="left" w:pos="567"/>
              </w:tabs>
              <w:jc w:val="center"/>
              <w:rPr>
                <w:szCs w:val="22"/>
                <w:lang w:val="en-GB"/>
              </w:rPr>
            </w:pPr>
            <w:r>
              <w:rPr>
                <w:szCs w:val="22"/>
                <w:lang w:val="en-GB"/>
              </w:rPr>
              <w:t>-4,65</w:t>
            </w:r>
            <w:r>
              <w:rPr>
                <w:szCs w:val="22"/>
                <w:vertAlign w:val="superscript"/>
                <w:lang w:val="en-GB"/>
              </w:rPr>
              <w:t>*</w:t>
            </w:r>
          </w:p>
        </w:tc>
        <w:tc>
          <w:tcPr>
            <w:tcW w:w="2508" w:type="dxa"/>
            <w:tcBorders>
              <w:top w:val="nil"/>
              <w:left w:val="nil"/>
              <w:bottom w:val="nil"/>
              <w:right w:val="nil"/>
            </w:tcBorders>
          </w:tcPr>
          <w:p w14:paraId="3165B03A" w14:textId="77777777" w:rsidR="00E96E12" w:rsidRDefault="00E96E12">
            <w:pPr>
              <w:widowControl w:val="0"/>
              <w:tabs>
                <w:tab w:val="left" w:pos="567"/>
              </w:tabs>
              <w:jc w:val="center"/>
              <w:rPr>
                <w:szCs w:val="22"/>
                <w:lang w:val="en-GB"/>
              </w:rPr>
            </w:pPr>
          </w:p>
        </w:tc>
      </w:tr>
      <w:tr w:rsidR="00E96E12" w14:paraId="67BD45C3" w14:textId="77777777">
        <w:tc>
          <w:tcPr>
            <w:tcW w:w="3686" w:type="dxa"/>
            <w:tcBorders>
              <w:top w:val="nil"/>
              <w:left w:val="nil"/>
              <w:bottom w:val="single" w:sz="4" w:space="0" w:color="auto"/>
              <w:right w:val="nil"/>
            </w:tcBorders>
          </w:tcPr>
          <w:p w14:paraId="5145E2CE" w14:textId="77777777" w:rsidR="00E96E12" w:rsidRDefault="00E97765">
            <w:pPr>
              <w:widowControl w:val="0"/>
              <w:tabs>
                <w:tab w:val="left" w:pos="567"/>
              </w:tabs>
              <w:rPr>
                <w:szCs w:val="22"/>
                <w:lang w:val="en-GB"/>
              </w:rPr>
            </w:pPr>
            <w:r>
              <w:rPr>
                <w:szCs w:val="22"/>
                <w:lang w:val="en-US"/>
              </w:rPr>
              <w:t>(95% PI)</w:t>
            </w:r>
          </w:p>
        </w:tc>
        <w:tc>
          <w:tcPr>
            <w:tcW w:w="3020" w:type="dxa"/>
            <w:tcBorders>
              <w:top w:val="nil"/>
              <w:left w:val="nil"/>
              <w:bottom w:val="single" w:sz="4" w:space="0" w:color="auto"/>
              <w:right w:val="nil"/>
            </w:tcBorders>
          </w:tcPr>
          <w:p w14:paraId="011AE317" w14:textId="77777777" w:rsidR="00E96E12" w:rsidRDefault="00E97765">
            <w:pPr>
              <w:widowControl w:val="0"/>
              <w:tabs>
                <w:tab w:val="left" w:pos="567"/>
              </w:tabs>
              <w:jc w:val="center"/>
              <w:rPr>
                <w:szCs w:val="22"/>
                <w:lang w:val="en-GB"/>
              </w:rPr>
            </w:pPr>
            <w:r>
              <w:rPr>
                <w:szCs w:val="22"/>
                <w:lang w:val="en-GB"/>
              </w:rPr>
              <w:t>(-5,14, -4,17)</w:t>
            </w:r>
          </w:p>
        </w:tc>
        <w:tc>
          <w:tcPr>
            <w:tcW w:w="2508" w:type="dxa"/>
            <w:tcBorders>
              <w:top w:val="nil"/>
              <w:left w:val="nil"/>
              <w:bottom w:val="single" w:sz="4" w:space="0" w:color="auto"/>
              <w:right w:val="nil"/>
            </w:tcBorders>
          </w:tcPr>
          <w:p w14:paraId="7F868C32" w14:textId="77777777" w:rsidR="00E96E12" w:rsidRDefault="00E96E12">
            <w:pPr>
              <w:widowControl w:val="0"/>
              <w:tabs>
                <w:tab w:val="left" w:pos="567"/>
              </w:tabs>
              <w:jc w:val="center"/>
              <w:rPr>
                <w:szCs w:val="22"/>
                <w:lang w:val="en-GB"/>
              </w:rPr>
            </w:pPr>
          </w:p>
        </w:tc>
      </w:tr>
    </w:tbl>
    <w:p w14:paraId="632A28EC"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 xml:space="preserve">a </w:t>
      </w:r>
      <w:r>
        <w:rPr>
          <w:rFonts w:eastAsia="TimesNewRoman"/>
          <w:sz w:val="18"/>
          <w:szCs w:val="18"/>
          <w:lang w:eastAsia="lt-LT"/>
        </w:rPr>
        <w:t>LOCF – paskutinė atlikta apžiūra.</w:t>
      </w:r>
    </w:p>
    <w:p w14:paraId="6370D2D4"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b</w:t>
      </w:r>
      <w:r>
        <w:rPr>
          <w:rFonts w:eastAsia="TimesNewRoman"/>
          <w:sz w:val="18"/>
          <w:szCs w:val="18"/>
          <w:lang w:eastAsia="lt-LT"/>
        </w:rPr>
        <w:t xml:space="preserve"> Atsitiktinai atrinkti ir gydyti asmenys, kuriems nurodyti veiksmingumo rodikliai tirti iki tyrimo ir bent kartą vėliau.</w:t>
      </w:r>
    </w:p>
    <w:p w14:paraId="7A54FAD6"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c</w:t>
      </w:r>
      <w:r>
        <w:rPr>
          <w:rFonts w:eastAsia="TimesNewRoman"/>
          <w:sz w:val="18"/>
          <w:szCs w:val="18"/>
          <w:lang w:eastAsia="lt-LT"/>
        </w:rPr>
        <w:t xml:space="preserve"> Mažiausių kvadratų metodu apskaičiuotas vidurkis, koreguotas pagal dydį iki tyrimo.</w:t>
      </w:r>
    </w:p>
    <w:p w14:paraId="2927CC32"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 xml:space="preserve">d </w:t>
      </w:r>
      <w:r>
        <w:rPr>
          <w:rFonts w:eastAsia="TimesNewRoman"/>
          <w:sz w:val="18"/>
          <w:szCs w:val="18"/>
          <w:lang w:eastAsia="lt-LT"/>
        </w:rPr>
        <w:t xml:space="preserve">Poveikis ne prastesnis negu </w:t>
      </w:r>
      <w:proofErr w:type="spellStart"/>
      <w:r>
        <w:rPr>
          <w:rFonts w:eastAsia="TimesNewRoman"/>
          <w:sz w:val="18"/>
          <w:szCs w:val="18"/>
          <w:lang w:eastAsia="lt-LT"/>
        </w:rPr>
        <w:t>glipizido</w:t>
      </w:r>
      <w:proofErr w:type="spellEnd"/>
      <w:r>
        <w:rPr>
          <w:rFonts w:eastAsia="TimesNewRoman"/>
          <w:sz w:val="18"/>
          <w:szCs w:val="18"/>
          <w:lang w:eastAsia="lt-LT"/>
        </w:rPr>
        <w:t xml:space="preserve"> ir </w:t>
      </w:r>
      <w:proofErr w:type="spellStart"/>
      <w:r>
        <w:rPr>
          <w:rFonts w:eastAsia="TimesNewRoman"/>
          <w:sz w:val="18"/>
          <w:szCs w:val="18"/>
          <w:lang w:eastAsia="lt-LT"/>
        </w:rPr>
        <w:t>metformino</w:t>
      </w:r>
      <w:proofErr w:type="spellEnd"/>
      <w:r>
        <w:rPr>
          <w:rFonts w:eastAsia="TimesNewRoman"/>
          <w:sz w:val="18"/>
          <w:szCs w:val="18"/>
          <w:lang w:eastAsia="lt-LT"/>
        </w:rPr>
        <w:t xml:space="preserve"> derinio.</w:t>
      </w:r>
    </w:p>
    <w:p w14:paraId="76D155BB"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 &lt; 0,0001.</w:t>
      </w:r>
    </w:p>
    <w:p w14:paraId="57D2D048" w14:textId="77777777" w:rsidR="00E96E12" w:rsidRDefault="00E96E12">
      <w:pPr>
        <w:autoSpaceDE w:val="0"/>
        <w:autoSpaceDN w:val="0"/>
        <w:adjustRightInd w:val="0"/>
        <w:rPr>
          <w:rFonts w:ascii="TimesNewRoman" w:eastAsia="TimesNewRoman" w:cs="TimesNewRoman"/>
          <w:szCs w:val="22"/>
          <w:lang w:eastAsia="lt-LT"/>
        </w:rPr>
      </w:pPr>
    </w:p>
    <w:p w14:paraId="4D8D42F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Dapagliflozinas, vartotas papildomam kombinuotam gydymui su </w:t>
      </w:r>
      <w:proofErr w:type="spellStart"/>
      <w:r>
        <w:rPr>
          <w:rFonts w:eastAsia="TimesNewRoman"/>
          <w:szCs w:val="22"/>
          <w:lang w:eastAsia="lt-LT"/>
        </w:rPr>
        <w:t>metforminu</w:t>
      </w:r>
      <w:proofErr w:type="spellEnd"/>
      <w:r>
        <w:rPr>
          <w:rFonts w:eastAsia="TimesNewRoman"/>
          <w:szCs w:val="22"/>
          <w:lang w:eastAsia="lt-LT"/>
        </w:rPr>
        <w:t xml:space="preserve">, </w:t>
      </w:r>
      <w:proofErr w:type="spellStart"/>
      <w:r>
        <w:rPr>
          <w:rFonts w:eastAsia="TimesNewRoman"/>
          <w:szCs w:val="22"/>
          <w:lang w:eastAsia="lt-LT"/>
        </w:rPr>
        <w:t>glimepiridu</w:t>
      </w:r>
      <w:proofErr w:type="spellEnd"/>
      <w:r>
        <w:rPr>
          <w:rFonts w:eastAsia="TimesNewRoman"/>
          <w:szCs w:val="22"/>
          <w:lang w:eastAsia="lt-LT"/>
        </w:rPr>
        <w:t xml:space="preserve">, </w:t>
      </w:r>
      <w:proofErr w:type="spellStart"/>
      <w:r>
        <w:rPr>
          <w:rFonts w:eastAsia="TimesNewRoman"/>
          <w:szCs w:val="22"/>
          <w:lang w:eastAsia="lt-LT"/>
        </w:rPr>
        <w:t>metforminu</w:t>
      </w:r>
      <w:proofErr w:type="spellEnd"/>
      <w:r>
        <w:rPr>
          <w:rFonts w:eastAsia="TimesNewRoman"/>
          <w:szCs w:val="22"/>
          <w:lang w:eastAsia="lt-LT"/>
        </w:rPr>
        <w:t xml:space="preserve"> ir </w:t>
      </w:r>
      <w:proofErr w:type="spellStart"/>
      <w:r>
        <w:rPr>
          <w:rFonts w:eastAsia="TimesNewRoman"/>
          <w:szCs w:val="22"/>
          <w:lang w:eastAsia="lt-LT"/>
        </w:rPr>
        <w:t>sulfonilurėjos</w:t>
      </w:r>
      <w:proofErr w:type="spellEnd"/>
      <w:r>
        <w:rPr>
          <w:rFonts w:eastAsia="TimesNewRoman"/>
          <w:szCs w:val="22"/>
          <w:lang w:eastAsia="lt-LT"/>
        </w:rPr>
        <w:t xml:space="preserve"> dariniu, </w:t>
      </w:r>
      <w:proofErr w:type="spellStart"/>
      <w:r>
        <w:rPr>
          <w:rFonts w:eastAsia="TimesNewRoman"/>
          <w:szCs w:val="22"/>
          <w:lang w:eastAsia="lt-LT"/>
        </w:rPr>
        <w:t>sitagliptinu</w:t>
      </w:r>
      <w:proofErr w:type="spellEnd"/>
      <w:r>
        <w:rPr>
          <w:rFonts w:eastAsia="TimesNewRoman"/>
          <w:szCs w:val="22"/>
          <w:lang w:eastAsia="lt-LT"/>
        </w:rPr>
        <w:t xml:space="preserve"> (kartu dar vartojant </w:t>
      </w:r>
      <w:proofErr w:type="spellStart"/>
      <w:r>
        <w:rPr>
          <w:rFonts w:eastAsia="TimesNewRoman"/>
          <w:szCs w:val="22"/>
          <w:lang w:eastAsia="lt-LT"/>
        </w:rPr>
        <w:t>metformino</w:t>
      </w:r>
      <w:proofErr w:type="spellEnd"/>
      <w:r>
        <w:rPr>
          <w:rFonts w:eastAsia="TimesNewRoman"/>
          <w:szCs w:val="22"/>
          <w:lang w:eastAsia="lt-LT"/>
        </w:rPr>
        <w:t xml:space="preserve"> arba jo nevartojant) arba insulinu, sukėlė statistikai reikšmingą HbA1c koncentracijos po 24 savaičių sumažėjimą (palyginus su placebu, p &lt; 0,0001, žr. 4, 5 ir 6 lenteles).</w:t>
      </w:r>
    </w:p>
    <w:p w14:paraId="3F4F7572" w14:textId="77777777" w:rsidR="00E96E12" w:rsidRDefault="00E96E12">
      <w:pPr>
        <w:autoSpaceDE w:val="0"/>
        <w:autoSpaceDN w:val="0"/>
        <w:adjustRightInd w:val="0"/>
        <w:rPr>
          <w:rFonts w:eastAsia="TimesNewRoman"/>
          <w:szCs w:val="22"/>
          <w:lang w:eastAsia="lt-LT"/>
        </w:rPr>
      </w:pPr>
    </w:p>
    <w:p w14:paraId="66595D3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Poveikio gydymui </w:t>
      </w:r>
      <w:proofErr w:type="spellStart"/>
      <w:r>
        <w:rPr>
          <w:rFonts w:eastAsia="TimesNewRoman"/>
          <w:szCs w:val="22"/>
          <w:lang w:eastAsia="lt-LT"/>
        </w:rPr>
        <w:t>glimepiridu</w:t>
      </w:r>
      <w:proofErr w:type="spellEnd"/>
      <w:r>
        <w:rPr>
          <w:rFonts w:eastAsia="TimesNewRoman"/>
          <w:szCs w:val="22"/>
          <w:lang w:eastAsia="lt-LT"/>
        </w:rPr>
        <w:t xml:space="preserve"> ir insulinu papildyti tyrimų metu po 24 savaičių nustatytas HbA1c koncentracijos sumažėjimas </w:t>
      </w:r>
      <w:proofErr w:type="spellStart"/>
      <w:r>
        <w:rPr>
          <w:rFonts w:eastAsia="TimesNewRoman"/>
          <w:szCs w:val="22"/>
          <w:lang w:eastAsia="lt-LT"/>
        </w:rPr>
        <w:t>glimepirido</w:t>
      </w:r>
      <w:proofErr w:type="spellEnd"/>
      <w:r>
        <w:rPr>
          <w:rFonts w:eastAsia="TimesNewRoman"/>
          <w:szCs w:val="22"/>
          <w:lang w:eastAsia="lt-LT"/>
        </w:rPr>
        <w:t xml:space="preserve"> grupės pacientams buvo išlikęs ir po 48, o insulino grupės – ir po 104 savaičių. Poveikio gydymui </w:t>
      </w:r>
      <w:proofErr w:type="spellStart"/>
      <w:r>
        <w:rPr>
          <w:rFonts w:eastAsia="TimesNewRoman"/>
          <w:szCs w:val="22"/>
          <w:lang w:eastAsia="lt-LT"/>
        </w:rPr>
        <w:t>sitagliptinu</w:t>
      </w:r>
      <w:proofErr w:type="spellEnd"/>
      <w:r>
        <w:rPr>
          <w:rFonts w:eastAsia="TimesNewRoman"/>
          <w:szCs w:val="22"/>
          <w:lang w:eastAsia="lt-LT"/>
        </w:rPr>
        <w:t xml:space="preserve"> (kartu dar vartojant </w:t>
      </w:r>
      <w:proofErr w:type="spellStart"/>
      <w:r>
        <w:rPr>
          <w:rFonts w:eastAsia="TimesNewRoman"/>
          <w:szCs w:val="22"/>
          <w:lang w:eastAsia="lt-LT"/>
        </w:rPr>
        <w:t>metformino</w:t>
      </w:r>
      <w:proofErr w:type="spellEnd"/>
      <w:r>
        <w:rPr>
          <w:rFonts w:eastAsia="TimesNewRoman"/>
          <w:szCs w:val="22"/>
          <w:lang w:eastAsia="lt-LT"/>
        </w:rPr>
        <w:t xml:space="preserve"> arba jo nevartojant) papildyti tyrimo metu po 48 savaičių 10 mg dapagliflozino vartojusių pacientų koreguota vidutinė HbA1c koncentracija 0,30 % buvo mažesnė, o vartojusių placebą – 0,38 % didesnė už pradinę. Poveikio gydymui </w:t>
      </w:r>
      <w:proofErr w:type="spellStart"/>
      <w:r>
        <w:rPr>
          <w:rFonts w:eastAsia="TimesNewRoman"/>
          <w:szCs w:val="22"/>
          <w:lang w:eastAsia="lt-LT"/>
        </w:rPr>
        <w:t>metforminu</w:t>
      </w:r>
      <w:proofErr w:type="spellEnd"/>
      <w:r>
        <w:rPr>
          <w:rFonts w:eastAsia="TimesNewRoman"/>
          <w:szCs w:val="22"/>
          <w:lang w:eastAsia="lt-LT"/>
        </w:rPr>
        <w:t xml:space="preserve"> papildyti tyrimo metu HbA1c koncentracija išliko sumažėjusi ir po 102 savaičių (10 mg dapagliflozino vartojusiems pacientams koreguotas vidutinis jos pokytis, palyginus su buvusia iki gydymo, buvo -0,78 %, o vartojusiems placebą 0,02 %). 10 mg dapagliflozino grupės pacientų, 104 savaites vartojusių insuliną kartu su geriamaisiais gliukozės koncentraciją mažinančiais</w:t>
      </w:r>
      <w:r>
        <w:rPr>
          <w:rFonts w:ascii="TimesNewRoman" w:eastAsia="TimesNewRoman" w:cs="TimesNewRoman"/>
          <w:szCs w:val="22"/>
          <w:lang w:eastAsia="lt-LT"/>
        </w:rPr>
        <w:t xml:space="preserve"> </w:t>
      </w:r>
      <w:r>
        <w:rPr>
          <w:rFonts w:eastAsia="TimesNewRoman"/>
          <w:szCs w:val="22"/>
          <w:lang w:eastAsia="lt-LT"/>
        </w:rPr>
        <w:t>vaistiniais preparatais arba be jų, koreguota vidutinė HbA1c koncentracija, palyginus su pradine, sumažėjo 0,71 %, o placebo grupės – 0,06 %. Po 48 ir 104 savaičių nustatyta, kad 10 mg dapagliflozino vartojusiems pacientams insulino dozė, palyginus su pradine, išliko stabili (vidutiniškai 76 TV per parą). Placebo grupės pacientų vidutinė insulino paros dozė po 48 savaičių buvo vidutiniškai 10,5 TV, o po 104 savaičių – vidutiniškai 18,3 TV didesnė (vidutinės paros dozės vidurkis buvo atitinkamai 84 TV ir 92 TV). 104-ją savaitę tyrime buvo likę 72,4 % 10 mg dapagliflozino ir 54,8 % placebo grupės pacientų.</w:t>
      </w:r>
    </w:p>
    <w:p w14:paraId="0D5A2023" w14:textId="77777777" w:rsidR="00E96E12" w:rsidRDefault="00E96E12">
      <w:pPr>
        <w:autoSpaceDE w:val="0"/>
        <w:autoSpaceDN w:val="0"/>
        <w:adjustRightInd w:val="0"/>
        <w:rPr>
          <w:rFonts w:eastAsia="TimesNewRoman"/>
          <w:szCs w:val="22"/>
          <w:lang w:eastAsia="lt-LT"/>
        </w:rPr>
      </w:pPr>
    </w:p>
    <w:p w14:paraId="558F9CAE"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 xml:space="preserve">4 lentelė. 24 savaičių trukmės placebu kontroliuojamų dapagliflozino vartojimo papildomam kombinuotam gydymui kartu su </w:t>
      </w:r>
      <w:proofErr w:type="spellStart"/>
      <w:r>
        <w:rPr>
          <w:rFonts w:eastAsia="TimesNewRoman,Bold"/>
          <w:b/>
          <w:bCs/>
          <w:szCs w:val="22"/>
          <w:lang w:eastAsia="lt-LT"/>
        </w:rPr>
        <w:t>metforminu</w:t>
      </w:r>
      <w:proofErr w:type="spellEnd"/>
      <w:r>
        <w:rPr>
          <w:rFonts w:eastAsia="TimesNewRoman,Bold"/>
          <w:b/>
          <w:bCs/>
          <w:szCs w:val="22"/>
          <w:lang w:eastAsia="lt-LT"/>
        </w:rPr>
        <w:t xml:space="preserve"> arba </w:t>
      </w:r>
      <w:proofErr w:type="spellStart"/>
      <w:r>
        <w:rPr>
          <w:rFonts w:eastAsia="TimesNewRoman,Bold"/>
          <w:b/>
          <w:bCs/>
          <w:szCs w:val="22"/>
          <w:lang w:eastAsia="lt-LT"/>
        </w:rPr>
        <w:t>sitagliptinu</w:t>
      </w:r>
      <w:proofErr w:type="spellEnd"/>
      <w:r>
        <w:rPr>
          <w:rFonts w:eastAsia="TimesNewRoman,Bold"/>
          <w:b/>
          <w:bCs/>
          <w:szCs w:val="22"/>
          <w:lang w:eastAsia="lt-LT"/>
        </w:rPr>
        <w:t xml:space="preserve"> (kartu dar vartojant </w:t>
      </w:r>
      <w:proofErr w:type="spellStart"/>
      <w:r>
        <w:rPr>
          <w:rFonts w:eastAsia="TimesNewRoman,Bold"/>
          <w:b/>
          <w:bCs/>
          <w:szCs w:val="22"/>
          <w:lang w:eastAsia="lt-LT"/>
        </w:rPr>
        <w:t>metformino</w:t>
      </w:r>
      <w:proofErr w:type="spellEnd"/>
      <w:r>
        <w:rPr>
          <w:rFonts w:eastAsia="TimesNewRoman,Bold"/>
          <w:b/>
          <w:bCs/>
          <w:szCs w:val="22"/>
          <w:lang w:eastAsia="lt-LT"/>
        </w:rPr>
        <w:t xml:space="preserve"> arba jo nevartojant) tyrimų duomenys (</w:t>
      </w:r>
      <w:proofErr w:type="spellStart"/>
      <w:r>
        <w:rPr>
          <w:rFonts w:eastAsia="TimesNewRoman,Bold"/>
          <w:b/>
          <w:bCs/>
          <w:szCs w:val="22"/>
          <w:lang w:eastAsia="lt-LT"/>
        </w:rPr>
        <w:t>LOCF</w:t>
      </w:r>
      <w:r>
        <w:rPr>
          <w:rFonts w:eastAsia="TimesNewRoman,Bold"/>
          <w:b/>
          <w:bCs/>
          <w:szCs w:val="22"/>
          <w:vertAlign w:val="superscript"/>
          <w:lang w:eastAsia="lt-LT"/>
        </w:rPr>
        <w:t>a</w:t>
      </w:r>
      <w:proofErr w:type="spellEnd"/>
      <w:r>
        <w:rPr>
          <w:rFonts w:eastAsia="TimesNewRoman,Bold"/>
          <w:b/>
          <w:bCs/>
          <w:szCs w:val="22"/>
          <w:lang w:eastAsia="lt-LT"/>
        </w:rPr>
        <w:t>)</w:t>
      </w:r>
    </w:p>
    <w:p w14:paraId="017AA15F" w14:textId="77777777" w:rsidR="00E96E12" w:rsidRDefault="00E96E12">
      <w:pPr>
        <w:widowControl w:val="0"/>
        <w:tabs>
          <w:tab w:val="left" w:pos="567"/>
        </w:tabs>
        <w:rPr>
          <w:szCs w:val="22"/>
        </w:rPr>
      </w:pPr>
    </w:p>
    <w:tbl>
      <w:tblPr>
        <w:tblStyle w:val="Lentelstinklelis"/>
        <w:tblW w:w="9554" w:type="dxa"/>
        <w:tblLook w:val="04A0" w:firstRow="1" w:lastRow="0" w:firstColumn="1" w:lastColumn="0" w:noHBand="0" w:noVBand="1"/>
      </w:tblPr>
      <w:tblGrid>
        <w:gridCol w:w="2480"/>
        <w:gridCol w:w="1671"/>
        <w:gridCol w:w="288"/>
        <w:gridCol w:w="1271"/>
        <w:gridCol w:w="1936"/>
        <w:gridCol w:w="1908"/>
      </w:tblGrid>
      <w:tr w:rsidR="00E96E12" w14:paraId="6A94AB7B" w14:textId="77777777">
        <w:tc>
          <w:tcPr>
            <w:tcW w:w="2552" w:type="dxa"/>
            <w:tcBorders>
              <w:top w:val="single" w:sz="4" w:space="0" w:color="auto"/>
              <w:left w:val="nil"/>
              <w:bottom w:val="single" w:sz="4" w:space="0" w:color="auto"/>
              <w:right w:val="nil"/>
            </w:tcBorders>
          </w:tcPr>
          <w:p w14:paraId="588D6B0A" w14:textId="77777777" w:rsidR="00E96E12" w:rsidRDefault="00E96E12">
            <w:pPr>
              <w:widowControl w:val="0"/>
              <w:tabs>
                <w:tab w:val="left" w:pos="567"/>
              </w:tabs>
              <w:rPr>
                <w:b/>
                <w:szCs w:val="22"/>
                <w:lang w:val="lt-LT"/>
              </w:rPr>
            </w:pPr>
          </w:p>
        </w:tc>
        <w:tc>
          <w:tcPr>
            <w:tcW w:w="1764" w:type="dxa"/>
            <w:gridSpan w:val="2"/>
            <w:tcBorders>
              <w:top w:val="single" w:sz="4" w:space="0" w:color="auto"/>
              <w:left w:val="nil"/>
              <w:bottom w:val="single" w:sz="4" w:space="0" w:color="auto"/>
              <w:right w:val="nil"/>
            </w:tcBorders>
          </w:tcPr>
          <w:p w14:paraId="44503AF2" w14:textId="77777777" w:rsidR="00E96E12" w:rsidRDefault="00E96E12">
            <w:pPr>
              <w:widowControl w:val="0"/>
              <w:tabs>
                <w:tab w:val="left" w:pos="567"/>
              </w:tabs>
              <w:rPr>
                <w:b/>
                <w:szCs w:val="22"/>
                <w:lang w:val="lt-LT"/>
              </w:rPr>
            </w:pPr>
          </w:p>
        </w:tc>
        <w:tc>
          <w:tcPr>
            <w:tcW w:w="5238" w:type="dxa"/>
            <w:gridSpan w:val="3"/>
            <w:tcBorders>
              <w:top w:val="single" w:sz="4" w:space="0" w:color="auto"/>
              <w:left w:val="nil"/>
              <w:bottom w:val="single" w:sz="4" w:space="0" w:color="auto"/>
              <w:right w:val="nil"/>
            </w:tcBorders>
          </w:tcPr>
          <w:p w14:paraId="54F232D3" w14:textId="77777777" w:rsidR="00E96E12" w:rsidRDefault="00E97765">
            <w:pPr>
              <w:widowControl w:val="0"/>
              <w:tabs>
                <w:tab w:val="left" w:pos="567"/>
              </w:tabs>
              <w:rPr>
                <w:b/>
                <w:szCs w:val="22"/>
                <w:lang w:val="en-GB"/>
              </w:rPr>
            </w:pPr>
            <w:proofErr w:type="spellStart"/>
            <w:r>
              <w:rPr>
                <w:b/>
                <w:szCs w:val="22"/>
                <w:lang w:val="en-GB"/>
              </w:rPr>
              <w:t>Papildomas</w:t>
            </w:r>
            <w:proofErr w:type="spellEnd"/>
            <w:r>
              <w:rPr>
                <w:b/>
                <w:szCs w:val="22"/>
                <w:lang w:val="en-GB"/>
              </w:rPr>
              <w:t xml:space="preserve"> </w:t>
            </w:r>
            <w:proofErr w:type="spellStart"/>
            <w:r>
              <w:rPr>
                <w:b/>
                <w:szCs w:val="22"/>
                <w:lang w:val="en-GB"/>
              </w:rPr>
              <w:t>kombinuotas</w:t>
            </w:r>
            <w:proofErr w:type="spellEnd"/>
            <w:r>
              <w:rPr>
                <w:b/>
                <w:szCs w:val="22"/>
                <w:lang w:val="en-GB"/>
              </w:rPr>
              <w:t xml:space="preserve"> </w:t>
            </w:r>
            <w:proofErr w:type="spellStart"/>
            <w:r>
              <w:rPr>
                <w:b/>
                <w:szCs w:val="22"/>
                <w:lang w:val="en-GB"/>
              </w:rPr>
              <w:t>gydymas</w:t>
            </w:r>
            <w:proofErr w:type="spellEnd"/>
          </w:p>
        </w:tc>
      </w:tr>
      <w:tr w:rsidR="00E96E12" w14:paraId="0FDE4881" w14:textId="77777777">
        <w:tc>
          <w:tcPr>
            <w:tcW w:w="2552" w:type="dxa"/>
            <w:tcBorders>
              <w:top w:val="single" w:sz="4" w:space="0" w:color="auto"/>
              <w:left w:val="nil"/>
              <w:bottom w:val="single" w:sz="4" w:space="0" w:color="auto"/>
              <w:right w:val="nil"/>
            </w:tcBorders>
          </w:tcPr>
          <w:p w14:paraId="64837DED" w14:textId="77777777" w:rsidR="00E96E12" w:rsidRDefault="00E96E12">
            <w:pPr>
              <w:widowControl w:val="0"/>
              <w:tabs>
                <w:tab w:val="left" w:pos="567"/>
              </w:tabs>
              <w:rPr>
                <w:szCs w:val="22"/>
                <w:lang w:val="en-GB"/>
              </w:rPr>
            </w:pPr>
          </w:p>
        </w:tc>
        <w:tc>
          <w:tcPr>
            <w:tcW w:w="3073" w:type="dxa"/>
            <w:gridSpan w:val="3"/>
            <w:tcBorders>
              <w:top w:val="single" w:sz="4" w:space="0" w:color="auto"/>
              <w:left w:val="nil"/>
              <w:bottom w:val="single" w:sz="4" w:space="0" w:color="auto"/>
              <w:right w:val="nil"/>
            </w:tcBorders>
          </w:tcPr>
          <w:p w14:paraId="2382CAAF" w14:textId="77777777" w:rsidR="00E96E12" w:rsidRDefault="00E97765">
            <w:pPr>
              <w:widowControl w:val="0"/>
              <w:tabs>
                <w:tab w:val="left" w:pos="567"/>
              </w:tabs>
              <w:jc w:val="center"/>
              <w:rPr>
                <w:b/>
                <w:szCs w:val="22"/>
                <w:lang w:val="en-GB"/>
              </w:rPr>
            </w:pPr>
            <w:r>
              <w:rPr>
                <w:b/>
                <w:szCs w:val="22"/>
                <w:lang w:val="en-GB"/>
              </w:rPr>
              <w:t>Su metforminu</w:t>
            </w:r>
            <w:r>
              <w:rPr>
                <w:szCs w:val="22"/>
                <w:vertAlign w:val="superscript"/>
                <w:lang w:val="en-GB"/>
              </w:rPr>
              <w:t>1</w:t>
            </w:r>
          </w:p>
        </w:tc>
        <w:tc>
          <w:tcPr>
            <w:tcW w:w="3929" w:type="dxa"/>
            <w:gridSpan w:val="2"/>
            <w:tcBorders>
              <w:top w:val="single" w:sz="4" w:space="0" w:color="auto"/>
              <w:left w:val="nil"/>
              <w:bottom w:val="single" w:sz="4" w:space="0" w:color="auto"/>
              <w:right w:val="nil"/>
            </w:tcBorders>
          </w:tcPr>
          <w:p w14:paraId="6BA67064" w14:textId="77777777" w:rsidR="00E96E12" w:rsidRDefault="00E97765">
            <w:pPr>
              <w:widowControl w:val="0"/>
              <w:tabs>
                <w:tab w:val="left" w:pos="567"/>
              </w:tabs>
              <w:jc w:val="center"/>
              <w:rPr>
                <w:b/>
                <w:szCs w:val="22"/>
                <w:lang w:val="en-US"/>
              </w:rPr>
            </w:pPr>
            <w:r>
              <w:rPr>
                <w:b/>
                <w:szCs w:val="22"/>
                <w:lang w:val="en-US"/>
              </w:rPr>
              <w:t xml:space="preserve">Su DPP-4 </w:t>
            </w:r>
            <w:proofErr w:type="spellStart"/>
            <w:r>
              <w:rPr>
                <w:b/>
                <w:szCs w:val="22"/>
                <w:lang w:val="en-US"/>
              </w:rPr>
              <w:t>inhibitoriumi</w:t>
            </w:r>
            <w:proofErr w:type="spellEnd"/>
          </w:p>
          <w:p w14:paraId="6B329DD8" w14:textId="77777777" w:rsidR="00E96E12" w:rsidRDefault="00E97765">
            <w:pPr>
              <w:widowControl w:val="0"/>
              <w:tabs>
                <w:tab w:val="left" w:pos="567"/>
              </w:tabs>
              <w:jc w:val="center"/>
              <w:rPr>
                <w:b/>
                <w:szCs w:val="22"/>
                <w:lang w:val="en-GB"/>
              </w:rPr>
            </w:pPr>
            <w:r>
              <w:rPr>
                <w:b/>
                <w:szCs w:val="22"/>
                <w:lang w:val="en-US"/>
              </w:rPr>
              <w:t>(sitagliptinu</w:t>
            </w:r>
            <w:r>
              <w:rPr>
                <w:szCs w:val="22"/>
                <w:vertAlign w:val="superscript"/>
                <w:lang w:val="en-US"/>
              </w:rPr>
              <w:t>2</w:t>
            </w:r>
            <w:r>
              <w:rPr>
                <w:b/>
                <w:szCs w:val="22"/>
                <w:lang w:val="en-US"/>
              </w:rPr>
              <w:t>) ± metforminu</w:t>
            </w:r>
            <w:r>
              <w:rPr>
                <w:szCs w:val="22"/>
                <w:vertAlign w:val="superscript"/>
                <w:lang w:val="en-US"/>
              </w:rPr>
              <w:t>1</w:t>
            </w:r>
          </w:p>
        </w:tc>
      </w:tr>
      <w:tr w:rsidR="00E96E12" w14:paraId="1F3197DA" w14:textId="77777777">
        <w:tc>
          <w:tcPr>
            <w:tcW w:w="2552" w:type="dxa"/>
            <w:tcBorders>
              <w:top w:val="single" w:sz="4" w:space="0" w:color="auto"/>
              <w:left w:val="nil"/>
              <w:bottom w:val="single" w:sz="4" w:space="0" w:color="auto"/>
              <w:right w:val="nil"/>
            </w:tcBorders>
          </w:tcPr>
          <w:p w14:paraId="5D903907" w14:textId="77777777" w:rsidR="00E96E12" w:rsidRDefault="00E96E12">
            <w:pPr>
              <w:widowControl w:val="0"/>
              <w:tabs>
                <w:tab w:val="left" w:pos="567"/>
              </w:tabs>
              <w:rPr>
                <w:szCs w:val="22"/>
                <w:lang w:val="en-GB"/>
              </w:rPr>
            </w:pPr>
          </w:p>
        </w:tc>
        <w:tc>
          <w:tcPr>
            <w:tcW w:w="1475" w:type="dxa"/>
            <w:tcBorders>
              <w:top w:val="single" w:sz="4" w:space="0" w:color="auto"/>
              <w:left w:val="nil"/>
              <w:bottom w:val="single" w:sz="4" w:space="0" w:color="auto"/>
              <w:right w:val="nil"/>
            </w:tcBorders>
          </w:tcPr>
          <w:p w14:paraId="00E8BC48" w14:textId="77777777" w:rsidR="00E96E12" w:rsidRDefault="00E97765">
            <w:pPr>
              <w:widowControl w:val="0"/>
              <w:tabs>
                <w:tab w:val="left" w:pos="567"/>
              </w:tabs>
              <w:jc w:val="center"/>
              <w:rPr>
                <w:b/>
                <w:szCs w:val="22"/>
                <w:lang w:val="en-GB"/>
              </w:rPr>
            </w:pPr>
            <w:proofErr w:type="spellStart"/>
            <w:r>
              <w:rPr>
                <w:b/>
                <w:szCs w:val="22"/>
                <w:lang w:val="en-GB"/>
              </w:rPr>
              <w:t>Dapagliflozinas</w:t>
            </w:r>
            <w:proofErr w:type="spellEnd"/>
          </w:p>
          <w:p w14:paraId="7B8BB77F" w14:textId="77777777" w:rsidR="00E96E12" w:rsidRDefault="00E97765">
            <w:pPr>
              <w:widowControl w:val="0"/>
              <w:tabs>
                <w:tab w:val="left" w:pos="567"/>
              </w:tabs>
              <w:jc w:val="center"/>
              <w:rPr>
                <w:b/>
                <w:szCs w:val="22"/>
                <w:lang w:val="en-GB"/>
              </w:rPr>
            </w:pPr>
            <w:r>
              <w:rPr>
                <w:b/>
                <w:szCs w:val="22"/>
                <w:lang w:val="en-GB"/>
              </w:rPr>
              <w:t>10 mg</w:t>
            </w:r>
          </w:p>
        </w:tc>
        <w:tc>
          <w:tcPr>
            <w:tcW w:w="1598" w:type="dxa"/>
            <w:gridSpan w:val="2"/>
            <w:tcBorders>
              <w:top w:val="single" w:sz="4" w:space="0" w:color="auto"/>
              <w:left w:val="nil"/>
              <w:bottom w:val="single" w:sz="4" w:space="0" w:color="auto"/>
              <w:right w:val="nil"/>
            </w:tcBorders>
          </w:tcPr>
          <w:p w14:paraId="3A0B7CD2" w14:textId="77777777" w:rsidR="00E96E12" w:rsidRDefault="00E97765">
            <w:pPr>
              <w:widowControl w:val="0"/>
              <w:tabs>
                <w:tab w:val="left" w:pos="567"/>
              </w:tabs>
              <w:jc w:val="center"/>
              <w:rPr>
                <w:b/>
                <w:szCs w:val="22"/>
                <w:lang w:val="en-GB"/>
              </w:rPr>
            </w:pPr>
            <w:proofErr w:type="spellStart"/>
            <w:r>
              <w:rPr>
                <w:b/>
                <w:szCs w:val="22"/>
                <w:lang w:val="en-GB"/>
              </w:rPr>
              <w:t>Placebas</w:t>
            </w:r>
            <w:proofErr w:type="spellEnd"/>
          </w:p>
        </w:tc>
        <w:tc>
          <w:tcPr>
            <w:tcW w:w="1956" w:type="dxa"/>
            <w:tcBorders>
              <w:top w:val="single" w:sz="4" w:space="0" w:color="auto"/>
              <w:left w:val="nil"/>
              <w:bottom w:val="single" w:sz="4" w:space="0" w:color="auto"/>
              <w:right w:val="nil"/>
            </w:tcBorders>
          </w:tcPr>
          <w:p w14:paraId="65C06911" w14:textId="77777777" w:rsidR="00E96E12" w:rsidRDefault="00E97765">
            <w:pPr>
              <w:widowControl w:val="0"/>
              <w:tabs>
                <w:tab w:val="left" w:pos="567"/>
              </w:tabs>
              <w:jc w:val="center"/>
              <w:rPr>
                <w:b/>
                <w:szCs w:val="22"/>
                <w:lang w:val="en-GB"/>
              </w:rPr>
            </w:pPr>
            <w:proofErr w:type="spellStart"/>
            <w:r>
              <w:rPr>
                <w:b/>
                <w:szCs w:val="22"/>
                <w:lang w:val="en-GB"/>
              </w:rPr>
              <w:t>Dapagliflozinas</w:t>
            </w:r>
            <w:proofErr w:type="spellEnd"/>
          </w:p>
          <w:p w14:paraId="218B96C8" w14:textId="77777777" w:rsidR="00E96E12" w:rsidRDefault="00E97765">
            <w:pPr>
              <w:widowControl w:val="0"/>
              <w:tabs>
                <w:tab w:val="left" w:pos="567"/>
              </w:tabs>
              <w:jc w:val="center"/>
              <w:rPr>
                <w:b/>
                <w:szCs w:val="22"/>
                <w:lang w:val="en-GB"/>
              </w:rPr>
            </w:pPr>
            <w:r>
              <w:rPr>
                <w:b/>
                <w:szCs w:val="22"/>
                <w:lang w:val="en-GB"/>
              </w:rPr>
              <w:t>10 mg</w:t>
            </w:r>
          </w:p>
        </w:tc>
        <w:tc>
          <w:tcPr>
            <w:tcW w:w="1973" w:type="dxa"/>
            <w:tcBorders>
              <w:top w:val="single" w:sz="4" w:space="0" w:color="auto"/>
              <w:left w:val="nil"/>
              <w:bottom w:val="single" w:sz="4" w:space="0" w:color="auto"/>
              <w:right w:val="nil"/>
            </w:tcBorders>
          </w:tcPr>
          <w:p w14:paraId="032435D3" w14:textId="77777777" w:rsidR="00E96E12" w:rsidRDefault="00E97765">
            <w:pPr>
              <w:widowControl w:val="0"/>
              <w:tabs>
                <w:tab w:val="left" w:pos="567"/>
              </w:tabs>
              <w:jc w:val="center"/>
              <w:rPr>
                <w:b/>
                <w:szCs w:val="22"/>
                <w:lang w:val="en-GB"/>
              </w:rPr>
            </w:pPr>
            <w:proofErr w:type="spellStart"/>
            <w:r>
              <w:rPr>
                <w:b/>
                <w:szCs w:val="22"/>
                <w:lang w:val="en-GB"/>
              </w:rPr>
              <w:t>Placebas</w:t>
            </w:r>
            <w:proofErr w:type="spellEnd"/>
          </w:p>
        </w:tc>
      </w:tr>
      <w:tr w:rsidR="00E96E12" w14:paraId="54E49A69" w14:textId="77777777">
        <w:tc>
          <w:tcPr>
            <w:tcW w:w="2552" w:type="dxa"/>
            <w:tcBorders>
              <w:top w:val="single" w:sz="4" w:space="0" w:color="auto"/>
              <w:left w:val="nil"/>
              <w:bottom w:val="single" w:sz="4" w:space="0" w:color="auto"/>
              <w:right w:val="nil"/>
            </w:tcBorders>
          </w:tcPr>
          <w:p w14:paraId="4C9B4284" w14:textId="77777777" w:rsidR="00E96E12" w:rsidRDefault="00E97765">
            <w:pPr>
              <w:widowControl w:val="0"/>
              <w:tabs>
                <w:tab w:val="left" w:pos="567"/>
              </w:tabs>
              <w:rPr>
                <w:szCs w:val="22"/>
                <w:vertAlign w:val="superscript"/>
                <w:lang w:val="en-GB"/>
              </w:rPr>
            </w:pPr>
            <w:r>
              <w:rPr>
                <w:b/>
                <w:szCs w:val="22"/>
                <w:lang w:val="en-GB"/>
              </w:rPr>
              <w:t>N</w:t>
            </w:r>
            <w:r>
              <w:rPr>
                <w:szCs w:val="22"/>
                <w:vertAlign w:val="superscript"/>
                <w:lang w:val="en-GB"/>
              </w:rPr>
              <w:t>b</w:t>
            </w:r>
          </w:p>
        </w:tc>
        <w:tc>
          <w:tcPr>
            <w:tcW w:w="1475" w:type="dxa"/>
            <w:tcBorders>
              <w:top w:val="single" w:sz="4" w:space="0" w:color="auto"/>
              <w:left w:val="nil"/>
              <w:bottom w:val="single" w:sz="4" w:space="0" w:color="auto"/>
              <w:right w:val="nil"/>
            </w:tcBorders>
          </w:tcPr>
          <w:p w14:paraId="7B5394E5" w14:textId="77777777" w:rsidR="00E96E12" w:rsidRDefault="00E97765">
            <w:pPr>
              <w:widowControl w:val="0"/>
              <w:tabs>
                <w:tab w:val="left" w:pos="567"/>
              </w:tabs>
              <w:jc w:val="center"/>
              <w:rPr>
                <w:szCs w:val="22"/>
                <w:lang w:val="en-GB"/>
              </w:rPr>
            </w:pPr>
            <w:r>
              <w:rPr>
                <w:szCs w:val="22"/>
                <w:lang w:val="en-GB"/>
              </w:rPr>
              <w:t>135</w:t>
            </w:r>
          </w:p>
        </w:tc>
        <w:tc>
          <w:tcPr>
            <w:tcW w:w="1598" w:type="dxa"/>
            <w:gridSpan w:val="2"/>
            <w:tcBorders>
              <w:top w:val="single" w:sz="4" w:space="0" w:color="auto"/>
              <w:left w:val="nil"/>
              <w:bottom w:val="single" w:sz="4" w:space="0" w:color="auto"/>
              <w:right w:val="nil"/>
            </w:tcBorders>
          </w:tcPr>
          <w:p w14:paraId="50841851" w14:textId="77777777" w:rsidR="00E96E12" w:rsidRDefault="00E97765">
            <w:pPr>
              <w:widowControl w:val="0"/>
              <w:tabs>
                <w:tab w:val="left" w:pos="567"/>
              </w:tabs>
              <w:jc w:val="center"/>
              <w:rPr>
                <w:szCs w:val="22"/>
                <w:lang w:val="en-GB"/>
              </w:rPr>
            </w:pPr>
            <w:r>
              <w:rPr>
                <w:szCs w:val="22"/>
                <w:lang w:val="en-GB"/>
              </w:rPr>
              <w:t>137</w:t>
            </w:r>
          </w:p>
        </w:tc>
        <w:tc>
          <w:tcPr>
            <w:tcW w:w="1956" w:type="dxa"/>
            <w:tcBorders>
              <w:top w:val="single" w:sz="4" w:space="0" w:color="auto"/>
              <w:left w:val="nil"/>
              <w:bottom w:val="single" w:sz="4" w:space="0" w:color="auto"/>
              <w:right w:val="nil"/>
            </w:tcBorders>
          </w:tcPr>
          <w:p w14:paraId="76A5B077" w14:textId="77777777" w:rsidR="00E96E12" w:rsidRDefault="00E97765">
            <w:pPr>
              <w:widowControl w:val="0"/>
              <w:tabs>
                <w:tab w:val="left" w:pos="567"/>
              </w:tabs>
              <w:jc w:val="center"/>
              <w:rPr>
                <w:szCs w:val="22"/>
                <w:lang w:val="en-GB"/>
              </w:rPr>
            </w:pPr>
            <w:r>
              <w:rPr>
                <w:szCs w:val="22"/>
                <w:lang w:val="en-GB"/>
              </w:rPr>
              <w:t>223</w:t>
            </w:r>
          </w:p>
        </w:tc>
        <w:tc>
          <w:tcPr>
            <w:tcW w:w="1973" w:type="dxa"/>
            <w:tcBorders>
              <w:top w:val="single" w:sz="4" w:space="0" w:color="auto"/>
              <w:left w:val="nil"/>
              <w:bottom w:val="single" w:sz="4" w:space="0" w:color="auto"/>
              <w:right w:val="nil"/>
            </w:tcBorders>
          </w:tcPr>
          <w:p w14:paraId="4D6FCBA7" w14:textId="77777777" w:rsidR="00E96E12" w:rsidRDefault="00E97765">
            <w:pPr>
              <w:widowControl w:val="0"/>
              <w:tabs>
                <w:tab w:val="left" w:pos="567"/>
              </w:tabs>
              <w:jc w:val="center"/>
              <w:rPr>
                <w:szCs w:val="22"/>
                <w:lang w:val="en-GB"/>
              </w:rPr>
            </w:pPr>
            <w:r>
              <w:rPr>
                <w:szCs w:val="22"/>
                <w:lang w:val="en-GB"/>
              </w:rPr>
              <w:t>224</w:t>
            </w:r>
          </w:p>
        </w:tc>
      </w:tr>
      <w:tr w:rsidR="00E96E12" w14:paraId="7DA879A5" w14:textId="77777777">
        <w:tc>
          <w:tcPr>
            <w:tcW w:w="2552" w:type="dxa"/>
            <w:tcBorders>
              <w:top w:val="single" w:sz="4" w:space="0" w:color="auto"/>
              <w:left w:val="nil"/>
              <w:bottom w:val="nil"/>
              <w:right w:val="nil"/>
            </w:tcBorders>
          </w:tcPr>
          <w:p w14:paraId="610498B1" w14:textId="77777777" w:rsidR="00E96E12" w:rsidRDefault="00E97765">
            <w:pPr>
              <w:widowControl w:val="0"/>
              <w:tabs>
                <w:tab w:val="left" w:pos="567"/>
              </w:tabs>
              <w:rPr>
                <w:b/>
                <w:szCs w:val="22"/>
                <w:lang w:val="pt-PT"/>
              </w:rPr>
            </w:pPr>
            <w:r>
              <w:rPr>
                <w:b/>
                <w:szCs w:val="22"/>
                <w:lang w:val="pt-PT"/>
              </w:rPr>
              <w:t>HbA1c koncentracija (%)</w:t>
            </w:r>
          </w:p>
          <w:p w14:paraId="0862A362" w14:textId="77777777" w:rsidR="00E96E12" w:rsidRDefault="00E97765">
            <w:pPr>
              <w:widowControl w:val="0"/>
              <w:tabs>
                <w:tab w:val="left" w:pos="567"/>
              </w:tabs>
              <w:rPr>
                <w:szCs w:val="22"/>
                <w:lang w:val="pt-PT"/>
              </w:rPr>
            </w:pPr>
            <w:r>
              <w:rPr>
                <w:szCs w:val="22"/>
                <w:lang w:val="pt-PT"/>
              </w:rPr>
              <w:t>Iki tyrimo (vidurkis)</w:t>
            </w:r>
          </w:p>
        </w:tc>
        <w:tc>
          <w:tcPr>
            <w:tcW w:w="1475" w:type="dxa"/>
            <w:tcBorders>
              <w:top w:val="single" w:sz="4" w:space="0" w:color="auto"/>
              <w:left w:val="nil"/>
              <w:bottom w:val="nil"/>
              <w:right w:val="nil"/>
            </w:tcBorders>
          </w:tcPr>
          <w:p w14:paraId="4B229B5A" w14:textId="77777777" w:rsidR="00E96E12" w:rsidRDefault="00E96E12">
            <w:pPr>
              <w:widowControl w:val="0"/>
              <w:tabs>
                <w:tab w:val="left" w:pos="567"/>
              </w:tabs>
              <w:jc w:val="center"/>
              <w:rPr>
                <w:szCs w:val="22"/>
                <w:lang w:val="pt-PT"/>
              </w:rPr>
            </w:pPr>
          </w:p>
          <w:p w14:paraId="09AEA0BE" w14:textId="77777777" w:rsidR="00E96E12" w:rsidRDefault="00E97765">
            <w:pPr>
              <w:widowControl w:val="0"/>
              <w:tabs>
                <w:tab w:val="left" w:pos="567"/>
              </w:tabs>
              <w:jc w:val="center"/>
              <w:rPr>
                <w:szCs w:val="22"/>
                <w:lang w:val="en-GB"/>
              </w:rPr>
            </w:pPr>
            <w:r>
              <w:rPr>
                <w:szCs w:val="22"/>
                <w:lang w:val="en-GB"/>
              </w:rPr>
              <w:t>7,92</w:t>
            </w:r>
          </w:p>
        </w:tc>
        <w:tc>
          <w:tcPr>
            <w:tcW w:w="1598" w:type="dxa"/>
            <w:gridSpan w:val="2"/>
            <w:tcBorders>
              <w:top w:val="single" w:sz="4" w:space="0" w:color="auto"/>
              <w:left w:val="nil"/>
              <w:bottom w:val="nil"/>
              <w:right w:val="nil"/>
            </w:tcBorders>
          </w:tcPr>
          <w:p w14:paraId="0B5952B9" w14:textId="77777777" w:rsidR="00E96E12" w:rsidRDefault="00E96E12">
            <w:pPr>
              <w:widowControl w:val="0"/>
              <w:tabs>
                <w:tab w:val="left" w:pos="567"/>
              </w:tabs>
              <w:jc w:val="center"/>
              <w:rPr>
                <w:szCs w:val="22"/>
                <w:lang w:val="en-GB"/>
              </w:rPr>
            </w:pPr>
          </w:p>
          <w:p w14:paraId="7CC7316F" w14:textId="77777777" w:rsidR="00E96E12" w:rsidRDefault="00E97765">
            <w:pPr>
              <w:widowControl w:val="0"/>
              <w:tabs>
                <w:tab w:val="left" w:pos="567"/>
              </w:tabs>
              <w:jc w:val="center"/>
              <w:rPr>
                <w:szCs w:val="22"/>
                <w:lang w:val="en-GB"/>
              </w:rPr>
            </w:pPr>
            <w:r>
              <w:rPr>
                <w:szCs w:val="22"/>
                <w:lang w:val="en-GB"/>
              </w:rPr>
              <w:t>8,11</w:t>
            </w:r>
          </w:p>
        </w:tc>
        <w:tc>
          <w:tcPr>
            <w:tcW w:w="1956" w:type="dxa"/>
            <w:tcBorders>
              <w:top w:val="single" w:sz="4" w:space="0" w:color="auto"/>
              <w:left w:val="nil"/>
              <w:bottom w:val="nil"/>
              <w:right w:val="nil"/>
            </w:tcBorders>
          </w:tcPr>
          <w:p w14:paraId="00C0724E" w14:textId="77777777" w:rsidR="00E96E12" w:rsidRDefault="00E96E12">
            <w:pPr>
              <w:widowControl w:val="0"/>
              <w:tabs>
                <w:tab w:val="left" w:pos="567"/>
              </w:tabs>
              <w:jc w:val="center"/>
              <w:rPr>
                <w:szCs w:val="22"/>
                <w:lang w:val="en-GB"/>
              </w:rPr>
            </w:pPr>
          </w:p>
          <w:p w14:paraId="71EDBAED" w14:textId="77777777" w:rsidR="00E96E12" w:rsidRDefault="00E97765">
            <w:pPr>
              <w:widowControl w:val="0"/>
              <w:tabs>
                <w:tab w:val="left" w:pos="567"/>
              </w:tabs>
              <w:jc w:val="center"/>
              <w:rPr>
                <w:szCs w:val="22"/>
                <w:lang w:val="en-GB"/>
              </w:rPr>
            </w:pPr>
            <w:r>
              <w:rPr>
                <w:szCs w:val="22"/>
                <w:lang w:val="en-GB"/>
              </w:rPr>
              <w:t>7,90</w:t>
            </w:r>
          </w:p>
        </w:tc>
        <w:tc>
          <w:tcPr>
            <w:tcW w:w="1973" w:type="dxa"/>
            <w:tcBorders>
              <w:top w:val="single" w:sz="4" w:space="0" w:color="auto"/>
              <w:left w:val="nil"/>
              <w:bottom w:val="nil"/>
              <w:right w:val="nil"/>
            </w:tcBorders>
          </w:tcPr>
          <w:p w14:paraId="482916D3" w14:textId="77777777" w:rsidR="00E96E12" w:rsidRDefault="00E96E12">
            <w:pPr>
              <w:widowControl w:val="0"/>
              <w:tabs>
                <w:tab w:val="left" w:pos="567"/>
              </w:tabs>
              <w:jc w:val="center"/>
              <w:rPr>
                <w:szCs w:val="22"/>
                <w:lang w:val="en-GB"/>
              </w:rPr>
            </w:pPr>
          </w:p>
          <w:p w14:paraId="6B5D8447" w14:textId="77777777" w:rsidR="00E96E12" w:rsidRDefault="00E97765">
            <w:pPr>
              <w:widowControl w:val="0"/>
              <w:tabs>
                <w:tab w:val="left" w:pos="567"/>
              </w:tabs>
              <w:jc w:val="center"/>
              <w:rPr>
                <w:szCs w:val="22"/>
                <w:lang w:val="en-GB"/>
              </w:rPr>
            </w:pPr>
            <w:r>
              <w:rPr>
                <w:szCs w:val="22"/>
                <w:lang w:val="en-GB"/>
              </w:rPr>
              <w:t>7,97</w:t>
            </w:r>
          </w:p>
        </w:tc>
      </w:tr>
      <w:tr w:rsidR="00E96E12" w14:paraId="7A48C158" w14:textId="77777777">
        <w:tc>
          <w:tcPr>
            <w:tcW w:w="2552" w:type="dxa"/>
            <w:tcBorders>
              <w:top w:val="nil"/>
              <w:left w:val="nil"/>
              <w:bottom w:val="nil"/>
              <w:right w:val="nil"/>
            </w:tcBorders>
          </w:tcPr>
          <w:p w14:paraId="434FB7D6" w14:textId="77777777" w:rsidR="00E96E12" w:rsidRDefault="00E96E12">
            <w:pPr>
              <w:widowControl w:val="0"/>
              <w:tabs>
                <w:tab w:val="left" w:pos="567"/>
              </w:tabs>
              <w:rPr>
                <w:szCs w:val="22"/>
                <w:lang w:val="en-US"/>
              </w:rPr>
            </w:pPr>
          </w:p>
          <w:p w14:paraId="644C612F" w14:textId="77777777" w:rsidR="00E96E12" w:rsidRDefault="00E97765">
            <w:pPr>
              <w:widowControl w:val="0"/>
              <w:tabs>
                <w:tab w:val="left" w:pos="567"/>
              </w:tabs>
              <w:rPr>
                <w:szCs w:val="22"/>
                <w:lang w:val="en-US"/>
              </w:rPr>
            </w:pPr>
            <w:proofErr w:type="spellStart"/>
            <w:r>
              <w:rPr>
                <w:szCs w:val="22"/>
                <w:lang w:val="en-US"/>
              </w:rPr>
              <w:t>Pokytis</w:t>
            </w:r>
            <w:proofErr w:type="spellEnd"/>
            <w:r>
              <w:rPr>
                <w:szCs w:val="22"/>
                <w:lang w:val="en-US"/>
              </w:rPr>
              <w:t xml:space="preserve"> </w:t>
            </w:r>
            <w:proofErr w:type="spellStart"/>
            <w:r>
              <w:rPr>
                <w:szCs w:val="22"/>
                <w:lang w:val="en-US"/>
              </w:rPr>
              <w:t>paluginus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buvusia</w:t>
            </w:r>
            <w:proofErr w:type="spellEnd"/>
            <w:r>
              <w:rPr>
                <w:szCs w:val="22"/>
                <w:lang w:val="en-US"/>
              </w:rPr>
              <w:t xml:space="preserve"> </w:t>
            </w:r>
            <w:proofErr w:type="spellStart"/>
            <w:r>
              <w:rPr>
                <w:szCs w:val="22"/>
                <w:lang w:val="en-US"/>
              </w:rPr>
              <w:t>iki</w:t>
            </w:r>
            <w:proofErr w:type="spellEnd"/>
            <w:r>
              <w:rPr>
                <w:szCs w:val="22"/>
                <w:lang w:val="en-US"/>
              </w:rPr>
              <w:t xml:space="preserve"> </w:t>
            </w:r>
            <w:proofErr w:type="spellStart"/>
            <w:r>
              <w:rPr>
                <w:szCs w:val="22"/>
                <w:lang w:val="en-US"/>
              </w:rPr>
              <w:t>tyrimo</w:t>
            </w:r>
            <w:r>
              <w:rPr>
                <w:szCs w:val="22"/>
                <w:vertAlign w:val="superscript"/>
                <w:lang w:val="en-US"/>
              </w:rPr>
              <w:t>c</w:t>
            </w:r>
            <w:proofErr w:type="spellEnd"/>
          </w:p>
        </w:tc>
        <w:tc>
          <w:tcPr>
            <w:tcW w:w="1475" w:type="dxa"/>
            <w:tcBorders>
              <w:top w:val="nil"/>
              <w:left w:val="nil"/>
              <w:bottom w:val="nil"/>
              <w:right w:val="nil"/>
            </w:tcBorders>
          </w:tcPr>
          <w:p w14:paraId="61393D1C" w14:textId="77777777" w:rsidR="00E96E12" w:rsidRDefault="00E96E12">
            <w:pPr>
              <w:widowControl w:val="0"/>
              <w:tabs>
                <w:tab w:val="left" w:pos="567"/>
              </w:tabs>
              <w:jc w:val="center"/>
              <w:rPr>
                <w:szCs w:val="22"/>
                <w:lang w:val="en-GB"/>
              </w:rPr>
            </w:pPr>
          </w:p>
          <w:p w14:paraId="6BEA50BB" w14:textId="77777777" w:rsidR="00E96E12" w:rsidRDefault="00E97765">
            <w:pPr>
              <w:widowControl w:val="0"/>
              <w:tabs>
                <w:tab w:val="left" w:pos="567"/>
              </w:tabs>
              <w:jc w:val="center"/>
              <w:rPr>
                <w:szCs w:val="22"/>
                <w:lang w:val="en-GB"/>
              </w:rPr>
            </w:pPr>
            <w:r>
              <w:rPr>
                <w:szCs w:val="22"/>
                <w:lang w:val="en-GB"/>
              </w:rPr>
              <w:t>-0,84</w:t>
            </w:r>
          </w:p>
        </w:tc>
        <w:tc>
          <w:tcPr>
            <w:tcW w:w="1598" w:type="dxa"/>
            <w:gridSpan w:val="2"/>
            <w:tcBorders>
              <w:top w:val="nil"/>
              <w:left w:val="nil"/>
              <w:bottom w:val="nil"/>
              <w:right w:val="nil"/>
            </w:tcBorders>
          </w:tcPr>
          <w:p w14:paraId="172815EA" w14:textId="77777777" w:rsidR="00E96E12" w:rsidRDefault="00E96E12">
            <w:pPr>
              <w:widowControl w:val="0"/>
              <w:tabs>
                <w:tab w:val="left" w:pos="567"/>
              </w:tabs>
              <w:jc w:val="center"/>
              <w:rPr>
                <w:szCs w:val="22"/>
                <w:lang w:val="en-GB"/>
              </w:rPr>
            </w:pPr>
          </w:p>
          <w:p w14:paraId="77DD6EC6" w14:textId="77777777" w:rsidR="00E96E12" w:rsidRDefault="00E97765">
            <w:pPr>
              <w:widowControl w:val="0"/>
              <w:tabs>
                <w:tab w:val="left" w:pos="567"/>
              </w:tabs>
              <w:jc w:val="center"/>
              <w:rPr>
                <w:szCs w:val="22"/>
                <w:lang w:val="en-GB"/>
              </w:rPr>
            </w:pPr>
            <w:r>
              <w:rPr>
                <w:szCs w:val="22"/>
                <w:lang w:val="en-GB"/>
              </w:rPr>
              <w:t>-0,30</w:t>
            </w:r>
          </w:p>
        </w:tc>
        <w:tc>
          <w:tcPr>
            <w:tcW w:w="1956" w:type="dxa"/>
            <w:tcBorders>
              <w:top w:val="nil"/>
              <w:left w:val="nil"/>
              <w:bottom w:val="nil"/>
              <w:right w:val="nil"/>
            </w:tcBorders>
          </w:tcPr>
          <w:p w14:paraId="04EF87B0" w14:textId="77777777" w:rsidR="00E96E12" w:rsidRDefault="00E96E12">
            <w:pPr>
              <w:widowControl w:val="0"/>
              <w:tabs>
                <w:tab w:val="left" w:pos="567"/>
              </w:tabs>
              <w:jc w:val="center"/>
              <w:rPr>
                <w:szCs w:val="22"/>
                <w:lang w:val="en-GB"/>
              </w:rPr>
            </w:pPr>
          </w:p>
          <w:p w14:paraId="743511D3" w14:textId="77777777" w:rsidR="00E96E12" w:rsidRDefault="00E97765">
            <w:pPr>
              <w:widowControl w:val="0"/>
              <w:tabs>
                <w:tab w:val="left" w:pos="567"/>
              </w:tabs>
              <w:jc w:val="center"/>
              <w:rPr>
                <w:szCs w:val="22"/>
                <w:lang w:val="en-GB"/>
              </w:rPr>
            </w:pPr>
            <w:r>
              <w:rPr>
                <w:szCs w:val="22"/>
                <w:lang w:val="en-GB"/>
              </w:rPr>
              <w:t>-0,45</w:t>
            </w:r>
          </w:p>
        </w:tc>
        <w:tc>
          <w:tcPr>
            <w:tcW w:w="1973" w:type="dxa"/>
            <w:tcBorders>
              <w:top w:val="nil"/>
              <w:left w:val="nil"/>
              <w:bottom w:val="nil"/>
              <w:right w:val="nil"/>
            </w:tcBorders>
          </w:tcPr>
          <w:p w14:paraId="32F9AFE8" w14:textId="77777777" w:rsidR="00E96E12" w:rsidRDefault="00E96E12">
            <w:pPr>
              <w:widowControl w:val="0"/>
              <w:tabs>
                <w:tab w:val="left" w:pos="567"/>
              </w:tabs>
              <w:jc w:val="center"/>
              <w:rPr>
                <w:szCs w:val="22"/>
                <w:lang w:val="en-GB"/>
              </w:rPr>
            </w:pPr>
          </w:p>
          <w:p w14:paraId="2FDE329F" w14:textId="77777777" w:rsidR="00E96E12" w:rsidRDefault="00E97765">
            <w:pPr>
              <w:widowControl w:val="0"/>
              <w:tabs>
                <w:tab w:val="left" w:pos="567"/>
              </w:tabs>
              <w:jc w:val="center"/>
              <w:rPr>
                <w:szCs w:val="22"/>
                <w:lang w:val="en-GB"/>
              </w:rPr>
            </w:pPr>
            <w:r>
              <w:rPr>
                <w:szCs w:val="22"/>
                <w:lang w:val="en-GB"/>
              </w:rPr>
              <w:t>0,04</w:t>
            </w:r>
          </w:p>
        </w:tc>
      </w:tr>
      <w:tr w:rsidR="00E96E12" w14:paraId="15E07E9A" w14:textId="77777777">
        <w:tc>
          <w:tcPr>
            <w:tcW w:w="2552" w:type="dxa"/>
            <w:tcBorders>
              <w:top w:val="nil"/>
              <w:left w:val="nil"/>
              <w:bottom w:val="nil"/>
              <w:right w:val="nil"/>
            </w:tcBorders>
          </w:tcPr>
          <w:p w14:paraId="542E4707" w14:textId="77777777" w:rsidR="00E96E12" w:rsidRDefault="00E96E12">
            <w:pPr>
              <w:widowControl w:val="0"/>
              <w:tabs>
                <w:tab w:val="left" w:pos="567"/>
              </w:tabs>
              <w:rPr>
                <w:szCs w:val="22"/>
                <w:lang w:val="en-US"/>
              </w:rPr>
            </w:pPr>
          </w:p>
          <w:p w14:paraId="0E67AD57"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tc>
        <w:tc>
          <w:tcPr>
            <w:tcW w:w="1475" w:type="dxa"/>
            <w:tcBorders>
              <w:top w:val="nil"/>
              <w:left w:val="nil"/>
              <w:bottom w:val="nil"/>
              <w:right w:val="nil"/>
            </w:tcBorders>
          </w:tcPr>
          <w:p w14:paraId="3A719542" w14:textId="77777777" w:rsidR="00E96E12" w:rsidRDefault="00E96E12">
            <w:pPr>
              <w:widowControl w:val="0"/>
              <w:tabs>
                <w:tab w:val="left" w:pos="567"/>
              </w:tabs>
              <w:jc w:val="center"/>
              <w:rPr>
                <w:szCs w:val="22"/>
                <w:lang w:val="en-GB"/>
              </w:rPr>
            </w:pPr>
          </w:p>
          <w:p w14:paraId="3277D6B9" w14:textId="77777777" w:rsidR="00E96E12" w:rsidRDefault="00E97765">
            <w:pPr>
              <w:widowControl w:val="0"/>
              <w:tabs>
                <w:tab w:val="left" w:pos="567"/>
              </w:tabs>
              <w:jc w:val="center"/>
              <w:rPr>
                <w:szCs w:val="22"/>
                <w:lang w:val="en-GB"/>
              </w:rPr>
            </w:pPr>
            <w:r>
              <w:rPr>
                <w:szCs w:val="22"/>
                <w:lang w:val="en-GB"/>
              </w:rPr>
              <w:t>-0,54</w:t>
            </w:r>
            <w:r>
              <w:rPr>
                <w:szCs w:val="22"/>
                <w:vertAlign w:val="superscript"/>
                <w:lang w:val="en-GB"/>
              </w:rPr>
              <w:t>*</w:t>
            </w:r>
          </w:p>
        </w:tc>
        <w:tc>
          <w:tcPr>
            <w:tcW w:w="1598" w:type="dxa"/>
            <w:gridSpan w:val="2"/>
            <w:tcBorders>
              <w:top w:val="nil"/>
              <w:left w:val="nil"/>
              <w:bottom w:val="nil"/>
              <w:right w:val="nil"/>
            </w:tcBorders>
          </w:tcPr>
          <w:p w14:paraId="3A755791" w14:textId="77777777" w:rsidR="00E96E12" w:rsidRDefault="00E96E12">
            <w:pPr>
              <w:widowControl w:val="0"/>
              <w:tabs>
                <w:tab w:val="left" w:pos="567"/>
              </w:tabs>
              <w:jc w:val="center"/>
              <w:rPr>
                <w:szCs w:val="22"/>
                <w:lang w:val="en-GB"/>
              </w:rPr>
            </w:pPr>
          </w:p>
        </w:tc>
        <w:tc>
          <w:tcPr>
            <w:tcW w:w="1956" w:type="dxa"/>
            <w:tcBorders>
              <w:top w:val="nil"/>
              <w:left w:val="nil"/>
              <w:bottom w:val="nil"/>
              <w:right w:val="nil"/>
            </w:tcBorders>
          </w:tcPr>
          <w:p w14:paraId="42AD1FC8" w14:textId="77777777" w:rsidR="00E96E12" w:rsidRDefault="00E96E12">
            <w:pPr>
              <w:widowControl w:val="0"/>
              <w:tabs>
                <w:tab w:val="left" w:pos="567"/>
              </w:tabs>
              <w:jc w:val="center"/>
              <w:rPr>
                <w:szCs w:val="22"/>
                <w:lang w:val="en-GB"/>
              </w:rPr>
            </w:pPr>
          </w:p>
          <w:p w14:paraId="06A907CA" w14:textId="77777777" w:rsidR="00E96E12" w:rsidRDefault="00E97765">
            <w:pPr>
              <w:widowControl w:val="0"/>
              <w:tabs>
                <w:tab w:val="left" w:pos="567"/>
              </w:tabs>
              <w:jc w:val="center"/>
              <w:rPr>
                <w:szCs w:val="22"/>
                <w:lang w:val="en-GB"/>
              </w:rPr>
            </w:pPr>
            <w:r>
              <w:rPr>
                <w:szCs w:val="22"/>
                <w:lang w:val="en-GB"/>
              </w:rPr>
              <w:t>-0,48</w:t>
            </w:r>
            <w:r>
              <w:rPr>
                <w:szCs w:val="22"/>
                <w:vertAlign w:val="superscript"/>
                <w:lang w:val="en-GB"/>
              </w:rPr>
              <w:t>*</w:t>
            </w:r>
          </w:p>
        </w:tc>
        <w:tc>
          <w:tcPr>
            <w:tcW w:w="1973" w:type="dxa"/>
            <w:tcBorders>
              <w:top w:val="nil"/>
              <w:left w:val="nil"/>
              <w:bottom w:val="nil"/>
              <w:right w:val="nil"/>
            </w:tcBorders>
          </w:tcPr>
          <w:p w14:paraId="1D9C727A" w14:textId="77777777" w:rsidR="00E96E12" w:rsidRDefault="00E96E12">
            <w:pPr>
              <w:widowControl w:val="0"/>
              <w:tabs>
                <w:tab w:val="left" w:pos="567"/>
              </w:tabs>
              <w:jc w:val="center"/>
              <w:rPr>
                <w:szCs w:val="22"/>
                <w:lang w:val="en-GB"/>
              </w:rPr>
            </w:pPr>
          </w:p>
        </w:tc>
      </w:tr>
      <w:tr w:rsidR="00E96E12" w14:paraId="38432C4B" w14:textId="77777777">
        <w:tc>
          <w:tcPr>
            <w:tcW w:w="2552" w:type="dxa"/>
            <w:tcBorders>
              <w:top w:val="nil"/>
              <w:left w:val="nil"/>
              <w:bottom w:val="single" w:sz="4" w:space="0" w:color="auto"/>
              <w:right w:val="nil"/>
            </w:tcBorders>
          </w:tcPr>
          <w:p w14:paraId="606589F9" w14:textId="77777777" w:rsidR="00E96E12" w:rsidRDefault="00E97765">
            <w:pPr>
              <w:widowControl w:val="0"/>
              <w:tabs>
                <w:tab w:val="left" w:pos="567"/>
              </w:tabs>
              <w:rPr>
                <w:szCs w:val="22"/>
                <w:lang w:val="en-GB"/>
              </w:rPr>
            </w:pPr>
            <w:r>
              <w:rPr>
                <w:szCs w:val="22"/>
                <w:lang w:val="en-US"/>
              </w:rPr>
              <w:t>(95% PI)</w:t>
            </w:r>
          </w:p>
        </w:tc>
        <w:tc>
          <w:tcPr>
            <w:tcW w:w="1475" w:type="dxa"/>
            <w:tcBorders>
              <w:top w:val="nil"/>
              <w:left w:val="nil"/>
              <w:bottom w:val="single" w:sz="4" w:space="0" w:color="auto"/>
              <w:right w:val="nil"/>
            </w:tcBorders>
          </w:tcPr>
          <w:p w14:paraId="326AFFDB" w14:textId="77777777" w:rsidR="00E96E12" w:rsidRDefault="00E97765">
            <w:pPr>
              <w:widowControl w:val="0"/>
              <w:tabs>
                <w:tab w:val="left" w:pos="567"/>
              </w:tabs>
              <w:jc w:val="center"/>
              <w:rPr>
                <w:szCs w:val="22"/>
                <w:lang w:val="en-GB"/>
              </w:rPr>
            </w:pPr>
            <w:r>
              <w:rPr>
                <w:szCs w:val="22"/>
                <w:lang w:val="en-GB"/>
              </w:rPr>
              <w:t>(-0,74, -0,34)</w:t>
            </w:r>
          </w:p>
        </w:tc>
        <w:tc>
          <w:tcPr>
            <w:tcW w:w="1598" w:type="dxa"/>
            <w:gridSpan w:val="2"/>
            <w:tcBorders>
              <w:top w:val="nil"/>
              <w:left w:val="nil"/>
              <w:bottom w:val="single" w:sz="4" w:space="0" w:color="auto"/>
              <w:right w:val="nil"/>
            </w:tcBorders>
          </w:tcPr>
          <w:p w14:paraId="4DE64BB3" w14:textId="77777777" w:rsidR="00E96E12" w:rsidRDefault="00E96E12">
            <w:pPr>
              <w:widowControl w:val="0"/>
              <w:tabs>
                <w:tab w:val="left" w:pos="567"/>
              </w:tabs>
              <w:jc w:val="center"/>
              <w:rPr>
                <w:szCs w:val="22"/>
                <w:lang w:val="en-GB"/>
              </w:rPr>
            </w:pPr>
          </w:p>
        </w:tc>
        <w:tc>
          <w:tcPr>
            <w:tcW w:w="1956" w:type="dxa"/>
            <w:tcBorders>
              <w:top w:val="nil"/>
              <w:left w:val="nil"/>
              <w:bottom w:val="single" w:sz="4" w:space="0" w:color="auto"/>
              <w:right w:val="nil"/>
            </w:tcBorders>
          </w:tcPr>
          <w:p w14:paraId="16F2F563" w14:textId="77777777" w:rsidR="00E96E12" w:rsidRDefault="00E97765">
            <w:pPr>
              <w:widowControl w:val="0"/>
              <w:tabs>
                <w:tab w:val="left" w:pos="567"/>
              </w:tabs>
              <w:jc w:val="center"/>
              <w:rPr>
                <w:szCs w:val="22"/>
                <w:lang w:val="en-GB"/>
              </w:rPr>
            </w:pPr>
            <w:r>
              <w:rPr>
                <w:szCs w:val="22"/>
                <w:lang w:val="en-GB"/>
              </w:rPr>
              <w:t>(-0,62, -0,34)</w:t>
            </w:r>
          </w:p>
        </w:tc>
        <w:tc>
          <w:tcPr>
            <w:tcW w:w="1973" w:type="dxa"/>
            <w:tcBorders>
              <w:top w:val="nil"/>
              <w:left w:val="nil"/>
              <w:bottom w:val="single" w:sz="4" w:space="0" w:color="auto"/>
              <w:right w:val="nil"/>
            </w:tcBorders>
          </w:tcPr>
          <w:p w14:paraId="01BC84E6" w14:textId="77777777" w:rsidR="00E96E12" w:rsidRDefault="00E96E12">
            <w:pPr>
              <w:widowControl w:val="0"/>
              <w:tabs>
                <w:tab w:val="left" w:pos="567"/>
              </w:tabs>
              <w:jc w:val="center"/>
              <w:rPr>
                <w:szCs w:val="22"/>
                <w:lang w:val="en-GB"/>
              </w:rPr>
            </w:pPr>
          </w:p>
        </w:tc>
      </w:tr>
      <w:tr w:rsidR="00E96E12" w14:paraId="327DFCBB" w14:textId="77777777">
        <w:tc>
          <w:tcPr>
            <w:tcW w:w="2552" w:type="dxa"/>
            <w:tcBorders>
              <w:top w:val="single" w:sz="4" w:space="0" w:color="auto"/>
              <w:left w:val="nil"/>
              <w:bottom w:val="nil"/>
              <w:right w:val="nil"/>
            </w:tcBorders>
          </w:tcPr>
          <w:p w14:paraId="040710B2" w14:textId="77777777" w:rsidR="00E96E12" w:rsidRDefault="00E97765">
            <w:pPr>
              <w:widowControl w:val="0"/>
              <w:tabs>
                <w:tab w:val="left" w:pos="567"/>
              </w:tabs>
              <w:rPr>
                <w:b/>
                <w:szCs w:val="22"/>
                <w:lang w:val="en-US"/>
              </w:rPr>
            </w:pPr>
            <w:proofErr w:type="spellStart"/>
            <w:r>
              <w:rPr>
                <w:b/>
                <w:szCs w:val="22"/>
                <w:lang w:val="en-US"/>
              </w:rPr>
              <w:t>Asmenys</w:t>
            </w:r>
            <w:proofErr w:type="spellEnd"/>
            <w:r>
              <w:rPr>
                <w:b/>
                <w:szCs w:val="22"/>
                <w:lang w:val="en-US"/>
              </w:rPr>
              <w:t xml:space="preserve">, </w:t>
            </w:r>
            <w:proofErr w:type="spellStart"/>
            <w:r>
              <w:rPr>
                <w:b/>
                <w:szCs w:val="22"/>
                <w:lang w:val="en-US"/>
              </w:rPr>
              <w:t>kurių</w:t>
            </w:r>
            <w:proofErr w:type="spellEnd"/>
            <w:r>
              <w:rPr>
                <w:b/>
                <w:szCs w:val="22"/>
                <w:lang w:val="en-US"/>
              </w:rPr>
              <w:t xml:space="preserve"> </w:t>
            </w:r>
          </w:p>
          <w:p w14:paraId="1E181FCF" w14:textId="77777777" w:rsidR="00E96E12" w:rsidRDefault="00E97765">
            <w:pPr>
              <w:widowControl w:val="0"/>
              <w:tabs>
                <w:tab w:val="left" w:pos="567"/>
              </w:tabs>
              <w:rPr>
                <w:szCs w:val="22"/>
                <w:lang w:val="en-GB"/>
              </w:rPr>
            </w:pPr>
            <w:r>
              <w:rPr>
                <w:b/>
                <w:szCs w:val="22"/>
                <w:lang w:val="en-US"/>
              </w:rPr>
              <w:t xml:space="preserve">HbA1c </w:t>
            </w:r>
            <w:proofErr w:type="spellStart"/>
            <w:r>
              <w:rPr>
                <w:b/>
                <w:szCs w:val="22"/>
                <w:lang w:val="en-US"/>
              </w:rPr>
              <w:t>pasidarė</w:t>
            </w:r>
            <w:proofErr w:type="spellEnd"/>
            <w:r>
              <w:rPr>
                <w:b/>
                <w:szCs w:val="22"/>
                <w:lang w:val="en-US"/>
              </w:rPr>
              <w:t xml:space="preserve"> &lt; 7% </w:t>
            </w:r>
            <w:r>
              <w:rPr>
                <w:b/>
                <w:szCs w:val="22"/>
                <w:lang w:val="en-US"/>
              </w:rPr>
              <w:lastRenderedPageBreak/>
              <w:t>(%)</w:t>
            </w:r>
          </w:p>
        </w:tc>
        <w:tc>
          <w:tcPr>
            <w:tcW w:w="1475" w:type="dxa"/>
            <w:tcBorders>
              <w:top w:val="single" w:sz="4" w:space="0" w:color="auto"/>
              <w:left w:val="nil"/>
              <w:bottom w:val="nil"/>
              <w:right w:val="nil"/>
            </w:tcBorders>
          </w:tcPr>
          <w:p w14:paraId="1E8902F2" w14:textId="77777777" w:rsidR="00E96E12" w:rsidRDefault="00E96E12">
            <w:pPr>
              <w:widowControl w:val="0"/>
              <w:tabs>
                <w:tab w:val="left" w:pos="567"/>
              </w:tabs>
              <w:jc w:val="center"/>
              <w:rPr>
                <w:szCs w:val="22"/>
                <w:lang w:val="en-GB"/>
              </w:rPr>
            </w:pPr>
          </w:p>
        </w:tc>
        <w:tc>
          <w:tcPr>
            <w:tcW w:w="1598" w:type="dxa"/>
            <w:gridSpan w:val="2"/>
            <w:tcBorders>
              <w:top w:val="single" w:sz="4" w:space="0" w:color="auto"/>
              <w:left w:val="nil"/>
              <w:bottom w:val="nil"/>
              <w:right w:val="nil"/>
            </w:tcBorders>
          </w:tcPr>
          <w:p w14:paraId="0942C0FB" w14:textId="77777777" w:rsidR="00E96E12" w:rsidRDefault="00E96E12">
            <w:pPr>
              <w:widowControl w:val="0"/>
              <w:tabs>
                <w:tab w:val="left" w:pos="567"/>
              </w:tabs>
              <w:jc w:val="center"/>
              <w:rPr>
                <w:szCs w:val="22"/>
                <w:lang w:val="en-GB"/>
              </w:rPr>
            </w:pPr>
          </w:p>
        </w:tc>
        <w:tc>
          <w:tcPr>
            <w:tcW w:w="1956" w:type="dxa"/>
            <w:tcBorders>
              <w:top w:val="single" w:sz="4" w:space="0" w:color="auto"/>
              <w:left w:val="nil"/>
              <w:bottom w:val="nil"/>
              <w:right w:val="nil"/>
            </w:tcBorders>
            <w:vAlign w:val="bottom"/>
          </w:tcPr>
          <w:p w14:paraId="60F20019" w14:textId="77777777" w:rsidR="00E96E12" w:rsidRDefault="00E96E12">
            <w:pPr>
              <w:widowControl w:val="0"/>
              <w:tabs>
                <w:tab w:val="left" w:pos="567"/>
              </w:tabs>
              <w:jc w:val="center"/>
              <w:rPr>
                <w:szCs w:val="22"/>
                <w:lang w:val="en-GB"/>
              </w:rPr>
            </w:pPr>
          </w:p>
        </w:tc>
        <w:tc>
          <w:tcPr>
            <w:tcW w:w="1973" w:type="dxa"/>
            <w:tcBorders>
              <w:top w:val="single" w:sz="4" w:space="0" w:color="auto"/>
              <w:left w:val="nil"/>
              <w:bottom w:val="nil"/>
              <w:right w:val="nil"/>
            </w:tcBorders>
            <w:vAlign w:val="bottom"/>
          </w:tcPr>
          <w:p w14:paraId="3EFAB1A6" w14:textId="77777777" w:rsidR="00E96E12" w:rsidRDefault="00E96E12">
            <w:pPr>
              <w:widowControl w:val="0"/>
              <w:tabs>
                <w:tab w:val="left" w:pos="567"/>
              </w:tabs>
              <w:jc w:val="center"/>
              <w:rPr>
                <w:szCs w:val="22"/>
                <w:lang w:val="en-GB"/>
              </w:rPr>
            </w:pPr>
          </w:p>
        </w:tc>
      </w:tr>
      <w:tr w:rsidR="00E96E12" w14:paraId="5DE47563" w14:textId="77777777">
        <w:tc>
          <w:tcPr>
            <w:tcW w:w="2552" w:type="dxa"/>
            <w:tcBorders>
              <w:top w:val="nil"/>
              <w:left w:val="nil"/>
              <w:bottom w:val="single" w:sz="4" w:space="0" w:color="auto"/>
              <w:right w:val="nil"/>
            </w:tcBorders>
          </w:tcPr>
          <w:p w14:paraId="26555A17" w14:textId="77777777" w:rsidR="00E96E12" w:rsidRDefault="00E97765">
            <w:pPr>
              <w:widowControl w:val="0"/>
              <w:tabs>
                <w:tab w:val="left" w:pos="567"/>
              </w:tabs>
              <w:rPr>
                <w:szCs w:val="22"/>
                <w:lang w:val="pt-PT"/>
              </w:rPr>
            </w:pPr>
            <w:r>
              <w:rPr>
                <w:szCs w:val="22"/>
                <w:lang w:val="pt-PT"/>
              </w:rPr>
              <w:t>Koreguota pagal koncentraciją iki tyrimo</w:t>
            </w:r>
          </w:p>
        </w:tc>
        <w:tc>
          <w:tcPr>
            <w:tcW w:w="1475" w:type="dxa"/>
            <w:tcBorders>
              <w:top w:val="nil"/>
              <w:left w:val="nil"/>
              <w:bottom w:val="single" w:sz="4" w:space="0" w:color="auto"/>
              <w:right w:val="nil"/>
            </w:tcBorders>
          </w:tcPr>
          <w:p w14:paraId="336DFB20" w14:textId="77777777" w:rsidR="00E96E12" w:rsidRDefault="00E97765">
            <w:pPr>
              <w:widowControl w:val="0"/>
              <w:tabs>
                <w:tab w:val="left" w:pos="567"/>
              </w:tabs>
              <w:jc w:val="center"/>
              <w:rPr>
                <w:szCs w:val="22"/>
                <w:lang w:val="en-GB"/>
              </w:rPr>
            </w:pPr>
            <w:r>
              <w:rPr>
                <w:szCs w:val="22"/>
                <w:lang w:val="en-GB"/>
              </w:rPr>
              <w:t>40,6</w:t>
            </w:r>
            <w:r>
              <w:rPr>
                <w:szCs w:val="22"/>
                <w:vertAlign w:val="superscript"/>
                <w:lang w:val="en-GB"/>
              </w:rPr>
              <w:t>**</w:t>
            </w:r>
          </w:p>
        </w:tc>
        <w:tc>
          <w:tcPr>
            <w:tcW w:w="1598" w:type="dxa"/>
            <w:gridSpan w:val="2"/>
            <w:tcBorders>
              <w:top w:val="nil"/>
              <w:left w:val="nil"/>
              <w:bottom w:val="single" w:sz="4" w:space="0" w:color="auto"/>
              <w:right w:val="nil"/>
            </w:tcBorders>
          </w:tcPr>
          <w:p w14:paraId="1D47BB24" w14:textId="77777777" w:rsidR="00E96E12" w:rsidRDefault="00E97765">
            <w:pPr>
              <w:widowControl w:val="0"/>
              <w:tabs>
                <w:tab w:val="left" w:pos="567"/>
              </w:tabs>
              <w:jc w:val="center"/>
              <w:rPr>
                <w:szCs w:val="22"/>
                <w:lang w:val="en-GB"/>
              </w:rPr>
            </w:pPr>
            <w:r>
              <w:rPr>
                <w:szCs w:val="22"/>
                <w:lang w:val="en-GB"/>
              </w:rPr>
              <w:t>25,9</w:t>
            </w:r>
          </w:p>
        </w:tc>
        <w:tc>
          <w:tcPr>
            <w:tcW w:w="1956" w:type="dxa"/>
            <w:tcBorders>
              <w:top w:val="nil"/>
              <w:left w:val="nil"/>
              <w:bottom w:val="single" w:sz="4" w:space="0" w:color="auto"/>
              <w:right w:val="nil"/>
            </w:tcBorders>
          </w:tcPr>
          <w:p w14:paraId="63E3169D" w14:textId="77777777" w:rsidR="00E96E12" w:rsidRDefault="00E96E12">
            <w:pPr>
              <w:widowControl w:val="0"/>
              <w:tabs>
                <w:tab w:val="left" w:pos="567"/>
              </w:tabs>
              <w:jc w:val="center"/>
              <w:rPr>
                <w:szCs w:val="22"/>
                <w:lang w:val="en-GB"/>
              </w:rPr>
            </w:pPr>
          </w:p>
        </w:tc>
        <w:tc>
          <w:tcPr>
            <w:tcW w:w="1973" w:type="dxa"/>
            <w:tcBorders>
              <w:top w:val="nil"/>
              <w:left w:val="nil"/>
              <w:bottom w:val="single" w:sz="4" w:space="0" w:color="auto"/>
              <w:right w:val="nil"/>
            </w:tcBorders>
          </w:tcPr>
          <w:p w14:paraId="19E76A44" w14:textId="77777777" w:rsidR="00E96E12" w:rsidRDefault="00E96E12">
            <w:pPr>
              <w:widowControl w:val="0"/>
              <w:tabs>
                <w:tab w:val="left" w:pos="567"/>
              </w:tabs>
              <w:jc w:val="center"/>
              <w:rPr>
                <w:szCs w:val="22"/>
                <w:lang w:val="en-GB"/>
              </w:rPr>
            </w:pPr>
          </w:p>
        </w:tc>
      </w:tr>
      <w:tr w:rsidR="00E96E12" w14:paraId="4180C218" w14:textId="77777777">
        <w:tc>
          <w:tcPr>
            <w:tcW w:w="2552" w:type="dxa"/>
            <w:tcBorders>
              <w:top w:val="single" w:sz="4" w:space="0" w:color="auto"/>
              <w:left w:val="nil"/>
              <w:bottom w:val="nil"/>
              <w:right w:val="nil"/>
            </w:tcBorders>
          </w:tcPr>
          <w:p w14:paraId="20784A22" w14:textId="77777777" w:rsidR="00E96E12" w:rsidRDefault="00E97765">
            <w:pPr>
              <w:widowControl w:val="0"/>
              <w:tabs>
                <w:tab w:val="left" w:pos="567"/>
              </w:tabs>
              <w:rPr>
                <w:szCs w:val="22"/>
                <w:lang w:val="en-GB"/>
              </w:rPr>
            </w:pPr>
            <w:proofErr w:type="spellStart"/>
            <w:r>
              <w:rPr>
                <w:b/>
                <w:szCs w:val="22"/>
                <w:lang w:val="en-US"/>
              </w:rPr>
              <w:t>Kūno</w:t>
            </w:r>
            <w:proofErr w:type="spellEnd"/>
            <w:r>
              <w:rPr>
                <w:b/>
                <w:szCs w:val="22"/>
                <w:lang w:val="en-US"/>
              </w:rPr>
              <w:t xml:space="preserve"> </w:t>
            </w:r>
            <w:proofErr w:type="spellStart"/>
            <w:r>
              <w:rPr>
                <w:b/>
                <w:szCs w:val="22"/>
                <w:lang w:val="en-US"/>
              </w:rPr>
              <w:t>svoris</w:t>
            </w:r>
            <w:proofErr w:type="spellEnd"/>
            <w:r>
              <w:rPr>
                <w:b/>
                <w:szCs w:val="22"/>
                <w:lang w:val="en-US"/>
              </w:rPr>
              <w:t xml:space="preserve"> (kg)</w:t>
            </w:r>
          </w:p>
        </w:tc>
        <w:tc>
          <w:tcPr>
            <w:tcW w:w="1475" w:type="dxa"/>
            <w:tcBorders>
              <w:top w:val="single" w:sz="4" w:space="0" w:color="auto"/>
              <w:left w:val="nil"/>
              <w:bottom w:val="nil"/>
              <w:right w:val="nil"/>
            </w:tcBorders>
          </w:tcPr>
          <w:p w14:paraId="41C0B4CC" w14:textId="77777777" w:rsidR="00E96E12" w:rsidRDefault="00E96E12">
            <w:pPr>
              <w:widowControl w:val="0"/>
              <w:tabs>
                <w:tab w:val="left" w:pos="567"/>
              </w:tabs>
              <w:jc w:val="center"/>
              <w:rPr>
                <w:szCs w:val="22"/>
                <w:lang w:val="en-GB"/>
              </w:rPr>
            </w:pPr>
          </w:p>
        </w:tc>
        <w:tc>
          <w:tcPr>
            <w:tcW w:w="1598" w:type="dxa"/>
            <w:gridSpan w:val="2"/>
            <w:tcBorders>
              <w:top w:val="single" w:sz="4" w:space="0" w:color="auto"/>
              <w:left w:val="nil"/>
              <w:bottom w:val="nil"/>
              <w:right w:val="nil"/>
            </w:tcBorders>
          </w:tcPr>
          <w:p w14:paraId="18E4C3AA" w14:textId="77777777" w:rsidR="00E96E12" w:rsidRDefault="00E96E12">
            <w:pPr>
              <w:widowControl w:val="0"/>
              <w:tabs>
                <w:tab w:val="left" w:pos="567"/>
              </w:tabs>
              <w:jc w:val="center"/>
              <w:rPr>
                <w:szCs w:val="22"/>
                <w:lang w:val="en-GB"/>
              </w:rPr>
            </w:pPr>
          </w:p>
        </w:tc>
        <w:tc>
          <w:tcPr>
            <w:tcW w:w="1956" w:type="dxa"/>
            <w:tcBorders>
              <w:top w:val="single" w:sz="4" w:space="0" w:color="auto"/>
              <w:left w:val="nil"/>
              <w:bottom w:val="nil"/>
              <w:right w:val="nil"/>
            </w:tcBorders>
          </w:tcPr>
          <w:p w14:paraId="1B330429" w14:textId="77777777" w:rsidR="00E96E12" w:rsidRDefault="00E96E12">
            <w:pPr>
              <w:widowControl w:val="0"/>
              <w:tabs>
                <w:tab w:val="left" w:pos="567"/>
              </w:tabs>
              <w:jc w:val="center"/>
              <w:rPr>
                <w:szCs w:val="22"/>
                <w:lang w:val="en-GB"/>
              </w:rPr>
            </w:pPr>
          </w:p>
        </w:tc>
        <w:tc>
          <w:tcPr>
            <w:tcW w:w="1973" w:type="dxa"/>
            <w:tcBorders>
              <w:top w:val="single" w:sz="4" w:space="0" w:color="auto"/>
              <w:left w:val="nil"/>
              <w:bottom w:val="nil"/>
              <w:right w:val="nil"/>
            </w:tcBorders>
          </w:tcPr>
          <w:p w14:paraId="0F33639A" w14:textId="77777777" w:rsidR="00E96E12" w:rsidRDefault="00E96E12">
            <w:pPr>
              <w:widowControl w:val="0"/>
              <w:tabs>
                <w:tab w:val="left" w:pos="567"/>
              </w:tabs>
              <w:jc w:val="center"/>
              <w:rPr>
                <w:szCs w:val="22"/>
                <w:lang w:val="en-GB"/>
              </w:rPr>
            </w:pPr>
          </w:p>
        </w:tc>
      </w:tr>
      <w:tr w:rsidR="00E96E12" w14:paraId="3932285D" w14:textId="77777777">
        <w:tc>
          <w:tcPr>
            <w:tcW w:w="2552" w:type="dxa"/>
            <w:tcBorders>
              <w:top w:val="nil"/>
              <w:left w:val="nil"/>
              <w:bottom w:val="nil"/>
              <w:right w:val="nil"/>
            </w:tcBorders>
          </w:tcPr>
          <w:p w14:paraId="03A2E093" w14:textId="77777777" w:rsidR="00E96E12" w:rsidRDefault="00E97765">
            <w:pPr>
              <w:widowControl w:val="0"/>
              <w:tabs>
                <w:tab w:val="left" w:pos="567"/>
              </w:tabs>
              <w:rPr>
                <w:szCs w:val="22"/>
                <w:lang w:val="en-GB"/>
              </w:rPr>
            </w:pPr>
            <w:r>
              <w:rPr>
                <w:szCs w:val="22"/>
                <w:lang w:val="en-US"/>
              </w:rPr>
              <w:t xml:space="preserve">Iki </w:t>
            </w:r>
            <w:proofErr w:type="spellStart"/>
            <w:r>
              <w:rPr>
                <w:szCs w:val="22"/>
                <w:lang w:val="en-US"/>
              </w:rPr>
              <w:t>tyrimo</w:t>
            </w:r>
            <w:proofErr w:type="spellEnd"/>
            <w:r>
              <w:rPr>
                <w:szCs w:val="22"/>
                <w:lang w:val="en-US"/>
              </w:rPr>
              <w:t xml:space="preserve"> (</w:t>
            </w:r>
            <w:proofErr w:type="spellStart"/>
            <w:r>
              <w:rPr>
                <w:szCs w:val="22"/>
                <w:lang w:val="en-US"/>
              </w:rPr>
              <w:t>vidurkis</w:t>
            </w:r>
            <w:proofErr w:type="spellEnd"/>
            <w:r>
              <w:rPr>
                <w:szCs w:val="22"/>
                <w:lang w:val="en-US"/>
              </w:rPr>
              <w:t>)</w:t>
            </w:r>
          </w:p>
        </w:tc>
        <w:tc>
          <w:tcPr>
            <w:tcW w:w="1475" w:type="dxa"/>
            <w:tcBorders>
              <w:top w:val="nil"/>
              <w:left w:val="nil"/>
              <w:bottom w:val="nil"/>
              <w:right w:val="nil"/>
            </w:tcBorders>
          </w:tcPr>
          <w:p w14:paraId="1A8E1051" w14:textId="77777777" w:rsidR="00E96E12" w:rsidRDefault="00E97765">
            <w:pPr>
              <w:widowControl w:val="0"/>
              <w:tabs>
                <w:tab w:val="left" w:pos="567"/>
              </w:tabs>
              <w:jc w:val="center"/>
              <w:rPr>
                <w:szCs w:val="22"/>
                <w:lang w:val="en-GB"/>
              </w:rPr>
            </w:pPr>
            <w:r>
              <w:rPr>
                <w:szCs w:val="22"/>
                <w:lang w:val="en-GB"/>
              </w:rPr>
              <w:t>86,28</w:t>
            </w:r>
          </w:p>
        </w:tc>
        <w:tc>
          <w:tcPr>
            <w:tcW w:w="1598" w:type="dxa"/>
            <w:gridSpan w:val="2"/>
            <w:tcBorders>
              <w:top w:val="nil"/>
              <w:left w:val="nil"/>
              <w:bottom w:val="nil"/>
              <w:right w:val="nil"/>
            </w:tcBorders>
          </w:tcPr>
          <w:p w14:paraId="5714ADA5" w14:textId="77777777" w:rsidR="00E96E12" w:rsidRDefault="00E97765">
            <w:pPr>
              <w:widowControl w:val="0"/>
              <w:tabs>
                <w:tab w:val="left" w:pos="567"/>
              </w:tabs>
              <w:jc w:val="center"/>
              <w:rPr>
                <w:szCs w:val="22"/>
                <w:lang w:val="en-GB"/>
              </w:rPr>
            </w:pPr>
            <w:r>
              <w:rPr>
                <w:szCs w:val="22"/>
                <w:lang w:val="en-GB"/>
              </w:rPr>
              <w:t>87,74</w:t>
            </w:r>
          </w:p>
        </w:tc>
        <w:tc>
          <w:tcPr>
            <w:tcW w:w="1956" w:type="dxa"/>
            <w:tcBorders>
              <w:top w:val="nil"/>
              <w:left w:val="nil"/>
              <w:bottom w:val="nil"/>
              <w:right w:val="nil"/>
            </w:tcBorders>
          </w:tcPr>
          <w:p w14:paraId="4F5671F3" w14:textId="77777777" w:rsidR="00E96E12" w:rsidRDefault="00E97765">
            <w:pPr>
              <w:widowControl w:val="0"/>
              <w:tabs>
                <w:tab w:val="left" w:pos="567"/>
              </w:tabs>
              <w:jc w:val="center"/>
              <w:rPr>
                <w:szCs w:val="22"/>
                <w:lang w:val="en-GB"/>
              </w:rPr>
            </w:pPr>
            <w:r>
              <w:rPr>
                <w:szCs w:val="22"/>
                <w:lang w:val="en-GB"/>
              </w:rPr>
              <w:t>91,02</w:t>
            </w:r>
          </w:p>
        </w:tc>
        <w:tc>
          <w:tcPr>
            <w:tcW w:w="1973" w:type="dxa"/>
            <w:tcBorders>
              <w:top w:val="nil"/>
              <w:left w:val="nil"/>
              <w:bottom w:val="nil"/>
              <w:right w:val="nil"/>
            </w:tcBorders>
          </w:tcPr>
          <w:p w14:paraId="425E5D68" w14:textId="77777777" w:rsidR="00E96E12" w:rsidRDefault="00E97765">
            <w:pPr>
              <w:widowControl w:val="0"/>
              <w:tabs>
                <w:tab w:val="left" w:pos="567"/>
              </w:tabs>
              <w:jc w:val="center"/>
              <w:rPr>
                <w:szCs w:val="22"/>
                <w:lang w:val="en-GB"/>
              </w:rPr>
            </w:pPr>
            <w:r>
              <w:rPr>
                <w:szCs w:val="22"/>
                <w:lang w:val="en-GB"/>
              </w:rPr>
              <w:t>89,23</w:t>
            </w:r>
          </w:p>
        </w:tc>
      </w:tr>
      <w:tr w:rsidR="00E96E12" w14:paraId="59BFDE41" w14:textId="77777777">
        <w:tc>
          <w:tcPr>
            <w:tcW w:w="2552" w:type="dxa"/>
            <w:tcBorders>
              <w:top w:val="nil"/>
              <w:left w:val="nil"/>
              <w:bottom w:val="nil"/>
              <w:right w:val="nil"/>
            </w:tcBorders>
          </w:tcPr>
          <w:p w14:paraId="5443397F" w14:textId="77777777" w:rsidR="00E96E12" w:rsidRDefault="00E97765">
            <w:pPr>
              <w:widowControl w:val="0"/>
              <w:tabs>
                <w:tab w:val="left" w:pos="567"/>
              </w:tabs>
              <w:rPr>
                <w:szCs w:val="22"/>
                <w:lang w:val="lt-LT"/>
              </w:rPr>
            </w:pPr>
            <w:r>
              <w:rPr>
                <w:szCs w:val="22"/>
                <w:lang w:val="lt-LT"/>
              </w:rPr>
              <w:t xml:space="preserve">Pokytis palyginus su buvusiu iki </w:t>
            </w:r>
            <w:proofErr w:type="spellStart"/>
            <w:r>
              <w:rPr>
                <w:szCs w:val="22"/>
                <w:lang w:val="lt-LT"/>
              </w:rPr>
              <w:t>tyrimo</w:t>
            </w:r>
            <w:r>
              <w:rPr>
                <w:szCs w:val="22"/>
                <w:vertAlign w:val="superscript"/>
                <w:lang w:val="lt-LT"/>
              </w:rPr>
              <w:t>c</w:t>
            </w:r>
            <w:proofErr w:type="spellEnd"/>
          </w:p>
        </w:tc>
        <w:tc>
          <w:tcPr>
            <w:tcW w:w="1475" w:type="dxa"/>
            <w:tcBorders>
              <w:top w:val="nil"/>
              <w:left w:val="nil"/>
              <w:bottom w:val="nil"/>
              <w:right w:val="nil"/>
            </w:tcBorders>
          </w:tcPr>
          <w:p w14:paraId="3201A271" w14:textId="77777777" w:rsidR="00E96E12" w:rsidRDefault="00E97765">
            <w:pPr>
              <w:widowControl w:val="0"/>
              <w:tabs>
                <w:tab w:val="left" w:pos="567"/>
              </w:tabs>
              <w:jc w:val="center"/>
              <w:rPr>
                <w:szCs w:val="22"/>
                <w:lang w:val="en-GB"/>
              </w:rPr>
            </w:pPr>
            <w:r>
              <w:rPr>
                <w:szCs w:val="22"/>
                <w:lang w:val="en-GB"/>
              </w:rPr>
              <w:t>-2,86</w:t>
            </w:r>
          </w:p>
        </w:tc>
        <w:tc>
          <w:tcPr>
            <w:tcW w:w="1598" w:type="dxa"/>
            <w:gridSpan w:val="2"/>
            <w:tcBorders>
              <w:top w:val="nil"/>
              <w:left w:val="nil"/>
              <w:bottom w:val="nil"/>
              <w:right w:val="nil"/>
            </w:tcBorders>
          </w:tcPr>
          <w:p w14:paraId="03C192B6" w14:textId="77777777" w:rsidR="00E96E12" w:rsidRDefault="00E97765">
            <w:pPr>
              <w:widowControl w:val="0"/>
              <w:tabs>
                <w:tab w:val="left" w:pos="567"/>
              </w:tabs>
              <w:jc w:val="center"/>
              <w:rPr>
                <w:szCs w:val="22"/>
                <w:lang w:val="en-GB"/>
              </w:rPr>
            </w:pPr>
            <w:r>
              <w:rPr>
                <w:szCs w:val="22"/>
                <w:lang w:val="en-GB"/>
              </w:rPr>
              <w:t>-0,89</w:t>
            </w:r>
          </w:p>
        </w:tc>
        <w:tc>
          <w:tcPr>
            <w:tcW w:w="1956" w:type="dxa"/>
            <w:tcBorders>
              <w:top w:val="nil"/>
              <w:left w:val="nil"/>
              <w:bottom w:val="nil"/>
              <w:right w:val="nil"/>
            </w:tcBorders>
          </w:tcPr>
          <w:p w14:paraId="3425F26F" w14:textId="77777777" w:rsidR="00E96E12" w:rsidRDefault="00E97765">
            <w:pPr>
              <w:widowControl w:val="0"/>
              <w:tabs>
                <w:tab w:val="left" w:pos="567"/>
              </w:tabs>
              <w:jc w:val="center"/>
              <w:rPr>
                <w:szCs w:val="22"/>
                <w:lang w:val="en-GB"/>
              </w:rPr>
            </w:pPr>
            <w:r>
              <w:rPr>
                <w:szCs w:val="22"/>
                <w:lang w:val="en-GB"/>
              </w:rPr>
              <w:t>-2,14</w:t>
            </w:r>
          </w:p>
        </w:tc>
        <w:tc>
          <w:tcPr>
            <w:tcW w:w="1973" w:type="dxa"/>
            <w:tcBorders>
              <w:top w:val="nil"/>
              <w:left w:val="nil"/>
              <w:bottom w:val="nil"/>
              <w:right w:val="nil"/>
            </w:tcBorders>
          </w:tcPr>
          <w:p w14:paraId="2ED26D82" w14:textId="77777777" w:rsidR="00E96E12" w:rsidRDefault="00E97765">
            <w:pPr>
              <w:widowControl w:val="0"/>
              <w:tabs>
                <w:tab w:val="left" w:pos="567"/>
              </w:tabs>
              <w:jc w:val="center"/>
              <w:rPr>
                <w:szCs w:val="22"/>
                <w:lang w:val="en-GB"/>
              </w:rPr>
            </w:pPr>
            <w:r>
              <w:rPr>
                <w:szCs w:val="22"/>
                <w:lang w:val="en-GB"/>
              </w:rPr>
              <w:t>-0,26</w:t>
            </w:r>
          </w:p>
        </w:tc>
      </w:tr>
      <w:tr w:rsidR="00E96E12" w14:paraId="29B9B751" w14:textId="77777777">
        <w:tc>
          <w:tcPr>
            <w:tcW w:w="2552" w:type="dxa"/>
            <w:tcBorders>
              <w:top w:val="nil"/>
              <w:left w:val="nil"/>
              <w:bottom w:val="nil"/>
              <w:right w:val="nil"/>
            </w:tcBorders>
          </w:tcPr>
          <w:p w14:paraId="30BE4F23"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tc>
        <w:tc>
          <w:tcPr>
            <w:tcW w:w="1475" w:type="dxa"/>
            <w:tcBorders>
              <w:top w:val="nil"/>
              <w:left w:val="nil"/>
              <w:bottom w:val="nil"/>
              <w:right w:val="nil"/>
            </w:tcBorders>
          </w:tcPr>
          <w:p w14:paraId="0FEEBE4B" w14:textId="77777777" w:rsidR="00E96E12" w:rsidRDefault="00E97765">
            <w:pPr>
              <w:widowControl w:val="0"/>
              <w:tabs>
                <w:tab w:val="left" w:pos="567"/>
              </w:tabs>
              <w:jc w:val="center"/>
              <w:rPr>
                <w:szCs w:val="22"/>
                <w:lang w:val="en-GB"/>
              </w:rPr>
            </w:pPr>
            <w:r>
              <w:rPr>
                <w:szCs w:val="22"/>
                <w:lang w:val="en-GB"/>
              </w:rPr>
              <w:t>-1,97</w:t>
            </w:r>
            <w:r>
              <w:rPr>
                <w:szCs w:val="22"/>
                <w:vertAlign w:val="superscript"/>
                <w:lang w:val="en-GB"/>
              </w:rPr>
              <w:t>*</w:t>
            </w:r>
          </w:p>
        </w:tc>
        <w:tc>
          <w:tcPr>
            <w:tcW w:w="1598" w:type="dxa"/>
            <w:gridSpan w:val="2"/>
            <w:tcBorders>
              <w:top w:val="nil"/>
              <w:left w:val="nil"/>
              <w:bottom w:val="nil"/>
              <w:right w:val="nil"/>
            </w:tcBorders>
          </w:tcPr>
          <w:p w14:paraId="55070F26" w14:textId="77777777" w:rsidR="00E96E12" w:rsidRDefault="00E96E12">
            <w:pPr>
              <w:widowControl w:val="0"/>
              <w:tabs>
                <w:tab w:val="left" w:pos="567"/>
              </w:tabs>
              <w:jc w:val="center"/>
              <w:rPr>
                <w:szCs w:val="22"/>
                <w:lang w:val="en-GB"/>
              </w:rPr>
            </w:pPr>
          </w:p>
        </w:tc>
        <w:tc>
          <w:tcPr>
            <w:tcW w:w="1956" w:type="dxa"/>
            <w:tcBorders>
              <w:top w:val="nil"/>
              <w:left w:val="nil"/>
              <w:bottom w:val="nil"/>
              <w:right w:val="nil"/>
            </w:tcBorders>
          </w:tcPr>
          <w:p w14:paraId="0ADCFEB9" w14:textId="77777777" w:rsidR="00E96E12" w:rsidRDefault="00E97765">
            <w:pPr>
              <w:widowControl w:val="0"/>
              <w:tabs>
                <w:tab w:val="left" w:pos="567"/>
              </w:tabs>
              <w:jc w:val="center"/>
              <w:rPr>
                <w:szCs w:val="22"/>
                <w:lang w:val="en-GB"/>
              </w:rPr>
            </w:pPr>
            <w:r>
              <w:rPr>
                <w:szCs w:val="22"/>
                <w:lang w:val="en-GB"/>
              </w:rPr>
              <w:t>-1,89</w:t>
            </w:r>
            <w:r>
              <w:rPr>
                <w:szCs w:val="22"/>
                <w:vertAlign w:val="superscript"/>
                <w:lang w:val="en-GB"/>
              </w:rPr>
              <w:t>*</w:t>
            </w:r>
          </w:p>
        </w:tc>
        <w:tc>
          <w:tcPr>
            <w:tcW w:w="1973" w:type="dxa"/>
            <w:tcBorders>
              <w:top w:val="nil"/>
              <w:left w:val="nil"/>
              <w:bottom w:val="nil"/>
              <w:right w:val="nil"/>
            </w:tcBorders>
          </w:tcPr>
          <w:p w14:paraId="5B24B17C" w14:textId="77777777" w:rsidR="00E96E12" w:rsidRDefault="00E96E12">
            <w:pPr>
              <w:widowControl w:val="0"/>
              <w:tabs>
                <w:tab w:val="left" w:pos="567"/>
              </w:tabs>
              <w:jc w:val="center"/>
              <w:rPr>
                <w:szCs w:val="22"/>
                <w:lang w:val="en-GB"/>
              </w:rPr>
            </w:pPr>
          </w:p>
        </w:tc>
      </w:tr>
      <w:tr w:rsidR="00E96E12" w14:paraId="54A1C7BB" w14:textId="77777777">
        <w:tc>
          <w:tcPr>
            <w:tcW w:w="2552" w:type="dxa"/>
            <w:tcBorders>
              <w:top w:val="nil"/>
              <w:left w:val="nil"/>
              <w:bottom w:val="single" w:sz="4" w:space="0" w:color="auto"/>
              <w:right w:val="nil"/>
            </w:tcBorders>
          </w:tcPr>
          <w:p w14:paraId="54BA6D06" w14:textId="77777777" w:rsidR="00E96E12" w:rsidRDefault="00E97765">
            <w:pPr>
              <w:widowControl w:val="0"/>
              <w:tabs>
                <w:tab w:val="left" w:pos="567"/>
              </w:tabs>
              <w:rPr>
                <w:szCs w:val="22"/>
                <w:lang w:val="en-GB"/>
              </w:rPr>
            </w:pPr>
            <w:r>
              <w:rPr>
                <w:szCs w:val="22"/>
                <w:lang w:val="en-US"/>
              </w:rPr>
              <w:t>(95% PI)</w:t>
            </w:r>
          </w:p>
        </w:tc>
        <w:tc>
          <w:tcPr>
            <w:tcW w:w="1475" w:type="dxa"/>
            <w:tcBorders>
              <w:top w:val="nil"/>
              <w:left w:val="nil"/>
              <w:bottom w:val="single" w:sz="4" w:space="0" w:color="auto"/>
              <w:right w:val="nil"/>
            </w:tcBorders>
          </w:tcPr>
          <w:p w14:paraId="0EF56DC7" w14:textId="77777777" w:rsidR="00E96E12" w:rsidRDefault="00E97765">
            <w:pPr>
              <w:widowControl w:val="0"/>
              <w:tabs>
                <w:tab w:val="left" w:pos="567"/>
              </w:tabs>
              <w:jc w:val="center"/>
              <w:rPr>
                <w:szCs w:val="22"/>
                <w:lang w:val="en-GB"/>
              </w:rPr>
            </w:pPr>
            <w:r>
              <w:rPr>
                <w:szCs w:val="22"/>
                <w:lang w:val="en-GB"/>
              </w:rPr>
              <w:t>(-2,63, -1,31)</w:t>
            </w:r>
          </w:p>
        </w:tc>
        <w:tc>
          <w:tcPr>
            <w:tcW w:w="1598" w:type="dxa"/>
            <w:gridSpan w:val="2"/>
            <w:tcBorders>
              <w:top w:val="nil"/>
              <w:left w:val="nil"/>
              <w:bottom w:val="single" w:sz="4" w:space="0" w:color="auto"/>
              <w:right w:val="nil"/>
            </w:tcBorders>
          </w:tcPr>
          <w:p w14:paraId="788122A9" w14:textId="77777777" w:rsidR="00E96E12" w:rsidRDefault="00E96E12">
            <w:pPr>
              <w:widowControl w:val="0"/>
              <w:tabs>
                <w:tab w:val="left" w:pos="567"/>
              </w:tabs>
              <w:jc w:val="center"/>
              <w:rPr>
                <w:szCs w:val="22"/>
                <w:lang w:val="en-GB"/>
              </w:rPr>
            </w:pPr>
          </w:p>
        </w:tc>
        <w:tc>
          <w:tcPr>
            <w:tcW w:w="1956" w:type="dxa"/>
            <w:tcBorders>
              <w:top w:val="nil"/>
              <w:left w:val="nil"/>
              <w:bottom w:val="single" w:sz="4" w:space="0" w:color="auto"/>
              <w:right w:val="nil"/>
            </w:tcBorders>
          </w:tcPr>
          <w:p w14:paraId="0D1BB684" w14:textId="77777777" w:rsidR="00E96E12" w:rsidRDefault="00E97765">
            <w:pPr>
              <w:widowControl w:val="0"/>
              <w:tabs>
                <w:tab w:val="left" w:pos="567"/>
              </w:tabs>
              <w:jc w:val="center"/>
              <w:rPr>
                <w:szCs w:val="22"/>
                <w:lang w:val="en-GB"/>
              </w:rPr>
            </w:pPr>
            <w:r>
              <w:rPr>
                <w:szCs w:val="22"/>
                <w:lang w:val="en-GB"/>
              </w:rPr>
              <w:t>(-2,37, -1,40)</w:t>
            </w:r>
          </w:p>
        </w:tc>
        <w:tc>
          <w:tcPr>
            <w:tcW w:w="1973" w:type="dxa"/>
            <w:tcBorders>
              <w:top w:val="nil"/>
              <w:left w:val="nil"/>
              <w:bottom w:val="single" w:sz="4" w:space="0" w:color="auto"/>
              <w:right w:val="nil"/>
            </w:tcBorders>
          </w:tcPr>
          <w:p w14:paraId="7B35A903" w14:textId="77777777" w:rsidR="00E96E12" w:rsidRDefault="00E96E12">
            <w:pPr>
              <w:widowControl w:val="0"/>
              <w:tabs>
                <w:tab w:val="left" w:pos="567"/>
              </w:tabs>
              <w:jc w:val="center"/>
              <w:rPr>
                <w:szCs w:val="22"/>
                <w:lang w:val="en-GB"/>
              </w:rPr>
            </w:pPr>
          </w:p>
        </w:tc>
      </w:tr>
    </w:tbl>
    <w:p w14:paraId="5D7843A6"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1</w:t>
      </w:r>
      <w:r>
        <w:rPr>
          <w:rFonts w:eastAsia="TimesNewRoman"/>
          <w:sz w:val="18"/>
          <w:szCs w:val="18"/>
          <w:lang w:eastAsia="lt-LT"/>
        </w:rPr>
        <w:t xml:space="preserve"> </w:t>
      </w:r>
      <w:proofErr w:type="spellStart"/>
      <w:r>
        <w:rPr>
          <w:rFonts w:eastAsia="TimesNewRoman"/>
          <w:sz w:val="18"/>
          <w:szCs w:val="18"/>
          <w:lang w:eastAsia="lt-LT"/>
        </w:rPr>
        <w:t>Metformino</w:t>
      </w:r>
      <w:proofErr w:type="spellEnd"/>
      <w:r>
        <w:rPr>
          <w:rFonts w:eastAsia="TimesNewRoman"/>
          <w:sz w:val="18"/>
          <w:szCs w:val="18"/>
          <w:lang w:eastAsia="lt-LT"/>
        </w:rPr>
        <w:t xml:space="preserve"> paros dozė ≥ 1500 mg.</w:t>
      </w:r>
    </w:p>
    <w:p w14:paraId="69C814AA"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2</w:t>
      </w:r>
      <w:r>
        <w:rPr>
          <w:rFonts w:eastAsia="TimesNewRoman"/>
          <w:sz w:val="18"/>
          <w:szCs w:val="18"/>
          <w:lang w:eastAsia="lt-LT"/>
        </w:rPr>
        <w:t xml:space="preserve"> </w:t>
      </w:r>
      <w:proofErr w:type="spellStart"/>
      <w:r>
        <w:rPr>
          <w:rFonts w:eastAsia="TimesNewRoman"/>
          <w:sz w:val="18"/>
          <w:szCs w:val="18"/>
          <w:lang w:eastAsia="lt-LT"/>
        </w:rPr>
        <w:t>Sitagliptino</w:t>
      </w:r>
      <w:proofErr w:type="spellEnd"/>
      <w:r>
        <w:rPr>
          <w:rFonts w:eastAsia="TimesNewRoman"/>
          <w:sz w:val="18"/>
          <w:szCs w:val="18"/>
          <w:lang w:eastAsia="lt-LT"/>
        </w:rPr>
        <w:t xml:space="preserve"> paros dozė – 100 mg.</w:t>
      </w:r>
    </w:p>
    <w:p w14:paraId="3BCDA409"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a</w:t>
      </w:r>
      <w:r>
        <w:rPr>
          <w:rFonts w:eastAsia="TimesNewRoman"/>
          <w:sz w:val="18"/>
          <w:szCs w:val="18"/>
          <w:lang w:eastAsia="lt-LT"/>
        </w:rPr>
        <w:t xml:space="preserve"> LOCF – paskutinė atlikta apžiūra (jei prireikė pagalbos </w:t>
      </w:r>
      <w:proofErr w:type="spellStart"/>
      <w:r>
        <w:rPr>
          <w:rFonts w:eastAsia="TimesNewRoman"/>
          <w:sz w:val="18"/>
          <w:szCs w:val="18"/>
          <w:lang w:eastAsia="lt-LT"/>
        </w:rPr>
        <w:t>glikemijai</w:t>
      </w:r>
      <w:proofErr w:type="spellEnd"/>
      <w:r>
        <w:rPr>
          <w:rFonts w:eastAsia="TimesNewRoman"/>
          <w:sz w:val="18"/>
          <w:szCs w:val="18"/>
          <w:lang w:eastAsia="lt-LT"/>
        </w:rPr>
        <w:t xml:space="preserve"> koreguoti, tai paskutinė apžiūra iki jos).</w:t>
      </w:r>
    </w:p>
    <w:p w14:paraId="5B1AC4C9"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b</w:t>
      </w:r>
      <w:r>
        <w:rPr>
          <w:rFonts w:eastAsia="TimesNewRoman"/>
          <w:sz w:val="18"/>
          <w:szCs w:val="18"/>
          <w:lang w:eastAsia="lt-LT"/>
        </w:rPr>
        <w:t xml:space="preserve"> Visi atsitiktinai atrinkti asmenys, pavartoję bent vieną dozę dvigubai aklo tyrimo trumpu dvigubai aklu</w:t>
      </w:r>
    </w:p>
    <w:p w14:paraId="2CFC32DB"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laikotarpiu.</w:t>
      </w:r>
    </w:p>
    <w:p w14:paraId="6237BB3F"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c</w:t>
      </w:r>
      <w:r>
        <w:rPr>
          <w:rFonts w:eastAsia="TimesNewRoman"/>
          <w:sz w:val="18"/>
          <w:szCs w:val="18"/>
          <w:lang w:eastAsia="lt-LT"/>
        </w:rPr>
        <w:t xml:space="preserve"> Mažiausių kvadratų metodu apskaičiuotas vidurkis, koreguotas pagal dydį iki tyrimo.</w:t>
      </w:r>
    </w:p>
    <w:p w14:paraId="0F1748DD"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 &lt; 0,0001 plg. su placebo ir geriamojo gliukozės koncentraciją mažinančio vaistinio preparato deriniu.</w:t>
      </w:r>
    </w:p>
    <w:p w14:paraId="0B530C1F"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 &lt; 0,05 plg. su placebo ir geriamojo gliukozės koncentraciją mažinančio vaistinio preparato deriniu.</w:t>
      </w:r>
    </w:p>
    <w:p w14:paraId="0C04BFD5" w14:textId="77777777" w:rsidR="00E96E12" w:rsidRDefault="00E96E12">
      <w:pPr>
        <w:autoSpaceDE w:val="0"/>
        <w:autoSpaceDN w:val="0"/>
        <w:adjustRightInd w:val="0"/>
        <w:rPr>
          <w:rFonts w:eastAsia="TimesNewRoman,Bold"/>
          <w:b/>
          <w:bCs/>
          <w:szCs w:val="22"/>
          <w:lang w:eastAsia="lt-LT"/>
        </w:rPr>
      </w:pPr>
    </w:p>
    <w:p w14:paraId="2D3FF531"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 xml:space="preserve">5 lentelė. 24 savaičių trukmės placebu kontroliuojamų dapagliflozino vartojimo papildomam kombinuotam gydymui kartu su </w:t>
      </w:r>
      <w:proofErr w:type="spellStart"/>
      <w:r>
        <w:rPr>
          <w:rFonts w:eastAsia="TimesNewRoman,Bold"/>
          <w:b/>
          <w:bCs/>
          <w:szCs w:val="22"/>
          <w:lang w:eastAsia="lt-LT"/>
        </w:rPr>
        <w:t>sulfonilkarbamidu</w:t>
      </w:r>
      <w:proofErr w:type="spellEnd"/>
      <w:r>
        <w:rPr>
          <w:rFonts w:eastAsia="TimesNewRoman,Bold"/>
          <w:b/>
          <w:bCs/>
          <w:szCs w:val="22"/>
          <w:lang w:eastAsia="lt-LT"/>
        </w:rPr>
        <w:t xml:space="preserve"> (</w:t>
      </w:r>
      <w:proofErr w:type="spellStart"/>
      <w:r>
        <w:rPr>
          <w:rFonts w:eastAsia="TimesNewRoman,Bold"/>
          <w:b/>
          <w:bCs/>
          <w:szCs w:val="22"/>
          <w:lang w:eastAsia="lt-LT"/>
        </w:rPr>
        <w:t>glimepiridu</w:t>
      </w:r>
      <w:proofErr w:type="spellEnd"/>
      <w:r>
        <w:rPr>
          <w:rFonts w:eastAsia="TimesNewRoman,Bold"/>
          <w:b/>
          <w:bCs/>
          <w:szCs w:val="22"/>
          <w:lang w:eastAsia="lt-LT"/>
        </w:rPr>
        <w:t xml:space="preserve">) arba </w:t>
      </w:r>
      <w:proofErr w:type="spellStart"/>
      <w:r>
        <w:rPr>
          <w:rFonts w:eastAsia="TimesNewRoman,Bold"/>
          <w:b/>
          <w:bCs/>
          <w:szCs w:val="22"/>
          <w:lang w:eastAsia="lt-LT"/>
        </w:rPr>
        <w:t>metforminu</w:t>
      </w:r>
      <w:proofErr w:type="spellEnd"/>
      <w:r>
        <w:rPr>
          <w:rFonts w:eastAsia="TimesNewRoman,Bold"/>
          <w:b/>
          <w:bCs/>
          <w:szCs w:val="22"/>
          <w:lang w:eastAsia="lt-LT"/>
        </w:rPr>
        <w:t xml:space="preserve"> ir </w:t>
      </w:r>
      <w:proofErr w:type="spellStart"/>
      <w:r>
        <w:rPr>
          <w:rFonts w:eastAsia="TimesNewRoman,Bold"/>
          <w:b/>
          <w:bCs/>
          <w:szCs w:val="22"/>
          <w:lang w:eastAsia="lt-LT"/>
        </w:rPr>
        <w:t>sulfonilurėjos</w:t>
      </w:r>
      <w:proofErr w:type="spellEnd"/>
      <w:r>
        <w:rPr>
          <w:rFonts w:eastAsia="TimesNewRoman,Bold"/>
          <w:b/>
          <w:bCs/>
          <w:szCs w:val="22"/>
          <w:lang w:eastAsia="lt-LT"/>
        </w:rPr>
        <w:t xml:space="preserve"> dariniu duomenys</w:t>
      </w:r>
    </w:p>
    <w:p w14:paraId="09AE3617" w14:textId="77777777" w:rsidR="00E96E12" w:rsidRDefault="00E96E12">
      <w:pPr>
        <w:widowControl w:val="0"/>
        <w:tabs>
          <w:tab w:val="left" w:pos="567"/>
        </w:tabs>
        <w:rPr>
          <w:szCs w:val="22"/>
        </w:rPr>
      </w:pPr>
    </w:p>
    <w:tbl>
      <w:tblPr>
        <w:tblStyle w:val="Lentelstinklelis"/>
        <w:tblW w:w="9753" w:type="dxa"/>
        <w:tblLook w:val="04A0" w:firstRow="1" w:lastRow="0" w:firstColumn="1" w:lastColumn="0" w:noHBand="0" w:noVBand="1"/>
      </w:tblPr>
      <w:tblGrid>
        <w:gridCol w:w="2835"/>
        <w:gridCol w:w="1475"/>
        <w:gridCol w:w="288"/>
        <w:gridCol w:w="1285"/>
        <w:gridCol w:w="1937"/>
        <w:gridCol w:w="1933"/>
      </w:tblGrid>
      <w:tr w:rsidR="00E96E12" w14:paraId="5555356F" w14:textId="77777777">
        <w:tc>
          <w:tcPr>
            <w:tcW w:w="2835" w:type="dxa"/>
            <w:tcBorders>
              <w:top w:val="single" w:sz="4" w:space="0" w:color="auto"/>
              <w:left w:val="nil"/>
              <w:bottom w:val="single" w:sz="4" w:space="0" w:color="auto"/>
              <w:right w:val="nil"/>
            </w:tcBorders>
          </w:tcPr>
          <w:p w14:paraId="7B5DC94C" w14:textId="77777777" w:rsidR="00E96E12" w:rsidRDefault="00E96E12">
            <w:pPr>
              <w:widowControl w:val="0"/>
              <w:tabs>
                <w:tab w:val="left" w:pos="567"/>
              </w:tabs>
              <w:rPr>
                <w:b/>
                <w:szCs w:val="22"/>
                <w:lang w:val="lt-LT"/>
              </w:rPr>
            </w:pPr>
          </w:p>
        </w:tc>
        <w:tc>
          <w:tcPr>
            <w:tcW w:w="1763" w:type="dxa"/>
            <w:gridSpan w:val="2"/>
            <w:tcBorders>
              <w:top w:val="single" w:sz="4" w:space="0" w:color="auto"/>
              <w:left w:val="nil"/>
              <w:bottom w:val="single" w:sz="4" w:space="0" w:color="auto"/>
              <w:right w:val="nil"/>
            </w:tcBorders>
          </w:tcPr>
          <w:p w14:paraId="58006A9C" w14:textId="77777777" w:rsidR="00E96E12" w:rsidRDefault="00E96E12">
            <w:pPr>
              <w:widowControl w:val="0"/>
              <w:tabs>
                <w:tab w:val="left" w:pos="567"/>
              </w:tabs>
              <w:rPr>
                <w:b/>
                <w:szCs w:val="22"/>
                <w:lang w:val="lt-LT"/>
              </w:rPr>
            </w:pPr>
          </w:p>
        </w:tc>
        <w:tc>
          <w:tcPr>
            <w:tcW w:w="5155" w:type="dxa"/>
            <w:gridSpan w:val="3"/>
            <w:tcBorders>
              <w:top w:val="single" w:sz="4" w:space="0" w:color="auto"/>
              <w:left w:val="nil"/>
              <w:bottom w:val="single" w:sz="4" w:space="0" w:color="auto"/>
              <w:right w:val="nil"/>
            </w:tcBorders>
          </w:tcPr>
          <w:p w14:paraId="2306C235" w14:textId="77777777" w:rsidR="00E96E12" w:rsidRDefault="00E97765">
            <w:pPr>
              <w:widowControl w:val="0"/>
              <w:tabs>
                <w:tab w:val="left" w:pos="567"/>
              </w:tabs>
              <w:rPr>
                <w:b/>
                <w:szCs w:val="22"/>
                <w:lang w:val="en-GB"/>
              </w:rPr>
            </w:pPr>
            <w:proofErr w:type="spellStart"/>
            <w:r>
              <w:rPr>
                <w:b/>
                <w:szCs w:val="22"/>
                <w:lang w:val="en-GB"/>
              </w:rPr>
              <w:t>Papildomas</w:t>
            </w:r>
            <w:proofErr w:type="spellEnd"/>
            <w:r>
              <w:rPr>
                <w:b/>
                <w:szCs w:val="22"/>
                <w:lang w:val="en-GB"/>
              </w:rPr>
              <w:t xml:space="preserve"> </w:t>
            </w:r>
            <w:proofErr w:type="spellStart"/>
            <w:r>
              <w:rPr>
                <w:b/>
                <w:szCs w:val="22"/>
                <w:lang w:val="en-GB"/>
              </w:rPr>
              <w:t>kombinuotas</w:t>
            </w:r>
            <w:proofErr w:type="spellEnd"/>
            <w:r>
              <w:rPr>
                <w:b/>
                <w:szCs w:val="22"/>
                <w:lang w:val="en-GB"/>
              </w:rPr>
              <w:t xml:space="preserve"> </w:t>
            </w:r>
            <w:proofErr w:type="spellStart"/>
            <w:r>
              <w:rPr>
                <w:b/>
                <w:szCs w:val="22"/>
                <w:lang w:val="en-GB"/>
              </w:rPr>
              <w:t>gydymas</w:t>
            </w:r>
            <w:proofErr w:type="spellEnd"/>
          </w:p>
        </w:tc>
      </w:tr>
      <w:tr w:rsidR="00E96E12" w14:paraId="52D175B1" w14:textId="77777777">
        <w:tc>
          <w:tcPr>
            <w:tcW w:w="2835" w:type="dxa"/>
            <w:tcBorders>
              <w:top w:val="single" w:sz="4" w:space="0" w:color="auto"/>
              <w:left w:val="nil"/>
              <w:bottom w:val="single" w:sz="4" w:space="0" w:color="auto"/>
              <w:right w:val="nil"/>
            </w:tcBorders>
          </w:tcPr>
          <w:p w14:paraId="40EFB66C" w14:textId="77777777" w:rsidR="00E96E12" w:rsidRDefault="00E96E12">
            <w:pPr>
              <w:widowControl w:val="0"/>
              <w:tabs>
                <w:tab w:val="left" w:pos="567"/>
              </w:tabs>
              <w:rPr>
                <w:szCs w:val="22"/>
                <w:lang w:val="en-GB"/>
              </w:rPr>
            </w:pPr>
          </w:p>
        </w:tc>
        <w:tc>
          <w:tcPr>
            <w:tcW w:w="3048" w:type="dxa"/>
            <w:gridSpan w:val="3"/>
            <w:tcBorders>
              <w:top w:val="single" w:sz="4" w:space="0" w:color="auto"/>
              <w:left w:val="nil"/>
              <w:bottom w:val="single" w:sz="4" w:space="0" w:color="auto"/>
              <w:right w:val="nil"/>
            </w:tcBorders>
          </w:tcPr>
          <w:p w14:paraId="47361192" w14:textId="77777777" w:rsidR="00E96E12" w:rsidRDefault="00E97765">
            <w:pPr>
              <w:widowControl w:val="0"/>
              <w:tabs>
                <w:tab w:val="left" w:pos="567"/>
              </w:tabs>
              <w:jc w:val="center"/>
              <w:rPr>
                <w:szCs w:val="22"/>
                <w:vertAlign w:val="superscript"/>
                <w:lang w:val="en-GB"/>
              </w:rPr>
            </w:pPr>
            <w:r>
              <w:rPr>
                <w:b/>
                <w:szCs w:val="22"/>
                <w:lang w:val="en-GB"/>
              </w:rPr>
              <w:t xml:space="preserve">Su </w:t>
            </w:r>
            <w:proofErr w:type="spellStart"/>
            <w:r>
              <w:rPr>
                <w:b/>
                <w:szCs w:val="22"/>
                <w:lang w:val="en-GB"/>
              </w:rPr>
              <w:t>sulfonilurėjos</w:t>
            </w:r>
            <w:proofErr w:type="spellEnd"/>
            <w:r>
              <w:rPr>
                <w:b/>
                <w:szCs w:val="22"/>
                <w:lang w:val="en-GB"/>
              </w:rPr>
              <w:t xml:space="preserve"> </w:t>
            </w:r>
            <w:proofErr w:type="spellStart"/>
            <w:r>
              <w:rPr>
                <w:b/>
                <w:szCs w:val="22"/>
                <w:lang w:val="en-GB"/>
              </w:rPr>
              <w:t>dariniu</w:t>
            </w:r>
            <w:proofErr w:type="spellEnd"/>
          </w:p>
          <w:p w14:paraId="004CDAB2" w14:textId="77777777" w:rsidR="00E96E12" w:rsidRDefault="00E97765">
            <w:pPr>
              <w:widowControl w:val="0"/>
              <w:tabs>
                <w:tab w:val="left" w:pos="567"/>
              </w:tabs>
              <w:jc w:val="center"/>
              <w:rPr>
                <w:b/>
                <w:szCs w:val="22"/>
                <w:lang w:val="en-GB"/>
              </w:rPr>
            </w:pPr>
            <w:r>
              <w:rPr>
                <w:b/>
                <w:szCs w:val="22"/>
                <w:lang w:val="en-GB"/>
              </w:rPr>
              <w:t>(glimepiridu</w:t>
            </w:r>
            <w:r>
              <w:rPr>
                <w:szCs w:val="22"/>
                <w:vertAlign w:val="superscript"/>
                <w:lang w:val="en-GB"/>
              </w:rPr>
              <w:t>1</w:t>
            </w:r>
            <w:r>
              <w:rPr>
                <w:b/>
                <w:szCs w:val="22"/>
                <w:lang w:val="en-GB"/>
              </w:rPr>
              <w:t>)</w:t>
            </w:r>
          </w:p>
        </w:tc>
        <w:tc>
          <w:tcPr>
            <w:tcW w:w="3870" w:type="dxa"/>
            <w:gridSpan w:val="2"/>
            <w:tcBorders>
              <w:top w:val="single" w:sz="4" w:space="0" w:color="auto"/>
              <w:left w:val="nil"/>
              <w:bottom w:val="single" w:sz="4" w:space="0" w:color="auto"/>
              <w:right w:val="nil"/>
            </w:tcBorders>
          </w:tcPr>
          <w:p w14:paraId="1F6E8B2C" w14:textId="77777777" w:rsidR="00E96E12" w:rsidRDefault="00E97765">
            <w:pPr>
              <w:widowControl w:val="0"/>
              <w:tabs>
                <w:tab w:val="left" w:pos="567"/>
              </w:tabs>
              <w:jc w:val="center"/>
              <w:rPr>
                <w:b/>
                <w:szCs w:val="22"/>
                <w:lang w:val="en-US"/>
              </w:rPr>
            </w:pPr>
            <w:r>
              <w:rPr>
                <w:b/>
                <w:szCs w:val="22"/>
                <w:lang w:val="en-US"/>
              </w:rPr>
              <w:t xml:space="preserve">Su </w:t>
            </w:r>
            <w:proofErr w:type="spellStart"/>
            <w:r>
              <w:rPr>
                <w:b/>
                <w:szCs w:val="22"/>
                <w:lang w:val="en-US"/>
              </w:rPr>
              <w:t>sulfonilurėjos</w:t>
            </w:r>
            <w:proofErr w:type="spellEnd"/>
            <w:r>
              <w:rPr>
                <w:b/>
                <w:szCs w:val="22"/>
                <w:lang w:val="en-US"/>
              </w:rPr>
              <w:t xml:space="preserve"> </w:t>
            </w:r>
            <w:proofErr w:type="spellStart"/>
            <w:r>
              <w:rPr>
                <w:b/>
                <w:szCs w:val="22"/>
                <w:lang w:val="en-US"/>
              </w:rPr>
              <w:t>dariniu</w:t>
            </w:r>
            <w:proofErr w:type="spellEnd"/>
          </w:p>
          <w:p w14:paraId="6EDDECC7" w14:textId="77777777" w:rsidR="00E96E12" w:rsidRDefault="00E97765">
            <w:pPr>
              <w:widowControl w:val="0"/>
              <w:tabs>
                <w:tab w:val="left" w:pos="567"/>
              </w:tabs>
              <w:jc w:val="center"/>
              <w:rPr>
                <w:b/>
                <w:szCs w:val="22"/>
                <w:lang w:val="en-GB"/>
              </w:rPr>
            </w:pPr>
            <w:r>
              <w:rPr>
                <w:b/>
                <w:szCs w:val="22"/>
                <w:lang w:val="en-US"/>
              </w:rPr>
              <w:t>+ metforminu</w:t>
            </w:r>
            <w:r>
              <w:rPr>
                <w:szCs w:val="22"/>
                <w:vertAlign w:val="superscript"/>
                <w:lang w:val="en-US"/>
              </w:rPr>
              <w:t>2</w:t>
            </w:r>
          </w:p>
        </w:tc>
      </w:tr>
      <w:tr w:rsidR="00E96E12" w14:paraId="2D63B4FA" w14:textId="77777777">
        <w:tc>
          <w:tcPr>
            <w:tcW w:w="2835" w:type="dxa"/>
            <w:tcBorders>
              <w:top w:val="single" w:sz="4" w:space="0" w:color="auto"/>
              <w:left w:val="nil"/>
              <w:bottom w:val="single" w:sz="4" w:space="0" w:color="auto"/>
              <w:right w:val="nil"/>
            </w:tcBorders>
          </w:tcPr>
          <w:p w14:paraId="489CFA9D" w14:textId="77777777" w:rsidR="00E96E12" w:rsidRDefault="00E96E12">
            <w:pPr>
              <w:widowControl w:val="0"/>
              <w:tabs>
                <w:tab w:val="left" w:pos="567"/>
              </w:tabs>
              <w:rPr>
                <w:szCs w:val="22"/>
                <w:lang w:val="en-GB"/>
              </w:rPr>
            </w:pPr>
          </w:p>
        </w:tc>
        <w:tc>
          <w:tcPr>
            <w:tcW w:w="1475" w:type="dxa"/>
            <w:tcBorders>
              <w:top w:val="single" w:sz="4" w:space="0" w:color="auto"/>
              <w:left w:val="nil"/>
              <w:bottom w:val="single" w:sz="4" w:space="0" w:color="auto"/>
              <w:right w:val="nil"/>
            </w:tcBorders>
          </w:tcPr>
          <w:p w14:paraId="494747C7" w14:textId="77777777" w:rsidR="00E96E12" w:rsidRDefault="00E97765">
            <w:pPr>
              <w:widowControl w:val="0"/>
              <w:tabs>
                <w:tab w:val="left" w:pos="567"/>
              </w:tabs>
              <w:jc w:val="center"/>
              <w:rPr>
                <w:b/>
                <w:szCs w:val="22"/>
                <w:lang w:val="en-GB"/>
              </w:rPr>
            </w:pPr>
            <w:r>
              <w:rPr>
                <w:b/>
                <w:szCs w:val="22"/>
                <w:lang w:val="en-GB"/>
              </w:rPr>
              <w:t>Dapagliflozin</w:t>
            </w:r>
          </w:p>
          <w:p w14:paraId="4E9988F7" w14:textId="77777777" w:rsidR="00E96E12" w:rsidRDefault="00E97765">
            <w:pPr>
              <w:widowControl w:val="0"/>
              <w:tabs>
                <w:tab w:val="left" w:pos="567"/>
              </w:tabs>
              <w:jc w:val="center"/>
              <w:rPr>
                <w:b/>
                <w:szCs w:val="22"/>
                <w:lang w:val="en-GB"/>
              </w:rPr>
            </w:pPr>
            <w:r>
              <w:rPr>
                <w:b/>
                <w:szCs w:val="22"/>
                <w:lang w:val="en-GB"/>
              </w:rPr>
              <w:t>10 mg</w:t>
            </w:r>
          </w:p>
        </w:tc>
        <w:tc>
          <w:tcPr>
            <w:tcW w:w="1573" w:type="dxa"/>
            <w:gridSpan w:val="2"/>
            <w:tcBorders>
              <w:top w:val="single" w:sz="4" w:space="0" w:color="auto"/>
              <w:left w:val="nil"/>
              <w:bottom w:val="single" w:sz="4" w:space="0" w:color="auto"/>
              <w:right w:val="nil"/>
            </w:tcBorders>
          </w:tcPr>
          <w:p w14:paraId="7328463E" w14:textId="77777777" w:rsidR="00E96E12" w:rsidRDefault="00E97765">
            <w:pPr>
              <w:widowControl w:val="0"/>
              <w:tabs>
                <w:tab w:val="left" w:pos="567"/>
              </w:tabs>
              <w:jc w:val="center"/>
              <w:rPr>
                <w:b/>
                <w:szCs w:val="22"/>
                <w:lang w:val="en-GB"/>
              </w:rPr>
            </w:pPr>
            <w:r>
              <w:rPr>
                <w:b/>
                <w:szCs w:val="22"/>
                <w:lang w:val="en-GB"/>
              </w:rPr>
              <w:t>Placebo</w:t>
            </w:r>
          </w:p>
        </w:tc>
        <w:tc>
          <w:tcPr>
            <w:tcW w:w="1937" w:type="dxa"/>
            <w:tcBorders>
              <w:top w:val="single" w:sz="4" w:space="0" w:color="auto"/>
              <w:left w:val="nil"/>
              <w:bottom w:val="single" w:sz="4" w:space="0" w:color="auto"/>
              <w:right w:val="nil"/>
            </w:tcBorders>
          </w:tcPr>
          <w:p w14:paraId="6B1BA28B" w14:textId="77777777" w:rsidR="00E96E12" w:rsidRDefault="00E97765">
            <w:pPr>
              <w:widowControl w:val="0"/>
              <w:tabs>
                <w:tab w:val="left" w:pos="567"/>
              </w:tabs>
              <w:jc w:val="center"/>
              <w:rPr>
                <w:b/>
                <w:szCs w:val="22"/>
                <w:lang w:val="en-GB"/>
              </w:rPr>
            </w:pPr>
            <w:r>
              <w:rPr>
                <w:b/>
                <w:szCs w:val="22"/>
                <w:lang w:val="en-GB"/>
              </w:rPr>
              <w:t>Dapagliflozin</w:t>
            </w:r>
          </w:p>
          <w:p w14:paraId="1E37AF9A" w14:textId="77777777" w:rsidR="00E96E12" w:rsidRDefault="00E97765">
            <w:pPr>
              <w:widowControl w:val="0"/>
              <w:tabs>
                <w:tab w:val="left" w:pos="567"/>
              </w:tabs>
              <w:jc w:val="center"/>
              <w:rPr>
                <w:b/>
                <w:szCs w:val="22"/>
                <w:lang w:val="en-GB"/>
              </w:rPr>
            </w:pPr>
            <w:r>
              <w:rPr>
                <w:b/>
                <w:szCs w:val="22"/>
                <w:lang w:val="en-GB"/>
              </w:rPr>
              <w:t>10 mg</w:t>
            </w:r>
          </w:p>
        </w:tc>
        <w:tc>
          <w:tcPr>
            <w:tcW w:w="1933" w:type="dxa"/>
            <w:tcBorders>
              <w:top w:val="single" w:sz="4" w:space="0" w:color="auto"/>
              <w:left w:val="nil"/>
              <w:bottom w:val="single" w:sz="4" w:space="0" w:color="auto"/>
              <w:right w:val="nil"/>
            </w:tcBorders>
          </w:tcPr>
          <w:p w14:paraId="59585939" w14:textId="77777777" w:rsidR="00E96E12" w:rsidRDefault="00E97765">
            <w:pPr>
              <w:widowControl w:val="0"/>
              <w:tabs>
                <w:tab w:val="left" w:pos="567"/>
              </w:tabs>
              <w:jc w:val="center"/>
              <w:rPr>
                <w:b/>
                <w:szCs w:val="22"/>
                <w:lang w:val="en-GB"/>
              </w:rPr>
            </w:pPr>
            <w:r>
              <w:rPr>
                <w:b/>
                <w:szCs w:val="22"/>
                <w:lang w:val="en-GB"/>
              </w:rPr>
              <w:t>Placebo</w:t>
            </w:r>
          </w:p>
        </w:tc>
      </w:tr>
      <w:tr w:rsidR="00E96E12" w14:paraId="31628763" w14:textId="77777777">
        <w:tc>
          <w:tcPr>
            <w:tcW w:w="2835" w:type="dxa"/>
            <w:tcBorders>
              <w:top w:val="single" w:sz="4" w:space="0" w:color="auto"/>
              <w:left w:val="nil"/>
              <w:bottom w:val="single" w:sz="4" w:space="0" w:color="auto"/>
              <w:right w:val="nil"/>
            </w:tcBorders>
          </w:tcPr>
          <w:p w14:paraId="6522A96B" w14:textId="77777777" w:rsidR="00E96E12" w:rsidRDefault="00E97765">
            <w:pPr>
              <w:widowControl w:val="0"/>
              <w:tabs>
                <w:tab w:val="left" w:pos="567"/>
              </w:tabs>
              <w:rPr>
                <w:szCs w:val="22"/>
                <w:vertAlign w:val="superscript"/>
                <w:lang w:val="en-GB"/>
              </w:rPr>
            </w:pPr>
            <w:r>
              <w:rPr>
                <w:b/>
                <w:szCs w:val="22"/>
                <w:lang w:val="en-GB"/>
              </w:rPr>
              <w:t>N</w:t>
            </w:r>
            <w:r>
              <w:rPr>
                <w:szCs w:val="22"/>
                <w:vertAlign w:val="superscript"/>
                <w:lang w:val="en-GB"/>
              </w:rPr>
              <w:t>a</w:t>
            </w:r>
          </w:p>
        </w:tc>
        <w:tc>
          <w:tcPr>
            <w:tcW w:w="1475" w:type="dxa"/>
            <w:tcBorders>
              <w:top w:val="single" w:sz="4" w:space="0" w:color="auto"/>
              <w:left w:val="nil"/>
              <w:bottom w:val="single" w:sz="4" w:space="0" w:color="auto"/>
              <w:right w:val="nil"/>
            </w:tcBorders>
          </w:tcPr>
          <w:p w14:paraId="7DCA5C76" w14:textId="77777777" w:rsidR="00E96E12" w:rsidRDefault="00E97765">
            <w:pPr>
              <w:widowControl w:val="0"/>
              <w:tabs>
                <w:tab w:val="left" w:pos="567"/>
              </w:tabs>
              <w:jc w:val="center"/>
              <w:rPr>
                <w:szCs w:val="22"/>
                <w:lang w:val="en-GB"/>
              </w:rPr>
            </w:pPr>
            <w:r>
              <w:rPr>
                <w:szCs w:val="22"/>
                <w:lang w:val="en-GB"/>
              </w:rPr>
              <w:t>151</w:t>
            </w:r>
          </w:p>
        </w:tc>
        <w:tc>
          <w:tcPr>
            <w:tcW w:w="1573" w:type="dxa"/>
            <w:gridSpan w:val="2"/>
            <w:tcBorders>
              <w:top w:val="single" w:sz="4" w:space="0" w:color="auto"/>
              <w:left w:val="nil"/>
              <w:bottom w:val="single" w:sz="4" w:space="0" w:color="auto"/>
              <w:right w:val="nil"/>
            </w:tcBorders>
          </w:tcPr>
          <w:p w14:paraId="574A1EF7" w14:textId="77777777" w:rsidR="00E96E12" w:rsidRDefault="00E97765">
            <w:pPr>
              <w:widowControl w:val="0"/>
              <w:tabs>
                <w:tab w:val="left" w:pos="567"/>
              </w:tabs>
              <w:jc w:val="center"/>
              <w:rPr>
                <w:szCs w:val="22"/>
                <w:lang w:val="en-GB"/>
              </w:rPr>
            </w:pPr>
            <w:r>
              <w:rPr>
                <w:szCs w:val="22"/>
                <w:lang w:val="en-GB"/>
              </w:rPr>
              <w:t>145</w:t>
            </w:r>
          </w:p>
        </w:tc>
        <w:tc>
          <w:tcPr>
            <w:tcW w:w="1937" w:type="dxa"/>
            <w:tcBorders>
              <w:top w:val="single" w:sz="4" w:space="0" w:color="auto"/>
              <w:left w:val="nil"/>
              <w:bottom w:val="single" w:sz="4" w:space="0" w:color="auto"/>
              <w:right w:val="nil"/>
            </w:tcBorders>
          </w:tcPr>
          <w:p w14:paraId="5192CC8F" w14:textId="77777777" w:rsidR="00E96E12" w:rsidRDefault="00E97765">
            <w:pPr>
              <w:widowControl w:val="0"/>
              <w:tabs>
                <w:tab w:val="left" w:pos="567"/>
              </w:tabs>
              <w:jc w:val="center"/>
              <w:rPr>
                <w:szCs w:val="22"/>
                <w:lang w:val="en-GB"/>
              </w:rPr>
            </w:pPr>
            <w:r>
              <w:rPr>
                <w:szCs w:val="22"/>
                <w:lang w:val="en-GB"/>
              </w:rPr>
              <w:t>108</w:t>
            </w:r>
          </w:p>
        </w:tc>
        <w:tc>
          <w:tcPr>
            <w:tcW w:w="1933" w:type="dxa"/>
            <w:tcBorders>
              <w:top w:val="single" w:sz="4" w:space="0" w:color="auto"/>
              <w:left w:val="nil"/>
              <w:bottom w:val="single" w:sz="4" w:space="0" w:color="auto"/>
              <w:right w:val="nil"/>
            </w:tcBorders>
          </w:tcPr>
          <w:p w14:paraId="07BE7A32" w14:textId="77777777" w:rsidR="00E96E12" w:rsidRDefault="00E97765">
            <w:pPr>
              <w:widowControl w:val="0"/>
              <w:tabs>
                <w:tab w:val="left" w:pos="567"/>
              </w:tabs>
              <w:jc w:val="center"/>
              <w:rPr>
                <w:szCs w:val="22"/>
                <w:lang w:val="en-GB"/>
              </w:rPr>
            </w:pPr>
            <w:r>
              <w:rPr>
                <w:szCs w:val="22"/>
                <w:lang w:val="en-GB"/>
              </w:rPr>
              <w:t>108</w:t>
            </w:r>
          </w:p>
        </w:tc>
      </w:tr>
      <w:tr w:rsidR="00E96E12" w14:paraId="4D9127EB" w14:textId="77777777">
        <w:tc>
          <w:tcPr>
            <w:tcW w:w="2835" w:type="dxa"/>
            <w:tcBorders>
              <w:top w:val="single" w:sz="4" w:space="0" w:color="auto"/>
              <w:left w:val="nil"/>
              <w:bottom w:val="nil"/>
              <w:right w:val="nil"/>
            </w:tcBorders>
          </w:tcPr>
          <w:p w14:paraId="2BF0B5C9" w14:textId="77777777" w:rsidR="00E96E12" w:rsidRDefault="00E97765">
            <w:pPr>
              <w:widowControl w:val="0"/>
              <w:tabs>
                <w:tab w:val="left" w:pos="567"/>
              </w:tabs>
              <w:rPr>
                <w:b/>
                <w:szCs w:val="22"/>
                <w:lang w:val="pt-PT"/>
              </w:rPr>
            </w:pPr>
            <w:r>
              <w:rPr>
                <w:b/>
                <w:szCs w:val="22"/>
                <w:lang w:val="pt-PT"/>
              </w:rPr>
              <w:t>HbA1c koncentracija (%)</w:t>
            </w:r>
            <w:r>
              <w:rPr>
                <w:szCs w:val="22"/>
                <w:vertAlign w:val="superscript"/>
                <w:lang w:val="pt-PT"/>
              </w:rPr>
              <w:t>b</w:t>
            </w:r>
          </w:p>
          <w:p w14:paraId="4C7AAB2C" w14:textId="77777777" w:rsidR="00E96E12" w:rsidRDefault="00E97765">
            <w:pPr>
              <w:widowControl w:val="0"/>
              <w:tabs>
                <w:tab w:val="left" w:pos="567"/>
              </w:tabs>
              <w:rPr>
                <w:szCs w:val="22"/>
                <w:lang w:val="pt-PT"/>
              </w:rPr>
            </w:pPr>
            <w:r>
              <w:rPr>
                <w:szCs w:val="22"/>
                <w:lang w:val="pt-PT"/>
              </w:rPr>
              <w:t>Iki tyrimo (vidurkis)</w:t>
            </w:r>
          </w:p>
        </w:tc>
        <w:tc>
          <w:tcPr>
            <w:tcW w:w="1475" w:type="dxa"/>
            <w:tcBorders>
              <w:top w:val="single" w:sz="4" w:space="0" w:color="auto"/>
              <w:left w:val="nil"/>
              <w:bottom w:val="nil"/>
              <w:right w:val="nil"/>
            </w:tcBorders>
          </w:tcPr>
          <w:p w14:paraId="190597F2" w14:textId="77777777" w:rsidR="00E96E12" w:rsidRDefault="00E96E12">
            <w:pPr>
              <w:widowControl w:val="0"/>
              <w:tabs>
                <w:tab w:val="left" w:pos="567"/>
              </w:tabs>
              <w:jc w:val="center"/>
              <w:rPr>
                <w:szCs w:val="22"/>
                <w:lang w:val="pt-PT"/>
              </w:rPr>
            </w:pPr>
          </w:p>
          <w:p w14:paraId="06A2D40B" w14:textId="77777777" w:rsidR="00E96E12" w:rsidRDefault="00E97765">
            <w:pPr>
              <w:widowControl w:val="0"/>
              <w:tabs>
                <w:tab w:val="left" w:pos="567"/>
              </w:tabs>
              <w:jc w:val="center"/>
              <w:rPr>
                <w:szCs w:val="22"/>
                <w:lang w:val="en-GB"/>
              </w:rPr>
            </w:pPr>
            <w:r>
              <w:rPr>
                <w:szCs w:val="22"/>
                <w:lang w:val="en-GB"/>
              </w:rPr>
              <w:t>8,07</w:t>
            </w:r>
          </w:p>
        </w:tc>
        <w:tc>
          <w:tcPr>
            <w:tcW w:w="1573" w:type="dxa"/>
            <w:gridSpan w:val="2"/>
            <w:tcBorders>
              <w:top w:val="single" w:sz="4" w:space="0" w:color="auto"/>
              <w:left w:val="nil"/>
              <w:bottom w:val="nil"/>
              <w:right w:val="nil"/>
            </w:tcBorders>
          </w:tcPr>
          <w:p w14:paraId="2FAD5528" w14:textId="77777777" w:rsidR="00E96E12" w:rsidRDefault="00E96E12">
            <w:pPr>
              <w:widowControl w:val="0"/>
              <w:tabs>
                <w:tab w:val="left" w:pos="567"/>
              </w:tabs>
              <w:jc w:val="center"/>
              <w:rPr>
                <w:szCs w:val="22"/>
                <w:lang w:val="en-GB"/>
              </w:rPr>
            </w:pPr>
          </w:p>
          <w:p w14:paraId="27A8AAFC" w14:textId="77777777" w:rsidR="00E96E12" w:rsidRDefault="00E97765">
            <w:pPr>
              <w:widowControl w:val="0"/>
              <w:tabs>
                <w:tab w:val="left" w:pos="567"/>
              </w:tabs>
              <w:jc w:val="center"/>
              <w:rPr>
                <w:szCs w:val="22"/>
                <w:lang w:val="en-GB"/>
              </w:rPr>
            </w:pPr>
            <w:r>
              <w:rPr>
                <w:szCs w:val="22"/>
                <w:lang w:val="en-GB"/>
              </w:rPr>
              <w:t>8,15</w:t>
            </w:r>
          </w:p>
        </w:tc>
        <w:tc>
          <w:tcPr>
            <w:tcW w:w="1937" w:type="dxa"/>
            <w:tcBorders>
              <w:top w:val="single" w:sz="4" w:space="0" w:color="auto"/>
              <w:left w:val="nil"/>
              <w:bottom w:val="nil"/>
              <w:right w:val="nil"/>
            </w:tcBorders>
          </w:tcPr>
          <w:p w14:paraId="0CB45C05" w14:textId="77777777" w:rsidR="00E96E12" w:rsidRDefault="00E96E12">
            <w:pPr>
              <w:widowControl w:val="0"/>
              <w:tabs>
                <w:tab w:val="left" w:pos="567"/>
              </w:tabs>
              <w:jc w:val="center"/>
              <w:rPr>
                <w:szCs w:val="22"/>
                <w:lang w:val="en-GB"/>
              </w:rPr>
            </w:pPr>
          </w:p>
          <w:p w14:paraId="7E3AD074" w14:textId="77777777" w:rsidR="00E96E12" w:rsidRDefault="00E97765">
            <w:pPr>
              <w:widowControl w:val="0"/>
              <w:tabs>
                <w:tab w:val="left" w:pos="567"/>
              </w:tabs>
              <w:jc w:val="center"/>
              <w:rPr>
                <w:szCs w:val="22"/>
                <w:lang w:val="en-GB"/>
              </w:rPr>
            </w:pPr>
            <w:r>
              <w:rPr>
                <w:szCs w:val="22"/>
                <w:lang w:val="en-GB"/>
              </w:rPr>
              <w:t>8,08</w:t>
            </w:r>
          </w:p>
        </w:tc>
        <w:tc>
          <w:tcPr>
            <w:tcW w:w="1933" w:type="dxa"/>
            <w:tcBorders>
              <w:top w:val="single" w:sz="4" w:space="0" w:color="auto"/>
              <w:left w:val="nil"/>
              <w:bottom w:val="nil"/>
              <w:right w:val="nil"/>
            </w:tcBorders>
          </w:tcPr>
          <w:p w14:paraId="315BEB87" w14:textId="77777777" w:rsidR="00E96E12" w:rsidRDefault="00E96E12">
            <w:pPr>
              <w:widowControl w:val="0"/>
              <w:tabs>
                <w:tab w:val="left" w:pos="567"/>
              </w:tabs>
              <w:jc w:val="center"/>
              <w:rPr>
                <w:szCs w:val="22"/>
                <w:lang w:val="en-GB"/>
              </w:rPr>
            </w:pPr>
          </w:p>
          <w:p w14:paraId="2E675769" w14:textId="77777777" w:rsidR="00E96E12" w:rsidRDefault="00E97765">
            <w:pPr>
              <w:widowControl w:val="0"/>
              <w:tabs>
                <w:tab w:val="left" w:pos="567"/>
              </w:tabs>
              <w:jc w:val="center"/>
              <w:rPr>
                <w:szCs w:val="22"/>
                <w:lang w:val="en-GB"/>
              </w:rPr>
            </w:pPr>
            <w:r>
              <w:rPr>
                <w:szCs w:val="22"/>
                <w:lang w:val="en-GB"/>
              </w:rPr>
              <w:t>8,24</w:t>
            </w:r>
          </w:p>
        </w:tc>
      </w:tr>
      <w:tr w:rsidR="00E96E12" w14:paraId="4CEABE3D" w14:textId="77777777">
        <w:trPr>
          <w:trHeight w:val="332"/>
        </w:trPr>
        <w:tc>
          <w:tcPr>
            <w:tcW w:w="2835" w:type="dxa"/>
            <w:tcBorders>
              <w:top w:val="nil"/>
              <w:left w:val="nil"/>
              <w:bottom w:val="nil"/>
              <w:right w:val="nil"/>
            </w:tcBorders>
          </w:tcPr>
          <w:p w14:paraId="54B534DE" w14:textId="77777777" w:rsidR="00E96E12" w:rsidRDefault="00E97765">
            <w:pPr>
              <w:widowControl w:val="0"/>
              <w:tabs>
                <w:tab w:val="left" w:pos="567"/>
              </w:tabs>
              <w:rPr>
                <w:szCs w:val="22"/>
                <w:lang w:val="en-US"/>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buvusia</w:t>
            </w:r>
            <w:proofErr w:type="spellEnd"/>
            <w:r>
              <w:rPr>
                <w:szCs w:val="22"/>
                <w:lang w:val="en-US"/>
              </w:rPr>
              <w:t xml:space="preserve"> </w:t>
            </w:r>
            <w:proofErr w:type="spellStart"/>
            <w:r>
              <w:rPr>
                <w:szCs w:val="22"/>
                <w:lang w:val="en-US"/>
              </w:rPr>
              <w:t>iki</w:t>
            </w:r>
            <w:proofErr w:type="spellEnd"/>
            <w:r>
              <w:rPr>
                <w:szCs w:val="22"/>
                <w:lang w:val="en-US"/>
              </w:rPr>
              <w:t xml:space="preserve"> </w:t>
            </w:r>
            <w:proofErr w:type="spellStart"/>
            <w:r>
              <w:rPr>
                <w:szCs w:val="22"/>
                <w:lang w:val="en-US"/>
              </w:rPr>
              <w:t>tyrimo</w:t>
            </w:r>
            <w:r>
              <w:rPr>
                <w:szCs w:val="22"/>
                <w:vertAlign w:val="superscript"/>
                <w:lang w:val="en-US"/>
              </w:rPr>
              <w:t>c</w:t>
            </w:r>
            <w:proofErr w:type="spellEnd"/>
          </w:p>
        </w:tc>
        <w:tc>
          <w:tcPr>
            <w:tcW w:w="1475" w:type="dxa"/>
            <w:tcBorders>
              <w:top w:val="nil"/>
              <w:left w:val="nil"/>
              <w:bottom w:val="nil"/>
              <w:right w:val="nil"/>
            </w:tcBorders>
          </w:tcPr>
          <w:p w14:paraId="46BA01F6" w14:textId="77777777" w:rsidR="00E96E12" w:rsidRDefault="00E97765">
            <w:pPr>
              <w:widowControl w:val="0"/>
              <w:tabs>
                <w:tab w:val="left" w:pos="567"/>
              </w:tabs>
              <w:jc w:val="center"/>
              <w:rPr>
                <w:szCs w:val="22"/>
                <w:lang w:val="en-GB"/>
              </w:rPr>
            </w:pPr>
            <w:r>
              <w:rPr>
                <w:szCs w:val="22"/>
                <w:lang w:val="en-GB"/>
              </w:rPr>
              <w:t>-0,82</w:t>
            </w:r>
          </w:p>
        </w:tc>
        <w:tc>
          <w:tcPr>
            <w:tcW w:w="1573" w:type="dxa"/>
            <w:gridSpan w:val="2"/>
            <w:tcBorders>
              <w:top w:val="nil"/>
              <w:left w:val="nil"/>
              <w:bottom w:val="nil"/>
              <w:right w:val="nil"/>
            </w:tcBorders>
          </w:tcPr>
          <w:p w14:paraId="68EA27FC" w14:textId="77777777" w:rsidR="00E96E12" w:rsidRDefault="00E97765">
            <w:pPr>
              <w:widowControl w:val="0"/>
              <w:tabs>
                <w:tab w:val="left" w:pos="567"/>
              </w:tabs>
              <w:jc w:val="center"/>
              <w:rPr>
                <w:szCs w:val="22"/>
                <w:lang w:val="en-GB"/>
              </w:rPr>
            </w:pPr>
            <w:r>
              <w:rPr>
                <w:szCs w:val="22"/>
                <w:lang w:val="en-GB"/>
              </w:rPr>
              <w:t>-0,13</w:t>
            </w:r>
          </w:p>
        </w:tc>
        <w:tc>
          <w:tcPr>
            <w:tcW w:w="1937" w:type="dxa"/>
            <w:tcBorders>
              <w:top w:val="nil"/>
              <w:left w:val="nil"/>
              <w:bottom w:val="nil"/>
              <w:right w:val="nil"/>
            </w:tcBorders>
          </w:tcPr>
          <w:p w14:paraId="7A0CE4C8" w14:textId="77777777" w:rsidR="00E96E12" w:rsidRDefault="00E97765">
            <w:pPr>
              <w:widowControl w:val="0"/>
              <w:tabs>
                <w:tab w:val="left" w:pos="567"/>
              </w:tabs>
              <w:jc w:val="center"/>
              <w:rPr>
                <w:szCs w:val="22"/>
                <w:lang w:val="en-GB"/>
              </w:rPr>
            </w:pPr>
            <w:r>
              <w:rPr>
                <w:szCs w:val="22"/>
                <w:lang w:val="en-GB"/>
              </w:rPr>
              <w:t>-0,86</w:t>
            </w:r>
          </w:p>
        </w:tc>
        <w:tc>
          <w:tcPr>
            <w:tcW w:w="1933" w:type="dxa"/>
            <w:tcBorders>
              <w:top w:val="nil"/>
              <w:left w:val="nil"/>
              <w:bottom w:val="nil"/>
              <w:right w:val="nil"/>
            </w:tcBorders>
          </w:tcPr>
          <w:p w14:paraId="5BB1BE9F" w14:textId="77777777" w:rsidR="00E96E12" w:rsidRDefault="00E97765">
            <w:pPr>
              <w:widowControl w:val="0"/>
              <w:tabs>
                <w:tab w:val="left" w:pos="567"/>
              </w:tabs>
              <w:jc w:val="center"/>
              <w:rPr>
                <w:szCs w:val="22"/>
                <w:lang w:val="en-GB"/>
              </w:rPr>
            </w:pPr>
            <w:r>
              <w:rPr>
                <w:szCs w:val="22"/>
                <w:lang w:val="en-GB"/>
              </w:rPr>
              <w:t>-0,17</w:t>
            </w:r>
          </w:p>
        </w:tc>
      </w:tr>
      <w:tr w:rsidR="00E96E12" w14:paraId="2D304838" w14:textId="77777777">
        <w:trPr>
          <w:trHeight w:val="254"/>
        </w:trPr>
        <w:tc>
          <w:tcPr>
            <w:tcW w:w="2835" w:type="dxa"/>
            <w:tcBorders>
              <w:top w:val="nil"/>
              <w:left w:val="nil"/>
              <w:bottom w:val="nil"/>
              <w:right w:val="nil"/>
            </w:tcBorders>
          </w:tcPr>
          <w:p w14:paraId="64911A40"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tc>
        <w:tc>
          <w:tcPr>
            <w:tcW w:w="1475" w:type="dxa"/>
            <w:tcBorders>
              <w:top w:val="nil"/>
              <w:left w:val="nil"/>
              <w:bottom w:val="nil"/>
              <w:right w:val="nil"/>
            </w:tcBorders>
          </w:tcPr>
          <w:p w14:paraId="2DA8FF43" w14:textId="77777777" w:rsidR="00E96E12" w:rsidRDefault="00E97765">
            <w:pPr>
              <w:widowControl w:val="0"/>
              <w:tabs>
                <w:tab w:val="left" w:pos="567"/>
              </w:tabs>
              <w:jc w:val="center"/>
              <w:rPr>
                <w:szCs w:val="22"/>
                <w:lang w:val="en-GB"/>
              </w:rPr>
            </w:pPr>
            <w:r>
              <w:rPr>
                <w:szCs w:val="22"/>
                <w:lang w:val="en-GB"/>
              </w:rPr>
              <w:t>-0,68</w:t>
            </w:r>
            <w:r>
              <w:rPr>
                <w:szCs w:val="22"/>
                <w:vertAlign w:val="superscript"/>
                <w:lang w:val="en-GB"/>
              </w:rPr>
              <w:t>*</w:t>
            </w:r>
          </w:p>
        </w:tc>
        <w:tc>
          <w:tcPr>
            <w:tcW w:w="1573" w:type="dxa"/>
            <w:gridSpan w:val="2"/>
            <w:tcBorders>
              <w:top w:val="nil"/>
              <w:left w:val="nil"/>
              <w:bottom w:val="nil"/>
              <w:right w:val="nil"/>
            </w:tcBorders>
          </w:tcPr>
          <w:p w14:paraId="47558A67" w14:textId="77777777" w:rsidR="00E96E12" w:rsidRDefault="00E96E12">
            <w:pPr>
              <w:widowControl w:val="0"/>
              <w:tabs>
                <w:tab w:val="left" w:pos="567"/>
              </w:tabs>
              <w:jc w:val="center"/>
              <w:rPr>
                <w:szCs w:val="22"/>
                <w:lang w:val="en-GB"/>
              </w:rPr>
            </w:pPr>
          </w:p>
        </w:tc>
        <w:tc>
          <w:tcPr>
            <w:tcW w:w="1937" w:type="dxa"/>
            <w:tcBorders>
              <w:top w:val="nil"/>
              <w:left w:val="nil"/>
              <w:bottom w:val="nil"/>
              <w:right w:val="nil"/>
            </w:tcBorders>
          </w:tcPr>
          <w:p w14:paraId="37AB5BD3" w14:textId="77777777" w:rsidR="00E96E12" w:rsidRDefault="00E97765">
            <w:pPr>
              <w:widowControl w:val="0"/>
              <w:tabs>
                <w:tab w:val="left" w:pos="567"/>
              </w:tabs>
              <w:jc w:val="center"/>
              <w:rPr>
                <w:szCs w:val="22"/>
                <w:lang w:val="en-GB"/>
              </w:rPr>
            </w:pPr>
            <w:r>
              <w:rPr>
                <w:szCs w:val="22"/>
                <w:lang w:val="en-GB"/>
              </w:rPr>
              <w:t>-0,69</w:t>
            </w:r>
            <w:r>
              <w:rPr>
                <w:szCs w:val="22"/>
                <w:vertAlign w:val="superscript"/>
                <w:lang w:val="en-GB"/>
              </w:rPr>
              <w:t>*</w:t>
            </w:r>
          </w:p>
        </w:tc>
        <w:tc>
          <w:tcPr>
            <w:tcW w:w="1933" w:type="dxa"/>
            <w:tcBorders>
              <w:top w:val="nil"/>
              <w:left w:val="nil"/>
              <w:bottom w:val="nil"/>
              <w:right w:val="nil"/>
            </w:tcBorders>
          </w:tcPr>
          <w:p w14:paraId="43EE6F4A" w14:textId="77777777" w:rsidR="00E96E12" w:rsidRDefault="00E96E12">
            <w:pPr>
              <w:widowControl w:val="0"/>
              <w:tabs>
                <w:tab w:val="left" w:pos="567"/>
              </w:tabs>
              <w:jc w:val="center"/>
              <w:rPr>
                <w:szCs w:val="22"/>
                <w:lang w:val="en-GB"/>
              </w:rPr>
            </w:pPr>
          </w:p>
        </w:tc>
      </w:tr>
      <w:tr w:rsidR="00E96E12" w14:paraId="4089FE94" w14:textId="77777777">
        <w:tc>
          <w:tcPr>
            <w:tcW w:w="2835" w:type="dxa"/>
            <w:tcBorders>
              <w:top w:val="nil"/>
              <w:left w:val="nil"/>
              <w:bottom w:val="single" w:sz="4" w:space="0" w:color="auto"/>
              <w:right w:val="nil"/>
            </w:tcBorders>
          </w:tcPr>
          <w:p w14:paraId="304F5A1F" w14:textId="77777777" w:rsidR="00E96E12" w:rsidRDefault="00E97765">
            <w:pPr>
              <w:widowControl w:val="0"/>
              <w:tabs>
                <w:tab w:val="left" w:pos="567"/>
              </w:tabs>
              <w:rPr>
                <w:szCs w:val="22"/>
                <w:lang w:val="en-GB"/>
              </w:rPr>
            </w:pPr>
            <w:r>
              <w:rPr>
                <w:szCs w:val="22"/>
                <w:lang w:val="en-US"/>
              </w:rPr>
              <w:t>(95% PI)</w:t>
            </w:r>
          </w:p>
        </w:tc>
        <w:tc>
          <w:tcPr>
            <w:tcW w:w="1475" w:type="dxa"/>
            <w:tcBorders>
              <w:top w:val="nil"/>
              <w:left w:val="nil"/>
              <w:bottom w:val="single" w:sz="4" w:space="0" w:color="auto"/>
              <w:right w:val="nil"/>
            </w:tcBorders>
          </w:tcPr>
          <w:p w14:paraId="6F411F91" w14:textId="77777777" w:rsidR="00E96E12" w:rsidRDefault="00E97765">
            <w:pPr>
              <w:widowControl w:val="0"/>
              <w:tabs>
                <w:tab w:val="left" w:pos="567"/>
              </w:tabs>
              <w:jc w:val="center"/>
              <w:rPr>
                <w:szCs w:val="22"/>
                <w:lang w:val="en-GB"/>
              </w:rPr>
            </w:pPr>
            <w:r>
              <w:rPr>
                <w:szCs w:val="22"/>
                <w:lang w:val="en-GB"/>
              </w:rPr>
              <w:t>(-0,86, -0,51)</w:t>
            </w:r>
          </w:p>
        </w:tc>
        <w:tc>
          <w:tcPr>
            <w:tcW w:w="1573" w:type="dxa"/>
            <w:gridSpan w:val="2"/>
            <w:tcBorders>
              <w:top w:val="nil"/>
              <w:left w:val="nil"/>
              <w:bottom w:val="single" w:sz="4" w:space="0" w:color="auto"/>
              <w:right w:val="nil"/>
            </w:tcBorders>
          </w:tcPr>
          <w:p w14:paraId="3064E261" w14:textId="77777777" w:rsidR="00E96E12" w:rsidRDefault="00E96E12">
            <w:pPr>
              <w:widowControl w:val="0"/>
              <w:tabs>
                <w:tab w:val="left" w:pos="567"/>
              </w:tabs>
              <w:jc w:val="center"/>
              <w:rPr>
                <w:szCs w:val="22"/>
                <w:lang w:val="en-GB"/>
              </w:rPr>
            </w:pPr>
          </w:p>
        </w:tc>
        <w:tc>
          <w:tcPr>
            <w:tcW w:w="1937" w:type="dxa"/>
            <w:tcBorders>
              <w:top w:val="nil"/>
              <w:left w:val="nil"/>
              <w:bottom w:val="single" w:sz="4" w:space="0" w:color="auto"/>
              <w:right w:val="nil"/>
            </w:tcBorders>
          </w:tcPr>
          <w:p w14:paraId="294D81E0" w14:textId="77777777" w:rsidR="00E96E12" w:rsidRDefault="00E97765">
            <w:pPr>
              <w:widowControl w:val="0"/>
              <w:tabs>
                <w:tab w:val="left" w:pos="567"/>
              </w:tabs>
              <w:jc w:val="center"/>
              <w:rPr>
                <w:szCs w:val="22"/>
                <w:lang w:val="en-GB"/>
              </w:rPr>
            </w:pPr>
            <w:r>
              <w:rPr>
                <w:szCs w:val="22"/>
                <w:lang w:val="en-GB"/>
              </w:rPr>
              <w:t>(-0,89, -0,49)</w:t>
            </w:r>
          </w:p>
        </w:tc>
        <w:tc>
          <w:tcPr>
            <w:tcW w:w="1933" w:type="dxa"/>
            <w:tcBorders>
              <w:top w:val="nil"/>
              <w:left w:val="nil"/>
              <w:bottom w:val="single" w:sz="4" w:space="0" w:color="auto"/>
              <w:right w:val="nil"/>
            </w:tcBorders>
          </w:tcPr>
          <w:p w14:paraId="1D7C31AA" w14:textId="77777777" w:rsidR="00E96E12" w:rsidRDefault="00E96E12">
            <w:pPr>
              <w:widowControl w:val="0"/>
              <w:tabs>
                <w:tab w:val="left" w:pos="567"/>
              </w:tabs>
              <w:jc w:val="center"/>
              <w:rPr>
                <w:szCs w:val="22"/>
                <w:lang w:val="en-GB"/>
              </w:rPr>
            </w:pPr>
          </w:p>
        </w:tc>
      </w:tr>
      <w:tr w:rsidR="00E96E12" w14:paraId="487CC110" w14:textId="77777777">
        <w:tc>
          <w:tcPr>
            <w:tcW w:w="2835" w:type="dxa"/>
            <w:tcBorders>
              <w:top w:val="single" w:sz="4" w:space="0" w:color="auto"/>
              <w:left w:val="nil"/>
              <w:bottom w:val="nil"/>
              <w:right w:val="nil"/>
            </w:tcBorders>
          </w:tcPr>
          <w:p w14:paraId="08F859F9" w14:textId="77777777" w:rsidR="00E96E12" w:rsidRDefault="00E97765">
            <w:pPr>
              <w:widowControl w:val="0"/>
              <w:tabs>
                <w:tab w:val="left" w:pos="567"/>
              </w:tabs>
              <w:rPr>
                <w:szCs w:val="22"/>
                <w:vertAlign w:val="superscript"/>
                <w:lang w:val="lt-LT"/>
              </w:rPr>
            </w:pPr>
            <w:r>
              <w:rPr>
                <w:b/>
                <w:szCs w:val="22"/>
                <w:lang w:val="lt-LT"/>
              </w:rPr>
              <w:t>Asmenys, kurių HbA1c pasidarė &lt; 7% (LOCF)</w:t>
            </w:r>
            <w:r>
              <w:rPr>
                <w:szCs w:val="22"/>
                <w:vertAlign w:val="superscript"/>
                <w:lang w:val="lt-LT"/>
              </w:rPr>
              <w:t>d</w:t>
            </w:r>
          </w:p>
        </w:tc>
        <w:tc>
          <w:tcPr>
            <w:tcW w:w="1475" w:type="dxa"/>
            <w:tcBorders>
              <w:top w:val="single" w:sz="4" w:space="0" w:color="auto"/>
              <w:left w:val="nil"/>
              <w:bottom w:val="nil"/>
              <w:right w:val="nil"/>
            </w:tcBorders>
          </w:tcPr>
          <w:p w14:paraId="3AA04FA4" w14:textId="77777777" w:rsidR="00E96E12" w:rsidRDefault="00E96E12">
            <w:pPr>
              <w:widowControl w:val="0"/>
              <w:tabs>
                <w:tab w:val="left" w:pos="567"/>
              </w:tabs>
              <w:jc w:val="center"/>
              <w:rPr>
                <w:szCs w:val="22"/>
                <w:lang w:val="lt-LT"/>
              </w:rPr>
            </w:pPr>
          </w:p>
        </w:tc>
        <w:tc>
          <w:tcPr>
            <w:tcW w:w="1573" w:type="dxa"/>
            <w:gridSpan w:val="2"/>
            <w:tcBorders>
              <w:top w:val="single" w:sz="4" w:space="0" w:color="auto"/>
              <w:left w:val="nil"/>
              <w:bottom w:val="nil"/>
              <w:right w:val="nil"/>
            </w:tcBorders>
          </w:tcPr>
          <w:p w14:paraId="331C2A89" w14:textId="77777777" w:rsidR="00E96E12" w:rsidRDefault="00E96E12">
            <w:pPr>
              <w:widowControl w:val="0"/>
              <w:tabs>
                <w:tab w:val="left" w:pos="567"/>
              </w:tabs>
              <w:jc w:val="center"/>
              <w:rPr>
                <w:szCs w:val="22"/>
                <w:lang w:val="lt-LT"/>
              </w:rPr>
            </w:pPr>
          </w:p>
        </w:tc>
        <w:tc>
          <w:tcPr>
            <w:tcW w:w="1937" w:type="dxa"/>
            <w:tcBorders>
              <w:top w:val="single" w:sz="4" w:space="0" w:color="auto"/>
              <w:left w:val="nil"/>
              <w:bottom w:val="nil"/>
              <w:right w:val="nil"/>
            </w:tcBorders>
            <w:vAlign w:val="bottom"/>
          </w:tcPr>
          <w:p w14:paraId="5A988915" w14:textId="77777777" w:rsidR="00E96E12" w:rsidRDefault="00E96E12">
            <w:pPr>
              <w:widowControl w:val="0"/>
              <w:tabs>
                <w:tab w:val="left" w:pos="567"/>
              </w:tabs>
              <w:jc w:val="center"/>
              <w:rPr>
                <w:szCs w:val="22"/>
                <w:lang w:val="lt-LT"/>
              </w:rPr>
            </w:pPr>
          </w:p>
        </w:tc>
        <w:tc>
          <w:tcPr>
            <w:tcW w:w="1933" w:type="dxa"/>
            <w:tcBorders>
              <w:top w:val="single" w:sz="4" w:space="0" w:color="auto"/>
              <w:left w:val="nil"/>
              <w:bottom w:val="nil"/>
              <w:right w:val="nil"/>
            </w:tcBorders>
            <w:vAlign w:val="bottom"/>
          </w:tcPr>
          <w:p w14:paraId="28CFD720" w14:textId="77777777" w:rsidR="00E96E12" w:rsidRDefault="00E96E12">
            <w:pPr>
              <w:widowControl w:val="0"/>
              <w:tabs>
                <w:tab w:val="left" w:pos="567"/>
              </w:tabs>
              <w:jc w:val="center"/>
              <w:rPr>
                <w:szCs w:val="22"/>
                <w:lang w:val="lt-LT"/>
              </w:rPr>
            </w:pPr>
          </w:p>
        </w:tc>
      </w:tr>
      <w:tr w:rsidR="00E96E12" w14:paraId="4A27D54E" w14:textId="77777777">
        <w:tc>
          <w:tcPr>
            <w:tcW w:w="2835" w:type="dxa"/>
            <w:tcBorders>
              <w:top w:val="nil"/>
              <w:left w:val="nil"/>
              <w:bottom w:val="single" w:sz="4" w:space="0" w:color="auto"/>
              <w:right w:val="nil"/>
            </w:tcBorders>
          </w:tcPr>
          <w:p w14:paraId="750765DD" w14:textId="77777777" w:rsidR="00E96E12" w:rsidRDefault="00E97765">
            <w:pPr>
              <w:widowControl w:val="0"/>
              <w:tabs>
                <w:tab w:val="left" w:pos="567"/>
              </w:tabs>
              <w:rPr>
                <w:szCs w:val="22"/>
                <w:lang w:val="pt-PT"/>
              </w:rPr>
            </w:pPr>
            <w:r>
              <w:rPr>
                <w:szCs w:val="22"/>
                <w:lang w:val="pt-PT"/>
              </w:rPr>
              <w:t>Koreguota pagal koncentraciją iki tyrimo</w:t>
            </w:r>
          </w:p>
        </w:tc>
        <w:tc>
          <w:tcPr>
            <w:tcW w:w="1475" w:type="dxa"/>
            <w:tcBorders>
              <w:top w:val="nil"/>
              <w:left w:val="nil"/>
              <w:bottom w:val="single" w:sz="4" w:space="0" w:color="auto"/>
              <w:right w:val="nil"/>
            </w:tcBorders>
          </w:tcPr>
          <w:p w14:paraId="37DBD46F" w14:textId="77777777" w:rsidR="00E96E12" w:rsidRDefault="00E97765">
            <w:pPr>
              <w:widowControl w:val="0"/>
              <w:tabs>
                <w:tab w:val="left" w:pos="567"/>
              </w:tabs>
              <w:jc w:val="center"/>
              <w:rPr>
                <w:szCs w:val="22"/>
                <w:lang w:val="en-GB"/>
              </w:rPr>
            </w:pPr>
            <w:r>
              <w:rPr>
                <w:szCs w:val="22"/>
                <w:lang w:val="en-GB"/>
              </w:rPr>
              <w:t>31,7</w:t>
            </w:r>
            <w:r>
              <w:rPr>
                <w:szCs w:val="22"/>
                <w:vertAlign w:val="superscript"/>
                <w:lang w:val="en-GB"/>
              </w:rPr>
              <w:t>*</w:t>
            </w:r>
          </w:p>
        </w:tc>
        <w:tc>
          <w:tcPr>
            <w:tcW w:w="1573" w:type="dxa"/>
            <w:gridSpan w:val="2"/>
            <w:tcBorders>
              <w:top w:val="nil"/>
              <w:left w:val="nil"/>
              <w:bottom w:val="single" w:sz="4" w:space="0" w:color="auto"/>
              <w:right w:val="nil"/>
            </w:tcBorders>
          </w:tcPr>
          <w:p w14:paraId="077177A0" w14:textId="77777777" w:rsidR="00E96E12" w:rsidRDefault="00E97765">
            <w:pPr>
              <w:widowControl w:val="0"/>
              <w:tabs>
                <w:tab w:val="left" w:pos="567"/>
              </w:tabs>
              <w:jc w:val="center"/>
              <w:rPr>
                <w:szCs w:val="22"/>
                <w:lang w:val="en-GB"/>
              </w:rPr>
            </w:pPr>
            <w:r>
              <w:rPr>
                <w:szCs w:val="22"/>
                <w:lang w:val="en-GB"/>
              </w:rPr>
              <w:t>13,0</w:t>
            </w:r>
          </w:p>
        </w:tc>
        <w:tc>
          <w:tcPr>
            <w:tcW w:w="1937" w:type="dxa"/>
            <w:tcBorders>
              <w:top w:val="nil"/>
              <w:left w:val="nil"/>
              <w:bottom w:val="single" w:sz="4" w:space="0" w:color="auto"/>
              <w:right w:val="nil"/>
            </w:tcBorders>
          </w:tcPr>
          <w:p w14:paraId="2706EBAD" w14:textId="77777777" w:rsidR="00E96E12" w:rsidRDefault="00E97765">
            <w:pPr>
              <w:widowControl w:val="0"/>
              <w:tabs>
                <w:tab w:val="left" w:pos="567"/>
              </w:tabs>
              <w:jc w:val="center"/>
              <w:rPr>
                <w:szCs w:val="22"/>
                <w:lang w:val="en-GB"/>
              </w:rPr>
            </w:pPr>
            <w:r>
              <w:rPr>
                <w:szCs w:val="22"/>
                <w:lang w:val="en-GB"/>
              </w:rPr>
              <w:t>31,8</w:t>
            </w:r>
            <w:r>
              <w:rPr>
                <w:szCs w:val="22"/>
                <w:vertAlign w:val="superscript"/>
                <w:lang w:val="en-GB"/>
              </w:rPr>
              <w:t>*</w:t>
            </w:r>
          </w:p>
        </w:tc>
        <w:tc>
          <w:tcPr>
            <w:tcW w:w="1933" w:type="dxa"/>
            <w:tcBorders>
              <w:top w:val="nil"/>
              <w:left w:val="nil"/>
              <w:bottom w:val="single" w:sz="4" w:space="0" w:color="auto"/>
              <w:right w:val="nil"/>
            </w:tcBorders>
          </w:tcPr>
          <w:p w14:paraId="4F8C0850" w14:textId="77777777" w:rsidR="00E96E12" w:rsidRDefault="00E97765">
            <w:pPr>
              <w:widowControl w:val="0"/>
              <w:tabs>
                <w:tab w:val="left" w:pos="567"/>
              </w:tabs>
              <w:jc w:val="center"/>
              <w:rPr>
                <w:szCs w:val="22"/>
                <w:lang w:val="en-GB"/>
              </w:rPr>
            </w:pPr>
            <w:r>
              <w:rPr>
                <w:szCs w:val="22"/>
                <w:lang w:val="en-GB"/>
              </w:rPr>
              <w:t>11,1</w:t>
            </w:r>
          </w:p>
        </w:tc>
      </w:tr>
      <w:tr w:rsidR="00E96E12" w14:paraId="380FCAFD" w14:textId="77777777">
        <w:tc>
          <w:tcPr>
            <w:tcW w:w="2835" w:type="dxa"/>
            <w:tcBorders>
              <w:top w:val="single" w:sz="4" w:space="0" w:color="auto"/>
              <w:left w:val="nil"/>
              <w:bottom w:val="nil"/>
              <w:right w:val="nil"/>
            </w:tcBorders>
          </w:tcPr>
          <w:p w14:paraId="752EEEEB" w14:textId="77777777" w:rsidR="00E96E12" w:rsidRDefault="00E97765">
            <w:pPr>
              <w:widowControl w:val="0"/>
              <w:tabs>
                <w:tab w:val="left" w:pos="567"/>
              </w:tabs>
              <w:rPr>
                <w:szCs w:val="22"/>
                <w:lang w:val="en-GB"/>
              </w:rPr>
            </w:pPr>
            <w:proofErr w:type="spellStart"/>
            <w:r>
              <w:rPr>
                <w:b/>
                <w:szCs w:val="22"/>
                <w:lang w:val="en-US"/>
              </w:rPr>
              <w:t>Kūno</w:t>
            </w:r>
            <w:proofErr w:type="spellEnd"/>
            <w:r>
              <w:rPr>
                <w:b/>
                <w:szCs w:val="22"/>
                <w:lang w:val="en-US"/>
              </w:rPr>
              <w:t xml:space="preserve"> </w:t>
            </w:r>
            <w:proofErr w:type="spellStart"/>
            <w:r>
              <w:rPr>
                <w:b/>
                <w:szCs w:val="22"/>
                <w:lang w:val="en-US"/>
              </w:rPr>
              <w:t>svoris</w:t>
            </w:r>
            <w:proofErr w:type="spellEnd"/>
            <w:r>
              <w:rPr>
                <w:b/>
                <w:szCs w:val="22"/>
                <w:lang w:val="en-US"/>
              </w:rPr>
              <w:t xml:space="preserve"> (kg) (LOCF)</w:t>
            </w:r>
            <w:r>
              <w:rPr>
                <w:b/>
                <w:szCs w:val="22"/>
                <w:vertAlign w:val="superscript"/>
                <w:lang w:val="en-US"/>
              </w:rPr>
              <w:t>d</w:t>
            </w:r>
          </w:p>
        </w:tc>
        <w:tc>
          <w:tcPr>
            <w:tcW w:w="1475" w:type="dxa"/>
            <w:tcBorders>
              <w:top w:val="single" w:sz="4" w:space="0" w:color="auto"/>
              <w:left w:val="nil"/>
              <w:bottom w:val="nil"/>
              <w:right w:val="nil"/>
            </w:tcBorders>
          </w:tcPr>
          <w:p w14:paraId="2490A88E" w14:textId="77777777" w:rsidR="00E96E12" w:rsidRDefault="00E96E12">
            <w:pPr>
              <w:widowControl w:val="0"/>
              <w:tabs>
                <w:tab w:val="left" w:pos="567"/>
              </w:tabs>
              <w:jc w:val="center"/>
              <w:rPr>
                <w:szCs w:val="22"/>
                <w:lang w:val="en-GB"/>
              </w:rPr>
            </w:pPr>
          </w:p>
        </w:tc>
        <w:tc>
          <w:tcPr>
            <w:tcW w:w="1573" w:type="dxa"/>
            <w:gridSpan w:val="2"/>
            <w:tcBorders>
              <w:top w:val="single" w:sz="4" w:space="0" w:color="auto"/>
              <w:left w:val="nil"/>
              <w:bottom w:val="nil"/>
              <w:right w:val="nil"/>
            </w:tcBorders>
          </w:tcPr>
          <w:p w14:paraId="5C9F1ABD" w14:textId="77777777" w:rsidR="00E96E12" w:rsidRDefault="00E96E12">
            <w:pPr>
              <w:widowControl w:val="0"/>
              <w:tabs>
                <w:tab w:val="left" w:pos="567"/>
              </w:tabs>
              <w:jc w:val="center"/>
              <w:rPr>
                <w:szCs w:val="22"/>
                <w:lang w:val="en-GB"/>
              </w:rPr>
            </w:pPr>
          </w:p>
        </w:tc>
        <w:tc>
          <w:tcPr>
            <w:tcW w:w="1937" w:type="dxa"/>
            <w:tcBorders>
              <w:top w:val="single" w:sz="4" w:space="0" w:color="auto"/>
              <w:left w:val="nil"/>
              <w:bottom w:val="nil"/>
              <w:right w:val="nil"/>
            </w:tcBorders>
          </w:tcPr>
          <w:p w14:paraId="5ED1A59E" w14:textId="77777777" w:rsidR="00E96E12" w:rsidRDefault="00E96E12">
            <w:pPr>
              <w:widowControl w:val="0"/>
              <w:tabs>
                <w:tab w:val="left" w:pos="567"/>
              </w:tabs>
              <w:jc w:val="center"/>
              <w:rPr>
                <w:szCs w:val="22"/>
                <w:lang w:val="en-GB"/>
              </w:rPr>
            </w:pPr>
          </w:p>
        </w:tc>
        <w:tc>
          <w:tcPr>
            <w:tcW w:w="1933" w:type="dxa"/>
            <w:tcBorders>
              <w:top w:val="single" w:sz="4" w:space="0" w:color="auto"/>
              <w:left w:val="nil"/>
              <w:bottom w:val="nil"/>
              <w:right w:val="nil"/>
            </w:tcBorders>
          </w:tcPr>
          <w:p w14:paraId="2BCB79E3" w14:textId="77777777" w:rsidR="00E96E12" w:rsidRDefault="00E96E12">
            <w:pPr>
              <w:widowControl w:val="0"/>
              <w:tabs>
                <w:tab w:val="left" w:pos="567"/>
              </w:tabs>
              <w:jc w:val="center"/>
              <w:rPr>
                <w:szCs w:val="22"/>
                <w:lang w:val="en-GB"/>
              </w:rPr>
            </w:pPr>
          </w:p>
        </w:tc>
      </w:tr>
      <w:tr w:rsidR="00E96E12" w14:paraId="1294B9B9" w14:textId="77777777">
        <w:tc>
          <w:tcPr>
            <w:tcW w:w="2835" w:type="dxa"/>
            <w:tcBorders>
              <w:top w:val="nil"/>
              <w:left w:val="nil"/>
              <w:bottom w:val="nil"/>
              <w:right w:val="nil"/>
            </w:tcBorders>
          </w:tcPr>
          <w:p w14:paraId="50EB175D" w14:textId="77777777" w:rsidR="00E96E12" w:rsidRDefault="00E97765">
            <w:pPr>
              <w:widowControl w:val="0"/>
              <w:tabs>
                <w:tab w:val="left" w:pos="567"/>
              </w:tabs>
              <w:rPr>
                <w:szCs w:val="22"/>
                <w:lang w:val="en-GB"/>
              </w:rPr>
            </w:pPr>
            <w:r>
              <w:rPr>
                <w:szCs w:val="22"/>
                <w:lang w:val="en-US"/>
              </w:rPr>
              <w:t xml:space="preserve">Iki </w:t>
            </w:r>
            <w:proofErr w:type="spellStart"/>
            <w:r>
              <w:rPr>
                <w:szCs w:val="22"/>
                <w:lang w:val="en-US"/>
              </w:rPr>
              <w:t>tyrimo</w:t>
            </w:r>
            <w:proofErr w:type="spellEnd"/>
            <w:r>
              <w:rPr>
                <w:szCs w:val="22"/>
                <w:lang w:val="en-US"/>
              </w:rPr>
              <w:t xml:space="preserve"> (</w:t>
            </w:r>
            <w:proofErr w:type="spellStart"/>
            <w:r>
              <w:rPr>
                <w:szCs w:val="22"/>
                <w:lang w:val="en-US"/>
              </w:rPr>
              <w:t>vidurkis</w:t>
            </w:r>
            <w:proofErr w:type="spellEnd"/>
            <w:r>
              <w:rPr>
                <w:szCs w:val="22"/>
                <w:lang w:val="en-US"/>
              </w:rPr>
              <w:t>)</w:t>
            </w:r>
          </w:p>
        </w:tc>
        <w:tc>
          <w:tcPr>
            <w:tcW w:w="1475" w:type="dxa"/>
            <w:tcBorders>
              <w:top w:val="nil"/>
              <w:left w:val="nil"/>
              <w:bottom w:val="nil"/>
              <w:right w:val="nil"/>
            </w:tcBorders>
          </w:tcPr>
          <w:p w14:paraId="65EC2140" w14:textId="77777777" w:rsidR="00E96E12" w:rsidRDefault="00E97765">
            <w:pPr>
              <w:widowControl w:val="0"/>
              <w:tabs>
                <w:tab w:val="left" w:pos="567"/>
              </w:tabs>
              <w:jc w:val="center"/>
              <w:rPr>
                <w:szCs w:val="22"/>
                <w:lang w:val="en-GB"/>
              </w:rPr>
            </w:pPr>
            <w:r>
              <w:rPr>
                <w:szCs w:val="22"/>
                <w:lang w:val="en-GB"/>
              </w:rPr>
              <w:t>80,56</w:t>
            </w:r>
          </w:p>
        </w:tc>
        <w:tc>
          <w:tcPr>
            <w:tcW w:w="1573" w:type="dxa"/>
            <w:gridSpan w:val="2"/>
            <w:tcBorders>
              <w:top w:val="nil"/>
              <w:left w:val="nil"/>
              <w:bottom w:val="nil"/>
              <w:right w:val="nil"/>
            </w:tcBorders>
          </w:tcPr>
          <w:p w14:paraId="2EC4859E" w14:textId="77777777" w:rsidR="00E96E12" w:rsidRDefault="00E97765">
            <w:pPr>
              <w:widowControl w:val="0"/>
              <w:tabs>
                <w:tab w:val="left" w:pos="567"/>
              </w:tabs>
              <w:jc w:val="center"/>
              <w:rPr>
                <w:szCs w:val="22"/>
                <w:lang w:val="en-GB"/>
              </w:rPr>
            </w:pPr>
            <w:r>
              <w:rPr>
                <w:szCs w:val="22"/>
                <w:lang w:val="en-GB"/>
              </w:rPr>
              <w:t>80,94</w:t>
            </w:r>
          </w:p>
        </w:tc>
        <w:tc>
          <w:tcPr>
            <w:tcW w:w="1937" w:type="dxa"/>
            <w:tcBorders>
              <w:top w:val="nil"/>
              <w:left w:val="nil"/>
              <w:bottom w:val="nil"/>
              <w:right w:val="nil"/>
            </w:tcBorders>
          </w:tcPr>
          <w:p w14:paraId="4446D16B" w14:textId="77777777" w:rsidR="00E96E12" w:rsidRDefault="00E97765">
            <w:pPr>
              <w:widowControl w:val="0"/>
              <w:tabs>
                <w:tab w:val="left" w:pos="567"/>
              </w:tabs>
              <w:jc w:val="center"/>
              <w:rPr>
                <w:szCs w:val="22"/>
                <w:lang w:val="en-GB"/>
              </w:rPr>
            </w:pPr>
            <w:r>
              <w:rPr>
                <w:szCs w:val="22"/>
                <w:lang w:val="en-GB"/>
              </w:rPr>
              <w:t>88,57</w:t>
            </w:r>
          </w:p>
        </w:tc>
        <w:tc>
          <w:tcPr>
            <w:tcW w:w="1933" w:type="dxa"/>
            <w:tcBorders>
              <w:top w:val="nil"/>
              <w:left w:val="nil"/>
              <w:bottom w:val="nil"/>
              <w:right w:val="nil"/>
            </w:tcBorders>
          </w:tcPr>
          <w:p w14:paraId="6BDCD999" w14:textId="77777777" w:rsidR="00E96E12" w:rsidRDefault="00E97765">
            <w:pPr>
              <w:widowControl w:val="0"/>
              <w:tabs>
                <w:tab w:val="left" w:pos="567"/>
              </w:tabs>
              <w:jc w:val="center"/>
              <w:rPr>
                <w:szCs w:val="22"/>
                <w:lang w:val="en-GB"/>
              </w:rPr>
            </w:pPr>
            <w:r>
              <w:rPr>
                <w:szCs w:val="22"/>
                <w:lang w:val="en-GB"/>
              </w:rPr>
              <w:t>90,07</w:t>
            </w:r>
          </w:p>
        </w:tc>
      </w:tr>
      <w:tr w:rsidR="00E96E12" w14:paraId="23A0B168" w14:textId="77777777">
        <w:tc>
          <w:tcPr>
            <w:tcW w:w="2835" w:type="dxa"/>
            <w:tcBorders>
              <w:top w:val="nil"/>
              <w:left w:val="nil"/>
              <w:bottom w:val="nil"/>
              <w:right w:val="nil"/>
            </w:tcBorders>
          </w:tcPr>
          <w:p w14:paraId="6EA59A7D" w14:textId="77777777" w:rsidR="00E96E12" w:rsidRDefault="00E97765">
            <w:pPr>
              <w:widowControl w:val="0"/>
              <w:tabs>
                <w:tab w:val="left" w:pos="567"/>
              </w:tabs>
              <w:rPr>
                <w:szCs w:val="22"/>
                <w:lang w:val="lt-LT"/>
              </w:rPr>
            </w:pPr>
            <w:r>
              <w:rPr>
                <w:szCs w:val="22"/>
                <w:lang w:val="lt-LT"/>
              </w:rPr>
              <w:t xml:space="preserve">Pokytis palyginus su buvusiu iki </w:t>
            </w:r>
            <w:proofErr w:type="spellStart"/>
            <w:r>
              <w:rPr>
                <w:szCs w:val="22"/>
                <w:lang w:val="lt-LT"/>
              </w:rPr>
              <w:t>tyrimo</w:t>
            </w:r>
            <w:r>
              <w:rPr>
                <w:szCs w:val="22"/>
                <w:vertAlign w:val="superscript"/>
                <w:lang w:val="lt-LT"/>
              </w:rPr>
              <w:t>c</w:t>
            </w:r>
            <w:proofErr w:type="spellEnd"/>
          </w:p>
        </w:tc>
        <w:tc>
          <w:tcPr>
            <w:tcW w:w="1475" w:type="dxa"/>
            <w:tcBorders>
              <w:top w:val="nil"/>
              <w:left w:val="nil"/>
              <w:bottom w:val="nil"/>
              <w:right w:val="nil"/>
            </w:tcBorders>
          </w:tcPr>
          <w:p w14:paraId="622494A9" w14:textId="77777777" w:rsidR="00E96E12" w:rsidRDefault="00E97765">
            <w:pPr>
              <w:widowControl w:val="0"/>
              <w:tabs>
                <w:tab w:val="left" w:pos="567"/>
              </w:tabs>
              <w:jc w:val="center"/>
              <w:rPr>
                <w:szCs w:val="22"/>
                <w:lang w:val="en-GB"/>
              </w:rPr>
            </w:pPr>
            <w:r>
              <w:rPr>
                <w:szCs w:val="22"/>
                <w:lang w:val="en-GB"/>
              </w:rPr>
              <w:t>-2,26</w:t>
            </w:r>
          </w:p>
        </w:tc>
        <w:tc>
          <w:tcPr>
            <w:tcW w:w="1573" w:type="dxa"/>
            <w:gridSpan w:val="2"/>
            <w:tcBorders>
              <w:top w:val="nil"/>
              <w:left w:val="nil"/>
              <w:bottom w:val="nil"/>
              <w:right w:val="nil"/>
            </w:tcBorders>
          </w:tcPr>
          <w:p w14:paraId="3067FCEC" w14:textId="77777777" w:rsidR="00E96E12" w:rsidRDefault="00E97765">
            <w:pPr>
              <w:widowControl w:val="0"/>
              <w:tabs>
                <w:tab w:val="left" w:pos="567"/>
              </w:tabs>
              <w:jc w:val="center"/>
              <w:rPr>
                <w:szCs w:val="22"/>
                <w:lang w:val="en-GB"/>
              </w:rPr>
            </w:pPr>
            <w:r>
              <w:rPr>
                <w:szCs w:val="22"/>
                <w:lang w:val="en-GB"/>
              </w:rPr>
              <w:t>-0,72</w:t>
            </w:r>
          </w:p>
        </w:tc>
        <w:tc>
          <w:tcPr>
            <w:tcW w:w="1937" w:type="dxa"/>
            <w:tcBorders>
              <w:top w:val="nil"/>
              <w:left w:val="nil"/>
              <w:bottom w:val="nil"/>
              <w:right w:val="nil"/>
            </w:tcBorders>
          </w:tcPr>
          <w:p w14:paraId="205EC84C" w14:textId="77777777" w:rsidR="00E96E12" w:rsidRDefault="00E97765">
            <w:pPr>
              <w:widowControl w:val="0"/>
              <w:tabs>
                <w:tab w:val="left" w:pos="567"/>
              </w:tabs>
              <w:jc w:val="center"/>
              <w:rPr>
                <w:szCs w:val="22"/>
                <w:lang w:val="en-GB"/>
              </w:rPr>
            </w:pPr>
            <w:r>
              <w:rPr>
                <w:szCs w:val="22"/>
                <w:lang w:val="en-GB"/>
              </w:rPr>
              <w:t>-2,65</w:t>
            </w:r>
          </w:p>
        </w:tc>
        <w:tc>
          <w:tcPr>
            <w:tcW w:w="1933" w:type="dxa"/>
            <w:tcBorders>
              <w:top w:val="nil"/>
              <w:left w:val="nil"/>
              <w:bottom w:val="nil"/>
              <w:right w:val="nil"/>
            </w:tcBorders>
          </w:tcPr>
          <w:p w14:paraId="6F36C7ED" w14:textId="77777777" w:rsidR="00E96E12" w:rsidRDefault="00E97765">
            <w:pPr>
              <w:widowControl w:val="0"/>
              <w:tabs>
                <w:tab w:val="left" w:pos="567"/>
              </w:tabs>
              <w:jc w:val="center"/>
              <w:rPr>
                <w:szCs w:val="22"/>
                <w:lang w:val="en-GB"/>
              </w:rPr>
            </w:pPr>
            <w:r>
              <w:rPr>
                <w:szCs w:val="22"/>
                <w:lang w:val="en-GB"/>
              </w:rPr>
              <w:t>-0,58</w:t>
            </w:r>
          </w:p>
        </w:tc>
      </w:tr>
      <w:tr w:rsidR="00E96E12" w14:paraId="089F5924" w14:textId="77777777">
        <w:tc>
          <w:tcPr>
            <w:tcW w:w="2835" w:type="dxa"/>
            <w:tcBorders>
              <w:top w:val="nil"/>
              <w:left w:val="nil"/>
              <w:bottom w:val="nil"/>
              <w:right w:val="nil"/>
            </w:tcBorders>
          </w:tcPr>
          <w:p w14:paraId="66C2A23E"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tc>
        <w:tc>
          <w:tcPr>
            <w:tcW w:w="1475" w:type="dxa"/>
            <w:tcBorders>
              <w:top w:val="nil"/>
              <w:left w:val="nil"/>
              <w:bottom w:val="nil"/>
              <w:right w:val="nil"/>
            </w:tcBorders>
          </w:tcPr>
          <w:p w14:paraId="53D71EF5" w14:textId="77777777" w:rsidR="00E96E12" w:rsidRDefault="00E97765">
            <w:pPr>
              <w:widowControl w:val="0"/>
              <w:tabs>
                <w:tab w:val="left" w:pos="567"/>
              </w:tabs>
              <w:jc w:val="center"/>
              <w:rPr>
                <w:szCs w:val="22"/>
                <w:lang w:val="en-GB"/>
              </w:rPr>
            </w:pPr>
            <w:r>
              <w:rPr>
                <w:szCs w:val="22"/>
                <w:lang w:val="en-GB"/>
              </w:rPr>
              <w:t>-1,54</w:t>
            </w:r>
            <w:r>
              <w:rPr>
                <w:szCs w:val="22"/>
                <w:vertAlign w:val="superscript"/>
                <w:lang w:val="en-GB"/>
              </w:rPr>
              <w:t>*</w:t>
            </w:r>
          </w:p>
        </w:tc>
        <w:tc>
          <w:tcPr>
            <w:tcW w:w="1573" w:type="dxa"/>
            <w:gridSpan w:val="2"/>
            <w:tcBorders>
              <w:top w:val="nil"/>
              <w:left w:val="nil"/>
              <w:bottom w:val="nil"/>
              <w:right w:val="nil"/>
            </w:tcBorders>
          </w:tcPr>
          <w:p w14:paraId="7ECB6F32" w14:textId="77777777" w:rsidR="00E96E12" w:rsidRDefault="00E96E12">
            <w:pPr>
              <w:widowControl w:val="0"/>
              <w:tabs>
                <w:tab w:val="left" w:pos="567"/>
              </w:tabs>
              <w:jc w:val="center"/>
              <w:rPr>
                <w:szCs w:val="22"/>
                <w:lang w:val="en-GB"/>
              </w:rPr>
            </w:pPr>
          </w:p>
        </w:tc>
        <w:tc>
          <w:tcPr>
            <w:tcW w:w="1937" w:type="dxa"/>
            <w:tcBorders>
              <w:top w:val="nil"/>
              <w:left w:val="nil"/>
              <w:bottom w:val="nil"/>
              <w:right w:val="nil"/>
            </w:tcBorders>
          </w:tcPr>
          <w:p w14:paraId="5D75DB55" w14:textId="77777777" w:rsidR="00E96E12" w:rsidRDefault="00E97765">
            <w:pPr>
              <w:widowControl w:val="0"/>
              <w:tabs>
                <w:tab w:val="left" w:pos="567"/>
              </w:tabs>
              <w:jc w:val="center"/>
              <w:rPr>
                <w:szCs w:val="22"/>
                <w:lang w:val="en-GB"/>
              </w:rPr>
            </w:pPr>
            <w:r>
              <w:rPr>
                <w:szCs w:val="22"/>
                <w:lang w:val="en-GB"/>
              </w:rPr>
              <w:t>-2,07</w:t>
            </w:r>
            <w:r>
              <w:rPr>
                <w:szCs w:val="22"/>
                <w:vertAlign w:val="superscript"/>
                <w:lang w:val="en-GB"/>
              </w:rPr>
              <w:t>*</w:t>
            </w:r>
          </w:p>
        </w:tc>
        <w:tc>
          <w:tcPr>
            <w:tcW w:w="1933" w:type="dxa"/>
            <w:tcBorders>
              <w:top w:val="nil"/>
              <w:left w:val="nil"/>
              <w:bottom w:val="nil"/>
              <w:right w:val="nil"/>
            </w:tcBorders>
          </w:tcPr>
          <w:p w14:paraId="0D6C23A0" w14:textId="77777777" w:rsidR="00E96E12" w:rsidRDefault="00E96E12">
            <w:pPr>
              <w:widowControl w:val="0"/>
              <w:tabs>
                <w:tab w:val="left" w:pos="567"/>
              </w:tabs>
              <w:jc w:val="center"/>
              <w:rPr>
                <w:szCs w:val="22"/>
                <w:lang w:val="en-GB"/>
              </w:rPr>
            </w:pPr>
          </w:p>
        </w:tc>
      </w:tr>
      <w:tr w:rsidR="00E96E12" w14:paraId="60028D8B" w14:textId="77777777">
        <w:tc>
          <w:tcPr>
            <w:tcW w:w="2835" w:type="dxa"/>
            <w:tcBorders>
              <w:top w:val="nil"/>
              <w:left w:val="nil"/>
              <w:bottom w:val="single" w:sz="4" w:space="0" w:color="auto"/>
              <w:right w:val="nil"/>
            </w:tcBorders>
          </w:tcPr>
          <w:p w14:paraId="642B6D67" w14:textId="77777777" w:rsidR="00E96E12" w:rsidRDefault="00E97765">
            <w:pPr>
              <w:widowControl w:val="0"/>
              <w:tabs>
                <w:tab w:val="left" w:pos="567"/>
              </w:tabs>
              <w:rPr>
                <w:szCs w:val="22"/>
                <w:lang w:val="en-GB"/>
              </w:rPr>
            </w:pPr>
            <w:r>
              <w:rPr>
                <w:szCs w:val="22"/>
                <w:lang w:val="en-US"/>
              </w:rPr>
              <w:t>(95% PI)</w:t>
            </w:r>
          </w:p>
        </w:tc>
        <w:tc>
          <w:tcPr>
            <w:tcW w:w="1475" w:type="dxa"/>
            <w:tcBorders>
              <w:top w:val="nil"/>
              <w:left w:val="nil"/>
              <w:bottom w:val="single" w:sz="4" w:space="0" w:color="auto"/>
              <w:right w:val="nil"/>
            </w:tcBorders>
          </w:tcPr>
          <w:p w14:paraId="7110F284" w14:textId="77777777" w:rsidR="00E96E12" w:rsidRDefault="00E97765">
            <w:pPr>
              <w:widowControl w:val="0"/>
              <w:tabs>
                <w:tab w:val="left" w:pos="567"/>
              </w:tabs>
              <w:jc w:val="center"/>
              <w:rPr>
                <w:szCs w:val="22"/>
                <w:lang w:val="en-GB"/>
              </w:rPr>
            </w:pPr>
            <w:r>
              <w:rPr>
                <w:szCs w:val="22"/>
                <w:lang w:val="en-GB"/>
              </w:rPr>
              <w:t>(-2,17, -0,92)</w:t>
            </w:r>
          </w:p>
        </w:tc>
        <w:tc>
          <w:tcPr>
            <w:tcW w:w="1573" w:type="dxa"/>
            <w:gridSpan w:val="2"/>
            <w:tcBorders>
              <w:top w:val="nil"/>
              <w:left w:val="nil"/>
              <w:bottom w:val="single" w:sz="4" w:space="0" w:color="auto"/>
              <w:right w:val="nil"/>
            </w:tcBorders>
          </w:tcPr>
          <w:p w14:paraId="32349396" w14:textId="77777777" w:rsidR="00E96E12" w:rsidRDefault="00E96E12">
            <w:pPr>
              <w:widowControl w:val="0"/>
              <w:tabs>
                <w:tab w:val="left" w:pos="567"/>
              </w:tabs>
              <w:jc w:val="center"/>
              <w:rPr>
                <w:szCs w:val="22"/>
                <w:lang w:val="en-GB"/>
              </w:rPr>
            </w:pPr>
          </w:p>
        </w:tc>
        <w:tc>
          <w:tcPr>
            <w:tcW w:w="1937" w:type="dxa"/>
            <w:tcBorders>
              <w:top w:val="nil"/>
              <w:left w:val="nil"/>
              <w:bottom w:val="single" w:sz="4" w:space="0" w:color="auto"/>
              <w:right w:val="nil"/>
            </w:tcBorders>
          </w:tcPr>
          <w:p w14:paraId="260EAF0B" w14:textId="77777777" w:rsidR="00E96E12" w:rsidRDefault="00E97765">
            <w:pPr>
              <w:widowControl w:val="0"/>
              <w:tabs>
                <w:tab w:val="left" w:pos="567"/>
              </w:tabs>
              <w:jc w:val="center"/>
              <w:rPr>
                <w:szCs w:val="22"/>
                <w:lang w:val="en-GB"/>
              </w:rPr>
            </w:pPr>
            <w:r>
              <w:rPr>
                <w:szCs w:val="22"/>
                <w:lang w:val="en-GB"/>
              </w:rPr>
              <w:t>(-2,79, -1,35)</w:t>
            </w:r>
          </w:p>
        </w:tc>
        <w:tc>
          <w:tcPr>
            <w:tcW w:w="1933" w:type="dxa"/>
            <w:tcBorders>
              <w:top w:val="nil"/>
              <w:left w:val="nil"/>
              <w:bottom w:val="single" w:sz="4" w:space="0" w:color="auto"/>
              <w:right w:val="nil"/>
            </w:tcBorders>
          </w:tcPr>
          <w:p w14:paraId="1C5E12C3" w14:textId="77777777" w:rsidR="00E96E12" w:rsidRDefault="00E96E12">
            <w:pPr>
              <w:widowControl w:val="0"/>
              <w:tabs>
                <w:tab w:val="left" w:pos="567"/>
              </w:tabs>
              <w:jc w:val="center"/>
              <w:rPr>
                <w:szCs w:val="22"/>
                <w:lang w:val="en-GB"/>
              </w:rPr>
            </w:pPr>
          </w:p>
        </w:tc>
      </w:tr>
    </w:tbl>
    <w:p w14:paraId="5CFCEB01"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1</w:t>
      </w:r>
      <w:r>
        <w:rPr>
          <w:rFonts w:eastAsia="TimesNewRoman"/>
          <w:sz w:val="18"/>
          <w:szCs w:val="18"/>
          <w:lang w:eastAsia="lt-LT"/>
        </w:rPr>
        <w:t xml:space="preserve"> </w:t>
      </w:r>
      <w:proofErr w:type="spellStart"/>
      <w:r>
        <w:rPr>
          <w:rFonts w:eastAsia="TimesNewRoman"/>
          <w:sz w:val="18"/>
          <w:szCs w:val="18"/>
          <w:lang w:eastAsia="lt-LT"/>
        </w:rPr>
        <w:t>Glimepirido</w:t>
      </w:r>
      <w:proofErr w:type="spellEnd"/>
      <w:r>
        <w:rPr>
          <w:rFonts w:eastAsia="TimesNewRoman"/>
          <w:sz w:val="18"/>
          <w:szCs w:val="18"/>
          <w:lang w:eastAsia="lt-LT"/>
        </w:rPr>
        <w:t xml:space="preserve"> paros dozė – 4 mg.</w:t>
      </w:r>
    </w:p>
    <w:p w14:paraId="6DD07993"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2</w:t>
      </w:r>
      <w:r>
        <w:rPr>
          <w:rFonts w:eastAsia="TimesNewRoman"/>
          <w:sz w:val="18"/>
          <w:szCs w:val="18"/>
          <w:lang w:eastAsia="lt-LT"/>
        </w:rPr>
        <w:t xml:space="preserve"> </w:t>
      </w:r>
      <w:proofErr w:type="spellStart"/>
      <w:r>
        <w:rPr>
          <w:rFonts w:eastAsia="TimesNewRoman"/>
          <w:sz w:val="18"/>
          <w:szCs w:val="18"/>
          <w:lang w:eastAsia="lt-LT"/>
        </w:rPr>
        <w:t>Metformino</w:t>
      </w:r>
      <w:proofErr w:type="spellEnd"/>
      <w:r>
        <w:rPr>
          <w:rFonts w:eastAsia="TimesNewRoman"/>
          <w:sz w:val="18"/>
          <w:szCs w:val="18"/>
          <w:lang w:eastAsia="lt-LT"/>
        </w:rPr>
        <w:t xml:space="preserve"> (greito ir pailginto atpalaidavimo farmacinių formų) ≥ 1500 mg per parą ir kartu didžiausia toleruojama </w:t>
      </w:r>
      <w:proofErr w:type="spellStart"/>
      <w:r>
        <w:rPr>
          <w:rFonts w:eastAsia="TimesNewRoman"/>
          <w:sz w:val="18"/>
          <w:szCs w:val="18"/>
          <w:lang w:eastAsia="lt-LT"/>
        </w:rPr>
        <w:t>sulfonilurėjos</w:t>
      </w:r>
      <w:proofErr w:type="spellEnd"/>
      <w:r>
        <w:rPr>
          <w:rFonts w:eastAsia="TimesNewRoman"/>
          <w:sz w:val="18"/>
          <w:szCs w:val="18"/>
          <w:lang w:eastAsia="lt-LT"/>
        </w:rPr>
        <w:t xml:space="preserve"> darinio dozė, sudaranti bent pusę didžiausios leistinos, bent 8 savaites iki įtraukimo į tyrimą.</w:t>
      </w:r>
    </w:p>
    <w:p w14:paraId="71D4F209"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a</w:t>
      </w:r>
      <w:r>
        <w:rPr>
          <w:rFonts w:eastAsia="TimesNewRoman"/>
          <w:sz w:val="18"/>
          <w:szCs w:val="18"/>
          <w:lang w:eastAsia="lt-LT"/>
        </w:rPr>
        <w:t xml:space="preserve"> Atsitiktinės atrankos būdu parinkti ir gydyti asmenys, kuriems veiksmingumas tirtas iki tyrimo ir bent kartą vėliau.</w:t>
      </w:r>
    </w:p>
    <w:p w14:paraId="11564A5E"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b</w:t>
      </w:r>
      <w:r>
        <w:rPr>
          <w:rFonts w:eastAsia="TimesNewRoman"/>
          <w:sz w:val="18"/>
          <w:szCs w:val="18"/>
          <w:lang w:eastAsia="lt-LT"/>
        </w:rPr>
        <w:t xml:space="preserve"> 1 ir 2 stulpeliuose pateikiami HbA1c duomenys gauti tiriant LOCF (žr. d išnašą); 3 ir 4 stulpeliuose pateikiami HbA1c duomenys gauti tiriant LRM (žr. e išnašą).</w:t>
      </w:r>
    </w:p>
    <w:p w14:paraId="366FBECF"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c</w:t>
      </w:r>
      <w:r>
        <w:rPr>
          <w:rFonts w:eastAsia="TimesNewRoman"/>
          <w:sz w:val="18"/>
          <w:szCs w:val="18"/>
          <w:lang w:eastAsia="lt-LT"/>
        </w:rPr>
        <w:t xml:space="preserve"> Mažiausių kvadratų metodu apskaičiuotas vidurkis, koreguotas pagal dydį iki tyrimo.</w:t>
      </w:r>
    </w:p>
    <w:p w14:paraId="77F7C9B0"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d</w:t>
      </w:r>
      <w:r>
        <w:rPr>
          <w:rFonts w:eastAsia="TimesNewRoman"/>
          <w:sz w:val="18"/>
          <w:szCs w:val="18"/>
          <w:lang w:eastAsia="lt-LT"/>
        </w:rPr>
        <w:t xml:space="preserve"> LOCF – paskutinė atlikta apžiūra (jei prireikė pagalbos </w:t>
      </w:r>
      <w:proofErr w:type="spellStart"/>
      <w:r>
        <w:rPr>
          <w:rFonts w:eastAsia="TimesNewRoman"/>
          <w:sz w:val="18"/>
          <w:szCs w:val="18"/>
          <w:lang w:eastAsia="lt-LT"/>
        </w:rPr>
        <w:t>glikemijai</w:t>
      </w:r>
      <w:proofErr w:type="spellEnd"/>
      <w:r>
        <w:rPr>
          <w:rFonts w:eastAsia="TimesNewRoman"/>
          <w:sz w:val="18"/>
          <w:szCs w:val="18"/>
          <w:lang w:eastAsia="lt-LT"/>
        </w:rPr>
        <w:t xml:space="preserve"> koreguoti, tai paskutinė apžiūra iki jos).</w:t>
      </w:r>
    </w:p>
    <w:p w14:paraId="78015181"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e</w:t>
      </w:r>
      <w:r>
        <w:rPr>
          <w:rFonts w:eastAsia="TimesNewRoman"/>
          <w:sz w:val="18"/>
          <w:szCs w:val="18"/>
          <w:lang w:eastAsia="lt-LT"/>
        </w:rPr>
        <w:t xml:space="preserve"> LRM (angl. </w:t>
      </w:r>
      <w:proofErr w:type="spellStart"/>
      <w:r>
        <w:rPr>
          <w:rFonts w:eastAsia="TimesNewRoman,Italic"/>
          <w:i/>
          <w:iCs/>
          <w:sz w:val="18"/>
          <w:szCs w:val="18"/>
          <w:lang w:eastAsia="lt-LT"/>
        </w:rPr>
        <w:t>Longitudinal</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repeated</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measures</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analysis</w:t>
      </w:r>
      <w:proofErr w:type="spellEnd"/>
      <w:r>
        <w:rPr>
          <w:rFonts w:eastAsia="TimesNewRoman"/>
          <w:sz w:val="18"/>
          <w:szCs w:val="18"/>
          <w:lang w:eastAsia="lt-LT"/>
        </w:rPr>
        <w:t>) – kartotų matavimų duomenų analizė.</w:t>
      </w:r>
    </w:p>
    <w:p w14:paraId="65A0C9B5"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 &lt; 0,0001 plg. su placebo ir geriamojo gliukozės koncentraciją mažinančio (-</w:t>
      </w:r>
      <w:proofErr w:type="spellStart"/>
      <w:r>
        <w:rPr>
          <w:rFonts w:eastAsia="TimesNewRoman"/>
          <w:sz w:val="18"/>
          <w:szCs w:val="18"/>
          <w:lang w:eastAsia="lt-LT"/>
        </w:rPr>
        <w:t>ių</w:t>
      </w:r>
      <w:proofErr w:type="spellEnd"/>
      <w:r>
        <w:rPr>
          <w:rFonts w:eastAsia="TimesNewRoman"/>
          <w:sz w:val="18"/>
          <w:szCs w:val="18"/>
          <w:lang w:eastAsia="lt-LT"/>
        </w:rPr>
        <w:t>) vaistinio (-</w:t>
      </w:r>
      <w:proofErr w:type="spellStart"/>
      <w:r>
        <w:rPr>
          <w:rFonts w:eastAsia="TimesNewRoman"/>
          <w:sz w:val="18"/>
          <w:szCs w:val="18"/>
          <w:lang w:eastAsia="lt-LT"/>
        </w:rPr>
        <w:t>ių</w:t>
      </w:r>
      <w:proofErr w:type="spellEnd"/>
      <w:r>
        <w:rPr>
          <w:rFonts w:eastAsia="TimesNewRoman"/>
          <w:sz w:val="18"/>
          <w:szCs w:val="18"/>
          <w:lang w:eastAsia="lt-LT"/>
        </w:rPr>
        <w:t>) preparato (-ų) deriniu.</w:t>
      </w:r>
    </w:p>
    <w:p w14:paraId="64670ABB" w14:textId="77777777" w:rsidR="00E96E12" w:rsidRDefault="00E96E12">
      <w:pPr>
        <w:autoSpaceDE w:val="0"/>
        <w:autoSpaceDN w:val="0"/>
        <w:adjustRightInd w:val="0"/>
        <w:rPr>
          <w:rFonts w:eastAsia="TimesNewRoman"/>
          <w:szCs w:val="22"/>
          <w:lang w:eastAsia="lt-LT"/>
        </w:rPr>
      </w:pPr>
    </w:p>
    <w:p w14:paraId="601389F0"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6 lentelė. Placebu kontroliuojamo dapagliflozino derinio su insulinu (vienu arba kartu su geriamaisiais gliukozės koncentraciją mažinančiais vaistiniais preparatais) tyrimo duomenys po 24 savaičių (</w:t>
      </w:r>
      <w:proofErr w:type="spellStart"/>
      <w:r>
        <w:rPr>
          <w:rFonts w:eastAsia="TimesNewRoman,Bold"/>
          <w:b/>
          <w:bCs/>
          <w:szCs w:val="22"/>
          <w:lang w:eastAsia="lt-LT"/>
        </w:rPr>
        <w:t>LOCF</w:t>
      </w:r>
      <w:r>
        <w:rPr>
          <w:rFonts w:eastAsia="TimesNewRoman,Bold"/>
          <w:b/>
          <w:bCs/>
          <w:szCs w:val="22"/>
          <w:vertAlign w:val="superscript"/>
          <w:lang w:eastAsia="lt-LT"/>
        </w:rPr>
        <w:t>a</w:t>
      </w:r>
      <w:proofErr w:type="spellEnd"/>
      <w:r>
        <w:rPr>
          <w:rFonts w:eastAsia="TimesNewRoman,Bold"/>
          <w:b/>
          <w:bCs/>
          <w:szCs w:val="22"/>
          <w:lang w:eastAsia="lt-LT"/>
        </w:rPr>
        <w:t>)</w:t>
      </w:r>
    </w:p>
    <w:p w14:paraId="689FAC81" w14:textId="77777777" w:rsidR="00E96E12" w:rsidRDefault="00E96E12">
      <w:pPr>
        <w:widowControl w:val="0"/>
        <w:tabs>
          <w:tab w:val="left" w:pos="567"/>
        </w:tabs>
        <w:rPr>
          <w:b/>
          <w:szCs w:val="22"/>
        </w:rPr>
      </w:pPr>
    </w:p>
    <w:tbl>
      <w:tblPr>
        <w:tblStyle w:val="Lentelstinklelis"/>
        <w:tblW w:w="9302" w:type="dxa"/>
        <w:tblLook w:val="04A0" w:firstRow="1" w:lastRow="0" w:firstColumn="1" w:lastColumn="0" w:noHBand="0" w:noVBand="1"/>
      </w:tblPr>
      <w:tblGrid>
        <w:gridCol w:w="3261"/>
        <w:gridCol w:w="3020"/>
        <w:gridCol w:w="3021"/>
      </w:tblGrid>
      <w:tr w:rsidR="00E96E12" w14:paraId="4BD73CF6" w14:textId="77777777">
        <w:tc>
          <w:tcPr>
            <w:tcW w:w="3261" w:type="dxa"/>
            <w:tcBorders>
              <w:top w:val="single" w:sz="4" w:space="0" w:color="auto"/>
              <w:left w:val="nil"/>
              <w:bottom w:val="single" w:sz="4" w:space="0" w:color="auto"/>
              <w:right w:val="nil"/>
            </w:tcBorders>
          </w:tcPr>
          <w:p w14:paraId="50A9B56B" w14:textId="77777777" w:rsidR="00E96E12" w:rsidRDefault="00E97765">
            <w:pPr>
              <w:widowControl w:val="0"/>
              <w:tabs>
                <w:tab w:val="left" w:pos="567"/>
              </w:tabs>
              <w:rPr>
                <w:szCs w:val="22"/>
                <w:lang w:val="en-GB"/>
              </w:rPr>
            </w:pPr>
            <w:proofErr w:type="spellStart"/>
            <w:r>
              <w:rPr>
                <w:szCs w:val="22"/>
                <w:lang w:val="en-GB"/>
              </w:rPr>
              <w:t>Rodiklis</w:t>
            </w:r>
            <w:proofErr w:type="spellEnd"/>
          </w:p>
        </w:tc>
        <w:tc>
          <w:tcPr>
            <w:tcW w:w="3020" w:type="dxa"/>
            <w:tcBorders>
              <w:top w:val="single" w:sz="4" w:space="0" w:color="auto"/>
              <w:left w:val="nil"/>
              <w:bottom w:val="single" w:sz="4" w:space="0" w:color="auto"/>
              <w:right w:val="nil"/>
            </w:tcBorders>
          </w:tcPr>
          <w:p w14:paraId="19A19A92" w14:textId="77777777" w:rsidR="00E96E12" w:rsidRDefault="00E97765">
            <w:pPr>
              <w:widowControl w:val="0"/>
              <w:tabs>
                <w:tab w:val="left" w:pos="567"/>
              </w:tabs>
              <w:jc w:val="center"/>
              <w:rPr>
                <w:b/>
                <w:szCs w:val="22"/>
                <w:lang w:val="pt-PT"/>
              </w:rPr>
            </w:pPr>
            <w:r>
              <w:rPr>
                <w:b/>
                <w:szCs w:val="22"/>
                <w:lang w:val="pt-PT"/>
              </w:rPr>
              <w:t>10 mg dapagliflozino</w:t>
            </w:r>
          </w:p>
          <w:p w14:paraId="67B39E91" w14:textId="77777777" w:rsidR="00E96E12" w:rsidRDefault="00E97765">
            <w:pPr>
              <w:widowControl w:val="0"/>
              <w:tabs>
                <w:tab w:val="left" w:pos="567"/>
              </w:tabs>
              <w:jc w:val="center"/>
              <w:rPr>
                <w:b/>
                <w:szCs w:val="22"/>
                <w:lang w:val="pt-PT"/>
              </w:rPr>
            </w:pPr>
            <w:r>
              <w:rPr>
                <w:b/>
                <w:szCs w:val="22"/>
                <w:lang w:val="pt-PT"/>
              </w:rPr>
              <w:lastRenderedPageBreak/>
              <w:t>+ insulinas</w:t>
            </w:r>
          </w:p>
          <w:p w14:paraId="70D6FE1C" w14:textId="77777777" w:rsidR="00E96E12" w:rsidRDefault="00E97765">
            <w:pPr>
              <w:widowControl w:val="0"/>
              <w:tabs>
                <w:tab w:val="left" w:pos="567"/>
              </w:tabs>
              <w:jc w:val="center"/>
              <w:rPr>
                <w:b/>
                <w:szCs w:val="22"/>
                <w:vertAlign w:val="superscript"/>
                <w:lang w:val="pt-PT"/>
              </w:rPr>
            </w:pPr>
            <w:r>
              <w:rPr>
                <w:b/>
                <w:szCs w:val="22"/>
                <w:lang w:val="pt-PT"/>
              </w:rPr>
              <w:t>± geriamieji gliukozės koncentraciją mažinantys vaistiniai preparatai</w:t>
            </w:r>
            <w:r>
              <w:rPr>
                <w:szCs w:val="22"/>
                <w:vertAlign w:val="superscript"/>
                <w:lang w:val="pt-PT"/>
              </w:rPr>
              <w:t>2</w:t>
            </w:r>
          </w:p>
        </w:tc>
        <w:tc>
          <w:tcPr>
            <w:tcW w:w="3021" w:type="dxa"/>
            <w:tcBorders>
              <w:top w:val="single" w:sz="4" w:space="0" w:color="auto"/>
              <w:left w:val="nil"/>
              <w:bottom w:val="single" w:sz="4" w:space="0" w:color="auto"/>
              <w:right w:val="nil"/>
            </w:tcBorders>
          </w:tcPr>
          <w:p w14:paraId="02DF656C" w14:textId="77777777" w:rsidR="00E96E12" w:rsidRDefault="00E97765">
            <w:pPr>
              <w:widowControl w:val="0"/>
              <w:tabs>
                <w:tab w:val="left" w:pos="567"/>
              </w:tabs>
              <w:jc w:val="center"/>
              <w:rPr>
                <w:b/>
                <w:szCs w:val="22"/>
                <w:lang w:val="pt-PT"/>
              </w:rPr>
            </w:pPr>
            <w:r>
              <w:rPr>
                <w:b/>
                <w:szCs w:val="22"/>
                <w:lang w:val="pt-PT"/>
              </w:rPr>
              <w:lastRenderedPageBreak/>
              <w:t>Placebas</w:t>
            </w:r>
          </w:p>
          <w:p w14:paraId="4F428D6A" w14:textId="77777777" w:rsidR="00E96E12" w:rsidRDefault="00E97765">
            <w:pPr>
              <w:widowControl w:val="0"/>
              <w:tabs>
                <w:tab w:val="left" w:pos="567"/>
              </w:tabs>
              <w:jc w:val="center"/>
              <w:rPr>
                <w:b/>
                <w:szCs w:val="22"/>
                <w:lang w:val="pt-PT"/>
              </w:rPr>
            </w:pPr>
            <w:r>
              <w:rPr>
                <w:b/>
                <w:szCs w:val="22"/>
                <w:lang w:val="pt-PT"/>
              </w:rPr>
              <w:lastRenderedPageBreak/>
              <w:t>+ insulinas</w:t>
            </w:r>
          </w:p>
          <w:p w14:paraId="473809A8" w14:textId="77777777" w:rsidR="00E96E12" w:rsidRDefault="00E97765">
            <w:pPr>
              <w:widowControl w:val="0"/>
              <w:tabs>
                <w:tab w:val="left" w:pos="567"/>
              </w:tabs>
              <w:jc w:val="center"/>
              <w:rPr>
                <w:b/>
                <w:szCs w:val="22"/>
                <w:lang w:val="pt-PT"/>
              </w:rPr>
            </w:pPr>
            <w:r>
              <w:rPr>
                <w:b/>
                <w:szCs w:val="22"/>
                <w:lang w:val="pt-PT"/>
              </w:rPr>
              <w:t>± geriamieji gliukozės koncentraciją mažinančiais vaistiniais preparatais</w:t>
            </w:r>
            <w:r>
              <w:rPr>
                <w:szCs w:val="22"/>
                <w:vertAlign w:val="superscript"/>
                <w:lang w:val="pt-PT"/>
              </w:rPr>
              <w:t>2</w:t>
            </w:r>
          </w:p>
        </w:tc>
      </w:tr>
      <w:tr w:rsidR="00E96E12" w14:paraId="56F88E53" w14:textId="77777777">
        <w:tc>
          <w:tcPr>
            <w:tcW w:w="3261" w:type="dxa"/>
            <w:tcBorders>
              <w:top w:val="single" w:sz="4" w:space="0" w:color="auto"/>
              <w:left w:val="nil"/>
              <w:bottom w:val="single" w:sz="4" w:space="0" w:color="auto"/>
              <w:right w:val="nil"/>
            </w:tcBorders>
          </w:tcPr>
          <w:p w14:paraId="1B4A756C" w14:textId="77777777" w:rsidR="00E96E12" w:rsidRDefault="00E97765">
            <w:pPr>
              <w:widowControl w:val="0"/>
              <w:tabs>
                <w:tab w:val="left" w:pos="567"/>
              </w:tabs>
              <w:rPr>
                <w:szCs w:val="22"/>
                <w:vertAlign w:val="superscript"/>
                <w:lang w:val="en-GB"/>
              </w:rPr>
            </w:pPr>
            <w:r>
              <w:rPr>
                <w:szCs w:val="22"/>
                <w:lang w:val="en-GB"/>
              </w:rPr>
              <w:lastRenderedPageBreak/>
              <w:t>N</w:t>
            </w:r>
            <w:r>
              <w:rPr>
                <w:szCs w:val="22"/>
                <w:vertAlign w:val="superscript"/>
                <w:lang w:val="en-GB"/>
              </w:rPr>
              <w:t>b</w:t>
            </w:r>
          </w:p>
        </w:tc>
        <w:tc>
          <w:tcPr>
            <w:tcW w:w="3020" w:type="dxa"/>
            <w:tcBorders>
              <w:top w:val="single" w:sz="4" w:space="0" w:color="auto"/>
              <w:left w:val="nil"/>
              <w:bottom w:val="single" w:sz="4" w:space="0" w:color="auto"/>
              <w:right w:val="nil"/>
            </w:tcBorders>
          </w:tcPr>
          <w:p w14:paraId="128771BA" w14:textId="77777777" w:rsidR="00E96E12" w:rsidRDefault="00E97765">
            <w:pPr>
              <w:widowControl w:val="0"/>
              <w:tabs>
                <w:tab w:val="left" w:pos="567"/>
              </w:tabs>
              <w:jc w:val="center"/>
              <w:rPr>
                <w:szCs w:val="22"/>
                <w:lang w:val="en-GB"/>
              </w:rPr>
            </w:pPr>
            <w:r>
              <w:rPr>
                <w:szCs w:val="22"/>
                <w:lang w:val="en-GB"/>
              </w:rPr>
              <w:t>194</w:t>
            </w:r>
          </w:p>
        </w:tc>
        <w:tc>
          <w:tcPr>
            <w:tcW w:w="3021" w:type="dxa"/>
            <w:tcBorders>
              <w:top w:val="single" w:sz="4" w:space="0" w:color="auto"/>
              <w:left w:val="nil"/>
              <w:bottom w:val="single" w:sz="4" w:space="0" w:color="auto"/>
              <w:right w:val="nil"/>
            </w:tcBorders>
          </w:tcPr>
          <w:p w14:paraId="7122969A" w14:textId="77777777" w:rsidR="00E96E12" w:rsidRDefault="00E97765">
            <w:pPr>
              <w:widowControl w:val="0"/>
              <w:tabs>
                <w:tab w:val="left" w:pos="567"/>
              </w:tabs>
              <w:jc w:val="center"/>
              <w:rPr>
                <w:szCs w:val="22"/>
                <w:lang w:val="en-GB"/>
              </w:rPr>
            </w:pPr>
            <w:r>
              <w:rPr>
                <w:szCs w:val="22"/>
                <w:lang w:val="en-GB"/>
              </w:rPr>
              <w:t>193</w:t>
            </w:r>
          </w:p>
        </w:tc>
      </w:tr>
      <w:tr w:rsidR="00E96E12" w14:paraId="699AC1B8" w14:textId="77777777">
        <w:tc>
          <w:tcPr>
            <w:tcW w:w="3261" w:type="dxa"/>
            <w:tcBorders>
              <w:top w:val="single" w:sz="4" w:space="0" w:color="auto"/>
              <w:left w:val="nil"/>
              <w:bottom w:val="nil"/>
              <w:right w:val="nil"/>
            </w:tcBorders>
          </w:tcPr>
          <w:p w14:paraId="1878F413" w14:textId="77777777" w:rsidR="00E96E12" w:rsidRDefault="00E97765">
            <w:pPr>
              <w:widowControl w:val="0"/>
              <w:tabs>
                <w:tab w:val="left" w:pos="567"/>
              </w:tabs>
              <w:rPr>
                <w:b/>
                <w:szCs w:val="22"/>
                <w:lang w:val="en-US"/>
              </w:rPr>
            </w:pPr>
            <w:r>
              <w:rPr>
                <w:b/>
                <w:szCs w:val="22"/>
                <w:lang w:val="en-US"/>
              </w:rPr>
              <w:t xml:space="preserve">HbA1c (%) </w:t>
            </w:r>
          </w:p>
          <w:p w14:paraId="73384248" w14:textId="77777777" w:rsidR="00E96E12" w:rsidRDefault="00E97765">
            <w:pPr>
              <w:widowControl w:val="0"/>
              <w:tabs>
                <w:tab w:val="left" w:pos="567"/>
              </w:tabs>
              <w:rPr>
                <w:b/>
                <w:szCs w:val="22"/>
                <w:lang w:val="en-US"/>
              </w:rPr>
            </w:pPr>
            <w:r>
              <w:rPr>
                <w:szCs w:val="22"/>
                <w:lang w:val="en-US"/>
              </w:rPr>
              <w:t xml:space="preserve">Iki </w:t>
            </w:r>
            <w:proofErr w:type="spellStart"/>
            <w:r>
              <w:rPr>
                <w:szCs w:val="22"/>
                <w:lang w:val="en-US"/>
              </w:rPr>
              <w:t>tyrimo</w:t>
            </w:r>
            <w:proofErr w:type="spellEnd"/>
            <w:r>
              <w:rPr>
                <w:szCs w:val="22"/>
                <w:lang w:val="en-US"/>
              </w:rPr>
              <w:t xml:space="preserve"> (</w:t>
            </w:r>
            <w:proofErr w:type="spellStart"/>
            <w:r>
              <w:rPr>
                <w:szCs w:val="22"/>
                <w:lang w:val="en-US"/>
              </w:rPr>
              <w:t>vidurkis</w:t>
            </w:r>
            <w:proofErr w:type="spellEnd"/>
            <w:r>
              <w:rPr>
                <w:szCs w:val="22"/>
                <w:lang w:val="en-US"/>
              </w:rPr>
              <w:t>)</w:t>
            </w:r>
          </w:p>
        </w:tc>
        <w:tc>
          <w:tcPr>
            <w:tcW w:w="3020" w:type="dxa"/>
            <w:tcBorders>
              <w:top w:val="single" w:sz="4" w:space="0" w:color="auto"/>
              <w:left w:val="nil"/>
              <w:bottom w:val="nil"/>
              <w:right w:val="nil"/>
            </w:tcBorders>
          </w:tcPr>
          <w:p w14:paraId="5053CC00" w14:textId="77777777" w:rsidR="00E96E12" w:rsidRDefault="00E96E12">
            <w:pPr>
              <w:widowControl w:val="0"/>
              <w:tabs>
                <w:tab w:val="left" w:pos="567"/>
              </w:tabs>
              <w:jc w:val="center"/>
              <w:rPr>
                <w:szCs w:val="22"/>
                <w:lang w:val="en-GB"/>
              </w:rPr>
            </w:pPr>
          </w:p>
          <w:p w14:paraId="39C601FA" w14:textId="77777777" w:rsidR="00E96E12" w:rsidRDefault="00E97765">
            <w:pPr>
              <w:widowControl w:val="0"/>
              <w:tabs>
                <w:tab w:val="left" w:pos="567"/>
              </w:tabs>
              <w:jc w:val="center"/>
              <w:rPr>
                <w:szCs w:val="22"/>
                <w:lang w:val="en-GB"/>
              </w:rPr>
            </w:pPr>
            <w:r>
              <w:rPr>
                <w:szCs w:val="22"/>
                <w:lang w:val="en-GB"/>
              </w:rPr>
              <w:t>8,58</w:t>
            </w:r>
          </w:p>
        </w:tc>
        <w:tc>
          <w:tcPr>
            <w:tcW w:w="3021" w:type="dxa"/>
            <w:tcBorders>
              <w:top w:val="single" w:sz="4" w:space="0" w:color="auto"/>
              <w:left w:val="nil"/>
              <w:bottom w:val="nil"/>
              <w:right w:val="nil"/>
            </w:tcBorders>
          </w:tcPr>
          <w:p w14:paraId="7C46B5D3" w14:textId="77777777" w:rsidR="00E96E12" w:rsidRDefault="00E96E12">
            <w:pPr>
              <w:widowControl w:val="0"/>
              <w:tabs>
                <w:tab w:val="left" w:pos="567"/>
              </w:tabs>
              <w:jc w:val="center"/>
              <w:rPr>
                <w:szCs w:val="22"/>
                <w:lang w:val="en-GB"/>
              </w:rPr>
            </w:pPr>
          </w:p>
          <w:p w14:paraId="3FBA4FF8" w14:textId="77777777" w:rsidR="00E96E12" w:rsidRDefault="00E97765">
            <w:pPr>
              <w:widowControl w:val="0"/>
              <w:tabs>
                <w:tab w:val="left" w:pos="567"/>
              </w:tabs>
              <w:jc w:val="center"/>
              <w:rPr>
                <w:szCs w:val="22"/>
                <w:lang w:val="en-GB"/>
              </w:rPr>
            </w:pPr>
            <w:r>
              <w:rPr>
                <w:szCs w:val="22"/>
                <w:lang w:val="en-GB"/>
              </w:rPr>
              <w:t>8,46</w:t>
            </w:r>
          </w:p>
        </w:tc>
      </w:tr>
      <w:tr w:rsidR="00E96E12" w14:paraId="0F19D5D4" w14:textId="77777777">
        <w:tc>
          <w:tcPr>
            <w:tcW w:w="3261" w:type="dxa"/>
            <w:tcBorders>
              <w:top w:val="nil"/>
              <w:left w:val="nil"/>
              <w:bottom w:val="nil"/>
              <w:right w:val="nil"/>
            </w:tcBorders>
          </w:tcPr>
          <w:p w14:paraId="7106ADDF" w14:textId="77777777" w:rsidR="00E96E12" w:rsidRDefault="00E97765">
            <w:pPr>
              <w:widowControl w:val="0"/>
              <w:tabs>
                <w:tab w:val="left" w:pos="567"/>
              </w:tabs>
              <w:rPr>
                <w:szCs w:val="22"/>
                <w:lang w:val="en-US"/>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buvusia</w:t>
            </w:r>
            <w:proofErr w:type="spellEnd"/>
            <w:r>
              <w:rPr>
                <w:szCs w:val="22"/>
                <w:lang w:val="en-US"/>
              </w:rPr>
              <w:t xml:space="preserve"> </w:t>
            </w:r>
            <w:proofErr w:type="spellStart"/>
            <w:r>
              <w:rPr>
                <w:szCs w:val="22"/>
                <w:lang w:val="en-US"/>
              </w:rPr>
              <w:t>iki</w:t>
            </w:r>
            <w:proofErr w:type="spellEnd"/>
            <w:r>
              <w:rPr>
                <w:szCs w:val="22"/>
                <w:lang w:val="en-US"/>
              </w:rPr>
              <w:t xml:space="preserve"> </w:t>
            </w:r>
            <w:proofErr w:type="spellStart"/>
            <w:r>
              <w:rPr>
                <w:szCs w:val="22"/>
                <w:lang w:val="en-US"/>
              </w:rPr>
              <w:t>tyrimo</w:t>
            </w:r>
            <w:r>
              <w:rPr>
                <w:szCs w:val="22"/>
                <w:vertAlign w:val="superscript"/>
                <w:lang w:val="en-US"/>
              </w:rPr>
              <w:t>c</w:t>
            </w:r>
            <w:proofErr w:type="spellEnd"/>
          </w:p>
        </w:tc>
        <w:tc>
          <w:tcPr>
            <w:tcW w:w="3020" w:type="dxa"/>
            <w:tcBorders>
              <w:top w:val="nil"/>
              <w:left w:val="nil"/>
              <w:bottom w:val="nil"/>
              <w:right w:val="nil"/>
            </w:tcBorders>
          </w:tcPr>
          <w:p w14:paraId="284931C9" w14:textId="77777777" w:rsidR="00E96E12" w:rsidRDefault="00E97765">
            <w:pPr>
              <w:widowControl w:val="0"/>
              <w:tabs>
                <w:tab w:val="left" w:pos="567"/>
              </w:tabs>
              <w:jc w:val="center"/>
              <w:rPr>
                <w:szCs w:val="22"/>
                <w:lang w:val="en-GB"/>
              </w:rPr>
            </w:pPr>
            <w:r>
              <w:rPr>
                <w:szCs w:val="22"/>
                <w:lang w:val="en-GB"/>
              </w:rPr>
              <w:t>-0,90</w:t>
            </w:r>
          </w:p>
        </w:tc>
        <w:tc>
          <w:tcPr>
            <w:tcW w:w="3021" w:type="dxa"/>
            <w:tcBorders>
              <w:top w:val="nil"/>
              <w:left w:val="nil"/>
              <w:bottom w:val="nil"/>
              <w:right w:val="nil"/>
            </w:tcBorders>
          </w:tcPr>
          <w:p w14:paraId="1B07A38B" w14:textId="77777777" w:rsidR="00E96E12" w:rsidRDefault="00E97765">
            <w:pPr>
              <w:widowControl w:val="0"/>
              <w:tabs>
                <w:tab w:val="left" w:pos="567"/>
              </w:tabs>
              <w:jc w:val="center"/>
              <w:rPr>
                <w:szCs w:val="22"/>
                <w:lang w:val="en-GB"/>
              </w:rPr>
            </w:pPr>
            <w:r>
              <w:rPr>
                <w:szCs w:val="22"/>
                <w:lang w:val="en-GB"/>
              </w:rPr>
              <w:t>-0,30</w:t>
            </w:r>
          </w:p>
        </w:tc>
      </w:tr>
      <w:tr w:rsidR="00E96E12" w14:paraId="6975BE57" w14:textId="77777777">
        <w:tc>
          <w:tcPr>
            <w:tcW w:w="3261" w:type="dxa"/>
            <w:tcBorders>
              <w:top w:val="nil"/>
              <w:left w:val="nil"/>
              <w:bottom w:val="nil"/>
              <w:right w:val="nil"/>
            </w:tcBorders>
          </w:tcPr>
          <w:p w14:paraId="6D2CE0AF"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tc>
        <w:tc>
          <w:tcPr>
            <w:tcW w:w="3020" w:type="dxa"/>
            <w:tcBorders>
              <w:top w:val="nil"/>
              <w:left w:val="nil"/>
              <w:bottom w:val="nil"/>
              <w:right w:val="nil"/>
            </w:tcBorders>
          </w:tcPr>
          <w:p w14:paraId="6DB47C07" w14:textId="77777777" w:rsidR="00E96E12" w:rsidRDefault="00E97765">
            <w:pPr>
              <w:widowControl w:val="0"/>
              <w:tabs>
                <w:tab w:val="left" w:pos="567"/>
              </w:tabs>
              <w:jc w:val="center"/>
              <w:rPr>
                <w:szCs w:val="22"/>
                <w:lang w:val="en-GB"/>
              </w:rPr>
            </w:pPr>
            <w:r>
              <w:rPr>
                <w:szCs w:val="22"/>
                <w:lang w:val="en-GB"/>
              </w:rPr>
              <w:t>-0,60*</w:t>
            </w:r>
          </w:p>
        </w:tc>
        <w:tc>
          <w:tcPr>
            <w:tcW w:w="3021" w:type="dxa"/>
            <w:tcBorders>
              <w:top w:val="nil"/>
              <w:left w:val="nil"/>
              <w:bottom w:val="nil"/>
              <w:right w:val="nil"/>
            </w:tcBorders>
          </w:tcPr>
          <w:p w14:paraId="40070C75" w14:textId="77777777" w:rsidR="00E96E12" w:rsidRDefault="00E96E12">
            <w:pPr>
              <w:widowControl w:val="0"/>
              <w:tabs>
                <w:tab w:val="left" w:pos="567"/>
              </w:tabs>
              <w:jc w:val="center"/>
              <w:rPr>
                <w:szCs w:val="22"/>
                <w:lang w:val="en-GB"/>
              </w:rPr>
            </w:pPr>
          </w:p>
        </w:tc>
      </w:tr>
      <w:tr w:rsidR="00E96E12" w14:paraId="500A1C8A" w14:textId="77777777">
        <w:tc>
          <w:tcPr>
            <w:tcW w:w="3261" w:type="dxa"/>
            <w:tcBorders>
              <w:top w:val="nil"/>
              <w:left w:val="nil"/>
              <w:bottom w:val="single" w:sz="4" w:space="0" w:color="auto"/>
              <w:right w:val="nil"/>
            </w:tcBorders>
          </w:tcPr>
          <w:p w14:paraId="651407A3" w14:textId="77777777" w:rsidR="00E96E12" w:rsidRDefault="00E97765">
            <w:pPr>
              <w:widowControl w:val="0"/>
              <w:tabs>
                <w:tab w:val="left" w:pos="567"/>
              </w:tabs>
              <w:rPr>
                <w:szCs w:val="22"/>
                <w:lang w:val="en-GB"/>
              </w:rPr>
            </w:pPr>
            <w:r>
              <w:rPr>
                <w:szCs w:val="22"/>
                <w:lang w:val="en-US"/>
              </w:rPr>
              <w:t>(95% PI)</w:t>
            </w:r>
          </w:p>
        </w:tc>
        <w:tc>
          <w:tcPr>
            <w:tcW w:w="3020" w:type="dxa"/>
            <w:tcBorders>
              <w:top w:val="nil"/>
              <w:left w:val="nil"/>
              <w:bottom w:val="single" w:sz="4" w:space="0" w:color="auto"/>
              <w:right w:val="nil"/>
            </w:tcBorders>
          </w:tcPr>
          <w:p w14:paraId="4C75F7F8" w14:textId="77777777" w:rsidR="00E96E12" w:rsidRDefault="00E97765">
            <w:pPr>
              <w:widowControl w:val="0"/>
              <w:tabs>
                <w:tab w:val="left" w:pos="567"/>
              </w:tabs>
              <w:jc w:val="center"/>
              <w:rPr>
                <w:szCs w:val="22"/>
                <w:lang w:val="en-GB"/>
              </w:rPr>
            </w:pPr>
            <w:r>
              <w:rPr>
                <w:szCs w:val="22"/>
                <w:lang w:val="en-GB"/>
              </w:rPr>
              <w:t>(-0,74, -0,45)</w:t>
            </w:r>
          </w:p>
        </w:tc>
        <w:tc>
          <w:tcPr>
            <w:tcW w:w="3021" w:type="dxa"/>
            <w:tcBorders>
              <w:top w:val="nil"/>
              <w:left w:val="nil"/>
              <w:bottom w:val="single" w:sz="4" w:space="0" w:color="auto"/>
              <w:right w:val="nil"/>
            </w:tcBorders>
          </w:tcPr>
          <w:p w14:paraId="64B6B351" w14:textId="77777777" w:rsidR="00E96E12" w:rsidRDefault="00E96E12">
            <w:pPr>
              <w:widowControl w:val="0"/>
              <w:tabs>
                <w:tab w:val="left" w:pos="567"/>
              </w:tabs>
              <w:jc w:val="center"/>
              <w:rPr>
                <w:szCs w:val="22"/>
                <w:lang w:val="en-GB"/>
              </w:rPr>
            </w:pPr>
          </w:p>
        </w:tc>
      </w:tr>
      <w:tr w:rsidR="00E96E12" w14:paraId="6E49B9C4" w14:textId="77777777">
        <w:tc>
          <w:tcPr>
            <w:tcW w:w="3261" w:type="dxa"/>
            <w:tcBorders>
              <w:top w:val="single" w:sz="4" w:space="0" w:color="auto"/>
              <w:left w:val="nil"/>
              <w:bottom w:val="nil"/>
              <w:right w:val="nil"/>
            </w:tcBorders>
          </w:tcPr>
          <w:p w14:paraId="2EF5CC7A" w14:textId="77777777" w:rsidR="00E96E12" w:rsidRDefault="00E97765">
            <w:pPr>
              <w:widowControl w:val="0"/>
              <w:tabs>
                <w:tab w:val="left" w:pos="567"/>
              </w:tabs>
              <w:rPr>
                <w:szCs w:val="22"/>
                <w:lang w:val="en-GB"/>
              </w:rPr>
            </w:pPr>
            <w:proofErr w:type="spellStart"/>
            <w:r>
              <w:rPr>
                <w:b/>
                <w:szCs w:val="22"/>
                <w:lang w:val="en-US"/>
              </w:rPr>
              <w:t>Kūno</w:t>
            </w:r>
            <w:proofErr w:type="spellEnd"/>
            <w:r>
              <w:rPr>
                <w:b/>
                <w:szCs w:val="22"/>
                <w:lang w:val="en-US"/>
              </w:rPr>
              <w:t xml:space="preserve"> </w:t>
            </w:r>
            <w:proofErr w:type="spellStart"/>
            <w:r>
              <w:rPr>
                <w:b/>
                <w:szCs w:val="22"/>
                <w:lang w:val="en-US"/>
              </w:rPr>
              <w:t>svoris</w:t>
            </w:r>
            <w:proofErr w:type="spellEnd"/>
            <w:r>
              <w:rPr>
                <w:b/>
                <w:szCs w:val="22"/>
                <w:lang w:val="en-US"/>
              </w:rPr>
              <w:t xml:space="preserve"> (kg)</w:t>
            </w:r>
          </w:p>
        </w:tc>
        <w:tc>
          <w:tcPr>
            <w:tcW w:w="3020" w:type="dxa"/>
            <w:tcBorders>
              <w:top w:val="single" w:sz="4" w:space="0" w:color="auto"/>
              <w:left w:val="nil"/>
              <w:bottom w:val="nil"/>
              <w:right w:val="nil"/>
            </w:tcBorders>
          </w:tcPr>
          <w:p w14:paraId="26B21ED7" w14:textId="77777777" w:rsidR="00E96E12" w:rsidRDefault="00E96E12">
            <w:pPr>
              <w:widowControl w:val="0"/>
              <w:tabs>
                <w:tab w:val="left" w:pos="567"/>
              </w:tabs>
              <w:jc w:val="center"/>
              <w:rPr>
                <w:szCs w:val="22"/>
                <w:lang w:val="en-GB"/>
              </w:rPr>
            </w:pPr>
          </w:p>
        </w:tc>
        <w:tc>
          <w:tcPr>
            <w:tcW w:w="3021" w:type="dxa"/>
            <w:tcBorders>
              <w:top w:val="single" w:sz="4" w:space="0" w:color="auto"/>
              <w:left w:val="nil"/>
              <w:bottom w:val="nil"/>
              <w:right w:val="nil"/>
            </w:tcBorders>
          </w:tcPr>
          <w:p w14:paraId="1A55F2A1" w14:textId="77777777" w:rsidR="00E96E12" w:rsidRDefault="00E96E12">
            <w:pPr>
              <w:widowControl w:val="0"/>
              <w:tabs>
                <w:tab w:val="left" w:pos="567"/>
              </w:tabs>
              <w:jc w:val="center"/>
              <w:rPr>
                <w:szCs w:val="22"/>
                <w:lang w:val="en-GB"/>
              </w:rPr>
            </w:pPr>
          </w:p>
        </w:tc>
      </w:tr>
      <w:tr w:rsidR="00E96E12" w14:paraId="21B47D78" w14:textId="77777777">
        <w:tc>
          <w:tcPr>
            <w:tcW w:w="3261" w:type="dxa"/>
            <w:tcBorders>
              <w:top w:val="nil"/>
              <w:left w:val="nil"/>
              <w:bottom w:val="nil"/>
              <w:right w:val="nil"/>
            </w:tcBorders>
          </w:tcPr>
          <w:p w14:paraId="1D6885A6" w14:textId="77777777" w:rsidR="00E96E12" w:rsidRDefault="00E97765">
            <w:pPr>
              <w:widowControl w:val="0"/>
              <w:tabs>
                <w:tab w:val="left" w:pos="567"/>
              </w:tabs>
              <w:rPr>
                <w:szCs w:val="22"/>
                <w:lang w:val="en-GB"/>
              </w:rPr>
            </w:pPr>
            <w:r>
              <w:rPr>
                <w:szCs w:val="22"/>
                <w:lang w:val="en-US"/>
              </w:rPr>
              <w:t xml:space="preserve">Iki </w:t>
            </w:r>
            <w:proofErr w:type="spellStart"/>
            <w:r>
              <w:rPr>
                <w:szCs w:val="22"/>
                <w:lang w:val="en-US"/>
              </w:rPr>
              <w:t>tyrimo</w:t>
            </w:r>
            <w:proofErr w:type="spellEnd"/>
            <w:r>
              <w:rPr>
                <w:szCs w:val="22"/>
                <w:lang w:val="en-US"/>
              </w:rPr>
              <w:t xml:space="preserve"> (</w:t>
            </w:r>
            <w:proofErr w:type="spellStart"/>
            <w:r>
              <w:rPr>
                <w:szCs w:val="22"/>
                <w:lang w:val="en-US"/>
              </w:rPr>
              <w:t>vidurkis</w:t>
            </w:r>
            <w:proofErr w:type="spellEnd"/>
            <w:r>
              <w:rPr>
                <w:szCs w:val="22"/>
                <w:lang w:val="en-US"/>
              </w:rPr>
              <w:t>)</w:t>
            </w:r>
          </w:p>
        </w:tc>
        <w:tc>
          <w:tcPr>
            <w:tcW w:w="3020" w:type="dxa"/>
            <w:tcBorders>
              <w:top w:val="nil"/>
              <w:left w:val="nil"/>
              <w:bottom w:val="nil"/>
              <w:right w:val="nil"/>
            </w:tcBorders>
          </w:tcPr>
          <w:p w14:paraId="4DDBE514" w14:textId="77777777" w:rsidR="00E96E12" w:rsidRDefault="00E97765">
            <w:pPr>
              <w:widowControl w:val="0"/>
              <w:tabs>
                <w:tab w:val="left" w:pos="567"/>
              </w:tabs>
              <w:jc w:val="center"/>
              <w:rPr>
                <w:szCs w:val="22"/>
                <w:lang w:val="en-GB"/>
              </w:rPr>
            </w:pPr>
            <w:r>
              <w:rPr>
                <w:szCs w:val="22"/>
                <w:lang w:val="en-GB"/>
              </w:rPr>
              <w:t>94,63</w:t>
            </w:r>
          </w:p>
        </w:tc>
        <w:tc>
          <w:tcPr>
            <w:tcW w:w="3021" w:type="dxa"/>
            <w:tcBorders>
              <w:top w:val="nil"/>
              <w:left w:val="nil"/>
              <w:bottom w:val="nil"/>
              <w:right w:val="nil"/>
            </w:tcBorders>
          </w:tcPr>
          <w:p w14:paraId="07F01DD1" w14:textId="77777777" w:rsidR="00E96E12" w:rsidRDefault="00E97765">
            <w:pPr>
              <w:widowControl w:val="0"/>
              <w:tabs>
                <w:tab w:val="left" w:pos="567"/>
              </w:tabs>
              <w:jc w:val="center"/>
              <w:rPr>
                <w:szCs w:val="22"/>
                <w:lang w:val="en-GB"/>
              </w:rPr>
            </w:pPr>
            <w:r>
              <w:rPr>
                <w:szCs w:val="22"/>
                <w:lang w:val="en-GB"/>
              </w:rPr>
              <w:t>94,21</w:t>
            </w:r>
          </w:p>
        </w:tc>
      </w:tr>
      <w:tr w:rsidR="00E96E12" w14:paraId="1869E066" w14:textId="77777777">
        <w:tc>
          <w:tcPr>
            <w:tcW w:w="3261" w:type="dxa"/>
            <w:tcBorders>
              <w:top w:val="nil"/>
              <w:left w:val="nil"/>
              <w:bottom w:val="nil"/>
              <w:right w:val="nil"/>
            </w:tcBorders>
          </w:tcPr>
          <w:p w14:paraId="243E3452" w14:textId="77777777" w:rsidR="00E96E12" w:rsidRDefault="00E97765">
            <w:pPr>
              <w:widowControl w:val="0"/>
              <w:tabs>
                <w:tab w:val="left" w:pos="567"/>
              </w:tabs>
              <w:rPr>
                <w:szCs w:val="22"/>
                <w:lang w:val="lt-LT"/>
              </w:rPr>
            </w:pPr>
            <w:r>
              <w:rPr>
                <w:szCs w:val="22"/>
                <w:lang w:val="lt-LT"/>
              </w:rPr>
              <w:t xml:space="preserve">Pokytis palyginus su buvusiu iki </w:t>
            </w:r>
            <w:proofErr w:type="spellStart"/>
            <w:r>
              <w:rPr>
                <w:szCs w:val="22"/>
                <w:lang w:val="lt-LT"/>
              </w:rPr>
              <w:t>tyrimo</w:t>
            </w:r>
            <w:r>
              <w:rPr>
                <w:szCs w:val="22"/>
                <w:vertAlign w:val="superscript"/>
                <w:lang w:val="lt-LT"/>
              </w:rPr>
              <w:t>c</w:t>
            </w:r>
            <w:proofErr w:type="spellEnd"/>
          </w:p>
        </w:tc>
        <w:tc>
          <w:tcPr>
            <w:tcW w:w="3020" w:type="dxa"/>
            <w:tcBorders>
              <w:top w:val="nil"/>
              <w:left w:val="nil"/>
              <w:bottom w:val="nil"/>
              <w:right w:val="nil"/>
            </w:tcBorders>
          </w:tcPr>
          <w:p w14:paraId="0169EB76" w14:textId="77777777" w:rsidR="00E96E12" w:rsidRDefault="00E97765">
            <w:pPr>
              <w:widowControl w:val="0"/>
              <w:tabs>
                <w:tab w:val="left" w:pos="567"/>
              </w:tabs>
              <w:jc w:val="center"/>
              <w:rPr>
                <w:szCs w:val="22"/>
                <w:lang w:val="en-GB"/>
              </w:rPr>
            </w:pPr>
            <w:r>
              <w:rPr>
                <w:szCs w:val="22"/>
                <w:lang w:val="en-GB"/>
              </w:rPr>
              <w:t>-1,67</w:t>
            </w:r>
          </w:p>
        </w:tc>
        <w:tc>
          <w:tcPr>
            <w:tcW w:w="3021" w:type="dxa"/>
            <w:tcBorders>
              <w:top w:val="nil"/>
              <w:left w:val="nil"/>
              <w:bottom w:val="nil"/>
              <w:right w:val="nil"/>
            </w:tcBorders>
          </w:tcPr>
          <w:p w14:paraId="577AADC9" w14:textId="77777777" w:rsidR="00E96E12" w:rsidRDefault="00E97765">
            <w:pPr>
              <w:widowControl w:val="0"/>
              <w:tabs>
                <w:tab w:val="left" w:pos="567"/>
              </w:tabs>
              <w:jc w:val="center"/>
              <w:rPr>
                <w:szCs w:val="22"/>
                <w:lang w:val="en-GB"/>
              </w:rPr>
            </w:pPr>
            <w:r>
              <w:rPr>
                <w:szCs w:val="22"/>
                <w:lang w:val="en-GB"/>
              </w:rPr>
              <w:t>0,02</w:t>
            </w:r>
          </w:p>
        </w:tc>
      </w:tr>
      <w:tr w:rsidR="00E96E12" w14:paraId="6A274BEA" w14:textId="77777777">
        <w:tc>
          <w:tcPr>
            <w:tcW w:w="3261" w:type="dxa"/>
            <w:tcBorders>
              <w:top w:val="nil"/>
              <w:left w:val="nil"/>
              <w:bottom w:val="nil"/>
              <w:right w:val="nil"/>
            </w:tcBorders>
          </w:tcPr>
          <w:p w14:paraId="30D268F8"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tc>
        <w:tc>
          <w:tcPr>
            <w:tcW w:w="3020" w:type="dxa"/>
            <w:tcBorders>
              <w:top w:val="nil"/>
              <w:left w:val="nil"/>
              <w:bottom w:val="nil"/>
              <w:right w:val="nil"/>
            </w:tcBorders>
          </w:tcPr>
          <w:p w14:paraId="1311C99D" w14:textId="77777777" w:rsidR="00E96E12" w:rsidRDefault="00E97765">
            <w:pPr>
              <w:widowControl w:val="0"/>
              <w:tabs>
                <w:tab w:val="left" w:pos="567"/>
              </w:tabs>
              <w:jc w:val="center"/>
              <w:rPr>
                <w:szCs w:val="22"/>
                <w:lang w:val="en-GB"/>
              </w:rPr>
            </w:pPr>
            <w:r>
              <w:rPr>
                <w:szCs w:val="22"/>
                <w:lang w:val="en-GB"/>
              </w:rPr>
              <w:t>-1,68</w:t>
            </w:r>
            <w:r>
              <w:rPr>
                <w:szCs w:val="22"/>
                <w:vertAlign w:val="superscript"/>
                <w:lang w:val="en-GB"/>
              </w:rPr>
              <w:t>*</w:t>
            </w:r>
          </w:p>
        </w:tc>
        <w:tc>
          <w:tcPr>
            <w:tcW w:w="3021" w:type="dxa"/>
            <w:tcBorders>
              <w:top w:val="nil"/>
              <w:left w:val="nil"/>
              <w:bottom w:val="nil"/>
              <w:right w:val="nil"/>
            </w:tcBorders>
          </w:tcPr>
          <w:p w14:paraId="2C704582" w14:textId="77777777" w:rsidR="00E96E12" w:rsidRDefault="00E96E12">
            <w:pPr>
              <w:widowControl w:val="0"/>
              <w:tabs>
                <w:tab w:val="left" w:pos="567"/>
              </w:tabs>
              <w:jc w:val="center"/>
              <w:rPr>
                <w:szCs w:val="22"/>
                <w:lang w:val="en-GB"/>
              </w:rPr>
            </w:pPr>
          </w:p>
        </w:tc>
      </w:tr>
      <w:tr w:rsidR="00E96E12" w14:paraId="7DE9E968" w14:textId="77777777">
        <w:tc>
          <w:tcPr>
            <w:tcW w:w="3261" w:type="dxa"/>
            <w:tcBorders>
              <w:top w:val="nil"/>
              <w:left w:val="nil"/>
              <w:bottom w:val="single" w:sz="4" w:space="0" w:color="auto"/>
              <w:right w:val="nil"/>
            </w:tcBorders>
          </w:tcPr>
          <w:p w14:paraId="009838FD" w14:textId="77777777" w:rsidR="00E96E12" w:rsidRDefault="00E97765">
            <w:pPr>
              <w:widowControl w:val="0"/>
              <w:tabs>
                <w:tab w:val="left" w:pos="567"/>
              </w:tabs>
              <w:rPr>
                <w:szCs w:val="22"/>
                <w:lang w:val="en-GB"/>
              </w:rPr>
            </w:pPr>
            <w:r>
              <w:rPr>
                <w:szCs w:val="22"/>
                <w:lang w:val="en-US"/>
              </w:rPr>
              <w:t>(95% PI)</w:t>
            </w:r>
          </w:p>
        </w:tc>
        <w:tc>
          <w:tcPr>
            <w:tcW w:w="3020" w:type="dxa"/>
            <w:tcBorders>
              <w:top w:val="nil"/>
              <w:left w:val="nil"/>
              <w:bottom w:val="single" w:sz="4" w:space="0" w:color="auto"/>
              <w:right w:val="nil"/>
            </w:tcBorders>
          </w:tcPr>
          <w:p w14:paraId="6ACEE161" w14:textId="77777777" w:rsidR="00E96E12" w:rsidRDefault="00E97765">
            <w:pPr>
              <w:widowControl w:val="0"/>
              <w:tabs>
                <w:tab w:val="left" w:pos="567"/>
              </w:tabs>
              <w:jc w:val="center"/>
              <w:rPr>
                <w:szCs w:val="22"/>
                <w:lang w:val="en-GB"/>
              </w:rPr>
            </w:pPr>
            <w:r>
              <w:rPr>
                <w:szCs w:val="22"/>
                <w:lang w:val="en-GB"/>
              </w:rPr>
              <w:t>(-2,19, -1,18)</w:t>
            </w:r>
          </w:p>
        </w:tc>
        <w:tc>
          <w:tcPr>
            <w:tcW w:w="3021" w:type="dxa"/>
            <w:tcBorders>
              <w:top w:val="nil"/>
              <w:left w:val="nil"/>
              <w:bottom w:val="single" w:sz="4" w:space="0" w:color="auto"/>
              <w:right w:val="nil"/>
            </w:tcBorders>
          </w:tcPr>
          <w:p w14:paraId="1DA92B2C" w14:textId="77777777" w:rsidR="00E96E12" w:rsidRDefault="00E96E12">
            <w:pPr>
              <w:widowControl w:val="0"/>
              <w:tabs>
                <w:tab w:val="left" w:pos="567"/>
              </w:tabs>
              <w:jc w:val="center"/>
              <w:rPr>
                <w:szCs w:val="22"/>
                <w:lang w:val="en-GB"/>
              </w:rPr>
            </w:pPr>
          </w:p>
        </w:tc>
      </w:tr>
      <w:tr w:rsidR="00E96E12" w14:paraId="639F5E29" w14:textId="77777777">
        <w:tc>
          <w:tcPr>
            <w:tcW w:w="3261" w:type="dxa"/>
            <w:tcBorders>
              <w:top w:val="single" w:sz="4" w:space="0" w:color="auto"/>
              <w:left w:val="nil"/>
              <w:bottom w:val="nil"/>
              <w:right w:val="nil"/>
            </w:tcBorders>
          </w:tcPr>
          <w:p w14:paraId="11AC445A" w14:textId="77777777" w:rsidR="00E96E12" w:rsidRDefault="00E97765">
            <w:pPr>
              <w:widowControl w:val="0"/>
              <w:tabs>
                <w:tab w:val="left" w:pos="567"/>
              </w:tabs>
              <w:rPr>
                <w:szCs w:val="22"/>
                <w:vertAlign w:val="superscript"/>
                <w:lang w:val="pt-PT"/>
              </w:rPr>
            </w:pPr>
            <w:r>
              <w:rPr>
                <w:b/>
                <w:szCs w:val="22"/>
                <w:lang w:val="pt-PT"/>
              </w:rPr>
              <w:t>Vidutinė insulin paros dozė (TV)</w:t>
            </w:r>
            <w:r>
              <w:rPr>
                <w:szCs w:val="22"/>
                <w:vertAlign w:val="superscript"/>
                <w:lang w:val="pt-PT"/>
              </w:rPr>
              <w:t>1</w:t>
            </w:r>
          </w:p>
          <w:p w14:paraId="18C6F70E" w14:textId="77777777" w:rsidR="00E96E12" w:rsidRDefault="00E97765">
            <w:pPr>
              <w:widowControl w:val="0"/>
              <w:tabs>
                <w:tab w:val="left" w:pos="567"/>
              </w:tabs>
              <w:rPr>
                <w:szCs w:val="22"/>
                <w:lang w:val="en-US"/>
              </w:rPr>
            </w:pPr>
            <w:r>
              <w:rPr>
                <w:szCs w:val="22"/>
                <w:lang w:val="en-US"/>
              </w:rPr>
              <w:t xml:space="preserve">Iki </w:t>
            </w:r>
            <w:proofErr w:type="spellStart"/>
            <w:r>
              <w:rPr>
                <w:szCs w:val="22"/>
                <w:lang w:val="en-US"/>
              </w:rPr>
              <w:t>tyrimo</w:t>
            </w:r>
            <w:proofErr w:type="spellEnd"/>
            <w:r>
              <w:rPr>
                <w:szCs w:val="22"/>
                <w:lang w:val="en-US"/>
              </w:rPr>
              <w:t xml:space="preserve"> (</w:t>
            </w:r>
            <w:proofErr w:type="spellStart"/>
            <w:r>
              <w:rPr>
                <w:szCs w:val="22"/>
                <w:lang w:val="en-US"/>
              </w:rPr>
              <w:t>vidurkis</w:t>
            </w:r>
            <w:proofErr w:type="spellEnd"/>
            <w:r>
              <w:rPr>
                <w:szCs w:val="22"/>
                <w:lang w:val="en-US"/>
              </w:rPr>
              <w:t>)</w:t>
            </w:r>
          </w:p>
        </w:tc>
        <w:tc>
          <w:tcPr>
            <w:tcW w:w="3020" w:type="dxa"/>
            <w:tcBorders>
              <w:top w:val="single" w:sz="4" w:space="0" w:color="auto"/>
              <w:left w:val="nil"/>
              <w:bottom w:val="nil"/>
              <w:right w:val="nil"/>
            </w:tcBorders>
          </w:tcPr>
          <w:p w14:paraId="24009D11" w14:textId="77777777" w:rsidR="00E96E12" w:rsidRDefault="00E96E12">
            <w:pPr>
              <w:widowControl w:val="0"/>
              <w:tabs>
                <w:tab w:val="left" w:pos="567"/>
              </w:tabs>
              <w:jc w:val="center"/>
              <w:rPr>
                <w:szCs w:val="22"/>
                <w:lang w:val="en-GB"/>
              </w:rPr>
            </w:pPr>
          </w:p>
          <w:p w14:paraId="46966BDE" w14:textId="77777777" w:rsidR="00E96E12" w:rsidRDefault="00E97765">
            <w:pPr>
              <w:widowControl w:val="0"/>
              <w:tabs>
                <w:tab w:val="left" w:pos="567"/>
              </w:tabs>
              <w:jc w:val="center"/>
              <w:rPr>
                <w:szCs w:val="22"/>
                <w:lang w:val="en-GB"/>
              </w:rPr>
            </w:pPr>
            <w:r>
              <w:rPr>
                <w:szCs w:val="22"/>
                <w:lang w:val="en-GB"/>
              </w:rPr>
              <w:t>77,96</w:t>
            </w:r>
          </w:p>
        </w:tc>
        <w:tc>
          <w:tcPr>
            <w:tcW w:w="3021" w:type="dxa"/>
            <w:tcBorders>
              <w:top w:val="single" w:sz="4" w:space="0" w:color="auto"/>
              <w:left w:val="nil"/>
              <w:bottom w:val="nil"/>
              <w:right w:val="nil"/>
            </w:tcBorders>
          </w:tcPr>
          <w:p w14:paraId="13B5038F" w14:textId="77777777" w:rsidR="00E96E12" w:rsidRDefault="00E96E12">
            <w:pPr>
              <w:widowControl w:val="0"/>
              <w:tabs>
                <w:tab w:val="left" w:pos="567"/>
              </w:tabs>
              <w:jc w:val="center"/>
              <w:rPr>
                <w:szCs w:val="22"/>
                <w:lang w:val="en-GB"/>
              </w:rPr>
            </w:pPr>
          </w:p>
          <w:p w14:paraId="22564B9C" w14:textId="77777777" w:rsidR="00E96E12" w:rsidRDefault="00E97765">
            <w:pPr>
              <w:widowControl w:val="0"/>
              <w:tabs>
                <w:tab w:val="left" w:pos="567"/>
              </w:tabs>
              <w:jc w:val="center"/>
              <w:rPr>
                <w:szCs w:val="22"/>
                <w:lang w:val="en-GB"/>
              </w:rPr>
            </w:pPr>
            <w:r>
              <w:rPr>
                <w:szCs w:val="22"/>
                <w:lang w:val="en-GB"/>
              </w:rPr>
              <w:t>73,96</w:t>
            </w:r>
          </w:p>
        </w:tc>
      </w:tr>
      <w:tr w:rsidR="00E96E12" w14:paraId="65F725F6" w14:textId="77777777">
        <w:tc>
          <w:tcPr>
            <w:tcW w:w="3261" w:type="dxa"/>
            <w:tcBorders>
              <w:top w:val="nil"/>
              <w:left w:val="nil"/>
              <w:bottom w:val="nil"/>
              <w:right w:val="nil"/>
            </w:tcBorders>
          </w:tcPr>
          <w:p w14:paraId="73EC3776" w14:textId="77777777" w:rsidR="00E96E12" w:rsidRDefault="00E97765">
            <w:pPr>
              <w:widowControl w:val="0"/>
              <w:tabs>
                <w:tab w:val="left" w:pos="567"/>
              </w:tabs>
              <w:rPr>
                <w:szCs w:val="22"/>
                <w:lang w:val="en-US"/>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buvusia</w:t>
            </w:r>
            <w:proofErr w:type="spellEnd"/>
            <w:r>
              <w:rPr>
                <w:szCs w:val="22"/>
                <w:lang w:val="en-US"/>
              </w:rPr>
              <w:t xml:space="preserve"> </w:t>
            </w:r>
            <w:proofErr w:type="spellStart"/>
            <w:r>
              <w:rPr>
                <w:szCs w:val="22"/>
                <w:lang w:val="en-US"/>
              </w:rPr>
              <w:t>iki</w:t>
            </w:r>
            <w:proofErr w:type="spellEnd"/>
            <w:r>
              <w:rPr>
                <w:szCs w:val="22"/>
                <w:lang w:val="en-US"/>
              </w:rPr>
              <w:t xml:space="preserve"> </w:t>
            </w:r>
            <w:proofErr w:type="spellStart"/>
            <w:r>
              <w:rPr>
                <w:szCs w:val="22"/>
                <w:lang w:val="en-US"/>
              </w:rPr>
              <w:t>tyrimo</w:t>
            </w:r>
            <w:r>
              <w:rPr>
                <w:szCs w:val="22"/>
                <w:vertAlign w:val="superscript"/>
                <w:lang w:val="en-US"/>
              </w:rPr>
              <w:t>c</w:t>
            </w:r>
            <w:proofErr w:type="spellEnd"/>
          </w:p>
        </w:tc>
        <w:tc>
          <w:tcPr>
            <w:tcW w:w="3020" w:type="dxa"/>
            <w:tcBorders>
              <w:top w:val="nil"/>
              <w:left w:val="nil"/>
              <w:bottom w:val="nil"/>
              <w:right w:val="nil"/>
            </w:tcBorders>
          </w:tcPr>
          <w:p w14:paraId="4818B1A3" w14:textId="77777777" w:rsidR="00E96E12" w:rsidRDefault="00E97765">
            <w:pPr>
              <w:widowControl w:val="0"/>
              <w:tabs>
                <w:tab w:val="left" w:pos="567"/>
              </w:tabs>
              <w:jc w:val="center"/>
              <w:rPr>
                <w:szCs w:val="22"/>
                <w:lang w:val="en-GB"/>
              </w:rPr>
            </w:pPr>
            <w:r>
              <w:rPr>
                <w:szCs w:val="22"/>
                <w:lang w:val="en-GB"/>
              </w:rPr>
              <w:t>-1,16</w:t>
            </w:r>
          </w:p>
        </w:tc>
        <w:tc>
          <w:tcPr>
            <w:tcW w:w="3021" w:type="dxa"/>
            <w:tcBorders>
              <w:top w:val="nil"/>
              <w:left w:val="nil"/>
              <w:bottom w:val="nil"/>
              <w:right w:val="nil"/>
            </w:tcBorders>
          </w:tcPr>
          <w:p w14:paraId="76639925" w14:textId="77777777" w:rsidR="00E96E12" w:rsidRDefault="00E97765">
            <w:pPr>
              <w:widowControl w:val="0"/>
              <w:tabs>
                <w:tab w:val="left" w:pos="567"/>
              </w:tabs>
              <w:jc w:val="center"/>
              <w:rPr>
                <w:szCs w:val="22"/>
                <w:lang w:val="en-GB"/>
              </w:rPr>
            </w:pPr>
            <w:r>
              <w:rPr>
                <w:szCs w:val="22"/>
                <w:lang w:val="en-GB"/>
              </w:rPr>
              <w:t>5,08</w:t>
            </w:r>
          </w:p>
        </w:tc>
      </w:tr>
      <w:tr w:rsidR="00E96E12" w14:paraId="1279E55B" w14:textId="77777777">
        <w:tc>
          <w:tcPr>
            <w:tcW w:w="3261" w:type="dxa"/>
            <w:tcBorders>
              <w:top w:val="nil"/>
              <w:left w:val="nil"/>
              <w:bottom w:val="nil"/>
              <w:right w:val="nil"/>
            </w:tcBorders>
          </w:tcPr>
          <w:p w14:paraId="55784294" w14:textId="77777777" w:rsidR="00E96E12" w:rsidRDefault="00E97765">
            <w:pPr>
              <w:widowControl w:val="0"/>
              <w:tabs>
                <w:tab w:val="left" w:pos="567"/>
              </w:tabs>
              <w:rPr>
                <w:szCs w:val="22"/>
                <w:lang w:val="en-US"/>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c</w:t>
            </w:r>
            <w:proofErr w:type="spellEnd"/>
          </w:p>
          <w:p w14:paraId="019F1D68" w14:textId="77777777" w:rsidR="00E96E12" w:rsidRDefault="00E97765">
            <w:pPr>
              <w:widowControl w:val="0"/>
              <w:tabs>
                <w:tab w:val="left" w:pos="567"/>
              </w:tabs>
              <w:rPr>
                <w:szCs w:val="22"/>
                <w:lang w:val="en-US"/>
              </w:rPr>
            </w:pPr>
            <w:r>
              <w:rPr>
                <w:szCs w:val="22"/>
                <w:lang w:val="en-US"/>
              </w:rPr>
              <w:t>(95% PI)</w:t>
            </w:r>
          </w:p>
        </w:tc>
        <w:tc>
          <w:tcPr>
            <w:tcW w:w="3020" w:type="dxa"/>
            <w:tcBorders>
              <w:top w:val="nil"/>
              <w:left w:val="nil"/>
              <w:bottom w:val="nil"/>
              <w:right w:val="nil"/>
            </w:tcBorders>
          </w:tcPr>
          <w:p w14:paraId="5037D900" w14:textId="77777777" w:rsidR="00E96E12" w:rsidRDefault="00E97765">
            <w:pPr>
              <w:widowControl w:val="0"/>
              <w:tabs>
                <w:tab w:val="left" w:pos="567"/>
              </w:tabs>
              <w:jc w:val="center"/>
              <w:rPr>
                <w:szCs w:val="22"/>
                <w:vertAlign w:val="superscript"/>
                <w:lang w:val="en-GB"/>
              </w:rPr>
            </w:pPr>
            <w:r>
              <w:rPr>
                <w:szCs w:val="22"/>
                <w:lang w:val="en-GB"/>
              </w:rPr>
              <w:t>-6,23</w:t>
            </w:r>
            <w:r>
              <w:rPr>
                <w:szCs w:val="22"/>
                <w:vertAlign w:val="superscript"/>
                <w:lang w:val="en-GB"/>
              </w:rPr>
              <w:t>*</w:t>
            </w:r>
          </w:p>
          <w:p w14:paraId="098CB404" w14:textId="77777777" w:rsidR="00E96E12" w:rsidRDefault="00E97765">
            <w:pPr>
              <w:widowControl w:val="0"/>
              <w:tabs>
                <w:tab w:val="left" w:pos="567"/>
              </w:tabs>
              <w:jc w:val="center"/>
              <w:rPr>
                <w:szCs w:val="22"/>
                <w:lang w:val="en-GB"/>
              </w:rPr>
            </w:pPr>
            <w:r>
              <w:rPr>
                <w:szCs w:val="22"/>
                <w:lang w:val="en-GB"/>
              </w:rPr>
              <w:t>(-8,84, -3,63)</w:t>
            </w:r>
          </w:p>
        </w:tc>
        <w:tc>
          <w:tcPr>
            <w:tcW w:w="3021" w:type="dxa"/>
            <w:tcBorders>
              <w:top w:val="nil"/>
              <w:left w:val="nil"/>
              <w:bottom w:val="nil"/>
              <w:right w:val="nil"/>
            </w:tcBorders>
          </w:tcPr>
          <w:p w14:paraId="75E2A251" w14:textId="77777777" w:rsidR="00E96E12" w:rsidRDefault="00E96E12">
            <w:pPr>
              <w:widowControl w:val="0"/>
              <w:tabs>
                <w:tab w:val="left" w:pos="567"/>
              </w:tabs>
              <w:jc w:val="center"/>
              <w:rPr>
                <w:szCs w:val="22"/>
                <w:lang w:val="en-GB"/>
              </w:rPr>
            </w:pPr>
          </w:p>
        </w:tc>
      </w:tr>
      <w:tr w:rsidR="00E96E12" w14:paraId="2A97ADD5" w14:textId="77777777">
        <w:tc>
          <w:tcPr>
            <w:tcW w:w="3261" w:type="dxa"/>
            <w:tcBorders>
              <w:top w:val="nil"/>
              <w:left w:val="nil"/>
              <w:bottom w:val="single" w:sz="4" w:space="0" w:color="auto"/>
              <w:right w:val="nil"/>
            </w:tcBorders>
          </w:tcPr>
          <w:p w14:paraId="69608522" w14:textId="77777777" w:rsidR="00E96E12" w:rsidRDefault="00E97765">
            <w:pPr>
              <w:widowControl w:val="0"/>
              <w:tabs>
                <w:tab w:val="left" w:pos="567"/>
              </w:tabs>
              <w:rPr>
                <w:szCs w:val="22"/>
                <w:lang w:val="en-US"/>
              </w:rPr>
            </w:pPr>
            <w:proofErr w:type="spellStart"/>
            <w:r>
              <w:rPr>
                <w:szCs w:val="22"/>
                <w:lang w:val="en-US"/>
              </w:rPr>
              <w:t>Asmenys</w:t>
            </w:r>
            <w:proofErr w:type="spellEnd"/>
            <w:r>
              <w:rPr>
                <w:szCs w:val="22"/>
                <w:lang w:val="en-US"/>
              </w:rPr>
              <w:t xml:space="preserve">, </w:t>
            </w:r>
            <w:proofErr w:type="spellStart"/>
            <w:r>
              <w:rPr>
                <w:szCs w:val="22"/>
                <w:lang w:val="en-US"/>
              </w:rPr>
              <w:t>kuriems</w:t>
            </w:r>
            <w:proofErr w:type="spellEnd"/>
            <w:r>
              <w:rPr>
                <w:szCs w:val="22"/>
                <w:lang w:val="en-US"/>
              </w:rPr>
              <w:t xml:space="preserve"> insulin </w:t>
            </w:r>
            <w:proofErr w:type="spellStart"/>
            <w:r>
              <w:rPr>
                <w:szCs w:val="22"/>
                <w:lang w:val="en-US"/>
              </w:rPr>
              <w:t>vidutinė</w:t>
            </w:r>
            <w:proofErr w:type="spellEnd"/>
            <w:r>
              <w:rPr>
                <w:szCs w:val="22"/>
                <w:lang w:val="en-US"/>
              </w:rPr>
              <w:t xml:space="preserve"> </w:t>
            </w:r>
            <w:proofErr w:type="spellStart"/>
            <w:r>
              <w:rPr>
                <w:szCs w:val="22"/>
                <w:lang w:val="en-US"/>
              </w:rPr>
              <w:t>paros</w:t>
            </w:r>
            <w:proofErr w:type="spellEnd"/>
            <w:r>
              <w:rPr>
                <w:szCs w:val="22"/>
                <w:lang w:val="en-US"/>
              </w:rPr>
              <w:t xml:space="preserve"> doze </w:t>
            </w:r>
            <w:proofErr w:type="spellStart"/>
            <w:r>
              <w:rPr>
                <w:szCs w:val="22"/>
                <w:lang w:val="en-US"/>
              </w:rPr>
              <w:t>buvo</w:t>
            </w:r>
            <w:proofErr w:type="spellEnd"/>
            <w:r>
              <w:rPr>
                <w:szCs w:val="22"/>
                <w:lang w:val="en-US"/>
              </w:rPr>
              <w:t xml:space="preserve"> </w:t>
            </w:r>
            <w:proofErr w:type="spellStart"/>
            <w:r>
              <w:rPr>
                <w:szCs w:val="22"/>
                <w:lang w:val="en-US"/>
              </w:rPr>
              <w:t>sumažinta</w:t>
            </w:r>
            <w:proofErr w:type="spellEnd"/>
            <w:r>
              <w:rPr>
                <w:szCs w:val="22"/>
                <w:lang w:val="en-US"/>
              </w:rPr>
              <w:t xml:space="preserve"> bent 10% (%)</w:t>
            </w:r>
          </w:p>
        </w:tc>
        <w:tc>
          <w:tcPr>
            <w:tcW w:w="3020" w:type="dxa"/>
            <w:tcBorders>
              <w:top w:val="nil"/>
              <w:left w:val="nil"/>
              <w:bottom w:val="single" w:sz="4" w:space="0" w:color="auto"/>
              <w:right w:val="nil"/>
            </w:tcBorders>
          </w:tcPr>
          <w:p w14:paraId="36E06895" w14:textId="77777777" w:rsidR="00E96E12" w:rsidRDefault="00E96E12">
            <w:pPr>
              <w:widowControl w:val="0"/>
              <w:tabs>
                <w:tab w:val="left" w:pos="567"/>
              </w:tabs>
              <w:jc w:val="center"/>
              <w:rPr>
                <w:szCs w:val="22"/>
                <w:lang w:val="en-GB"/>
              </w:rPr>
            </w:pPr>
          </w:p>
          <w:p w14:paraId="5A18DFF0" w14:textId="77777777" w:rsidR="00E96E12" w:rsidRDefault="00E97765">
            <w:pPr>
              <w:widowControl w:val="0"/>
              <w:tabs>
                <w:tab w:val="left" w:pos="567"/>
              </w:tabs>
              <w:jc w:val="center"/>
              <w:rPr>
                <w:szCs w:val="22"/>
                <w:lang w:val="en-GB"/>
              </w:rPr>
            </w:pPr>
            <w:r>
              <w:rPr>
                <w:szCs w:val="22"/>
                <w:lang w:val="en-GB"/>
              </w:rPr>
              <w:t>19,7</w:t>
            </w:r>
            <w:r>
              <w:rPr>
                <w:szCs w:val="22"/>
                <w:vertAlign w:val="superscript"/>
                <w:lang w:val="en-GB"/>
              </w:rPr>
              <w:t>**</w:t>
            </w:r>
          </w:p>
        </w:tc>
        <w:tc>
          <w:tcPr>
            <w:tcW w:w="3021" w:type="dxa"/>
            <w:tcBorders>
              <w:top w:val="nil"/>
              <w:left w:val="nil"/>
              <w:bottom w:val="single" w:sz="4" w:space="0" w:color="auto"/>
              <w:right w:val="nil"/>
            </w:tcBorders>
          </w:tcPr>
          <w:p w14:paraId="0753E2CB" w14:textId="77777777" w:rsidR="00E96E12" w:rsidRDefault="00E96E12">
            <w:pPr>
              <w:widowControl w:val="0"/>
              <w:tabs>
                <w:tab w:val="left" w:pos="567"/>
              </w:tabs>
              <w:jc w:val="center"/>
              <w:rPr>
                <w:szCs w:val="22"/>
                <w:lang w:val="en-GB"/>
              </w:rPr>
            </w:pPr>
          </w:p>
          <w:p w14:paraId="383028BD" w14:textId="77777777" w:rsidR="00E96E12" w:rsidRDefault="00E97765">
            <w:pPr>
              <w:widowControl w:val="0"/>
              <w:tabs>
                <w:tab w:val="left" w:pos="567"/>
              </w:tabs>
              <w:jc w:val="center"/>
              <w:rPr>
                <w:szCs w:val="22"/>
                <w:lang w:val="en-GB"/>
              </w:rPr>
            </w:pPr>
            <w:r>
              <w:rPr>
                <w:szCs w:val="22"/>
                <w:lang w:val="en-GB"/>
              </w:rPr>
              <w:t>11,0</w:t>
            </w:r>
          </w:p>
        </w:tc>
      </w:tr>
    </w:tbl>
    <w:p w14:paraId="17F48FAF"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a</w:t>
      </w:r>
      <w:r>
        <w:rPr>
          <w:rFonts w:eastAsia="TimesNewRoman"/>
          <w:sz w:val="18"/>
          <w:szCs w:val="18"/>
          <w:lang w:eastAsia="lt-LT"/>
        </w:rPr>
        <w:t xml:space="preserve"> LOCF – paskutinė atlikta apžiūra (jei insulino dozę teko didinti, tai pirmo jos didinimo dieną arba iki jos).</w:t>
      </w:r>
    </w:p>
    <w:p w14:paraId="1C38F51B"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b</w:t>
      </w:r>
      <w:r>
        <w:rPr>
          <w:rFonts w:eastAsia="TimesNewRoman"/>
          <w:sz w:val="18"/>
          <w:szCs w:val="18"/>
          <w:lang w:eastAsia="lt-LT"/>
        </w:rPr>
        <w:t xml:space="preserve"> Visi atsitiktinai atrinkti asmenys, pavartoję bent vieną dozę dvigubai aklo tyrimo trumpu dvigubai aklu laikotarpiu.</w:t>
      </w:r>
    </w:p>
    <w:p w14:paraId="501FE00E"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c</w:t>
      </w:r>
      <w:r>
        <w:rPr>
          <w:rFonts w:eastAsia="TimesNewRoman"/>
          <w:sz w:val="18"/>
          <w:szCs w:val="18"/>
          <w:lang w:eastAsia="lt-LT"/>
        </w:rPr>
        <w:t xml:space="preserve"> Mažiausių kvadratų metodu apskaičiuotas vidurkis, koreguotas pagal dydį iki tyrimo ir geriamųjų gliukozės koncentraciją mažinančių vaistinių preparatų vartojimą.</w:t>
      </w:r>
    </w:p>
    <w:p w14:paraId="71E34B5B"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 &lt; 0,0001 plg. su placebo ir insulino deriniu (kartu buvo vartojami geriamieji gliukozės koncentraciją mažinantys vaistiniai preparatai arba ne).</w:t>
      </w:r>
    </w:p>
    <w:p w14:paraId="37CECCD5"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 &lt; 0,05 plg. su placebo ir insulino deriniu (kartu buvo vartojami geriamieji gliukozės koncentraciją mažinantys vaistiniai preparatai arba ne).</w:t>
      </w:r>
    </w:p>
    <w:p w14:paraId="1394DB14"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1</w:t>
      </w:r>
      <w:r>
        <w:rPr>
          <w:rFonts w:eastAsia="TimesNewRoman"/>
          <w:sz w:val="18"/>
          <w:szCs w:val="18"/>
          <w:lang w:eastAsia="lt-LT"/>
        </w:rPr>
        <w:t xml:space="preserve"> Insulinų (įskaitant trumpos ir vidutinės veikimo trukmės bei bazinius) dozės didinimas buvo leidžiamas tik asmenims, atitikusiems iš anksto nustatytus gliukozės koncentracijos plazmoje nevalgius kriterijus.</w:t>
      </w:r>
    </w:p>
    <w:p w14:paraId="50A53D9F"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2</w:t>
      </w:r>
      <w:r>
        <w:rPr>
          <w:rFonts w:eastAsia="TimesNewRoman"/>
          <w:sz w:val="18"/>
          <w:szCs w:val="18"/>
          <w:lang w:eastAsia="lt-LT"/>
        </w:rPr>
        <w:t xml:space="preserve"> 50 % pacientų įtraukimo įtyrimą dieną taikyta </w:t>
      </w:r>
      <w:proofErr w:type="spellStart"/>
      <w:r>
        <w:rPr>
          <w:rFonts w:eastAsia="TimesNewRoman"/>
          <w:sz w:val="18"/>
          <w:szCs w:val="18"/>
          <w:lang w:eastAsia="lt-LT"/>
        </w:rPr>
        <w:t>monoterapija</w:t>
      </w:r>
      <w:proofErr w:type="spellEnd"/>
      <w:r>
        <w:rPr>
          <w:rFonts w:eastAsia="TimesNewRoman"/>
          <w:sz w:val="18"/>
          <w:szCs w:val="18"/>
          <w:lang w:eastAsia="lt-LT"/>
        </w:rPr>
        <w:t xml:space="preserve"> insulinu, o 50 % kartu su insulinu vartojo 1-2 geriamuosius gliukozės koncentraciją mažinančius vaistinius preparatus (80 % pastarųjų vartojo vien </w:t>
      </w:r>
      <w:proofErr w:type="spellStart"/>
      <w:r>
        <w:rPr>
          <w:rFonts w:eastAsia="TimesNewRoman"/>
          <w:sz w:val="18"/>
          <w:szCs w:val="18"/>
          <w:lang w:eastAsia="lt-LT"/>
        </w:rPr>
        <w:t>metforminą</w:t>
      </w:r>
      <w:proofErr w:type="spellEnd"/>
      <w:r>
        <w:rPr>
          <w:rFonts w:eastAsia="TimesNewRoman"/>
          <w:sz w:val="18"/>
          <w:szCs w:val="18"/>
          <w:lang w:eastAsia="lt-LT"/>
        </w:rPr>
        <w:t xml:space="preserve">, 12 % – </w:t>
      </w:r>
      <w:proofErr w:type="spellStart"/>
      <w:r>
        <w:rPr>
          <w:rFonts w:eastAsia="TimesNewRoman"/>
          <w:sz w:val="18"/>
          <w:szCs w:val="18"/>
          <w:lang w:eastAsia="lt-LT"/>
        </w:rPr>
        <w:t>metforminą</w:t>
      </w:r>
      <w:proofErr w:type="spellEnd"/>
      <w:r>
        <w:rPr>
          <w:rFonts w:eastAsia="TimesNewRoman"/>
          <w:sz w:val="18"/>
          <w:szCs w:val="18"/>
          <w:lang w:eastAsia="lt-LT"/>
        </w:rPr>
        <w:t xml:space="preserve"> ir </w:t>
      </w:r>
      <w:proofErr w:type="spellStart"/>
      <w:r>
        <w:rPr>
          <w:rFonts w:eastAsia="TimesNewRoman"/>
          <w:sz w:val="18"/>
          <w:szCs w:val="18"/>
          <w:lang w:eastAsia="lt-LT"/>
        </w:rPr>
        <w:t>sulfonilkarbamidą</w:t>
      </w:r>
      <w:proofErr w:type="spellEnd"/>
      <w:r>
        <w:rPr>
          <w:rFonts w:eastAsia="TimesNewRoman"/>
          <w:sz w:val="18"/>
          <w:szCs w:val="18"/>
          <w:lang w:eastAsia="lt-LT"/>
        </w:rPr>
        <w:t>, likusieji – kitų geriamųjų gliukozės koncentraciją mažinančių vaistinių preparatų).</w:t>
      </w:r>
    </w:p>
    <w:p w14:paraId="6E39CECE" w14:textId="77777777" w:rsidR="00E96E12" w:rsidRDefault="00E96E12">
      <w:pPr>
        <w:autoSpaceDE w:val="0"/>
        <w:autoSpaceDN w:val="0"/>
        <w:adjustRightInd w:val="0"/>
        <w:rPr>
          <w:rFonts w:ascii="TimesNewRoman,Italic" w:eastAsia="TimesNewRoman,Italic" w:cs="TimesNewRoman,Italic"/>
          <w:i/>
          <w:iCs/>
          <w:szCs w:val="22"/>
          <w:lang w:eastAsia="lt-LT"/>
        </w:rPr>
      </w:pPr>
    </w:p>
    <w:p w14:paraId="3ABFB111"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 xml:space="preserve">Derinys su </w:t>
      </w:r>
      <w:proofErr w:type="spellStart"/>
      <w:r>
        <w:rPr>
          <w:rFonts w:eastAsia="TimesNewRoman,Italic"/>
          <w:i/>
          <w:iCs/>
          <w:szCs w:val="22"/>
          <w:lang w:eastAsia="lt-LT"/>
        </w:rPr>
        <w:t>metforminu</w:t>
      </w:r>
      <w:proofErr w:type="spellEnd"/>
      <w:r>
        <w:rPr>
          <w:rFonts w:eastAsia="TimesNewRoman,Italic"/>
          <w:i/>
          <w:iCs/>
          <w:szCs w:val="22"/>
          <w:lang w:eastAsia="lt-LT"/>
        </w:rPr>
        <w:t xml:space="preserve"> anksčiau vaistinių preparatų nevartojusiems pacientams</w:t>
      </w:r>
    </w:p>
    <w:p w14:paraId="66F8B94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Dviejuose 24 savaičių aktyvios kontrolės dapagliflozino (5 mg arba 10 mg) derinio su </w:t>
      </w:r>
      <w:proofErr w:type="spellStart"/>
      <w:r>
        <w:rPr>
          <w:rFonts w:eastAsia="TimesNewRoman"/>
          <w:szCs w:val="22"/>
          <w:lang w:eastAsia="lt-LT"/>
        </w:rPr>
        <w:t>metforminu</w:t>
      </w:r>
      <w:proofErr w:type="spellEnd"/>
      <w:r>
        <w:rPr>
          <w:rFonts w:eastAsia="TimesNewRoman"/>
          <w:szCs w:val="22"/>
          <w:lang w:eastAsia="lt-LT"/>
        </w:rPr>
        <w:t xml:space="preserve"> veiksmingumo ir saugumo, palyginus su atskirais komponentais, tyrimuose iš viso dalyvavo 1236 anksčiau vaistinių preparatų nevartoję pacientai, sirgę tinkamai nekontroliuojamu 2 tipo diabetu (HbA1c ≥ 7,5 % ir ≤ 12 %).</w:t>
      </w:r>
    </w:p>
    <w:p w14:paraId="6EE9E742" w14:textId="77777777" w:rsidR="00E96E12" w:rsidRDefault="00E96E12">
      <w:pPr>
        <w:autoSpaceDE w:val="0"/>
        <w:autoSpaceDN w:val="0"/>
        <w:adjustRightInd w:val="0"/>
        <w:rPr>
          <w:rFonts w:eastAsia="TimesNewRoman"/>
          <w:szCs w:val="22"/>
          <w:lang w:eastAsia="lt-LT"/>
        </w:rPr>
      </w:pPr>
    </w:p>
    <w:p w14:paraId="1E59CDD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Kartu vartojus 10 mg dapagliflozino ir iki 2000 mg </w:t>
      </w:r>
      <w:proofErr w:type="spellStart"/>
      <w:r>
        <w:rPr>
          <w:rFonts w:eastAsia="TimesNewRoman"/>
          <w:szCs w:val="22"/>
          <w:lang w:eastAsia="lt-LT"/>
        </w:rPr>
        <w:t>metformino</w:t>
      </w:r>
      <w:proofErr w:type="spellEnd"/>
      <w:r>
        <w:rPr>
          <w:rFonts w:eastAsia="TimesNewRoman"/>
          <w:szCs w:val="22"/>
          <w:lang w:eastAsia="lt-LT"/>
        </w:rPr>
        <w:t xml:space="preserve"> per parą, HbA1c koncentracija buvo reikšmingai mažesnė negu vartojus atskirus komponentus (7 lentelė). Be to, derinys labiau už atskirus komponentus sumažino gliukozės koncentraciją plazmoje nevalgius ir labiau už </w:t>
      </w:r>
      <w:proofErr w:type="spellStart"/>
      <w:r>
        <w:rPr>
          <w:rFonts w:eastAsia="TimesNewRoman"/>
          <w:szCs w:val="22"/>
          <w:lang w:eastAsia="lt-LT"/>
        </w:rPr>
        <w:t>metforminą</w:t>
      </w:r>
      <w:proofErr w:type="spellEnd"/>
      <w:r>
        <w:rPr>
          <w:rFonts w:eastAsia="TimesNewRoman"/>
          <w:szCs w:val="22"/>
          <w:lang w:eastAsia="lt-LT"/>
        </w:rPr>
        <w:t xml:space="preserve"> sumažino kūno svorį.</w:t>
      </w:r>
    </w:p>
    <w:p w14:paraId="763A2BC8" w14:textId="77777777" w:rsidR="00E96E12" w:rsidRDefault="00E96E12">
      <w:pPr>
        <w:autoSpaceDE w:val="0"/>
        <w:autoSpaceDN w:val="0"/>
        <w:adjustRightInd w:val="0"/>
        <w:rPr>
          <w:rFonts w:eastAsia="TimesNewRoman"/>
          <w:szCs w:val="22"/>
          <w:lang w:eastAsia="lt-LT"/>
        </w:rPr>
      </w:pPr>
    </w:p>
    <w:p w14:paraId="30AE9BD5"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 xml:space="preserve">7 lentelė. Aktyviai kontroliuoto dapagliflozino ir </w:t>
      </w:r>
      <w:proofErr w:type="spellStart"/>
      <w:r>
        <w:rPr>
          <w:rFonts w:eastAsia="TimesNewRoman,Bold"/>
          <w:b/>
          <w:bCs/>
          <w:szCs w:val="22"/>
          <w:lang w:eastAsia="lt-LT"/>
        </w:rPr>
        <w:t>metformino</w:t>
      </w:r>
      <w:proofErr w:type="spellEnd"/>
      <w:r>
        <w:rPr>
          <w:rFonts w:eastAsia="TimesNewRoman,Bold"/>
          <w:b/>
          <w:bCs/>
          <w:szCs w:val="22"/>
          <w:lang w:eastAsia="lt-LT"/>
        </w:rPr>
        <w:t xml:space="preserve"> derinio poveikio anksčiau vaistinių</w:t>
      </w:r>
    </w:p>
    <w:p w14:paraId="359CFDBE" w14:textId="77777777" w:rsidR="00E96E12" w:rsidRDefault="00E97765">
      <w:pPr>
        <w:autoSpaceDE w:val="0"/>
        <w:autoSpaceDN w:val="0"/>
        <w:adjustRightInd w:val="0"/>
        <w:rPr>
          <w:rFonts w:eastAsia="TimesNewRoman"/>
          <w:szCs w:val="22"/>
          <w:lang w:eastAsia="lt-LT"/>
        </w:rPr>
      </w:pPr>
      <w:r>
        <w:rPr>
          <w:rFonts w:eastAsia="TimesNewRoman,Bold"/>
          <w:b/>
          <w:bCs/>
          <w:szCs w:val="22"/>
          <w:lang w:eastAsia="lt-LT"/>
        </w:rPr>
        <w:t>preparatų nevartojusiems pacientams tyrimo duomenys po 24 savaičių (</w:t>
      </w:r>
      <w:proofErr w:type="spellStart"/>
      <w:r>
        <w:rPr>
          <w:rFonts w:eastAsia="TimesNewRoman,Bold"/>
          <w:b/>
          <w:bCs/>
          <w:szCs w:val="22"/>
          <w:lang w:eastAsia="lt-LT"/>
        </w:rPr>
        <w:t>LOCF</w:t>
      </w:r>
      <w:r>
        <w:rPr>
          <w:rFonts w:eastAsia="TimesNewRoman,Bold"/>
          <w:b/>
          <w:bCs/>
          <w:szCs w:val="22"/>
          <w:vertAlign w:val="superscript"/>
          <w:lang w:eastAsia="lt-LT"/>
        </w:rPr>
        <w:t>a</w:t>
      </w:r>
      <w:proofErr w:type="spellEnd"/>
      <w:r>
        <w:rPr>
          <w:rFonts w:eastAsia="TimesNewRoman,Bold"/>
          <w:b/>
          <w:bCs/>
          <w:szCs w:val="22"/>
          <w:lang w:eastAsia="lt-LT"/>
        </w:rPr>
        <w:t>)</w:t>
      </w:r>
    </w:p>
    <w:p w14:paraId="62BF20D0" w14:textId="77777777" w:rsidR="00E96E12" w:rsidRDefault="00E96E12">
      <w:pPr>
        <w:widowControl w:val="0"/>
        <w:tabs>
          <w:tab w:val="left" w:pos="567"/>
        </w:tabs>
        <w:rPr>
          <w:b/>
          <w:bCs/>
          <w:szCs w:val="22"/>
          <w:lang w:val="pt-PT"/>
        </w:rPr>
      </w:pPr>
    </w:p>
    <w:tbl>
      <w:tblPr>
        <w:tblStyle w:val="Lentelstinklelis"/>
        <w:tblW w:w="5134" w:type="pct"/>
        <w:tblLook w:val="04A0" w:firstRow="1" w:lastRow="0" w:firstColumn="1" w:lastColumn="0" w:noHBand="0" w:noVBand="1"/>
      </w:tblPr>
      <w:tblGrid>
        <w:gridCol w:w="2976"/>
        <w:gridCol w:w="2239"/>
        <w:gridCol w:w="2239"/>
        <w:gridCol w:w="1859"/>
      </w:tblGrid>
      <w:tr w:rsidR="00E96E12" w14:paraId="6D5E5360" w14:textId="77777777">
        <w:tc>
          <w:tcPr>
            <w:tcW w:w="1598" w:type="pct"/>
            <w:tcBorders>
              <w:top w:val="single" w:sz="4" w:space="0" w:color="auto"/>
              <w:left w:val="nil"/>
              <w:bottom w:val="single" w:sz="4" w:space="0" w:color="auto"/>
              <w:right w:val="nil"/>
            </w:tcBorders>
          </w:tcPr>
          <w:p w14:paraId="595AADA4" w14:textId="77777777" w:rsidR="00E96E12" w:rsidRDefault="00E97765">
            <w:pPr>
              <w:widowControl w:val="0"/>
              <w:tabs>
                <w:tab w:val="left" w:pos="567"/>
              </w:tabs>
              <w:rPr>
                <w:szCs w:val="22"/>
                <w:lang w:val="en-GB"/>
              </w:rPr>
            </w:pPr>
            <w:proofErr w:type="spellStart"/>
            <w:r>
              <w:rPr>
                <w:szCs w:val="22"/>
                <w:lang w:val="en-GB"/>
              </w:rPr>
              <w:t>Rodiklis</w:t>
            </w:r>
            <w:proofErr w:type="spellEnd"/>
          </w:p>
        </w:tc>
        <w:tc>
          <w:tcPr>
            <w:tcW w:w="1202" w:type="pct"/>
            <w:tcBorders>
              <w:top w:val="single" w:sz="4" w:space="0" w:color="auto"/>
              <w:left w:val="nil"/>
              <w:bottom w:val="single" w:sz="4" w:space="0" w:color="auto"/>
              <w:right w:val="nil"/>
            </w:tcBorders>
          </w:tcPr>
          <w:p w14:paraId="06C463DE" w14:textId="77777777" w:rsidR="00E96E12" w:rsidRDefault="00E97765">
            <w:pPr>
              <w:widowControl w:val="0"/>
              <w:tabs>
                <w:tab w:val="left" w:pos="567"/>
              </w:tabs>
              <w:jc w:val="center"/>
              <w:rPr>
                <w:b/>
                <w:szCs w:val="22"/>
                <w:lang w:val="en-GB"/>
              </w:rPr>
            </w:pPr>
            <w:proofErr w:type="spellStart"/>
            <w:r>
              <w:rPr>
                <w:b/>
                <w:szCs w:val="22"/>
                <w:lang w:val="en-GB"/>
              </w:rPr>
              <w:t>Dapagliflozinas</w:t>
            </w:r>
            <w:proofErr w:type="spellEnd"/>
            <w:r>
              <w:rPr>
                <w:b/>
                <w:szCs w:val="22"/>
                <w:lang w:val="en-GB"/>
              </w:rPr>
              <w:t xml:space="preserve"> 10 mg + </w:t>
            </w:r>
            <w:proofErr w:type="spellStart"/>
            <w:r>
              <w:rPr>
                <w:b/>
                <w:szCs w:val="22"/>
                <w:lang w:val="en-GB"/>
              </w:rPr>
              <w:t>metforminas</w:t>
            </w:r>
            <w:proofErr w:type="spellEnd"/>
          </w:p>
        </w:tc>
        <w:tc>
          <w:tcPr>
            <w:tcW w:w="1202" w:type="pct"/>
            <w:tcBorders>
              <w:top w:val="single" w:sz="4" w:space="0" w:color="auto"/>
              <w:left w:val="nil"/>
              <w:bottom w:val="single" w:sz="4" w:space="0" w:color="auto"/>
              <w:right w:val="nil"/>
            </w:tcBorders>
          </w:tcPr>
          <w:p w14:paraId="3737F5B8" w14:textId="77777777" w:rsidR="00E96E12" w:rsidRDefault="00E97765">
            <w:pPr>
              <w:widowControl w:val="0"/>
              <w:tabs>
                <w:tab w:val="left" w:pos="567"/>
              </w:tabs>
              <w:jc w:val="center"/>
              <w:rPr>
                <w:b/>
                <w:szCs w:val="22"/>
                <w:lang w:val="en-GB"/>
              </w:rPr>
            </w:pPr>
            <w:proofErr w:type="spellStart"/>
            <w:r>
              <w:rPr>
                <w:b/>
                <w:szCs w:val="22"/>
                <w:lang w:val="en-GB"/>
              </w:rPr>
              <w:t>Dapagliflozinas</w:t>
            </w:r>
            <w:proofErr w:type="spellEnd"/>
            <w:r>
              <w:rPr>
                <w:b/>
                <w:szCs w:val="22"/>
                <w:lang w:val="en-GB"/>
              </w:rPr>
              <w:t xml:space="preserve"> 10 mg</w:t>
            </w:r>
          </w:p>
        </w:tc>
        <w:tc>
          <w:tcPr>
            <w:tcW w:w="998" w:type="pct"/>
            <w:tcBorders>
              <w:top w:val="single" w:sz="4" w:space="0" w:color="auto"/>
              <w:left w:val="nil"/>
              <w:bottom w:val="single" w:sz="4" w:space="0" w:color="auto"/>
              <w:right w:val="nil"/>
            </w:tcBorders>
          </w:tcPr>
          <w:p w14:paraId="78DA64EA" w14:textId="77777777" w:rsidR="00E96E12" w:rsidRDefault="00E97765">
            <w:pPr>
              <w:widowControl w:val="0"/>
              <w:tabs>
                <w:tab w:val="left" w:pos="567"/>
              </w:tabs>
              <w:jc w:val="center"/>
              <w:rPr>
                <w:b/>
                <w:szCs w:val="22"/>
                <w:lang w:val="en-GB"/>
              </w:rPr>
            </w:pPr>
            <w:proofErr w:type="spellStart"/>
            <w:r>
              <w:rPr>
                <w:b/>
                <w:szCs w:val="22"/>
                <w:lang w:val="en-GB"/>
              </w:rPr>
              <w:t>Metforminas</w:t>
            </w:r>
            <w:proofErr w:type="spellEnd"/>
          </w:p>
        </w:tc>
      </w:tr>
      <w:tr w:rsidR="00E96E12" w14:paraId="2BA243D6" w14:textId="77777777">
        <w:tc>
          <w:tcPr>
            <w:tcW w:w="1598" w:type="pct"/>
            <w:tcBorders>
              <w:top w:val="single" w:sz="4" w:space="0" w:color="auto"/>
              <w:left w:val="nil"/>
              <w:bottom w:val="single" w:sz="4" w:space="0" w:color="auto"/>
              <w:right w:val="nil"/>
            </w:tcBorders>
          </w:tcPr>
          <w:p w14:paraId="56B17924" w14:textId="77777777" w:rsidR="00E96E12" w:rsidRDefault="00E97765">
            <w:pPr>
              <w:widowControl w:val="0"/>
              <w:tabs>
                <w:tab w:val="left" w:pos="567"/>
              </w:tabs>
              <w:rPr>
                <w:szCs w:val="22"/>
                <w:vertAlign w:val="superscript"/>
                <w:lang w:val="en-GB"/>
              </w:rPr>
            </w:pPr>
            <w:r>
              <w:rPr>
                <w:szCs w:val="22"/>
                <w:lang w:val="en-GB"/>
              </w:rPr>
              <w:t>N</w:t>
            </w:r>
            <w:r>
              <w:rPr>
                <w:szCs w:val="22"/>
                <w:vertAlign w:val="superscript"/>
                <w:lang w:val="en-GB"/>
              </w:rPr>
              <w:t>b</w:t>
            </w:r>
          </w:p>
        </w:tc>
        <w:tc>
          <w:tcPr>
            <w:tcW w:w="1202" w:type="pct"/>
            <w:tcBorders>
              <w:top w:val="single" w:sz="4" w:space="0" w:color="auto"/>
              <w:left w:val="nil"/>
              <w:bottom w:val="single" w:sz="4" w:space="0" w:color="auto"/>
              <w:right w:val="nil"/>
            </w:tcBorders>
          </w:tcPr>
          <w:p w14:paraId="7181503D" w14:textId="77777777" w:rsidR="00E96E12" w:rsidRDefault="00E97765">
            <w:pPr>
              <w:widowControl w:val="0"/>
              <w:tabs>
                <w:tab w:val="left" w:pos="567"/>
              </w:tabs>
              <w:jc w:val="center"/>
              <w:rPr>
                <w:szCs w:val="22"/>
                <w:lang w:val="en-GB"/>
              </w:rPr>
            </w:pPr>
            <w:r>
              <w:rPr>
                <w:szCs w:val="22"/>
                <w:lang w:val="en-GB"/>
              </w:rPr>
              <w:t>211</w:t>
            </w:r>
            <w:r>
              <w:rPr>
                <w:szCs w:val="22"/>
                <w:vertAlign w:val="superscript"/>
                <w:lang w:val="en-GB"/>
              </w:rPr>
              <w:t>b</w:t>
            </w:r>
          </w:p>
        </w:tc>
        <w:tc>
          <w:tcPr>
            <w:tcW w:w="1202" w:type="pct"/>
            <w:tcBorders>
              <w:top w:val="single" w:sz="4" w:space="0" w:color="auto"/>
              <w:left w:val="nil"/>
              <w:bottom w:val="single" w:sz="4" w:space="0" w:color="auto"/>
              <w:right w:val="nil"/>
            </w:tcBorders>
          </w:tcPr>
          <w:p w14:paraId="08F01F29" w14:textId="77777777" w:rsidR="00E96E12" w:rsidRDefault="00E97765">
            <w:pPr>
              <w:widowControl w:val="0"/>
              <w:tabs>
                <w:tab w:val="left" w:pos="567"/>
              </w:tabs>
              <w:jc w:val="center"/>
              <w:rPr>
                <w:szCs w:val="22"/>
                <w:lang w:val="en-GB"/>
              </w:rPr>
            </w:pPr>
            <w:r>
              <w:rPr>
                <w:szCs w:val="22"/>
                <w:lang w:val="en-GB"/>
              </w:rPr>
              <w:t>219</w:t>
            </w:r>
            <w:r>
              <w:rPr>
                <w:szCs w:val="22"/>
                <w:vertAlign w:val="superscript"/>
                <w:lang w:val="en-GB"/>
              </w:rPr>
              <w:t>b</w:t>
            </w:r>
          </w:p>
        </w:tc>
        <w:tc>
          <w:tcPr>
            <w:tcW w:w="998" w:type="pct"/>
            <w:tcBorders>
              <w:top w:val="single" w:sz="4" w:space="0" w:color="auto"/>
              <w:left w:val="nil"/>
              <w:bottom w:val="single" w:sz="4" w:space="0" w:color="auto"/>
              <w:right w:val="nil"/>
            </w:tcBorders>
          </w:tcPr>
          <w:p w14:paraId="7EE82A0D" w14:textId="77777777" w:rsidR="00E96E12" w:rsidRDefault="00E97765">
            <w:pPr>
              <w:widowControl w:val="0"/>
              <w:tabs>
                <w:tab w:val="left" w:pos="567"/>
              </w:tabs>
              <w:jc w:val="center"/>
              <w:rPr>
                <w:szCs w:val="22"/>
                <w:lang w:val="en-GB"/>
              </w:rPr>
            </w:pPr>
            <w:r>
              <w:rPr>
                <w:szCs w:val="22"/>
                <w:lang w:val="en-GB"/>
              </w:rPr>
              <w:t>208</w:t>
            </w:r>
            <w:r>
              <w:rPr>
                <w:szCs w:val="22"/>
                <w:vertAlign w:val="superscript"/>
                <w:lang w:val="en-GB"/>
              </w:rPr>
              <w:t>b</w:t>
            </w:r>
          </w:p>
        </w:tc>
      </w:tr>
      <w:tr w:rsidR="00E96E12" w14:paraId="1C8FF2CE" w14:textId="77777777">
        <w:tc>
          <w:tcPr>
            <w:tcW w:w="1598" w:type="pct"/>
            <w:tcBorders>
              <w:top w:val="single" w:sz="4" w:space="0" w:color="auto"/>
              <w:left w:val="nil"/>
              <w:bottom w:val="nil"/>
              <w:right w:val="nil"/>
            </w:tcBorders>
          </w:tcPr>
          <w:p w14:paraId="0B114030" w14:textId="77777777" w:rsidR="00E96E12" w:rsidRDefault="00E97765">
            <w:pPr>
              <w:widowControl w:val="0"/>
              <w:tabs>
                <w:tab w:val="left" w:pos="567"/>
              </w:tabs>
              <w:rPr>
                <w:b/>
                <w:szCs w:val="22"/>
                <w:lang w:val="en-US"/>
              </w:rPr>
            </w:pPr>
            <w:r>
              <w:rPr>
                <w:b/>
                <w:szCs w:val="22"/>
                <w:lang w:val="en-US"/>
              </w:rPr>
              <w:t>HbA1c (%)</w:t>
            </w:r>
          </w:p>
          <w:p w14:paraId="2FD823F1" w14:textId="77777777" w:rsidR="00E96E12" w:rsidRDefault="00E97765">
            <w:pPr>
              <w:widowControl w:val="0"/>
              <w:tabs>
                <w:tab w:val="left" w:pos="567"/>
              </w:tabs>
              <w:rPr>
                <w:b/>
                <w:szCs w:val="22"/>
                <w:lang w:val="en-US"/>
              </w:rPr>
            </w:pPr>
            <w:proofErr w:type="spellStart"/>
            <w:r>
              <w:rPr>
                <w:szCs w:val="22"/>
                <w:lang w:val="en-US"/>
              </w:rPr>
              <w:lastRenderedPageBreak/>
              <w:t>Pradinė</w:t>
            </w:r>
            <w:proofErr w:type="spellEnd"/>
            <w:r>
              <w:rPr>
                <w:szCs w:val="22"/>
                <w:lang w:val="en-US"/>
              </w:rPr>
              <w:t xml:space="preserve"> (</w:t>
            </w:r>
            <w:proofErr w:type="spellStart"/>
            <w:r>
              <w:rPr>
                <w:szCs w:val="22"/>
                <w:lang w:val="en-US"/>
              </w:rPr>
              <w:t>vidurkis</w:t>
            </w:r>
            <w:proofErr w:type="spellEnd"/>
            <w:r>
              <w:rPr>
                <w:szCs w:val="22"/>
                <w:lang w:val="en-US"/>
              </w:rPr>
              <w:t>)</w:t>
            </w:r>
          </w:p>
        </w:tc>
        <w:tc>
          <w:tcPr>
            <w:tcW w:w="1202" w:type="pct"/>
            <w:tcBorders>
              <w:top w:val="single" w:sz="4" w:space="0" w:color="auto"/>
              <w:left w:val="nil"/>
              <w:bottom w:val="nil"/>
              <w:right w:val="nil"/>
            </w:tcBorders>
          </w:tcPr>
          <w:p w14:paraId="11E7985D" w14:textId="77777777" w:rsidR="00E96E12" w:rsidRDefault="00E96E12">
            <w:pPr>
              <w:widowControl w:val="0"/>
              <w:tabs>
                <w:tab w:val="left" w:pos="567"/>
              </w:tabs>
              <w:jc w:val="center"/>
              <w:rPr>
                <w:szCs w:val="22"/>
                <w:lang w:val="en-GB"/>
              </w:rPr>
            </w:pPr>
          </w:p>
          <w:p w14:paraId="7CCCEA05" w14:textId="77777777" w:rsidR="00E96E12" w:rsidRDefault="00E97765">
            <w:pPr>
              <w:widowControl w:val="0"/>
              <w:tabs>
                <w:tab w:val="left" w:pos="567"/>
              </w:tabs>
              <w:jc w:val="center"/>
              <w:rPr>
                <w:szCs w:val="22"/>
                <w:lang w:val="en-GB"/>
              </w:rPr>
            </w:pPr>
            <w:r>
              <w:rPr>
                <w:szCs w:val="22"/>
                <w:lang w:val="en-GB"/>
              </w:rPr>
              <w:lastRenderedPageBreak/>
              <w:t>9,10</w:t>
            </w:r>
          </w:p>
        </w:tc>
        <w:tc>
          <w:tcPr>
            <w:tcW w:w="1202" w:type="pct"/>
            <w:tcBorders>
              <w:top w:val="single" w:sz="4" w:space="0" w:color="auto"/>
              <w:left w:val="nil"/>
              <w:bottom w:val="nil"/>
              <w:right w:val="nil"/>
            </w:tcBorders>
          </w:tcPr>
          <w:p w14:paraId="5C3AB188" w14:textId="77777777" w:rsidR="00E96E12" w:rsidRDefault="00E96E12">
            <w:pPr>
              <w:widowControl w:val="0"/>
              <w:tabs>
                <w:tab w:val="left" w:pos="567"/>
              </w:tabs>
              <w:jc w:val="center"/>
              <w:rPr>
                <w:szCs w:val="22"/>
                <w:lang w:val="en-GB"/>
              </w:rPr>
            </w:pPr>
          </w:p>
          <w:p w14:paraId="52B9A804" w14:textId="77777777" w:rsidR="00E96E12" w:rsidRDefault="00E97765">
            <w:pPr>
              <w:widowControl w:val="0"/>
              <w:tabs>
                <w:tab w:val="left" w:pos="567"/>
              </w:tabs>
              <w:jc w:val="center"/>
              <w:rPr>
                <w:szCs w:val="22"/>
                <w:lang w:val="en-GB"/>
              </w:rPr>
            </w:pPr>
            <w:r>
              <w:rPr>
                <w:szCs w:val="22"/>
                <w:lang w:val="en-GB"/>
              </w:rPr>
              <w:lastRenderedPageBreak/>
              <w:t>9,03</w:t>
            </w:r>
          </w:p>
        </w:tc>
        <w:tc>
          <w:tcPr>
            <w:tcW w:w="998" w:type="pct"/>
            <w:tcBorders>
              <w:top w:val="single" w:sz="4" w:space="0" w:color="auto"/>
              <w:left w:val="nil"/>
              <w:bottom w:val="nil"/>
              <w:right w:val="nil"/>
            </w:tcBorders>
          </w:tcPr>
          <w:p w14:paraId="376F73BA" w14:textId="77777777" w:rsidR="00E96E12" w:rsidRDefault="00E96E12">
            <w:pPr>
              <w:widowControl w:val="0"/>
              <w:tabs>
                <w:tab w:val="left" w:pos="567"/>
              </w:tabs>
              <w:jc w:val="center"/>
              <w:rPr>
                <w:szCs w:val="22"/>
                <w:lang w:val="en-GB"/>
              </w:rPr>
            </w:pPr>
          </w:p>
          <w:p w14:paraId="49B76AFB" w14:textId="77777777" w:rsidR="00E96E12" w:rsidRDefault="00E97765">
            <w:pPr>
              <w:widowControl w:val="0"/>
              <w:tabs>
                <w:tab w:val="left" w:pos="567"/>
              </w:tabs>
              <w:jc w:val="center"/>
              <w:rPr>
                <w:szCs w:val="22"/>
                <w:lang w:val="en-GB"/>
              </w:rPr>
            </w:pPr>
            <w:r>
              <w:rPr>
                <w:szCs w:val="22"/>
                <w:lang w:val="en-GB"/>
              </w:rPr>
              <w:lastRenderedPageBreak/>
              <w:t>9,03</w:t>
            </w:r>
          </w:p>
        </w:tc>
      </w:tr>
      <w:tr w:rsidR="00E96E12" w14:paraId="58723653" w14:textId="77777777">
        <w:tc>
          <w:tcPr>
            <w:tcW w:w="1598" w:type="pct"/>
            <w:tcBorders>
              <w:top w:val="nil"/>
              <w:left w:val="nil"/>
              <w:bottom w:val="nil"/>
              <w:right w:val="nil"/>
            </w:tcBorders>
          </w:tcPr>
          <w:p w14:paraId="59629796" w14:textId="77777777" w:rsidR="00E96E12" w:rsidRDefault="00E97765">
            <w:pPr>
              <w:widowControl w:val="0"/>
              <w:tabs>
                <w:tab w:val="left" w:pos="567"/>
              </w:tabs>
              <w:rPr>
                <w:szCs w:val="22"/>
                <w:lang w:val="en-US"/>
              </w:rPr>
            </w:pPr>
            <w:proofErr w:type="spellStart"/>
            <w:r>
              <w:rPr>
                <w:szCs w:val="22"/>
                <w:lang w:val="en-US"/>
              </w:rPr>
              <w:lastRenderedPageBreak/>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pradine</w:t>
            </w:r>
            <w:r>
              <w:rPr>
                <w:szCs w:val="22"/>
                <w:vertAlign w:val="superscript"/>
                <w:lang w:val="en-US"/>
              </w:rPr>
              <w:t>c</w:t>
            </w:r>
            <w:proofErr w:type="spellEnd"/>
          </w:p>
        </w:tc>
        <w:tc>
          <w:tcPr>
            <w:tcW w:w="1202" w:type="pct"/>
            <w:tcBorders>
              <w:top w:val="nil"/>
              <w:left w:val="nil"/>
              <w:bottom w:val="nil"/>
              <w:right w:val="nil"/>
            </w:tcBorders>
          </w:tcPr>
          <w:p w14:paraId="365E2BA9" w14:textId="77777777" w:rsidR="00E96E12" w:rsidRDefault="00E97765">
            <w:pPr>
              <w:widowControl w:val="0"/>
              <w:tabs>
                <w:tab w:val="left" w:pos="567"/>
              </w:tabs>
              <w:jc w:val="center"/>
              <w:rPr>
                <w:szCs w:val="22"/>
                <w:lang w:val="en-GB"/>
              </w:rPr>
            </w:pPr>
            <w:r>
              <w:rPr>
                <w:szCs w:val="22"/>
                <w:lang w:val="en-GB"/>
              </w:rPr>
              <w:t>-1,98</w:t>
            </w:r>
          </w:p>
        </w:tc>
        <w:tc>
          <w:tcPr>
            <w:tcW w:w="1202" w:type="pct"/>
            <w:tcBorders>
              <w:top w:val="nil"/>
              <w:left w:val="nil"/>
              <w:bottom w:val="nil"/>
              <w:right w:val="nil"/>
            </w:tcBorders>
          </w:tcPr>
          <w:p w14:paraId="55BDC7E3" w14:textId="77777777" w:rsidR="00E96E12" w:rsidRDefault="00E97765">
            <w:pPr>
              <w:widowControl w:val="0"/>
              <w:tabs>
                <w:tab w:val="left" w:pos="567"/>
              </w:tabs>
              <w:jc w:val="center"/>
              <w:rPr>
                <w:szCs w:val="22"/>
                <w:lang w:val="en-GB"/>
              </w:rPr>
            </w:pPr>
            <w:r>
              <w:rPr>
                <w:szCs w:val="22"/>
                <w:lang w:val="en-GB"/>
              </w:rPr>
              <w:t>-1,45</w:t>
            </w:r>
          </w:p>
        </w:tc>
        <w:tc>
          <w:tcPr>
            <w:tcW w:w="998" w:type="pct"/>
            <w:tcBorders>
              <w:top w:val="nil"/>
              <w:left w:val="nil"/>
              <w:bottom w:val="nil"/>
              <w:right w:val="nil"/>
            </w:tcBorders>
          </w:tcPr>
          <w:p w14:paraId="6CAA32F8" w14:textId="77777777" w:rsidR="00E96E12" w:rsidRDefault="00E97765">
            <w:pPr>
              <w:widowControl w:val="0"/>
              <w:tabs>
                <w:tab w:val="left" w:pos="567"/>
              </w:tabs>
              <w:jc w:val="center"/>
              <w:rPr>
                <w:szCs w:val="22"/>
                <w:lang w:val="en-GB"/>
              </w:rPr>
            </w:pPr>
            <w:r>
              <w:rPr>
                <w:szCs w:val="22"/>
                <w:lang w:val="en-GB"/>
              </w:rPr>
              <w:t>-1,44</w:t>
            </w:r>
          </w:p>
        </w:tc>
      </w:tr>
      <w:tr w:rsidR="00E96E12" w14:paraId="339C1C28" w14:textId="77777777">
        <w:tc>
          <w:tcPr>
            <w:tcW w:w="1598" w:type="pct"/>
            <w:tcBorders>
              <w:top w:val="nil"/>
              <w:left w:val="nil"/>
              <w:bottom w:val="nil"/>
              <w:right w:val="nil"/>
            </w:tcBorders>
          </w:tcPr>
          <w:p w14:paraId="309AED16"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dapagliflozino</w:t>
            </w:r>
            <w:r>
              <w:rPr>
                <w:szCs w:val="22"/>
                <w:vertAlign w:val="superscript"/>
                <w:lang w:val="en-US"/>
              </w:rPr>
              <w:t>c</w:t>
            </w:r>
            <w:proofErr w:type="spellEnd"/>
          </w:p>
        </w:tc>
        <w:tc>
          <w:tcPr>
            <w:tcW w:w="1202" w:type="pct"/>
            <w:tcBorders>
              <w:top w:val="nil"/>
              <w:left w:val="nil"/>
              <w:bottom w:val="nil"/>
              <w:right w:val="nil"/>
            </w:tcBorders>
          </w:tcPr>
          <w:p w14:paraId="42864427" w14:textId="77777777" w:rsidR="00E96E12" w:rsidRDefault="00E97765">
            <w:pPr>
              <w:widowControl w:val="0"/>
              <w:tabs>
                <w:tab w:val="left" w:pos="567"/>
              </w:tabs>
              <w:jc w:val="center"/>
              <w:rPr>
                <w:szCs w:val="22"/>
                <w:lang w:val="en-GB"/>
              </w:rPr>
            </w:pPr>
            <w:r>
              <w:rPr>
                <w:szCs w:val="22"/>
                <w:lang w:val="en-GB"/>
              </w:rPr>
              <w:t>-0,53</w:t>
            </w:r>
            <w:r>
              <w:rPr>
                <w:szCs w:val="22"/>
                <w:vertAlign w:val="superscript"/>
                <w:lang w:val="en-GB"/>
              </w:rPr>
              <w:t>*</w:t>
            </w:r>
          </w:p>
        </w:tc>
        <w:tc>
          <w:tcPr>
            <w:tcW w:w="1202" w:type="pct"/>
            <w:tcBorders>
              <w:top w:val="nil"/>
              <w:left w:val="nil"/>
              <w:bottom w:val="nil"/>
              <w:right w:val="nil"/>
            </w:tcBorders>
          </w:tcPr>
          <w:p w14:paraId="33F159DF" w14:textId="77777777" w:rsidR="00E96E12" w:rsidRDefault="00E96E12">
            <w:pPr>
              <w:widowControl w:val="0"/>
              <w:tabs>
                <w:tab w:val="left" w:pos="567"/>
              </w:tabs>
              <w:rPr>
                <w:szCs w:val="22"/>
                <w:lang w:val="en-GB"/>
              </w:rPr>
            </w:pPr>
          </w:p>
        </w:tc>
        <w:tc>
          <w:tcPr>
            <w:tcW w:w="998" w:type="pct"/>
            <w:tcBorders>
              <w:top w:val="nil"/>
              <w:left w:val="nil"/>
              <w:bottom w:val="nil"/>
              <w:right w:val="nil"/>
            </w:tcBorders>
          </w:tcPr>
          <w:p w14:paraId="4D118159" w14:textId="77777777" w:rsidR="00E96E12" w:rsidRDefault="00E96E12">
            <w:pPr>
              <w:widowControl w:val="0"/>
              <w:tabs>
                <w:tab w:val="left" w:pos="567"/>
              </w:tabs>
              <w:jc w:val="center"/>
              <w:rPr>
                <w:szCs w:val="22"/>
                <w:lang w:val="en-GB"/>
              </w:rPr>
            </w:pPr>
          </w:p>
        </w:tc>
      </w:tr>
      <w:tr w:rsidR="00E96E12" w14:paraId="6E4CBC06" w14:textId="77777777">
        <w:tc>
          <w:tcPr>
            <w:tcW w:w="1598" w:type="pct"/>
            <w:tcBorders>
              <w:top w:val="nil"/>
              <w:left w:val="nil"/>
              <w:bottom w:val="nil"/>
              <w:right w:val="nil"/>
            </w:tcBorders>
          </w:tcPr>
          <w:p w14:paraId="06F108CB" w14:textId="77777777" w:rsidR="00E96E12" w:rsidRDefault="00E97765">
            <w:pPr>
              <w:widowControl w:val="0"/>
              <w:tabs>
                <w:tab w:val="left" w:pos="567"/>
              </w:tabs>
              <w:rPr>
                <w:szCs w:val="22"/>
                <w:lang w:val="en-GB"/>
              </w:rPr>
            </w:pPr>
            <w:r>
              <w:rPr>
                <w:szCs w:val="22"/>
                <w:lang w:val="en-US"/>
              </w:rPr>
              <w:t>(95% PI)</w:t>
            </w:r>
          </w:p>
        </w:tc>
        <w:tc>
          <w:tcPr>
            <w:tcW w:w="1202" w:type="pct"/>
            <w:tcBorders>
              <w:top w:val="nil"/>
              <w:left w:val="nil"/>
              <w:bottom w:val="nil"/>
              <w:right w:val="nil"/>
            </w:tcBorders>
          </w:tcPr>
          <w:p w14:paraId="67EB1A8D" w14:textId="77777777" w:rsidR="00E96E12" w:rsidRDefault="00E97765">
            <w:pPr>
              <w:widowControl w:val="0"/>
              <w:tabs>
                <w:tab w:val="left" w:pos="567"/>
              </w:tabs>
              <w:jc w:val="center"/>
              <w:rPr>
                <w:szCs w:val="22"/>
                <w:lang w:val="en-GB"/>
              </w:rPr>
            </w:pPr>
            <w:r>
              <w:rPr>
                <w:szCs w:val="22"/>
                <w:lang w:val="en-GB"/>
              </w:rPr>
              <w:t>(-0,74, -0,32)</w:t>
            </w:r>
          </w:p>
        </w:tc>
        <w:tc>
          <w:tcPr>
            <w:tcW w:w="1202" w:type="pct"/>
            <w:tcBorders>
              <w:top w:val="nil"/>
              <w:left w:val="nil"/>
              <w:bottom w:val="nil"/>
              <w:right w:val="nil"/>
            </w:tcBorders>
          </w:tcPr>
          <w:p w14:paraId="41668603" w14:textId="77777777" w:rsidR="00E96E12" w:rsidRDefault="00E96E12">
            <w:pPr>
              <w:widowControl w:val="0"/>
              <w:tabs>
                <w:tab w:val="left" w:pos="567"/>
              </w:tabs>
              <w:rPr>
                <w:szCs w:val="22"/>
                <w:lang w:val="en-GB"/>
              </w:rPr>
            </w:pPr>
          </w:p>
        </w:tc>
        <w:tc>
          <w:tcPr>
            <w:tcW w:w="998" w:type="pct"/>
            <w:tcBorders>
              <w:top w:val="nil"/>
              <w:left w:val="nil"/>
              <w:bottom w:val="nil"/>
              <w:right w:val="nil"/>
            </w:tcBorders>
          </w:tcPr>
          <w:p w14:paraId="1530056C" w14:textId="77777777" w:rsidR="00E96E12" w:rsidRDefault="00E96E12">
            <w:pPr>
              <w:widowControl w:val="0"/>
              <w:tabs>
                <w:tab w:val="left" w:pos="567"/>
              </w:tabs>
              <w:jc w:val="center"/>
              <w:rPr>
                <w:szCs w:val="22"/>
                <w:lang w:val="en-GB"/>
              </w:rPr>
            </w:pPr>
          </w:p>
        </w:tc>
      </w:tr>
      <w:tr w:rsidR="00E96E12" w14:paraId="11AF4F65" w14:textId="77777777">
        <w:tc>
          <w:tcPr>
            <w:tcW w:w="1598" w:type="pct"/>
            <w:tcBorders>
              <w:top w:val="nil"/>
              <w:left w:val="nil"/>
              <w:bottom w:val="nil"/>
              <w:right w:val="nil"/>
            </w:tcBorders>
          </w:tcPr>
          <w:p w14:paraId="10D63070" w14:textId="77777777" w:rsidR="00E96E12" w:rsidRDefault="00E97765">
            <w:pPr>
              <w:widowControl w:val="0"/>
              <w:tabs>
                <w:tab w:val="left" w:pos="567"/>
              </w:tabs>
              <w:rPr>
                <w:szCs w:val="22"/>
                <w:lang w:val="en-US"/>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metformino</w:t>
            </w:r>
            <w:r>
              <w:rPr>
                <w:szCs w:val="22"/>
                <w:vertAlign w:val="superscript"/>
                <w:lang w:val="en-US"/>
              </w:rPr>
              <w:t>c</w:t>
            </w:r>
            <w:proofErr w:type="spellEnd"/>
          </w:p>
        </w:tc>
        <w:tc>
          <w:tcPr>
            <w:tcW w:w="1202" w:type="pct"/>
            <w:tcBorders>
              <w:top w:val="nil"/>
              <w:left w:val="nil"/>
              <w:bottom w:val="nil"/>
              <w:right w:val="nil"/>
            </w:tcBorders>
          </w:tcPr>
          <w:p w14:paraId="040CEEB7" w14:textId="77777777" w:rsidR="00E96E12" w:rsidRDefault="00E97765">
            <w:pPr>
              <w:widowControl w:val="0"/>
              <w:tabs>
                <w:tab w:val="left" w:pos="567"/>
              </w:tabs>
              <w:jc w:val="center"/>
              <w:rPr>
                <w:szCs w:val="22"/>
                <w:lang w:val="en-GB"/>
              </w:rPr>
            </w:pPr>
            <w:r>
              <w:rPr>
                <w:szCs w:val="22"/>
                <w:lang w:val="en-GB"/>
              </w:rPr>
              <w:t>-0,54</w:t>
            </w:r>
            <w:r>
              <w:rPr>
                <w:szCs w:val="22"/>
                <w:vertAlign w:val="superscript"/>
                <w:lang w:val="en-GB"/>
              </w:rPr>
              <w:t>*</w:t>
            </w:r>
          </w:p>
        </w:tc>
        <w:tc>
          <w:tcPr>
            <w:tcW w:w="1202" w:type="pct"/>
            <w:tcBorders>
              <w:top w:val="nil"/>
              <w:left w:val="nil"/>
              <w:bottom w:val="nil"/>
              <w:right w:val="nil"/>
            </w:tcBorders>
          </w:tcPr>
          <w:p w14:paraId="7F2E9487" w14:textId="77777777" w:rsidR="00E96E12" w:rsidRDefault="00E97765">
            <w:pPr>
              <w:widowControl w:val="0"/>
              <w:tabs>
                <w:tab w:val="left" w:pos="567"/>
              </w:tabs>
              <w:jc w:val="center"/>
              <w:rPr>
                <w:szCs w:val="22"/>
                <w:lang w:val="en-GB"/>
              </w:rPr>
            </w:pPr>
            <w:r>
              <w:rPr>
                <w:szCs w:val="22"/>
                <w:lang w:val="en-GB"/>
              </w:rPr>
              <w:t>-0,01</w:t>
            </w:r>
          </w:p>
        </w:tc>
        <w:tc>
          <w:tcPr>
            <w:tcW w:w="998" w:type="pct"/>
            <w:tcBorders>
              <w:top w:val="nil"/>
              <w:left w:val="nil"/>
              <w:bottom w:val="nil"/>
              <w:right w:val="nil"/>
            </w:tcBorders>
          </w:tcPr>
          <w:p w14:paraId="39050C22" w14:textId="77777777" w:rsidR="00E96E12" w:rsidRDefault="00E96E12">
            <w:pPr>
              <w:widowControl w:val="0"/>
              <w:tabs>
                <w:tab w:val="left" w:pos="567"/>
              </w:tabs>
              <w:jc w:val="center"/>
              <w:rPr>
                <w:szCs w:val="22"/>
                <w:lang w:val="en-GB"/>
              </w:rPr>
            </w:pPr>
          </w:p>
        </w:tc>
      </w:tr>
      <w:tr w:rsidR="00E96E12" w14:paraId="16C582E0" w14:textId="77777777">
        <w:tc>
          <w:tcPr>
            <w:tcW w:w="1598" w:type="pct"/>
            <w:tcBorders>
              <w:top w:val="nil"/>
              <w:left w:val="nil"/>
              <w:bottom w:val="single" w:sz="4" w:space="0" w:color="auto"/>
              <w:right w:val="nil"/>
            </w:tcBorders>
          </w:tcPr>
          <w:p w14:paraId="0D857D68" w14:textId="77777777" w:rsidR="00E96E12" w:rsidRDefault="00E97765">
            <w:pPr>
              <w:widowControl w:val="0"/>
              <w:tabs>
                <w:tab w:val="left" w:pos="567"/>
              </w:tabs>
              <w:rPr>
                <w:szCs w:val="22"/>
                <w:lang w:val="en-US"/>
              </w:rPr>
            </w:pPr>
            <w:r>
              <w:rPr>
                <w:szCs w:val="22"/>
                <w:lang w:val="en-US"/>
              </w:rPr>
              <w:t>(95% PI)</w:t>
            </w:r>
          </w:p>
        </w:tc>
        <w:tc>
          <w:tcPr>
            <w:tcW w:w="1202" w:type="pct"/>
            <w:tcBorders>
              <w:top w:val="nil"/>
              <w:left w:val="nil"/>
              <w:bottom w:val="single" w:sz="4" w:space="0" w:color="auto"/>
              <w:right w:val="nil"/>
            </w:tcBorders>
          </w:tcPr>
          <w:p w14:paraId="5528BC99" w14:textId="77777777" w:rsidR="00E96E12" w:rsidRDefault="00E97765">
            <w:pPr>
              <w:widowControl w:val="0"/>
              <w:tabs>
                <w:tab w:val="left" w:pos="567"/>
              </w:tabs>
              <w:jc w:val="center"/>
              <w:rPr>
                <w:szCs w:val="22"/>
                <w:lang w:val="en-GB"/>
              </w:rPr>
            </w:pPr>
            <w:r>
              <w:rPr>
                <w:szCs w:val="22"/>
                <w:lang w:val="en-GB"/>
              </w:rPr>
              <w:t>(-0,75, -0,33)</w:t>
            </w:r>
          </w:p>
        </w:tc>
        <w:tc>
          <w:tcPr>
            <w:tcW w:w="1202" w:type="pct"/>
            <w:tcBorders>
              <w:top w:val="nil"/>
              <w:left w:val="nil"/>
              <w:bottom w:val="single" w:sz="4" w:space="0" w:color="auto"/>
              <w:right w:val="nil"/>
            </w:tcBorders>
          </w:tcPr>
          <w:p w14:paraId="16D80DCE" w14:textId="77777777" w:rsidR="00E96E12" w:rsidRDefault="00E97765">
            <w:pPr>
              <w:widowControl w:val="0"/>
              <w:tabs>
                <w:tab w:val="left" w:pos="567"/>
              </w:tabs>
              <w:jc w:val="center"/>
              <w:rPr>
                <w:szCs w:val="22"/>
                <w:lang w:val="en-GB"/>
              </w:rPr>
            </w:pPr>
            <w:r>
              <w:rPr>
                <w:szCs w:val="22"/>
                <w:lang w:val="en-GB"/>
              </w:rPr>
              <w:t>(-0,22, 0,20)</w:t>
            </w:r>
          </w:p>
        </w:tc>
        <w:tc>
          <w:tcPr>
            <w:tcW w:w="998" w:type="pct"/>
            <w:tcBorders>
              <w:top w:val="nil"/>
              <w:left w:val="nil"/>
              <w:bottom w:val="single" w:sz="4" w:space="0" w:color="auto"/>
              <w:right w:val="nil"/>
            </w:tcBorders>
          </w:tcPr>
          <w:p w14:paraId="7996519A" w14:textId="77777777" w:rsidR="00E96E12" w:rsidRDefault="00E96E12">
            <w:pPr>
              <w:widowControl w:val="0"/>
              <w:tabs>
                <w:tab w:val="left" w:pos="567"/>
              </w:tabs>
              <w:jc w:val="center"/>
              <w:rPr>
                <w:szCs w:val="22"/>
                <w:lang w:val="en-GB"/>
              </w:rPr>
            </w:pPr>
          </w:p>
        </w:tc>
      </w:tr>
    </w:tbl>
    <w:p w14:paraId="323A7DA7"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a</w:t>
      </w:r>
      <w:r>
        <w:rPr>
          <w:rFonts w:eastAsia="TimesNewRoman"/>
          <w:sz w:val="18"/>
          <w:szCs w:val="18"/>
          <w:lang w:eastAsia="lt-LT"/>
        </w:rPr>
        <w:t xml:space="preserve"> LOCF – paskutinė atlikta apžiūra (jei prireikė pagalbos </w:t>
      </w:r>
      <w:proofErr w:type="spellStart"/>
      <w:r>
        <w:rPr>
          <w:rFonts w:eastAsia="TimesNewRoman"/>
          <w:sz w:val="18"/>
          <w:szCs w:val="18"/>
          <w:lang w:eastAsia="lt-LT"/>
        </w:rPr>
        <w:t>glikemijai</w:t>
      </w:r>
      <w:proofErr w:type="spellEnd"/>
      <w:r>
        <w:rPr>
          <w:rFonts w:eastAsia="TimesNewRoman"/>
          <w:sz w:val="18"/>
          <w:szCs w:val="18"/>
          <w:lang w:eastAsia="lt-LT"/>
        </w:rPr>
        <w:t xml:space="preserve"> koreguoti, tai paskutinė apžiūra iki jos).</w:t>
      </w:r>
    </w:p>
    <w:p w14:paraId="08F344F1"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b</w:t>
      </w:r>
      <w:r>
        <w:rPr>
          <w:rFonts w:eastAsia="TimesNewRoman"/>
          <w:sz w:val="18"/>
          <w:szCs w:val="18"/>
          <w:lang w:eastAsia="lt-LT"/>
        </w:rPr>
        <w:t xml:space="preserve"> Visi </w:t>
      </w:r>
      <w:proofErr w:type="spellStart"/>
      <w:r>
        <w:rPr>
          <w:rFonts w:eastAsia="TimesNewRoman"/>
          <w:sz w:val="18"/>
          <w:szCs w:val="18"/>
          <w:lang w:eastAsia="lt-LT"/>
        </w:rPr>
        <w:t>randomizuoti</w:t>
      </w:r>
      <w:proofErr w:type="spellEnd"/>
      <w:r>
        <w:rPr>
          <w:rFonts w:eastAsia="TimesNewRoman"/>
          <w:sz w:val="18"/>
          <w:szCs w:val="18"/>
          <w:lang w:eastAsia="lt-LT"/>
        </w:rPr>
        <w:t xml:space="preserve"> pacientai, kurie trumpu dvigubai aklu laikotarpiu dvigubai aklu būdu pavartojo bent vieną tiriamojo vaistinio preparato dozę.</w:t>
      </w:r>
    </w:p>
    <w:p w14:paraId="77A879C9"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c</w:t>
      </w:r>
      <w:r>
        <w:rPr>
          <w:rFonts w:eastAsia="TimesNewRoman"/>
          <w:sz w:val="18"/>
          <w:szCs w:val="18"/>
          <w:lang w:eastAsia="lt-LT"/>
        </w:rPr>
        <w:t xml:space="preserve"> Mažiausių kvadratų metodu apskaičiuotas vidurkis, koreguotas pagal pradinę reikšmę.</w:t>
      </w:r>
    </w:p>
    <w:p w14:paraId="1555029E"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 &lt; 0,0001.</w:t>
      </w:r>
    </w:p>
    <w:p w14:paraId="79521EC4" w14:textId="77777777" w:rsidR="00E96E12" w:rsidRDefault="00E96E12">
      <w:pPr>
        <w:autoSpaceDE w:val="0"/>
        <w:autoSpaceDN w:val="0"/>
        <w:adjustRightInd w:val="0"/>
        <w:rPr>
          <w:rFonts w:eastAsia="TimesNewRoman"/>
          <w:szCs w:val="22"/>
          <w:lang w:eastAsia="lt-LT"/>
        </w:rPr>
      </w:pPr>
    </w:p>
    <w:p w14:paraId="5E734E52"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 xml:space="preserve">Derinys su pailginto atpalaidavimo </w:t>
      </w:r>
      <w:proofErr w:type="spellStart"/>
      <w:r>
        <w:rPr>
          <w:rFonts w:eastAsia="TimesNewRoman,Italic"/>
          <w:i/>
          <w:iCs/>
          <w:szCs w:val="22"/>
          <w:lang w:eastAsia="lt-LT"/>
        </w:rPr>
        <w:t>eksenatidu</w:t>
      </w:r>
      <w:proofErr w:type="spellEnd"/>
    </w:p>
    <w:p w14:paraId="0890893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28 savaičių dvigubai aklo aktyvios kontrolės tyrimo metu lygintas dapagliflozino ir pailginto atpalaidavimo </w:t>
      </w:r>
      <w:proofErr w:type="spellStart"/>
      <w:r>
        <w:rPr>
          <w:rFonts w:eastAsia="TimesNewRoman"/>
          <w:szCs w:val="22"/>
          <w:lang w:eastAsia="lt-LT"/>
        </w:rPr>
        <w:t>eksenatido</w:t>
      </w:r>
      <w:proofErr w:type="spellEnd"/>
      <w:r>
        <w:rPr>
          <w:rFonts w:eastAsia="TimesNewRoman"/>
          <w:szCs w:val="22"/>
          <w:lang w:eastAsia="lt-LT"/>
        </w:rPr>
        <w:t xml:space="preserve"> (GLP-1 receptorių </w:t>
      </w:r>
      <w:proofErr w:type="spellStart"/>
      <w:r>
        <w:rPr>
          <w:rFonts w:eastAsia="TimesNewRoman"/>
          <w:szCs w:val="22"/>
          <w:lang w:eastAsia="lt-LT"/>
        </w:rPr>
        <w:t>agonisto</w:t>
      </w:r>
      <w:proofErr w:type="spellEnd"/>
      <w:r>
        <w:rPr>
          <w:rFonts w:eastAsia="TimesNewRoman"/>
          <w:szCs w:val="22"/>
          <w:lang w:eastAsia="lt-LT"/>
        </w:rPr>
        <w:t xml:space="preserve">) derinio poveikis su vien dapagliflozino ir vien pailginto atpalaidavimo </w:t>
      </w:r>
      <w:proofErr w:type="spellStart"/>
      <w:r>
        <w:rPr>
          <w:rFonts w:eastAsia="TimesNewRoman"/>
          <w:szCs w:val="22"/>
          <w:lang w:eastAsia="lt-LT"/>
        </w:rPr>
        <w:t>eksenatido</w:t>
      </w:r>
      <w:proofErr w:type="spellEnd"/>
      <w:r>
        <w:rPr>
          <w:rFonts w:eastAsia="TimesNewRoman"/>
          <w:szCs w:val="22"/>
          <w:lang w:eastAsia="lt-LT"/>
        </w:rPr>
        <w:t xml:space="preserve"> poveikiu tiriamiesiems, kuriems vien </w:t>
      </w:r>
      <w:proofErr w:type="spellStart"/>
      <w:r>
        <w:rPr>
          <w:rFonts w:eastAsia="TimesNewRoman"/>
          <w:szCs w:val="22"/>
          <w:lang w:eastAsia="lt-LT"/>
        </w:rPr>
        <w:t>metforminas</w:t>
      </w:r>
      <w:proofErr w:type="spellEnd"/>
      <w:r>
        <w:rPr>
          <w:rFonts w:eastAsia="TimesNewRoman"/>
          <w:szCs w:val="22"/>
          <w:lang w:eastAsia="lt-LT"/>
        </w:rPr>
        <w:t xml:space="preserve"> nesureguliavo </w:t>
      </w:r>
      <w:proofErr w:type="spellStart"/>
      <w:r>
        <w:rPr>
          <w:rFonts w:eastAsia="TimesNewRoman"/>
          <w:szCs w:val="22"/>
          <w:lang w:eastAsia="lt-LT"/>
        </w:rPr>
        <w:t>glikemijos</w:t>
      </w:r>
      <w:proofErr w:type="spellEnd"/>
      <w:r>
        <w:rPr>
          <w:rFonts w:eastAsia="TimesNewRoman"/>
          <w:szCs w:val="22"/>
          <w:lang w:eastAsia="lt-LT"/>
        </w:rPr>
        <w:t xml:space="preserve"> (HbA1c – nuo ≥ 8 % iki ≤ 12 %). Visų tirtų grupių HbA1c koncentracija, palyginus su pradine, sumažėjo. 10 mg dapagliflozino ir pailginto atpalaidavimo </w:t>
      </w:r>
      <w:proofErr w:type="spellStart"/>
      <w:r>
        <w:rPr>
          <w:rFonts w:eastAsia="TimesNewRoman"/>
          <w:szCs w:val="22"/>
          <w:lang w:eastAsia="lt-LT"/>
        </w:rPr>
        <w:t>eksenatido</w:t>
      </w:r>
      <w:proofErr w:type="spellEnd"/>
      <w:r>
        <w:rPr>
          <w:rFonts w:eastAsia="TimesNewRoman"/>
          <w:szCs w:val="22"/>
          <w:lang w:eastAsia="lt-LT"/>
        </w:rPr>
        <w:t xml:space="preserve"> derinio grupei HbA1c koncentracija, palyginus su pradine, sumažėjo labiau negu vien dapagliflozino ir vien pailginto atpalaidavimo </w:t>
      </w:r>
      <w:proofErr w:type="spellStart"/>
      <w:r>
        <w:rPr>
          <w:rFonts w:eastAsia="TimesNewRoman"/>
          <w:szCs w:val="22"/>
          <w:lang w:eastAsia="lt-LT"/>
        </w:rPr>
        <w:t>eksenatido</w:t>
      </w:r>
      <w:proofErr w:type="spellEnd"/>
      <w:r>
        <w:rPr>
          <w:rFonts w:eastAsia="TimesNewRoman"/>
          <w:szCs w:val="22"/>
          <w:lang w:eastAsia="lt-LT"/>
        </w:rPr>
        <w:t xml:space="preserve"> grupėms (žr. 8 lentelę).</w:t>
      </w:r>
    </w:p>
    <w:p w14:paraId="2BECCC43" w14:textId="77777777" w:rsidR="00E96E12" w:rsidRDefault="00E96E12">
      <w:pPr>
        <w:autoSpaceDE w:val="0"/>
        <w:autoSpaceDN w:val="0"/>
        <w:adjustRightInd w:val="0"/>
        <w:rPr>
          <w:rFonts w:eastAsia="TimesNewRoman"/>
          <w:szCs w:val="22"/>
          <w:lang w:eastAsia="lt-LT"/>
        </w:rPr>
      </w:pPr>
    </w:p>
    <w:p w14:paraId="3664F28B"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 xml:space="preserve">8 lentelė. 28 savaičių dapagliflozino ir pailginto atpalaidavimo </w:t>
      </w:r>
      <w:proofErr w:type="spellStart"/>
      <w:r>
        <w:rPr>
          <w:rFonts w:eastAsia="TimesNewRoman,Bold"/>
          <w:b/>
          <w:bCs/>
          <w:szCs w:val="22"/>
          <w:lang w:eastAsia="lt-LT"/>
        </w:rPr>
        <w:t>eksenatido</w:t>
      </w:r>
      <w:proofErr w:type="spellEnd"/>
      <w:r>
        <w:rPr>
          <w:rFonts w:eastAsia="TimesNewRoman,Bold"/>
          <w:b/>
          <w:bCs/>
          <w:szCs w:val="22"/>
          <w:lang w:eastAsia="lt-LT"/>
        </w:rPr>
        <w:t xml:space="preserve"> derinio poveikio lyginimo su vien dapagliflozino ir vien pailginto atpalaidavimo </w:t>
      </w:r>
      <w:proofErr w:type="spellStart"/>
      <w:r>
        <w:rPr>
          <w:rFonts w:eastAsia="TimesNewRoman,Bold"/>
          <w:b/>
          <w:bCs/>
          <w:szCs w:val="22"/>
          <w:lang w:eastAsia="lt-LT"/>
        </w:rPr>
        <w:t>eksenatido</w:t>
      </w:r>
      <w:proofErr w:type="spellEnd"/>
      <w:r>
        <w:rPr>
          <w:rFonts w:eastAsia="TimesNewRoman,Bold"/>
          <w:b/>
          <w:bCs/>
          <w:szCs w:val="22"/>
          <w:lang w:eastAsia="lt-LT"/>
        </w:rPr>
        <w:t xml:space="preserve"> poveikiu tyrimas (kartu vartotas </w:t>
      </w:r>
      <w:proofErr w:type="spellStart"/>
      <w:r>
        <w:rPr>
          <w:rFonts w:eastAsia="TimesNewRoman,Bold"/>
          <w:b/>
          <w:bCs/>
          <w:szCs w:val="22"/>
          <w:lang w:eastAsia="lt-LT"/>
        </w:rPr>
        <w:t>metforminas</w:t>
      </w:r>
      <w:proofErr w:type="spellEnd"/>
      <w:r>
        <w:rPr>
          <w:rFonts w:eastAsia="TimesNewRoman,Bold"/>
          <w:b/>
          <w:bCs/>
          <w:szCs w:val="22"/>
          <w:lang w:eastAsia="lt-LT"/>
        </w:rPr>
        <w:t>, pateikiami numatytų gydyti pacientų duomenys)</w:t>
      </w:r>
    </w:p>
    <w:p w14:paraId="59B98DEB" w14:textId="77777777" w:rsidR="00E96E12" w:rsidRDefault="00E96E12">
      <w:pPr>
        <w:widowControl w:val="0"/>
        <w:tabs>
          <w:tab w:val="left" w:pos="567"/>
        </w:tabs>
        <w:rPr>
          <w:b/>
          <w:szCs w:val="22"/>
        </w:rPr>
      </w:pPr>
    </w:p>
    <w:tbl>
      <w:tblPr>
        <w:tblStyle w:val="Lentelstinklelis"/>
        <w:tblW w:w="5000" w:type="pct"/>
        <w:tblLook w:val="04A0" w:firstRow="1" w:lastRow="0" w:firstColumn="1" w:lastColumn="0" w:noHBand="0" w:noVBand="1"/>
      </w:tblPr>
      <w:tblGrid>
        <w:gridCol w:w="2721"/>
        <w:gridCol w:w="2128"/>
        <w:gridCol w:w="2246"/>
        <w:gridCol w:w="1975"/>
      </w:tblGrid>
      <w:tr w:rsidR="00E96E12" w14:paraId="188C98EE" w14:textId="77777777">
        <w:tc>
          <w:tcPr>
            <w:tcW w:w="1500" w:type="pct"/>
            <w:tcBorders>
              <w:top w:val="single" w:sz="4" w:space="0" w:color="auto"/>
              <w:left w:val="nil"/>
              <w:bottom w:val="single" w:sz="4" w:space="0" w:color="auto"/>
              <w:right w:val="nil"/>
            </w:tcBorders>
          </w:tcPr>
          <w:p w14:paraId="3E865EE4" w14:textId="77777777" w:rsidR="00E96E12" w:rsidRDefault="00E97765">
            <w:pPr>
              <w:widowControl w:val="0"/>
              <w:tabs>
                <w:tab w:val="left" w:pos="567"/>
              </w:tabs>
              <w:rPr>
                <w:szCs w:val="22"/>
                <w:lang w:val="en-GB"/>
              </w:rPr>
            </w:pPr>
            <w:proofErr w:type="spellStart"/>
            <w:r>
              <w:rPr>
                <w:szCs w:val="22"/>
                <w:lang w:val="en-GB"/>
              </w:rPr>
              <w:t>Rodiklis</w:t>
            </w:r>
            <w:proofErr w:type="spellEnd"/>
          </w:p>
        </w:tc>
        <w:tc>
          <w:tcPr>
            <w:tcW w:w="1173" w:type="pct"/>
            <w:tcBorders>
              <w:top w:val="single" w:sz="4" w:space="0" w:color="auto"/>
              <w:left w:val="nil"/>
              <w:bottom w:val="single" w:sz="4" w:space="0" w:color="auto"/>
              <w:right w:val="nil"/>
            </w:tcBorders>
          </w:tcPr>
          <w:p w14:paraId="43F32798" w14:textId="77777777" w:rsidR="00E96E12" w:rsidRDefault="00E97765">
            <w:pPr>
              <w:widowControl w:val="0"/>
              <w:tabs>
                <w:tab w:val="left" w:pos="567"/>
              </w:tabs>
              <w:jc w:val="center"/>
              <w:rPr>
                <w:b/>
                <w:szCs w:val="22"/>
                <w:lang w:val="en-GB"/>
              </w:rPr>
            </w:pPr>
            <w:r>
              <w:rPr>
                <w:b/>
                <w:szCs w:val="22"/>
                <w:lang w:val="en-GB"/>
              </w:rPr>
              <w:t xml:space="preserve">10 mg </w:t>
            </w:r>
            <w:proofErr w:type="spellStart"/>
            <w:r>
              <w:rPr>
                <w:b/>
                <w:szCs w:val="22"/>
                <w:lang w:val="en-GB"/>
              </w:rPr>
              <w:t>dapagliflozino</w:t>
            </w:r>
            <w:proofErr w:type="spellEnd"/>
            <w:r>
              <w:rPr>
                <w:b/>
                <w:szCs w:val="22"/>
                <w:lang w:val="en-GB"/>
              </w:rPr>
              <w:t xml:space="preserve"> 1 </w:t>
            </w:r>
            <w:proofErr w:type="spellStart"/>
            <w:r>
              <w:rPr>
                <w:b/>
                <w:szCs w:val="22"/>
                <w:lang w:val="en-GB"/>
              </w:rPr>
              <w:t>kartą</w:t>
            </w:r>
            <w:proofErr w:type="spellEnd"/>
            <w:r>
              <w:rPr>
                <w:b/>
                <w:szCs w:val="22"/>
                <w:lang w:val="en-GB"/>
              </w:rPr>
              <w:t xml:space="preserve"> per </w:t>
            </w:r>
            <w:proofErr w:type="spellStart"/>
            <w:r>
              <w:rPr>
                <w:b/>
                <w:szCs w:val="22"/>
                <w:lang w:val="en-GB"/>
              </w:rPr>
              <w:t>parą</w:t>
            </w:r>
            <w:proofErr w:type="spellEnd"/>
          </w:p>
          <w:p w14:paraId="6242D918" w14:textId="77777777" w:rsidR="00E96E12" w:rsidRDefault="00E97765">
            <w:pPr>
              <w:widowControl w:val="0"/>
              <w:tabs>
                <w:tab w:val="left" w:pos="567"/>
              </w:tabs>
              <w:jc w:val="center"/>
              <w:rPr>
                <w:b/>
                <w:szCs w:val="22"/>
                <w:lang w:val="en-GB"/>
              </w:rPr>
            </w:pPr>
            <w:r>
              <w:rPr>
                <w:b/>
                <w:szCs w:val="22"/>
                <w:lang w:val="en-GB"/>
              </w:rPr>
              <w:t>+</w:t>
            </w:r>
          </w:p>
          <w:p w14:paraId="398F569E"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2 mg pailginto</w:t>
            </w:r>
          </w:p>
          <w:p w14:paraId="4AFAD0A0"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atpalaidavimo</w:t>
            </w:r>
          </w:p>
          <w:p w14:paraId="1322732D"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eksenatido kas savaitę</w:t>
            </w:r>
          </w:p>
        </w:tc>
        <w:tc>
          <w:tcPr>
            <w:tcW w:w="1238" w:type="pct"/>
            <w:tcBorders>
              <w:top w:val="single" w:sz="4" w:space="0" w:color="auto"/>
              <w:left w:val="nil"/>
              <w:bottom w:val="single" w:sz="4" w:space="0" w:color="auto"/>
              <w:right w:val="nil"/>
            </w:tcBorders>
          </w:tcPr>
          <w:p w14:paraId="2BA95227" w14:textId="77777777" w:rsidR="00E96E12" w:rsidRDefault="00E97765">
            <w:pPr>
              <w:widowControl w:val="0"/>
              <w:tabs>
                <w:tab w:val="left" w:pos="567"/>
              </w:tabs>
              <w:jc w:val="center"/>
              <w:rPr>
                <w:b/>
                <w:szCs w:val="22"/>
                <w:lang w:val="en-GB"/>
              </w:rPr>
            </w:pPr>
            <w:r>
              <w:rPr>
                <w:b/>
                <w:szCs w:val="22"/>
                <w:lang w:val="en-GB"/>
              </w:rPr>
              <w:t xml:space="preserve">10 mg </w:t>
            </w:r>
            <w:proofErr w:type="spellStart"/>
            <w:r>
              <w:rPr>
                <w:b/>
                <w:szCs w:val="22"/>
                <w:lang w:val="en-GB"/>
              </w:rPr>
              <w:t>dapagliflozino</w:t>
            </w:r>
            <w:proofErr w:type="spellEnd"/>
            <w:r>
              <w:rPr>
                <w:b/>
                <w:szCs w:val="22"/>
                <w:lang w:val="en-GB"/>
              </w:rPr>
              <w:t xml:space="preserve"> 1 </w:t>
            </w:r>
            <w:proofErr w:type="spellStart"/>
            <w:r>
              <w:rPr>
                <w:b/>
                <w:szCs w:val="22"/>
                <w:lang w:val="en-GB"/>
              </w:rPr>
              <w:t>kartą</w:t>
            </w:r>
            <w:proofErr w:type="spellEnd"/>
            <w:r>
              <w:rPr>
                <w:b/>
                <w:szCs w:val="22"/>
                <w:lang w:val="en-GB"/>
              </w:rPr>
              <w:t xml:space="preserve"> per </w:t>
            </w:r>
            <w:proofErr w:type="spellStart"/>
            <w:r>
              <w:rPr>
                <w:b/>
                <w:szCs w:val="22"/>
                <w:lang w:val="en-GB"/>
              </w:rPr>
              <w:t>parą</w:t>
            </w:r>
            <w:proofErr w:type="spellEnd"/>
          </w:p>
          <w:p w14:paraId="19C15C9D" w14:textId="77777777" w:rsidR="00E96E12" w:rsidRDefault="00E97765">
            <w:pPr>
              <w:widowControl w:val="0"/>
              <w:tabs>
                <w:tab w:val="left" w:pos="567"/>
              </w:tabs>
              <w:jc w:val="center"/>
              <w:rPr>
                <w:b/>
                <w:szCs w:val="22"/>
                <w:lang w:val="en-GB"/>
              </w:rPr>
            </w:pPr>
            <w:r>
              <w:rPr>
                <w:b/>
                <w:szCs w:val="22"/>
                <w:lang w:val="en-GB"/>
              </w:rPr>
              <w:t>+</w:t>
            </w:r>
          </w:p>
          <w:p w14:paraId="2A0AC096" w14:textId="77777777" w:rsidR="00E96E12" w:rsidRDefault="00E97765">
            <w:pPr>
              <w:widowControl w:val="0"/>
              <w:tabs>
                <w:tab w:val="left" w:pos="567"/>
              </w:tabs>
              <w:jc w:val="center"/>
              <w:rPr>
                <w:b/>
                <w:szCs w:val="22"/>
                <w:lang w:val="en-GB"/>
              </w:rPr>
            </w:pPr>
            <w:proofErr w:type="spellStart"/>
            <w:r>
              <w:rPr>
                <w:b/>
                <w:szCs w:val="22"/>
                <w:lang w:val="en-GB"/>
              </w:rPr>
              <w:t>Placebas</w:t>
            </w:r>
            <w:proofErr w:type="spellEnd"/>
            <w:r>
              <w:rPr>
                <w:b/>
                <w:szCs w:val="22"/>
                <w:lang w:val="en-GB"/>
              </w:rPr>
              <w:t xml:space="preserve"> kas </w:t>
            </w:r>
            <w:proofErr w:type="spellStart"/>
            <w:r>
              <w:rPr>
                <w:b/>
                <w:szCs w:val="22"/>
                <w:lang w:val="en-GB"/>
              </w:rPr>
              <w:t>savaitę</w:t>
            </w:r>
            <w:proofErr w:type="spellEnd"/>
          </w:p>
        </w:tc>
        <w:tc>
          <w:tcPr>
            <w:tcW w:w="1089" w:type="pct"/>
            <w:tcBorders>
              <w:top w:val="single" w:sz="4" w:space="0" w:color="auto"/>
              <w:left w:val="nil"/>
              <w:bottom w:val="single" w:sz="4" w:space="0" w:color="auto"/>
              <w:right w:val="nil"/>
            </w:tcBorders>
          </w:tcPr>
          <w:p w14:paraId="798B1441" w14:textId="77777777" w:rsidR="00E96E12" w:rsidRDefault="00E97765">
            <w:pPr>
              <w:widowControl w:val="0"/>
              <w:tabs>
                <w:tab w:val="left" w:pos="567"/>
              </w:tabs>
              <w:jc w:val="center"/>
              <w:rPr>
                <w:b/>
                <w:szCs w:val="22"/>
                <w:lang w:val="pt-PT"/>
              </w:rPr>
            </w:pPr>
            <w:r>
              <w:rPr>
                <w:b/>
                <w:szCs w:val="22"/>
                <w:lang w:val="pt-PT"/>
              </w:rPr>
              <w:t>2 mg pailginto atpalaidavimo eksenatido kas savaitę</w:t>
            </w:r>
          </w:p>
          <w:p w14:paraId="6794F2AE" w14:textId="77777777" w:rsidR="00E96E12" w:rsidRDefault="00E97765">
            <w:pPr>
              <w:widowControl w:val="0"/>
              <w:tabs>
                <w:tab w:val="left" w:pos="567"/>
              </w:tabs>
              <w:jc w:val="center"/>
              <w:rPr>
                <w:b/>
                <w:szCs w:val="22"/>
                <w:lang w:val="en-GB"/>
              </w:rPr>
            </w:pPr>
            <w:r>
              <w:rPr>
                <w:b/>
                <w:szCs w:val="22"/>
                <w:lang w:val="en-GB"/>
              </w:rPr>
              <w:t>+</w:t>
            </w:r>
          </w:p>
          <w:p w14:paraId="582EDACC" w14:textId="77777777" w:rsidR="00E96E12" w:rsidRDefault="00E97765">
            <w:pPr>
              <w:widowControl w:val="0"/>
              <w:tabs>
                <w:tab w:val="left" w:pos="567"/>
              </w:tabs>
              <w:jc w:val="center"/>
              <w:rPr>
                <w:b/>
                <w:szCs w:val="22"/>
                <w:lang w:val="en-GB"/>
              </w:rPr>
            </w:pPr>
            <w:proofErr w:type="spellStart"/>
            <w:r>
              <w:rPr>
                <w:b/>
                <w:szCs w:val="22"/>
                <w:lang w:val="en-GB"/>
              </w:rPr>
              <w:t>Placebas</w:t>
            </w:r>
            <w:proofErr w:type="spellEnd"/>
            <w:r>
              <w:rPr>
                <w:b/>
                <w:szCs w:val="22"/>
                <w:lang w:val="en-GB"/>
              </w:rPr>
              <w:t xml:space="preserve"> 1 </w:t>
            </w:r>
            <w:proofErr w:type="spellStart"/>
            <w:r>
              <w:rPr>
                <w:b/>
                <w:szCs w:val="22"/>
                <w:lang w:val="en-GB"/>
              </w:rPr>
              <w:t>kartą</w:t>
            </w:r>
            <w:proofErr w:type="spellEnd"/>
            <w:r>
              <w:rPr>
                <w:b/>
                <w:szCs w:val="22"/>
                <w:lang w:val="en-GB"/>
              </w:rPr>
              <w:t xml:space="preserve"> per </w:t>
            </w:r>
            <w:proofErr w:type="spellStart"/>
            <w:r>
              <w:rPr>
                <w:b/>
                <w:szCs w:val="22"/>
                <w:lang w:val="en-GB"/>
              </w:rPr>
              <w:t>parą</w:t>
            </w:r>
            <w:proofErr w:type="spellEnd"/>
          </w:p>
        </w:tc>
      </w:tr>
      <w:tr w:rsidR="00E96E12" w14:paraId="76EF203C" w14:textId="77777777">
        <w:tc>
          <w:tcPr>
            <w:tcW w:w="1500" w:type="pct"/>
            <w:tcBorders>
              <w:top w:val="single" w:sz="4" w:space="0" w:color="auto"/>
              <w:left w:val="nil"/>
              <w:bottom w:val="single" w:sz="4" w:space="0" w:color="auto"/>
              <w:right w:val="nil"/>
            </w:tcBorders>
          </w:tcPr>
          <w:p w14:paraId="64D3AD9D" w14:textId="77777777" w:rsidR="00E96E12" w:rsidRDefault="00E97765">
            <w:pPr>
              <w:widowControl w:val="0"/>
              <w:tabs>
                <w:tab w:val="left" w:pos="567"/>
              </w:tabs>
              <w:rPr>
                <w:szCs w:val="22"/>
                <w:vertAlign w:val="superscript"/>
                <w:lang w:val="en-GB"/>
              </w:rPr>
            </w:pPr>
            <w:r>
              <w:rPr>
                <w:szCs w:val="22"/>
                <w:lang w:val="en-GB"/>
              </w:rPr>
              <w:t>N</w:t>
            </w:r>
          </w:p>
        </w:tc>
        <w:tc>
          <w:tcPr>
            <w:tcW w:w="1173" w:type="pct"/>
            <w:tcBorders>
              <w:top w:val="single" w:sz="4" w:space="0" w:color="auto"/>
              <w:left w:val="nil"/>
              <w:bottom w:val="single" w:sz="4" w:space="0" w:color="auto"/>
              <w:right w:val="nil"/>
            </w:tcBorders>
          </w:tcPr>
          <w:p w14:paraId="27B840FF" w14:textId="77777777" w:rsidR="00E96E12" w:rsidRDefault="00E97765">
            <w:pPr>
              <w:widowControl w:val="0"/>
              <w:tabs>
                <w:tab w:val="left" w:pos="567"/>
              </w:tabs>
              <w:jc w:val="center"/>
              <w:rPr>
                <w:szCs w:val="22"/>
                <w:lang w:val="en-GB"/>
              </w:rPr>
            </w:pPr>
            <w:r>
              <w:rPr>
                <w:szCs w:val="22"/>
                <w:lang w:val="en-GB"/>
              </w:rPr>
              <w:t>228</w:t>
            </w:r>
          </w:p>
        </w:tc>
        <w:tc>
          <w:tcPr>
            <w:tcW w:w="1238" w:type="pct"/>
            <w:tcBorders>
              <w:top w:val="single" w:sz="4" w:space="0" w:color="auto"/>
              <w:left w:val="nil"/>
              <w:bottom w:val="single" w:sz="4" w:space="0" w:color="auto"/>
              <w:right w:val="nil"/>
            </w:tcBorders>
          </w:tcPr>
          <w:p w14:paraId="62A22BC2" w14:textId="77777777" w:rsidR="00E96E12" w:rsidRDefault="00E97765">
            <w:pPr>
              <w:widowControl w:val="0"/>
              <w:tabs>
                <w:tab w:val="left" w:pos="567"/>
              </w:tabs>
              <w:jc w:val="center"/>
              <w:rPr>
                <w:szCs w:val="22"/>
                <w:lang w:val="en-GB"/>
              </w:rPr>
            </w:pPr>
            <w:r>
              <w:rPr>
                <w:szCs w:val="22"/>
                <w:lang w:val="en-GB"/>
              </w:rPr>
              <w:t>230</w:t>
            </w:r>
          </w:p>
        </w:tc>
        <w:tc>
          <w:tcPr>
            <w:tcW w:w="1089" w:type="pct"/>
            <w:tcBorders>
              <w:top w:val="single" w:sz="4" w:space="0" w:color="auto"/>
              <w:left w:val="nil"/>
              <w:bottom w:val="single" w:sz="4" w:space="0" w:color="auto"/>
              <w:right w:val="nil"/>
            </w:tcBorders>
          </w:tcPr>
          <w:p w14:paraId="0275A95E" w14:textId="77777777" w:rsidR="00E96E12" w:rsidRDefault="00E97765">
            <w:pPr>
              <w:widowControl w:val="0"/>
              <w:tabs>
                <w:tab w:val="left" w:pos="567"/>
              </w:tabs>
              <w:jc w:val="center"/>
              <w:rPr>
                <w:szCs w:val="22"/>
                <w:lang w:val="en-GB"/>
              </w:rPr>
            </w:pPr>
            <w:r>
              <w:rPr>
                <w:szCs w:val="22"/>
                <w:lang w:val="en-GB"/>
              </w:rPr>
              <w:t>227</w:t>
            </w:r>
          </w:p>
        </w:tc>
      </w:tr>
      <w:tr w:rsidR="00E96E12" w14:paraId="4ADC302F" w14:textId="77777777">
        <w:tc>
          <w:tcPr>
            <w:tcW w:w="1500" w:type="pct"/>
            <w:tcBorders>
              <w:top w:val="single" w:sz="4" w:space="0" w:color="auto"/>
              <w:left w:val="nil"/>
              <w:bottom w:val="nil"/>
              <w:right w:val="nil"/>
            </w:tcBorders>
          </w:tcPr>
          <w:p w14:paraId="4EB49AA1" w14:textId="77777777" w:rsidR="00E96E12" w:rsidRDefault="00E97765">
            <w:pPr>
              <w:widowControl w:val="0"/>
              <w:tabs>
                <w:tab w:val="left" w:pos="567"/>
              </w:tabs>
              <w:rPr>
                <w:b/>
                <w:szCs w:val="22"/>
                <w:lang w:val="pt-PT"/>
              </w:rPr>
            </w:pPr>
            <w:r>
              <w:rPr>
                <w:b/>
                <w:szCs w:val="22"/>
                <w:lang w:val="pt-PT"/>
              </w:rPr>
              <w:t>HbA1c koncentracija (%)</w:t>
            </w:r>
          </w:p>
          <w:p w14:paraId="019CF493" w14:textId="77777777" w:rsidR="00E96E12" w:rsidRDefault="00E97765">
            <w:pPr>
              <w:widowControl w:val="0"/>
              <w:tabs>
                <w:tab w:val="left" w:pos="567"/>
              </w:tabs>
              <w:rPr>
                <w:b/>
                <w:szCs w:val="22"/>
                <w:lang w:val="pt-PT"/>
              </w:rPr>
            </w:pPr>
            <w:r>
              <w:rPr>
                <w:szCs w:val="22"/>
                <w:lang w:val="pt-PT"/>
              </w:rPr>
              <w:t>Iš pradžių (vidurkis)</w:t>
            </w:r>
          </w:p>
        </w:tc>
        <w:tc>
          <w:tcPr>
            <w:tcW w:w="1173" w:type="pct"/>
            <w:tcBorders>
              <w:top w:val="single" w:sz="4" w:space="0" w:color="auto"/>
              <w:left w:val="nil"/>
              <w:bottom w:val="nil"/>
              <w:right w:val="nil"/>
            </w:tcBorders>
          </w:tcPr>
          <w:p w14:paraId="7D5F55F5" w14:textId="77777777" w:rsidR="00E96E12" w:rsidRDefault="00E96E12">
            <w:pPr>
              <w:widowControl w:val="0"/>
              <w:tabs>
                <w:tab w:val="left" w:pos="567"/>
              </w:tabs>
              <w:jc w:val="center"/>
              <w:rPr>
                <w:szCs w:val="22"/>
                <w:lang w:val="pt-PT"/>
              </w:rPr>
            </w:pPr>
          </w:p>
          <w:p w14:paraId="4D719ECD" w14:textId="77777777" w:rsidR="00E96E12" w:rsidRDefault="00E97765">
            <w:pPr>
              <w:widowControl w:val="0"/>
              <w:tabs>
                <w:tab w:val="left" w:pos="567"/>
              </w:tabs>
              <w:jc w:val="center"/>
              <w:rPr>
                <w:szCs w:val="22"/>
                <w:lang w:val="en-GB"/>
              </w:rPr>
            </w:pPr>
            <w:r>
              <w:rPr>
                <w:szCs w:val="22"/>
                <w:lang w:val="en-GB"/>
              </w:rPr>
              <w:t>9,29</w:t>
            </w:r>
          </w:p>
        </w:tc>
        <w:tc>
          <w:tcPr>
            <w:tcW w:w="1238" w:type="pct"/>
            <w:tcBorders>
              <w:top w:val="single" w:sz="4" w:space="0" w:color="auto"/>
              <w:left w:val="nil"/>
              <w:bottom w:val="nil"/>
              <w:right w:val="nil"/>
            </w:tcBorders>
          </w:tcPr>
          <w:p w14:paraId="1AE5FB29" w14:textId="77777777" w:rsidR="00E96E12" w:rsidRDefault="00E96E12">
            <w:pPr>
              <w:widowControl w:val="0"/>
              <w:tabs>
                <w:tab w:val="left" w:pos="567"/>
              </w:tabs>
              <w:jc w:val="center"/>
              <w:rPr>
                <w:szCs w:val="22"/>
                <w:lang w:val="en-GB"/>
              </w:rPr>
            </w:pPr>
          </w:p>
          <w:p w14:paraId="03E121D3" w14:textId="77777777" w:rsidR="00E96E12" w:rsidRDefault="00E97765">
            <w:pPr>
              <w:widowControl w:val="0"/>
              <w:tabs>
                <w:tab w:val="left" w:pos="567"/>
              </w:tabs>
              <w:jc w:val="center"/>
              <w:rPr>
                <w:szCs w:val="22"/>
                <w:lang w:val="en-GB"/>
              </w:rPr>
            </w:pPr>
            <w:r>
              <w:rPr>
                <w:szCs w:val="22"/>
                <w:lang w:val="en-GB"/>
              </w:rPr>
              <w:t>9,25</w:t>
            </w:r>
          </w:p>
        </w:tc>
        <w:tc>
          <w:tcPr>
            <w:tcW w:w="1089" w:type="pct"/>
            <w:tcBorders>
              <w:top w:val="single" w:sz="4" w:space="0" w:color="auto"/>
              <w:left w:val="nil"/>
              <w:bottom w:val="nil"/>
              <w:right w:val="nil"/>
            </w:tcBorders>
          </w:tcPr>
          <w:p w14:paraId="6EDB4B87" w14:textId="77777777" w:rsidR="00E96E12" w:rsidRDefault="00E96E12">
            <w:pPr>
              <w:widowControl w:val="0"/>
              <w:tabs>
                <w:tab w:val="left" w:pos="567"/>
              </w:tabs>
              <w:jc w:val="center"/>
              <w:rPr>
                <w:szCs w:val="22"/>
                <w:lang w:val="en-GB"/>
              </w:rPr>
            </w:pPr>
          </w:p>
          <w:p w14:paraId="6DED7CDE" w14:textId="77777777" w:rsidR="00E96E12" w:rsidRDefault="00E97765">
            <w:pPr>
              <w:widowControl w:val="0"/>
              <w:tabs>
                <w:tab w:val="left" w:pos="567"/>
              </w:tabs>
              <w:jc w:val="center"/>
              <w:rPr>
                <w:szCs w:val="22"/>
                <w:lang w:val="en-GB"/>
              </w:rPr>
            </w:pPr>
            <w:r>
              <w:rPr>
                <w:szCs w:val="22"/>
                <w:lang w:val="en-GB"/>
              </w:rPr>
              <w:t>9,26</w:t>
            </w:r>
          </w:p>
        </w:tc>
      </w:tr>
      <w:tr w:rsidR="00E96E12" w14:paraId="59E29EC4" w14:textId="77777777">
        <w:tc>
          <w:tcPr>
            <w:tcW w:w="1500" w:type="pct"/>
            <w:tcBorders>
              <w:top w:val="nil"/>
              <w:left w:val="nil"/>
              <w:bottom w:val="nil"/>
              <w:right w:val="nil"/>
            </w:tcBorders>
          </w:tcPr>
          <w:p w14:paraId="7C314553" w14:textId="77777777" w:rsidR="00E96E12" w:rsidRDefault="00E97765">
            <w:pPr>
              <w:widowControl w:val="0"/>
              <w:tabs>
                <w:tab w:val="left" w:pos="567"/>
              </w:tabs>
              <w:rPr>
                <w:szCs w:val="22"/>
                <w:lang w:val="en-US"/>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pradine</w:t>
            </w:r>
            <w:r>
              <w:rPr>
                <w:szCs w:val="22"/>
                <w:vertAlign w:val="superscript"/>
                <w:lang w:val="en-US"/>
              </w:rPr>
              <w:t>a</w:t>
            </w:r>
            <w:proofErr w:type="spellEnd"/>
          </w:p>
        </w:tc>
        <w:tc>
          <w:tcPr>
            <w:tcW w:w="1173" w:type="pct"/>
            <w:tcBorders>
              <w:top w:val="nil"/>
              <w:left w:val="nil"/>
              <w:bottom w:val="nil"/>
              <w:right w:val="nil"/>
            </w:tcBorders>
          </w:tcPr>
          <w:p w14:paraId="093D8195" w14:textId="77777777" w:rsidR="00E96E12" w:rsidRDefault="00E97765">
            <w:pPr>
              <w:widowControl w:val="0"/>
              <w:tabs>
                <w:tab w:val="left" w:pos="567"/>
              </w:tabs>
              <w:jc w:val="center"/>
              <w:rPr>
                <w:szCs w:val="22"/>
                <w:lang w:val="en-GB"/>
              </w:rPr>
            </w:pPr>
            <w:r>
              <w:rPr>
                <w:szCs w:val="22"/>
                <w:lang w:val="en-GB"/>
              </w:rPr>
              <w:t>-1,98</w:t>
            </w:r>
          </w:p>
        </w:tc>
        <w:tc>
          <w:tcPr>
            <w:tcW w:w="1238" w:type="pct"/>
            <w:tcBorders>
              <w:top w:val="nil"/>
              <w:left w:val="nil"/>
              <w:bottom w:val="nil"/>
              <w:right w:val="nil"/>
            </w:tcBorders>
          </w:tcPr>
          <w:p w14:paraId="17A0F17F" w14:textId="77777777" w:rsidR="00E96E12" w:rsidRDefault="00E97765">
            <w:pPr>
              <w:widowControl w:val="0"/>
              <w:tabs>
                <w:tab w:val="left" w:pos="567"/>
              </w:tabs>
              <w:jc w:val="center"/>
              <w:rPr>
                <w:szCs w:val="22"/>
                <w:lang w:val="en-GB"/>
              </w:rPr>
            </w:pPr>
            <w:r>
              <w:rPr>
                <w:szCs w:val="22"/>
                <w:lang w:val="en-GB"/>
              </w:rPr>
              <w:t>-1,39</w:t>
            </w:r>
          </w:p>
        </w:tc>
        <w:tc>
          <w:tcPr>
            <w:tcW w:w="1089" w:type="pct"/>
            <w:tcBorders>
              <w:top w:val="nil"/>
              <w:left w:val="nil"/>
              <w:bottom w:val="nil"/>
              <w:right w:val="nil"/>
            </w:tcBorders>
          </w:tcPr>
          <w:p w14:paraId="145D49BD" w14:textId="77777777" w:rsidR="00E96E12" w:rsidRDefault="00E97765">
            <w:pPr>
              <w:widowControl w:val="0"/>
              <w:tabs>
                <w:tab w:val="left" w:pos="567"/>
              </w:tabs>
              <w:jc w:val="center"/>
              <w:rPr>
                <w:szCs w:val="22"/>
                <w:lang w:val="en-GB"/>
              </w:rPr>
            </w:pPr>
            <w:r>
              <w:rPr>
                <w:szCs w:val="22"/>
                <w:lang w:val="en-GB"/>
              </w:rPr>
              <w:t>-1,60</w:t>
            </w:r>
          </w:p>
        </w:tc>
      </w:tr>
      <w:tr w:rsidR="00E96E12" w14:paraId="7FB6F1E4" w14:textId="77777777">
        <w:tc>
          <w:tcPr>
            <w:tcW w:w="1500" w:type="pct"/>
            <w:tcBorders>
              <w:top w:val="nil"/>
              <w:left w:val="nil"/>
              <w:bottom w:val="nil"/>
              <w:right w:val="nil"/>
            </w:tcBorders>
          </w:tcPr>
          <w:p w14:paraId="65F1AD80" w14:textId="77777777" w:rsidR="00E96E12" w:rsidRDefault="00E97765">
            <w:pPr>
              <w:widowControl w:val="0"/>
              <w:tabs>
                <w:tab w:val="left" w:pos="567"/>
              </w:tabs>
              <w:rPr>
                <w:szCs w:val="22"/>
                <w:lang w:val="pt-PT"/>
              </w:rPr>
            </w:pPr>
            <w:r>
              <w:rPr>
                <w:szCs w:val="22"/>
                <w:lang w:val="pt-PT"/>
              </w:rPr>
              <w:t>Vidutinis pokyčio, palyginus su pradine, skirtumas vartojant derinį ir atskirus vaistinius preparatus</w:t>
            </w:r>
          </w:p>
        </w:tc>
        <w:tc>
          <w:tcPr>
            <w:tcW w:w="1173" w:type="pct"/>
            <w:tcBorders>
              <w:top w:val="nil"/>
              <w:left w:val="nil"/>
              <w:bottom w:val="nil"/>
              <w:right w:val="nil"/>
            </w:tcBorders>
          </w:tcPr>
          <w:p w14:paraId="039A01B6" w14:textId="77777777" w:rsidR="00E96E12" w:rsidRDefault="00E96E12">
            <w:pPr>
              <w:widowControl w:val="0"/>
              <w:tabs>
                <w:tab w:val="left" w:pos="567"/>
              </w:tabs>
              <w:jc w:val="center"/>
              <w:rPr>
                <w:szCs w:val="22"/>
                <w:lang w:val="pt-PT"/>
              </w:rPr>
            </w:pPr>
          </w:p>
        </w:tc>
        <w:tc>
          <w:tcPr>
            <w:tcW w:w="1238" w:type="pct"/>
            <w:tcBorders>
              <w:top w:val="nil"/>
              <w:left w:val="nil"/>
              <w:bottom w:val="nil"/>
              <w:right w:val="nil"/>
            </w:tcBorders>
            <w:vAlign w:val="center"/>
          </w:tcPr>
          <w:p w14:paraId="46406069" w14:textId="77777777" w:rsidR="00E96E12" w:rsidRDefault="00E97765">
            <w:pPr>
              <w:widowControl w:val="0"/>
              <w:tabs>
                <w:tab w:val="left" w:pos="567"/>
              </w:tabs>
              <w:jc w:val="center"/>
              <w:rPr>
                <w:szCs w:val="22"/>
                <w:lang w:val="en-GB"/>
              </w:rPr>
            </w:pPr>
            <w:r>
              <w:rPr>
                <w:szCs w:val="22"/>
                <w:lang w:val="en-GB"/>
              </w:rPr>
              <w:t>-0,59</w:t>
            </w:r>
            <w:r>
              <w:rPr>
                <w:szCs w:val="22"/>
                <w:vertAlign w:val="superscript"/>
                <w:lang w:val="en-GB"/>
              </w:rPr>
              <w:t>*</w:t>
            </w:r>
          </w:p>
        </w:tc>
        <w:tc>
          <w:tcPr>
            <w:tcW w:w="1089" w:type="pct"/>
            <w:tcBorders>
              <w:top w:val="nil"/>
              <w:left w:val="nil"/>
              <w:bottom w:val="nil"/>
              <w:right w:val="nil"/>
            </w:tcBorders>
            <w:vAlign w:val="center"/>
          </w:tcPr>
          <w:p w14:paraId="2EBF65F3" w14:textId="77777777" w:rsidR="00E96E12" w:rsidRDefault="00E97765">
            <w:pPr>
              <w:widowControl w:val="0"/>
              <w:tabs>
                <w:tab w:val="left" w:pos="567"/>
              </w:tabs>
              <w:jc w:val="center"/>
              <w:rPr>
                <w:szCs w:val="22"/>
                <w:lang w:val="en-GB"/>
              </w:rPr>
            </w:pPr>
            <w:r>
              <w:rPr>
                <w:szCs w:val="22"/>
                <w:lang w:val="en-GB"/>
              </w:rPr>
              <w:t>-0,38</w:t>
            </w:r>
            <w:r>
              <w:rPr>
                <w:szCs w:val="22"/>
                <w:vertAlign w:val="superscript"/>
                <w:lang w:val="en-GB"/>
              </w:rPr>
              <w:t>**</w:t>
            </w:r>
          </w:p>
        </w:tc>
      </w:tr>
      <w:tr w:rsidR="00E96E12" w14:paraId="0841FD02" w14:textId="77777777">
        <w:tc>
          <w:tcPr>
            <w:tcW w:w="1500" w:type="pct"/>
            <w:tcBorders>
              <w:top w:val="nil"/>
              <w:left w:val="nil"/>
              <w:bottom w:val="single" w:sz="4" w:space="0" w:color="auto"/>
              <w:right w:val="nil"/>
            </w:tcBorders>
          </w:tcPr>
          <w:p w14:paraId="286AB722" w14:textId="77777777" w:rsidR="00E96E12" w:rsidRDefault="00E97765">
            <w:pPr>
              <w:widowControl w:val="0"/>
              <w:tabs>
                <w:tab w:val="left" w:pos="567"/>
              </w:tabs>
              <w:rPr>
                <w:szCs w:val="22"/>
                <w:lang w:val="en-GB"/>
              </w:rPr>
            </w:pPr>
            <w:r>
              <w:rPr>
                <w:szCs w:val="22"/>
                <w:lang w:val="en-US"/>
              </w:rPr>
              <w:t>(95% PI)</w:t>
            </w:r>
          </w:p>
        </w:tc>
        <w:tc>
          <w:tcPr>
            <w:tcW w:w="1173" w:type="pct"/>
            <w:tcBorders>
              <w:top w:val="nil"/>
              <w:left w:val="nil"/>
              <w:bottom w:val="single" w:sz="4" w:space="0" w:color="auto"/>
              <w:right w:val="nil"/>
            </w:tcBorders>
          </w:tcPr>
          <w:p w14:paraId="21005E35" w14:textId="77777777" w:rsidR="00E96E12" w:rsidRDefault="00E96E12">
            <w:pPr>
              <w:widowControl w:val="0"/>
              <w:tabs>
                <w:tab w:val="left" w:pos="567"/>
              </w:tabs>
              <w:jc w:val="center"/>
              <w:rPr>
                <w:szCs w:val="22"/>
                <w:lang w:val="en-GB"/>
              </w:rPr>
            </w:pPr>
          </w:p>
        </w:tc>
        <w:tc>
          <w:tcPr>
            <w:tcW w:w="1238" w:type="pct"/>
            <w:tcBorders>
              <w:top w:val="nil"/>
              <w:left w:val="nil"/>
              <w:bottom w:val="single" w:sz="4" w:space="0" w:color="auto"/>
              <w:right w:val="nil"/>
            </w:tcBorders>
          </w:tcPr>
          <w:p w14:paraId="262ADC57" w14:textId="77777777" w:rsidR="00E96E12" w:rsidRDefault="00E97765">
            <w:pPr>
              <w:widowControl w:val="0"/>
              <w:tabs>
                <w:tab w:val="left" w:pos="567"/>
              </w:tabs>
              <w:jc w:val="center"/>
              <w:rPr>
                <w:szCs w:val="22"/>
                <w:lang w:val="en-GB"/>
              </w:rPr>
            </w:pPr>
            <w:r>
              <w:rPr>
                <w:szCs w:val="22"/>
                <w:lang w:val="en-GB"/>
              </w:rPr>
              <w:t>(-0,84, -0,34)</w:t>
            </w:r>
          </w:p>
        </w:tc>
        <w:tc>
          <w:tcPr>
            <w:tcW w:w="1089" w:type="pct"/>
            <w:tcBorders>
              <w:top w:val="nil"/>
              <w:left w:val="nil"/>
              <w:bottom w:val="single" w:sz="4" w:space="0" w:color="auto"/>
              <w:right w:val="nil"/>
            </w:tcBorders>
          </w:tcPr>
          <w:p w14:paraId="5553BB36" w14:textId="77777777" w:rsidR="00E96E12" w:rsidRDefault="00E97765">
            <w:pPr>
              <w:widowControl w:val="0"/>
              <w:tabs>
                <w:tab w:val="left" w:pos="567"/>
              </w:tabs>
              <w:jc w:val="center"/>
              <w:rPr>
                <w:szCs w:val="22"/>
                <w:lang w:val="en-GB"/>
              </w:rPr>
            </w:pPr>
            <w:r>
              <w:rPr>
                <w:szCs w:val="22"/>
                <w:lang w:val="en-GB"/>
              </w:rPr>
              <w:t>(-0,63, -0,13)</w:t>
            </w:r>
          </w:p>
        </w:tc>
      </w:tr>
      <w:tr w:rsidR="00E96E12" w14:paraId="67E640AC" w14:textId="77777777">
        <w:tc>
          <w:tcPr>
            <w:tcW w:w="1500" w:type="pct"/>
            <w:tcBorders>
              <w:top w:val="single" w:sz="4" w:space="0" w:color="auto"/>
              <w:left w:val="nil"/>
              <w:bottom w:val="nil"/>
              <w:right w:val="nil"/>
            </w:tcBorders>
          </w:tcPr>
          <w:p w14:paraId="6693E8E7" w14:textId="77777777" w:rsidR="00E96E12" w:rsidRDefault="00E97765">
            <w:pPr>
              <w:widowControl w:val="0"/>
              <w:tabs>
                <w:tab w:val="left" w:pos="567"/>
              </w:tabs>
              <w:rPr>
                <w:szCs w:val="22"/>
                <w:lang w:val="en-GB"/>
              </w:rPr>
            </w:pPr>
            <w:proofErr w:type="spellStart"/>
            <w:r>
              <w:rPr>
                <w:b/>
                <w:szCs w:val="22"/>
                <w:lang w:val="en-US"/>
              </w:rPr>
              <w:t>Tiriamieji</w:t>
            </w:r>
            <w:proofErr w:type="spellEnd"/>
            <w:r>
              <w:rPr>
                <w:b/>
                <w:szCs w:val="22"/>
                <w:lang w:val="en-US"/>
              </w:rPr>
              <w:t xml:space="preserve">, </w:t>
            </w:r>
            <w:proofErr w:type="spellStart"/>
            <w:r>
              <w:rPr>
                <w:b/>
                <w:szCs w:val="22"/>
                <w:lang w:val="en-US"/>
              </w:rPr>
              <w:t>pasiekę</w:t>
            </w:r>
            <w:proofErr w:type="spellEnd"/>
            <w:r>
              <w:rPr>
                <w:b/>
                <w:szCs w:val="22"/>
                <w:lang w:val="en-US"/>
              </w:rPr>
              <w:t xml:space="preserve"> HbA1c &lt; 7% (%)</w:t>
            </w:r>
          </w:p>
        </w:tc>
        <w:tc>
          <w:tcPr>
            <w:tcW w:w="1173" w:type="pct"/>
            <w:tcBorders>
              <w:top w:val="single" w:sz="4" w:space="0" w:color="auto"/>
              <w:left w:val="nil"/>
              <w:bottom w:val="nil"/>
              <w:right w:val="nil"/>
            </w:tcBorders>
            <w:vAlign w:val="center"/>
          </w:tcPr>
          <w:p w14:paraId="535AC214" w14:textId="77777777" w:rsidR="00E96E12" w:rsidRDefault="00E97765">
            <w:pPr>
              <w:widowControl w:val="0"/>
              <w:tabs>
                <w:tab w:val="left" w:pos="567"/>
              </w:tabs>
              <w:jc w:val="center"/>
              <w:rPr>
                <w:szCs w:val="22"/>
                <w:lang w:val="en-GB"/>
              </w:rPr>
            </w:pPr>
            <w:r>
              <w:rPr>
                <w:szCs w:val="22"/>
                <w:lang w:val="en-GB"/>
              </w:rPr>
              <w:t>44,7</w:t>
            </w:r>
          </w:p>
        </w:tc>
        <w:tc>
          <w:tcPr>
            <w:tcW w:w="1238" w:type="pct"/>
            <w:tcBorders>
              <w:top w:val="single" w:sz="4" w:space="0" w:color="auto"/>
              <w:left w:val="nil"/>
              <w:bottom w:val="nil"/>
              <w:right w:val="nil"/>
            </w:tcBorders>
            <w:vAlign w:val="center"/>
          </w:tcPr>
          <w:p w14:paraId="5BD46323" w14:textId="77777777" w:rsidR="00E96E12" w:rsidRDefault="00E97765">
            <w:pPr>
              <w:widowControl w:val="0"/>
              <w:tabs>
                <w:tab w:val="left" w:pos="567"/>
              </w:tabs>
              <w:jc w:val="center"/>
              <w:rPr>
                <w:szCs w:val="22"/>
                <w:lang w:val="en-GB"/>
              </w:rPr>
            </w:pPr>
            <w:r>
              <w:rPr>
                <w:szCs w:val="22"/>
                <w:lang w:val="en-GB"/>
              </w:rPr>
              <w:t>19,1</w:t>
            </w:r>
          </w:p>
        </w:tc>
        <w:tc>
          <w:tcPr>
            <w:tcW w:w="1089" w:type="pct"/>
            <w:tcBorders>
              <w:top w:val="single" w:sz="4" w:space="0" w:color="auto"/>
              <w:left w:val="nil"/>
              <w:bottom w:val="nil"/>
              <w:right w:val="nil"/>
            </w:tcBorders>
            <w:vAlign w:val="center"/>
          </w:tcPr>
          <w:p w14:paraId="7DEC28CD" w14:textId="77777777" w:rsidR="00E96E12" w:rsidRDefault="00E97765">
            <w:pPr>
              <w:widowControl w:val="0"/>
              <w:tabs>
                <w:tab w:val="left" w:pos="567"/>
              </w:tabs>
              <w:jc w:val="center"/>
              <w:rPr>
                <w:szCs w:val="22"/>
                <w:lang w:val="en-GB"/>
              </w:rPr>
            </w:pPr>
            <w:r>
              <w:rPr>
                <w:szCs w:val="22"/>
                <w:lang w:val="en-GB"/>
              </w:rPr>
              <w:t>26,9</w:t>
            </w:r>
          </w:p>
        </w:tc>
      </w:tr>
      <w:tr w:rsidR="00E96E12" w14:paraId="0E3BB88A" w14:textId="77777777">
        <w:tc>
          <w:tcPr>
            <w:tcW w:w="1500" w:type="pct"/>
            <w:tcBorders>
              <w:top w:val="single" w:sz="4" w:space="0" w:color="auto"/>
              <w:left w:val="nil"/>
              <w:bottom w:val="nil"/>
              <w:right w:val="nil"/>
            </w:tcBorders>
          </w:tcPr>
          <w:p w14:paraId="074BFE99" w14:textId="77777777" w:rsidR="00E96E12" w:rsidRDefault="00E97765">
            <w:pPr>
              <w:widowControl w:val="0"/>
              <w:tabs>
                <w:tab w:val="left" w:pos="567"/>
              </w:tabs>
              <w:rPr>
                <w:szCs w:val="22"/>
                <w:lang w:val="en-GB"/>
              </w:rPr>
            </w:pPr>
            <w:proofErr w:type="spellStart"/>
            <w:r>
              <w:rPr>
                <w:b/>
                <w:szCs w:val="22"/>
                <w:lang w:val="en-US"/>
              </w:rPr>
              <w:t>Kūno</w:t>
            </w:r>
            <w:proofErr w:type="spellEnd"/>
            <w:r>
              <w:rPr>
                <w:b/>
                <w:szCs w:val="22"/>
                <w:lang w:val="en-US"/>
              </w:rPr>
              <w:t xml:space="preserve"> </w:t>
            </w:r>
            <w:proofErr w:type="spellStart"/>
            <w:r>
              <w:rPr>
                <w:b/>
                <w:szCs w:val="22"/>
                <w:lang w:val="en-US"/>
              </w:rPr>
              <w:t>svoris</w:t>
            </w:r>
            <w:proofErr w:type="spellEnd"/>
            <w:r>
              <w:rPr>
                <w:b/>
                <w:szCs w:val="22"/>
                <w:lang w:val="en-US"/>
              </w:rPr>
              <w:t xml:space="preserve"> (kg)</w:t>
            </w:r>
          </w:p>
        </w:tc>
        <w:tc>
          <w:tcPr>
            <w:tcW w:w="1173" w:type="pct"/>
            <w:tcBorders>
              <w:top w:val="single" w:sz="4" w:space="0" w:color="auto"/>
              <w:left w:val="nil"/>
              <w:bottom w:val="nil"/>
              <w:right w:val="nil"/>
            </w:tcBorders>
          </w:tcPr>
          <w:p w14:paraId="0972ED95" w14:textId="77777777" w:rsidR="00E96E12" w:rsidRDefault="00E96E12">
            <w:pPr>
              <w:widowControl w:val="0"/>
              <w:tabs>
                <w:tab w:val="left" w:pos="567"/>
              </w:tabs>
              <w:jc w:val="center"/>
              <w:rPr>
                <w:szCs w:val="22"/>
                <w:lang w:val="en-GB"/>
              </w:rPr>
            </w:pPr>
          </w:p>
        </w:tc>
        <w:tc>
          <w:tcPr>
            <w:tcW w:w="1238" w:type="pct"/>
            <w:tcBorders>
              <w:top w:val="single" w:sz="4" w:space="0" w:color="auto"/>
              <w:left w:val="nil"/>
              <w:bottom w:val="nil"/>
              <w:right w:val="nil"/>
            </w:tcBorders>
          </w:tcPr>
          <w:p w14:paraId="191110DF" w14:textId="77777777" w:rsidR="00E96E12" w:rsidRDefault="00E96E12">
            <w:pPr>
              <w:widowControl w:val="0"/>
              <w:tabs>
                <w:tab w:val="left" w:pos="567"/>
              </w:tabs>
              <w:jc w:val="center"/>
              <w:rPr>
                <w:szCs w:val="22"/>
                <w:lang w:val="en-GB"/>
              </w:rPr>
            </w:pPr>
          </w:p>
        </w:tc>
        <w:tc>
          <w:tcPr>
            <w:tcW w:w="1089" w:type="pct"/>
            <w:tcBorders>
              <w:top w:val="single" w:sz="4" w:space="0" w:color="auto"/>
              <w:left w:val="nil"/>
              <w:bottom w:val="nil"/>
              <w:right w:val="nil"/>
            </w:tcBorders>
          </w:tcPr>
          <w:p w14:paraId="3EC10724" w14:textId="77777777" w:rsidR="00E96E12" w:rsidRDefault="00E96E12">
            <w:pPr>
              <w:widowControl w:val="0"/>
              <w:tabs>
                <w:tab w:val="left" w:pos="567"/>
              </w:tabs>
              <w:jc w:val="center"/>
              <w:rPr>
                <w:szCs w:val="22"/>
                <w:lang w:val="en-GB"/>
              </w:rPr>
            </w:pPr>
          </w:p>
        </w:tc>
      </w:tr>
      <w:tr w:rsidR="00E96E12" w14:paraId="3F0BD545" w14:textId="77777777">
        <w:tc>
          <w:tcPr>
            <w:tcW w:w="1500" w:type="pct"/>
            <w:tcBorders>
              <w:top w:val="nil"/>
              <w:left w:val="nil"/>
              <w:bottom w:val="nil"/>
              <w:right w:val="nil"/>
            </w:tcBorders>
          </w:tcPr>
          <w:p w14:paraId="24232C0C" w14:textId="77777777" w:rsidR="00E96E12" w:rsidRDefault="00E97765">
            <w:pPr>
              <w:widowControl w:val="0"/>
              <w:tabs>
                <w:tab w:val="left" w:pos="567"/>
              </w:tabs>
              <w:rPr>
                <w:szCs w:val="22"/>
                <w:lang w:val="en-GB"/>
              </w:rPr>
            </w:pPr>
            <w:proofErr w:type="spellStart"/>
            <w:r>
              <w:rPr>
                <w:szCs w:val="22"/>
                <w:lang w:val="en-US"/>
              </w:rPr>
              <w:t>Iš</w:t>
            </w:r>
            <w:proofErr w:type="spellEnd"/>
            <w:r>
              <w:rPr>
                <w:szCs w:val="22"/>
                <w:lang w:val="en-US"/>
              </w:rPr>
              <w:t xml:space="preserve"> </w:t>
            </w:r>
            <w:proofErr w:type="spellStart"/>
            <w:r>
              <w:rPr>
                <w:szCs w:val="22"/>
                <w:lang w:val="en-US"/>
              </w:rPr>
              <w:t>pradžių</w:t>
            </w:r>
            <w:proofErr w:type="spellEnd"/>
            <w:r>
              <w:rPr>
                <w:szCs w:val="22"/>
                <w:lang w:val="en-US"/>
              </w:rPr>
              <w:t xml:space="preserve"> (</w:t>
            </w:r>
            <w:proofErr w:type="spellStart"/>
            <w:r>
              <w:rPr>
                <w:szCs w:val="22"/>
                <w:lang w:val="en-US"/>
              </w:rPr>
              <w:t>vidurkis</w:t>
            </w:r>
            <w:proofErr w:type="spellEnd"/>
            <w:r>
              <w:rPr>
                <w:szCs w:val="22"/>
                <w:lang w:val="en-US"/>
              </w:rPr>
              <w:t>)</w:t>
            </w:r>
          </w:p>
        </w:tc>
        <w:tc>
          <w:tcPr>
            <w:tcW w:w="1173" w:type="pct"/>
            <w:tcBorders>
              <w:top w:val="nil"/>
              <w:left w:val="nil"/>
              <w:bottom w:val="nil"/>
              <w:right w:val="nil"/>
            </w:tcBorders>
          </w:tcPr>
          <w:p w14:paraId="745D9EC0" w14:textId="77777777" w:rsidR="00E96E12" w:rsidRDefault="00E97765">
            <w:pPr>
              <w:widowControl w:val="0"/>
              <w:tabs>
                <w:tab w:val="left" w:pos="567"/>
              </w:tabs>
              <w:jc w:val="center"/>
              <w:rPr>
                <w:szCs w:val="22"/>
                <w:lang w:val="en-GB"/>
              </w:rPr>
            </w:pPr>
            <w:r>
              <w:rPr>
                <w:szCs w:val="22"/>
                <w:lang w:val="en-GB"/>
              </w:rPr>
              <w:t>92,13</w:t>
            </w:r>
          </w:p>
        </w:tc>
        <w:tc>
          <w:tcPr>
            <w:tcW w:w="1238" w:type="pct"/>
            <w:tcBorders>
              <w:top w:val="nil"/>
              <w:left w:val="nil"/>
              <w:bottom w:val="nil"/>
              <w:right w:val="nil"/>
            </w:tcBorders>
          </w:tcPr>
          <w:p w14:paraId="46A01626" w14:textId="77777777" w:rsidR="00E96E12" w:rsidRDefault="00E97765">
            <w:pPr>
              <w:widowControl w:val="0"/>
              <w:tabs>
                <w:tab w:val="left" w:pos="567"/>
              </w:tabs>
              <w:jc w:val="center"/>
              <w:rPr>
                <w:szCs w:val="22"/>
                <w:lang w:val="en-GB"/>
              </w:rPr>
            </w:pPr>
            <w:r>
              <w:rPr>
                <w:szCs w:val="22"/>
                <w:lang w:val="en-GB"/>
              </w:rPr>
              <w:t>90,87</w:t>
            </w:r>
          </w:p>
        </w:tc>
        <w:tc>
          <w:tcPr>
            <w:tcW w:w="1089" w:type="pct"/>
            <w:tcBorders>
              <w:top w:val="nil"/>
              <w:left w:val="nil"/>
              <w:bottom w:val="nil"/>
              <w:right w:val="nil"/>
            </w:tcBorders>
          </w:tcPr>
          <w:p w14:paraId="067E86F3" w14:textId="77777777" w:rsidR="00E96E12" w:rsidRDefault="00E97765">
            <w:pPr>
              <w:widowControl w:val="0"/>
              <w:tabs>
                <w:tab w:val="left" w:pos="567"/>
              </w:tabs>
              <w:jc w:val="center"/>
              <w:rPr>
                <w:szCs w:val="22"/>
                <w:lang w:val="en-GB"/>
              </w:rPr>
            </w:pPr>
            <w:r>
              <w:rPr>
                <w:szCs w:val="22"/>
                <w:lang w:val="en-GB"/>
              </w:rPr>
              <w:t>89,12</w:t>
            </w:r>
          </w:p>
        </w:tc>
      </w:tr>
      <w:tr w:rsidR="00E96E12" w14:paraId="4DD283CC" w14:textId="77777777">
        <w:tc>
          <w:tcPr>
            <w:tcW w:w="1500" w:type="pct"/>
            <w:tcBorders>
              <w:top w:val="nil"/>
              <w:left w:val="nil"/>
              <w:bottom w:val="nil"/>
              <w:right w:val="nil"/>
            </w:tcBorders>
          </w:tcPr>
          <w:p w14:paraId="44018C5C" w14:textId="77777777" w:rsidR="00E96E12" w:rsidRDefault="00E97765">
            <w:pPr>
              <w:widowControl w:val="0"/>
              <w:tabs>
                <w:tab w:val="left" w:pos="567"/>
              </w:tabs>
              <w:rPr>
                <w:szCs w:val="22"/>
                <w:lang w:val="en-GB"/>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pradiniu</w:t>
            </w:r>
            <w:r>
              <w:rPr>
                <w:szCs w:val="22"/>
                <w:vertAlign w:val="superscript"/>
                <w:lang w:val="en-US"/>
              </w:rPr>
              <w:t>a</w:t>
            </w:r>
            <w:proofErr w:type="spellEnd"/>
          </w:p>
        </w:tc>
        <w:tc>
          <w:tcPr>
            <w:tcW w:w="1173" w:type="pct"/>
            <w:tcBorders>
              <w:top w:val="nil"/>
              <w:left w:val="nil"/>
              <w:bottom w:val="nil"/>
              <w:right w:val="nil"/>
            </w:tcBorders>
          </w:tcPr>
          <w:p w14:paraId="0A728C87" w14:textId="77777777" w:rsidR="00E96E12" w:rsidRDefault="00E97765">
            <w:pPr>
              <w:widowControl w:val="0"/>
              <w:tabs>
                <w:tab w:val="left" w:pos="567"/>
              </w:tabs>
              <w:jc w:val="center"/>
              <w:rPr>
                <w:szCs w:val="22"/>
                <w:lang w:val="en-GB"/>
              </w:rPr>
            </w:pPr>
            <w:r>
              <w:rPr>
                <w:szCs w:val="22"/>
                <w:lang w:val="en-GB"/>
              </w:rPr>
              <w:t>-3,55</w:t>
            </w:r>
          </w:p>
        </w:tc>
        <w:tc>
          <w:tcPr>
            <w:tcW w:w="1238" w:type="pct"/>
            <w:tcBorders>
              <w:top w:val="nil"/>
              <w:left w:val="nil"/>
              <w:bottom w:val="nil"/>
              <w:right w:val="nil"/>
            </w:tcBorders>
          </w:tcPr>
          <w:p w14:paraId="6785C81E" w14:textId="77777777" w:rsidR="00E96E12" w:rsidRDefault="00E97765">
            <w:pPr>
              <w:widowControl w:val="0"/>
              <w:tabs>
                <w:tab w:val="left" w:pos="567"/>
              </w:tabs>
              <w:jc w:val="center"/>
              <w:rPr>
                <w:szCs w:val="22"/>
                <w:lang w:val="en-GB"/>
              </w:rPr>
            </w:pPr>
            <w:r>
              <w:rPr>
                <w:szCs w:val="22"/>
                <w:lang w:val="en-GB"/>
              </w:rPr>
              <w:t>-2,22</w:t>
            </w:r>
          </w:p>
        </w:tc>
        <w:tc>
          <w:tcPr>
            <w:tcW w:w="1089" w:type="pct"/>
            <w:tcBorders>
              <w:top w:val="nil"/>
              <w:left w:val="nil"/>
              <w:bottom w:val="nil"/>
              <w:right w:val="nil"/>
            </w:tcBorders>
          </w:tcPr>
          <w:p w14:paraId="125B2621" w14:textId="77777777" w:rsidR="00E96E12" w:rsidRDefault="00E97765">
            <w:pPr>
              <w:widowControl w:val="0"/>
              <w:tabs>
                <w:tab w:val="left" w:pos="567"/>
              </w:tabs>
              <w:jc w:val="center"/>
              <w:rPr>
                <w:szCs w:val="22"/>
                <w:lang w:val="en-GB"/>
              </w:rPr>
            </w:pPr>
            <w:r>
              <w:rPr>
                <w:szCs w:val="22"/>
                <w:lang w:val="en-GB"/>
              </w:rPr>
              <w:t>-1,56</w:t>
            </w:r>
          </w:p>
        </w:tc>
      </w:tr>
      <w:tr w:rsidR="00E96E12" w14:paraId="4EF337C7" w14:textId="77777777">
        <w:tc>
          <w:tcPr>
            <w:tcW w:w="1500" w:type="pct"/>
            <w:tcBorders>
              <w:top w:val="nil"/>
              <w:left w:val="nil"/>
              <w:bottom w:val="nil"/>
              <w:right w:val="nil"/>
            </w:tcBorders>
          </w:tcPr>
          <w:p w14:paraId="201711B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Vidutinis pokyčio, palyginus su pradiniu, skirtumas vartojant derinį ir atskirus vaistinius preparatus</w:t>
            </w:r>
          </w:p>
        </w:tc>
        <w:tc>
          <w:tcPr>
            <w:tcW w:w="1173" w:type="pct"/>
            <w:tcBorders>
              <w:top w:val="nil"/>
              <w:left w:val="nil"/>
              <w:bottom w:val="nil"/>
              <w:right w:val="nil"/>
            </w:tcBorders>
            <w:vAlign w:val="center"/>
          </w:tcPr>
          <w:p w14:paraId="300F3C79" w14:textId="77777777" w:rsidR="00E96E12" w:rsidRDefault="00E96E12">
            <w:pPr>
              <w:widowControl w:val="0"/>
              <w:tabs>
                <w:tab w:val="left" w:pos="567"/>
              </w:tabs>
              <w:jc w:val="center"/>
              <w:rPr>
                <w:szCs w:val="22"/>
                <w:lang w:val="pt-PT"/>
              </w:rPr>
            </w:pPr>
          </w:p>
        </w:tc>
        <w:tc>
          <w:tcPr>
            <w:tcW w:w="1238" w:type="pct"/>
            <w:tcBorders>
              <w:top w:val="nil"/>
              <w:left w:val="nil"/>
              <w:bottom w:val="nil"/>
              <w:right w:val="nil"/>
            </w:tcBorders>
            <w:vAlign w:val="center"/>
          </w:tcPr>
          <w:p w14:paraId="538FC120" w14:textId="77777777" w:rsidR="00E96E12" w:rsidRDefault="00E97765">
            <w:pPr>
              <w:widowControl w:val="0"/>
              <w:tabs>
                <w:tab w:val="left" w:pos="567"/>
              </w:tabs>
              <w:jc w:val="center"/>
              <w:rPr>
                <w:szCs w:val="22"/>
                <w:lang w:val="en-GB"/>
              </w:rPr>
            </w:pPr>
            <w:r>
              <w:rPr>
                <w:szCs w:val="22"/>
                <w:lang w:val="en-GB"/>
              </w:rPr>
              <w:t>-1,33</w:t>
            </w:r>
            <w:r>
              <w:rPr>
                <w:szCs w:val="22"/>
                <w:vertAlign w:val="superscript"/>
                <w:lang w:val="en-GB"/>
              </w:rPr>
              <w:t>*</w:t>
            </w:r>
          </w:p>
        </w:tc>
        <w:tc>
          <w:tcPr>
            <w:tcW w:w="1089" w:type="pct"/>
            <w:tcBorders>
              <w:top w:val="nil"/>
              <w:left w:val="nil"/>
              <w:bottom w:val="nil"/>
              <w:right w:val="nil"/>
            </w:tcBorders>
            <w:vAlign w:val="center"/>
          </w:tcPr>
          <w:p w14:paraId="4CF0DA4A" w14:textId="77777777" w:rsidR="00E96E12" w:rsidRDefault="00E97765">
            <w:pPr>
              <w:widowControl w:val="0"/>
              <w:tabs>
                <w:tab w:val="left" w:pos="567"/>
              </w:tabs>
              <w:jc w:val="center"/>
              <w:rPr>
                <w:szCs w:val="22"/>
                <w:lang w:val="en-GB"/>
              </w:rPr>
            </w:pPr>
            <w:r>
              <w:rPr>
                <w:szCs w:val="22"/>
                <w:lang w:val="en-GB"/>
              </w:rPr>
              <w:t>-2,00</w:t>
            </w:r>
            <w:r>
              <w:rPr>
                <w:szCs w:val="22"/>
                <w:vertAlign w:val="superscript"/>
                <w:lang w:val="en-GB"/>
              </w:rPr>
              <w:t>*</w:t>
            </w:r>
          </w:p>
        </w:tc>
      </w:tr>
      <w:tr w:rsidR="00E96E12" w14:paraId="0CF066FD" w14:textId="77777777">
        <w:tc>
          <w:tcPr>
            <w:tcW w:w="1500" w:type="pct"/>
            <w:tcBorders>
              <w:top w:val="nil"/>
              <w:left w:val="nil"/>
              <w:bottom w:val="single" w:sz="4" w:space="0" w:color="auto"/>
              <w:right w:val="nil"/>
            </w:tcBorders>
          </w:tcPr>
          <w:p w14:paraId="63AFA089" w14:textId="77777777" w:rsidR="00E96E12" w:rsidRDefault="00E97765">
            <w:pPr>
              <w:widowControl w:val="0"/>
              <w:tabs>
                <w:tab w:val="left" w:pos="567"/>
              </w:tabs>
              <w:rPr>
                <w:szCs w:val="22"/>
                <w:lang w:val="en-GB"/>
              </w:rPr>
            </w:pPr>
            <w:r>
              <w:rPr>
                <w:szCs w:val="22"/>
                <w:lang w:val="en-US"/>
              </w:rPr>
              <w:t>(95 % PI)</w:t>
            </w:r>
          </w:p>
        </w:tc>
        <w:tc>
          <w:tcPr>
            <w:tcW w:w="1173" w:type="pct"/>
            <w:tcBorders>
              <w:top w:val="nil"/>
              <w:left w:val="nil"/>
              <w:bottom w:val="single" w:sz="4" w:space="0" w:color="auto"/>
              <w:right w:val="nil"/>
            </w:tcBorders>
          </w:tcPr>
          <w:p w14:paraId="63AEA067" w14:textId="77777777" w:rsidR="00E96E12" w:rsidRDefault="00E96E12">
            <w:pPr>
              <w:widowControl w:val="0"/>
              <w:tabs>
                <w:tab w:val="left" w:pos="567"/>
              </w:tabs>
              <w:jc w:val="center"/>
              <w:rPr>
                <w:szCs w:val="22"/>
                <w:lang w:val="en-GB"/>
              </w:rPr>
            </w:pPr>
          </w:p>
        </w:tc>
        <w:tc>
          <w:tcPr>
            <w:tcW w:w="1238" w:type="pct"/>
            <w:tcBorders>
              <w:top w:val="nil"/>
              <w:left w:val="nil"/>
              <w:bottom w:val="single" w:sz="4" w:space="0" w:color="auto"/>
              <w:right w:val="nil"/>
            </w:tcBorders>
          </w:tcPr>
          <w:p w14:paraId="3D4C7A31" w14:textId="77777777" w:rsidR="00E96E12" w:rsidRDefault="00E97765">
            <w:pPr>
              <w:widowControl w:val="0"/>
              <w:tabs>
                <w:tab w:val="left" w:pos="567"/>
              </w:tabs>
              <w:jc w:val="center"/>
              <w:rPr>
                <w:szCs w:val="22"/>
                <w:lang w:val="en-GB"/>
              </w:rPr>
            </w:pPr>
            <w:r>
              <w:rPr>
                <w:szCs w:val="22"/>
                <w:lang w:val="en-GB"/>
              </w:rPr>
              <w:t>(-2,12, -0,55)</w:t>
            </w:r>
          </w:p>
        </w:tc>
        <w:tc>
          <w:tcPr>
            <w:tcW w:w="1089" w:type="pct"/>
            <w:tcBorders>
              <w:top w:val="nil"/>
              <w:left w:val="nil"/>
              <w:bottom w:val="single" w:sz="4" w:space="0" w:color="auto"/>
              <w:right w:val="nil"/>
            </w:tcBorders>
          </w:tcPr>
          <w:p w14:paraId="39F87D6C" w14:textId="77777777" w:rsidR="00E96E12" w:rsidRDefault="00E97765">
            <w:pPr>
              <w:widowControl w:val="0"/>
              <w:tabs>
                <w:tab w:val="left" w:pos="567"/>
              </w:tabs>
              <w:jc w:val="center"/>
              <w:rPr>
                <w:szCs w:val="22"/>
                <w:lang w:val="en-GB"/>
              </w:rPr>
            </w:pPr>
            <w:r>
              <w:rPr>
                <w:szCs w:val="22"/>
                <w:lang w:val="en-GB"/>
              </w:rPr>
              <w:t>(-2,79, -1,20)</w:t>
            </w:r>
          </w:p>
        </w:tc>
      </w:tr>
    </w:tbl>
    <w:p w14:paraId="7DABA7B6"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xml:space="preserve">N – pacientų skaičius, PI – </w:t>
      </w:r>
      <w:proofErr w:type="spellStart"/>
      <w:r>
        <w:rPr>
          <w:rFonts w:eastAsia="TimesNewRoman"/>
          <w:sz w:val="18"/>
          <w:szCs w:val="18"/>
          <w:lang w:eastAsia="lt-LT"/>
        </w:rPr>
        <w:t>pasikliautinasis</w:t>
      </w:r>
      <w:proofErr w:type="spellEnd"/>
      <w:r>
        <w:rPr>
          <w:rFonts w:eastAsia="TimesNewRoman"/>
          <w:sz w:val="18"/>
          <w:szCs w:val="18"/>
          <w:lang w:eastAsia="lt-LT"/>
        </w:rPr>
        <w:t xml:space="preserve"> intervalas</w:t>
      </w:r>
    </w:p>
    <w:p w14:paraId="3D4DECF9"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lastRenderedPageBreak/>
        <w:t>a</w:t>
      </w:r>
      <w:r>
        <w:rPr>
          <w:rFonts w:eastAsia="TimesNewRoman"/>
          <w:sz w:val="18"/>
          <w:szCs w:val="18"/>
          <w:lang w:eastAsia="lt-LT"/>
        </w:rPr>
        <w:t xml:space="preserve"> Koreguoti mažiausių kvadratų (LS) vidurkiai ir po 28 savaičių užfiksuotų pokyčių, palyginus su pradiniais duomenimis, skirtumai tarp gydymo grupių sumodeliuoti naudojant mišrų modelį su kartojamomis priemonėmis (angl. </w:t>
      </w:r>
      <w:proofErr w:type="spellStart"/>
      <w:r>
        <w:rPr>
          <w:rFonts w:eastAsia="TimesNewRoman,Italic"/>
          <w:i/>
          <w:iCs/>
          <w:sz w:val="18"/>
          <w:szCs w:val="18"/>
          <w:lang w:eastAsia="lt-LT"/>
        </w:rPr>
        <w:t>mixed</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model</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with</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repeated</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measures</w:t>
      </w:r>
      <w:proofErr w:type="spellEnd"/>
      <w:r>
        <w:rPr>
          <w:rFonts w:eastAsia="TimesNewRoman"/>
          <w:sz w:val="18"/>
          <w:szCs w:val="18"/>
          <w:lang w:eastAsia="lt-LT"/>
        </w:rPr>
        <w:t>, MMRM), įskaitant gydymą, regioną, pradinę HbA1c koncentracijos kategoriją (&lt; 9,0 % ar ≥ 9,0 %), savaitę, gydymą pagal savaites kaip fiksuotus faktorius, ir pradinį rodiklį kaip kintamąjį.</w:t>
      </w:r>
    </w:p>
    <w:p w14:paraId="7188F009"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*p &lt; 0,001, **p &lt; 0,01</w:t>
      </w:r>
    </w:p>
    <w:p w14:paraId="2D6D7278"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Visos p reikšmės yra koreguotos atsižvelgiant į daugelio faktorių buvimą.</w:t>
      </w:r>
    </w:p>
    <w:p w14:paraId="5ACD4055"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Analizei neimti atvejai po gelbstimojo gydymo ir atvejai, kai tiriamojo vaistinio preparato vartojimas nutrauktas anksčiau negu numatyta.</w:t>
      </w:r>
    </w:p>
    <w:p w14:paraId="0F29D573" w14:textId="77777777" w:rsidR="00E96E12" w:rsidRDefault="00E96E12">
      <w:pPr>
        <w:autoSpaceDE w:val="0"/>
        <w:autoSpaceDN w:val="0"/>
        <w:adjustRightInd w:val="0"/>
        <w:rPr>
          <w:rFonts w:eastAsia="TimesNewRoman"/>
          <w:szCs w:val="22"/>
          <w:lang w:eastAsia="lt-LT"/>
        </w:rPr>
      </w:pPr>
    </w:p>
    <w:p w14:paraId="52EE44B7"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Gliukozės koncentracija plazmoje nevalgius</w:t>
      </w:r>
    </w:p>
    <w:p w14:paraId="19CEF334"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Vartojant 10 mg dapagliflozino </w:t>
      </w:r>
      <w:proofErr w:type="spellStart"/>
      <w:r>
        <w:rPr>
          <w:rFonts w:eastAsia="TimesNewRoman"/>
          <w:szCs w:val="22"/>
          <w:lang w:eastAsia="lt-LT"/>
        </w:rPr>
        <w:t>monoterapijai</w:t>
      </w:r>
      <w:proofErr w:type="spellEnd"/>
      <w:r>
        <w:rPr>
          <w:rFonts w:eastAsia="TimesNewRoman"/>
          <w:szCs w:val="22"/>
          <w:lang w:eastAsia="lt-LT"/>
        </w:rPr>
        <w:t xml:space="preserve"> arba papildomam kombinuotam gydymui su </w:t>
      </w:r>
      <w:proofErr w:type="spellStart"/>
      <w:r>
        <w:rPr>
          <w:rFonts w:eastAsia="TimesNewRoman"/>
          <w:szCs w:val="22"/>
          <w:lang w:eastAsia="lt-LT"/>
        </w:rPr>
        <w:t>metforminu</w:t>
      </w:r>
      <w:proofErr w:type="spellEnd"/>
      <w:r>
        <w:rPr>
          <w:rFonts w:eastAsia="TimesNewRoman"/>
          <w:szCs w:val="22"/>
          <w:lang w:eastAsia="lt-LT"/>
        </w:rPr>
        <w:t xml:space="preserve">, </w:t>
      </w:r>
      <w:proofErr w:type="spellStart"/>
      <w:r>
        <w:rPr>
          <w:rFonts w:eastAsia="TimesNewRoman"/>
          <w:szCs w:val="22"/>
          <w:lang w:eastAsia="lt-LT"/>
        </w:rPr>
        <w:t>glimepiridu</w:t>
      </w:r>
      <w:proofErr w:type="spellEnd"/>
      <w:r>
        <w:rPr>
          <w:rFonts w:eastAsia="TimesNewRoman"/>
          <w:szCs w:val="22"/>
          <w:lang w:eastAsia="lt-LT"/>
        </w:rPr>
        <w:t xml:space="preserve">, </w:t>
      </w:r>
      <w:proofErr w:type="spellStart"/>
      <w:r>
        <w:rPr>
          <w:rFonts w:eastAsia="TimesNewRoman"/>
          <w:szCs w:val="22"/>
          <w:lang w:eastAsia="lt-LT"/>
        </w:rPr>
        <w:t>metforminu</w:t>
      </w:r>
      <w:proofErr w:type="spellEnd"/>
      <w:r>
        <w:rPr>
          <w:rFonts w:eastAsia="TimesNewRoman"/>
          <w:szCs w:val="22"/>
          <w:lang w:eastAsia="lt-LT"/>
        </w:rPr>
        <w:t xml:space="preserve"> ir </w:t>
      </w:r>
      <w:proofErr w:type="spellStart"/>
      <w:r>
        <w:rPr>
          <w:rFonts w:eastAsia="TimesNewRoman"/>
          <w:szCs w:val="22"/>
          <w:lang w:eastAsia="lt-LT"/>
        </w:rPr>
        <w:t>sulfonilurėjos</w:t>
      </w:r>
      <w:proofErr w:type="spellEnd"/>
      <w:r>
        <w:rPr>
          <w:rFonts w:eastAsia="TimesNewRoman"/>
          <w:szCs w:val="22"/>
          <w:lang w:eastAsia="lt-LT"/>
        </w:rPr>
        <w:t xml:space="preserve"> dariniu, </w:t>
      </w:r>
      <w:proofErr w:type="spellStart"/>
      <w:r>
        <w:rPr>
          <w:rFonts w:eastAsia="TimesNewRoman"/>
          <w:szCs w:val="22"/>
          <w:lang w:eastAsia="lt-LT"/>
        </w:rPr>
        <w:t>sitagliptinu</w:t>
      </w:r>
      <w:proofErr w:type="spellEnd"/>
      <w:r>
        <w:rPr>
          <w:rFonts w:eastAsia="TimesNewRoman"/>
          <w:szCs w:val="22"/>
          <w:lang w:eastAsia="lt-LT"/>
        </w:rPr>
        <w:t xml:space="preserve"> (kartu dar vartojant </w:t>
      </w:r>
      <w:proofErr w:type="spellStart"/>
      <w:r>
        <w:rPr>
          <w:rFonts w:eastAsia="TimesNewRoman"/>
          <w:szCs w:val="22"/>
          <w:lang w:eastAsia="lt-LT"/>
        </w:rPr>
        <w:t>metformino</w:t>
      </w:r>
      <w:proofErr w:type="spellEnd"/>
      <w:r>
        <w:rPr>
          <w:rFonts w:eastAsia="TimesNewRoman"/>
          <w:szCs w:val="22"/>
          <w:lang w:eastAsia="lt-LT"/>
        </w:rPr>
        <w:t xml:space="preserve"> arba jo nevartojant) ar insulinu, statistikai reikšmingai, palyginus su placebu, sumažėjo gliukozės koncentracija plazmoje nevalgius (jos pokytis buvo atitinkamai nuo minus 1,90 iki minus 1,20 </w:t>
      </w:r>
      <w:proofErr w:type="spellStart"/>
      <w:r>
        <w:rPr>
          <w:rFonts w:eastAsia="TimesNewRoman"/>
          <w:szCs w:val="22"/>
          <w:lang w:eastAsia="lt-LT"/>
        </w:rPr>
        <w:t>mmol</w:t>
      </w:r>
      <w:proofErr w:type="spellEnd"/>
      <w:r>
        <w:rPr>
          <w:rFonts w:eastAsia="TimesNewRoman"/>
          <w:szCs w:val="22"/>
          <w:lang w:eastAsia="lt-LT"/>
        </w:rPr>
        <w:t xml:space="preserve">/l, </w:t>
      </w:r>
      <w:proofErr w:type="spellStart"/>
      <w:r>
        <w:rPr>
          <w:rFonts w:eastAsia="TimesNewRoman"/>
          <w:szCs w:val="22"/>
          <w:lang w:eastAsia="lt-LT"/>
        </w:rPr>
        <w:t>t.y</w:t>
      </w:r>
      <w:proofErr w:type="spellEnd"/>
      <w:r>
        <w:rPr>
          <w:rFonts w:eastAsia="TimesNewRoman"/>
          <w:szCs w:val="22"/>
          <w:lang w:eastAsia="lt-LT"/>
        </w:rPr>
        <w:t>. nuo minus 34,2 iki minus 21,7 mg/dl, ir nuo minus 0,33 iki plius 0,21 </w:t>
      </w:r>
      <w:proofErr w:type="spellStart"/>
      <w:r>
        <w:rPr>
          <w:rFonts w:eastAsia="TimesNewRoman"/>
          <w:szCs w:val="22"/>
          <w:lang w:eastAsia="lt-LT"/>
        </w:rPr>
        <w:t>mmol</w:t>
      </w:r>
      <w:proofErr w:type="spellEnd"/>
      <w:r>
        <w:rPr>
          <w:rFonts w:eastAsia="TimesNewRoman"/>
          <w:szCs w:val="22"/>
          <w:lang w:eastAsia="lt-LT"/>
        </w:rPr>
        <w:t xml:space="preserve">/l, </w:t>
      </w:r>
      <w:proofErr w:type="spellStart"/>
      <w:r>
        <w:rPr>
          <w:rFonts w:eastAsia="TimesNewRoman"/>
          <w:szCs w:val="22"/>
          <w:lang w:eastAsia="lt-LT"/>
        </w:rPr>
        <w:t>t.y</w:t>
      </w:r>
      <w:proofErr w:type="spellEnd"/>
      <w:r>
        <w:rPr>
          <w:rFonts w:eastAsia="TimesNewRoman"/>
          <w:szCs w:val="22"/>
          <w:lang w:eastAsia="lt-LT"/>
        </w:rPr>
        <w:t>. nuo minus 6,0 iki plius 3,8 mg/dl). Toks poveikis pastebėtas po pirmos gydymo savaitės ir išliko 104 savaites tęstų tyrimų metu.</w:t>
      </w:r>
    </w:p>
    <w:p w14:paraId="3354D9BF" w14:textId="77777777" w:rsidR="00E96E12" w:rsidRDefault="00E96E12">
      <w:pPr>
        <w:autoSpaceDE w:val="0"/>
        <w:autoSpaceDN w:val="0"/>
        <w:adjustRightInd w:val="0"/>
        <w:rPr>
          <w:rFonts w:eastAsia="TimesNewRoman"/>
          <w:szCs w:val="22"/>
          <w:lang w:eastAsia="lt-LT"/>
        </w:rPr>
      </w:pPr>
    </w:p>
    <w:p w14:paraId="593255A4"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Sudėtinis gydymas vartojant 10 mg dapagliflozino ir pailginto atpalaidavimo </w:t>
      </w:r>
      <w:proofErr w:type="spellStart"/>
      <w:r>
        <w:rPr>
          <w:rFonts w:eastAsia="TimesNewRoman"/>
          <w:szCs w:val="22"/>
          <w:lang w:eastAsia="lt-LT"/>
        </w:rPr>
        <w:t>eksenatidą</w:t>
      </w:r>
      <w:proofErr w:type="spellEnd"/>
      <w:r>
        <w:rPr>
          <w:rFonts w:eastAsia="TimesNewRoman"/>
          <w:szCs w:val="22"/>
          <w:lang w:eastAsia="lt-LT"/>
        </w:rPr>
        <w:t xml:space="preserve"> sukėlė reikšmingai didesnį gliukozės koncentracijos plazmoje nevalgius sumažėjimą po 28 savaičių, </w:t>
      </w:r>
      <w:proofErr w:type="spellStart"/>
      <w:r>
        <w:rPr>
          <w:rFonts w:eastAsia="TimesNewRoman"/>
          <w:szCs w:val="22"/>
          <w:lang w:eastAsia="lt-LT"/>
        </w:rPr>
        <w:t>t.y</w:t>
      </w:r>
      <w:proofErr w:type="spellEnd"/>
      <w:r>
        <w:rPr>
          <w:rFonts w:eastAsia="TimesNewRoman"/>
          <w:szCs w:val="22"/>
          <w:lang w:eastAsia="lt-LT"/>
        </w:rPr>
        <w:t>. -3,66 </w:t>
      </w:r>
      <w:proofErr w:type="spellStart"/>
      <w:r>
        <w:rPr>
          <w:rFonts w:eastAsia="TimesNewRoman"/>
          <w:szCs w:val="22"/>
          <w:lang w:eastAsia="lt-LT"/>
        </w:rPr>
        <w:t>mmol</w:t>
      </w:r>
      <w:proofErr w:type="spellEnd"/>
      <w:r>
        <w:rPr>
          <w:rFonts w:eastAsia="TimesNewRoman"/>
          <w:szCs w:val="22"/>
          <w:lang w:eastAsia="lt-LT"/>
        </w:rPr>
        <w:t>/l (-65,8 mg/dl) palyginus su -2,73 </w:t>
      </w:r>
      <w:proofErr w:type="spellStart"/>
      <w:r>
        <w:rPr>
          <w:rFonts w:eastAsia="TimesNewRoman"/>
          <w:szCs w:val="22"/>
          <w:lang w:eastAsia="lt-LT"/>
        </w:rPr>
        <w:t>mmol</w:t>
      </w:r>
      <w:proofErr w:type="spellEnd"/>
      <w:r>
        <w:rPr>
          <w:rFonts w:eastAsia="TimesNewRoman"/>
          <w:szCs w:val="22"/>
          <w:lang w:eastAsia="lt-LT"/>
        </w:rPr>
        <w:t>/l (-49,2 mg/dl) vartojus vien dapaglifloziną (p &lt; 0,001) ir -2.54 </w:t>
      </w:r>
      <w:proofErr w:type="spellStart"/>
      <w:r>
        <w:rPr>
          <w:rFonts w:eastAsia="TimesNewRoman"/>
          <w:szCs w:val="22"/>
          <w:lang w:eastAsia="lt-LT"/>
        </w:rPr>
        <w:t>mmol</w:t>
      </w:r>
      <w:proofErr w:type="spellEnd"/>
      <w:r>
        <w:rPr>
          <w:rFonts w:eastAsia="TimesNewRoman"/>
          <w:szCs w:val="22"/>
          <w:lang w:eastAsia="lt-LT"/>
        </w:rPr>
        <w:t xml:space="preserve">/l (-45,8 mg/dl) vartojus vien </w:t>
      </w:r>
      <w:proofErr w:type="spellStart"/>
      <w:r>
        <w:rPr>
          <w:rFonts w:eastAsia="TimesNewRoman"/>
          <w:szCs w:val="22"/>
          <w:lang w:eastAsia="lt-LT"/>
        </w:rPr>
        <w:t>eksenatidą</w:t>
      </w:r>
      <w:proofErr w:type="spellEnd"/>
      <w:r>
        <w:rPr>
          <w:rFonts w:eastAsia="TimesNewRoman"/>
          <w:szCs w:val="22"/>
          <w:lang w:eastAsia="lt-LT"/>
        </w:rPr>
        <w:t xml:space="preserve"> (p &lt; 0,001).</w:t>
      </w:r>
    </w:p>
    <w:p w14:paraId="7B0C6BF0" w14:textId="77777777" w:rsidR="00E96E12" w:rsidRDefault="00E96E12">
      <w:pPr>
        <w:autoSpaceDE w:val="0"/>
        <w:autoSpaceDN w:val="0"/>
        <w:adjustRightInd w:val="0"/>
        <w:rPr>
          <w:rFonts w:eastAsia="TimesNewRoman"/>
          <w:szCs w:val="22"/>
          <w:lang w:eastAsia="lt-LT"/>
        </w:rPr>
      </w:pPr>
    </w:p>
    <w:p w14:paraId="2695BD9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Specialaus tyrimo metu diabetu sirgusių dapagliflozino grupės pacientų, kurių </w:t>
      </w:r>
      <w:proofErr w:type="spellStart"/>
      <w:r>
        <w:rPr>
          <w:rFonts w:eastAsia="TimesNewRoman"/>
          <w:szCs w:val="22"/>
          <w:lang w:eastAsia="lt-LT"/>
        </w:rPr>
        <w:t>aGFG</w:t>
      </w:r>
      <w:proofErr w:type="spellEnd"/>
      <w:r>
        <w:rPr>
          <w:rFonts w:eastAsia="TimesNewRoman"/>
          <w:szCs w:val="22"/>
          <w:lang w:eastAsia="lt-LT"/>
        </w:rPr>
        <w:t xml:space="preserve"> buvo nuo ≥ 45 iki &lt; 60 ml/min./1,73 m</w:t>
      </w:r>
      <w:r>
        <w:rPr>
          <w:rFonts w:eastAsia="TimesNewRoman"/>
          <w:sz w:val="14"/>
          <w:szCs w:val="14"/>
          <w:vertAlign w:val="superscript"/>
          <w:lang w:eastAsia="lt-LT"/>
        </w:rPr>
        <w:t>2</w:t>
      </w:r>
      <w:r>
        <w:rPr>
          <w:rFonts w:eastAsia="TimesNewRoman"/>
          <w:szCs w:val="22"/>
          <w:lang w:eastAsia="lt-LT"/>
        </w:rPr>
        <w:t>, plazmoje gliukozės koncentracija nevalgius po 24 savaičių buvo sumažėjusi 1,19 </w:t>
      </w:r>
      <w:proofErr w:type="spellStart"/>
      <w:r>
        <w:rPr>
          <w:rFonts w:eastAsia="TimesNewRoman"/>
          <w:szCs w:val="22"/>
          <w:lang w:eastAsia="lt-LT"/>
        </w:rPr>
        <w:t>mmol</w:t>
      </w:r>
      <w:proofErr w:type="spellEnd"/>
      <w:r>
        <w:rPr>
          <w:rFonts w:eastAsia="TimesNewRoman"/>
          <w:szCs w:val="22"/>
          <w:lang w:eastAsia="lt-LT"/>
        </w:rPr>
        <w:t>/l (21,46 mg/dl), placebo – 0,27 </w:t>
      </w:r>
      <w:proofErr w:type="spellStart"/>
      <w:r>
        <w:rPr>
          <w:rFonts w:eastAsia="TimesNewRoman"/>
          <w:szCs w:val="22"/>
          <w:lang w:eastAsia="lt-LT"/>
        </w:rPr>
        <w:t>mmol</w:t>
      </w:r>
      <w:proofErr w:type="spellEnd"/>
      <w:r>
        <w:rPr>
          <w:rFonts w:eastAsia="TimesNewRoman"/>
          <w:szCs w:val="22"/>
          <w:lang w:eastAsia="lt-LT"/>
        </w:rPr>
        <w:t>/l (4,</w:t>
      </w:r>
      <w:r>
        <w:rPr>
          <w:rFonts w:eastAsia="TimesNewRoman"/>
        </w:rPr>
        <w:t>87mg</w:t>
      </w:r>
      <w:r>
        <w:rPr>
          <w:rFonts w:eastAsia="TimesNewRoman"/>
          <w:szCs w:val="22"/>
          <w:lang w:eastAsia="lt-LT"/>
        </w:rPr>
        <w:t>/dl) (p = 0,001).</w:t>
      </w:r>
    </w:p>
    <w:p w14:paraId="599716CE" w14:textId="77777777" w:rsidR="00E96E12" w:rsidRDefault="00E96E12">
      <w:pPr>
        <w:autoSpaceDE w:val="0"/>
        <w:autoSpaceDN w:val="0"/>
        <w:adjustRightInd w:val="0"/>
        <w:rPr>
          <w:rFonts w:eastAsia="TimesNewRoman"/>
          <w:szCs w:val="22"/>
          <w:lang w:eastAsia="lt-LT"/>
        </w:rPr>
      </w:pPr>
    </w:p>
    <w:p w14:paraId="1452CB95"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Gliukozės koncentracija plazmoje po valgio</w:t>
      </w:r>
    </w:p>
    <w:p w14:paraId="4758D87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10 mg dapagliflozino, vartoto papildomam kombinuotam gydymui su </w:t>
      </w:r>
      <w:proofErr w:type="spellStart"/>
      <w:r>
        <w:rPr>
          <w:rFonts w:eastAsia="TimesNewRoman"/>
          <w:szCs w:val="22"/>
          <w:lang w:eastAsia="lt-LT"/>
        </w:rPr>
        <w:t>glimepiridu</w:t>
      </w:r>
      <w:proofErr w:type="spellEnd"/>
      <w:r>
        <w:rPr>
          <w:rFonts w:eastAsia="TimesNewRoman"/>
          <w:szCs w:val="22"/>
          <w:lang w:eastAsia="lt-LT"/>
        </w:rPr>
        <w:t>, sukėlė statistiškai reikšmingą gliukozės koncentracijos 2 val. po valgio sumažėjimą 24-ją savaitę, išlikusį iki 48-os savaitės.</w:t>
      </w:r>
    </w:p>
    <w:p w14:paraId="36741B34" w14:textId="77777777" w:rsidR="00E96E12" w:rsidRDefault="00E96E12">
      <w:pPr>
        <w:autoSpaceDE w:val="0"/>
        <w:autoSpaceDN w:val="0"/>
        <w:adjustRightInd w:val="0"/>
        <w:rPr>
          <w:rFonts w:eastAsia="TimesNewRoman"/>
          <w:szCs w:val="22"/>
          <w:lang w:eastAsia="lt-LT"/>
        </w:rPr>
      </w:pPr>
    </w:p>
    <w:p w14:paraId="1F445D8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10 mg dapagliflozino, vartoto papildomam kombinuotam gydymui su </w:t>
      </w:r>
      <w:proofErr w:type="spellStart"/>
      <w:r>
        <w:rPr>
          <w:rFonts w:eastAsia="TimesNewRoman"/>
          <w:szCs w:val="22"/>
          <w:lang w:eastAsia="lt-LT"/>
        </w:rPr>
        <w:t>sitagliptinu</w:t>
      </w:r>
      <w:proofErr w:type="spellEnd"/>
      <w:r>
        <w:rPr>
          <w:rFonts w:eastAsia="TimesNewRoman"/>
          <w:szCs w:val="22"/>
          <w:lang w:eastAsia="lt-LT"/>
        </w:rPr>
        <w:t xml:space="preserve"> (kartu dar vartojant </w:t>
      </w:r>
      <w:proofErr w:type="spellStart"/>
      <w:r>
        <w:rPr>
          <w:rFonts w:eastAsia="TimesNewRoman"/>
          <w:szCs w:val="22"/>
          <w:lang w:eastAsia="lt-LT"/>
        </w:rPr>
        <w:t>metformino</w:t>
      </w:r>
      <w:proofErr w:type="spellEnd"/>
      <w:r>
        <w:rPr>
          <w:rFonts w:eastAsia="TimesNewRoman"/>
          <w:szCs w:val="22"/>
          <w:lang w:eastAsia="lt-LT"/>
        </w:rPr>
        <w:t xml:space="preserve"> arba jo nevartojant), sukėlė gliukozės koncentracijos 2 val. po valgio sumažėjimą 24-ją savaitę, išlikusį iki 48-os savaitės.</w:t>
      </w:r>
    </w:p>
    <w:p w14:paraId="1CC5C4E3" w14:textId="77777777" w:rsidR="00E96E12" w:rsidRDefault="00E96E12">
      <w:pPr>
        <w:autoSpaceDE w:val="0"/>
        <w:autoSpaceDN w:val="0"/>
        <w:adjustRightInd w:val="0"/>
        <w:rPr>
          <w:rFonts w:eastAsia="TimesNewRoman"/>
          <w:szCs w:val="22"/>
          <w:lang w:eastAsia="lt-LT"/>
        </w:rPr>
      </w:pPr>
    </w:p>
    <w:p w14:paraId="6A1F0A0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Sudėtinis gydymas vartojant 10 mg dapagliflozino ir pailginto atpalaidavimo </w:t>
      </w:r>
      <w:proofErr w:type="spellStart"/>
      <w:r>
        <w:rPr>
          <w:rFonts w:eastAsia="TimesNewRoman"/>
          <w:szCs w:val="22"/>
          <w:lang w:eastAsia="lt-LT"/>
        </w:rPr>
        <w:t>eksenatidą</w:t>
      </w:r>
      <w:proofErr w:type="spellEnd"/>
      <w:r>
        <w:rPr>
          <w:rFonts w:eastAsia="TimesNewRoman"/>
          <w:szCs w:val="22"/>
          <w:lang w:eastAsia="lt-LT"/>
        </w:rPr>
        <w:t xml:space="preserve"> sukėlė reikšmingai didesnį gliukozės koncentracijos plazmoje po valgio sumažėjimą praėjus 28 savaitėms negu bet kuris iš šių vaistinių preparatų atskirai.</w:t>
      </w:r>
    </w:p>
    <w:p w14:paraId="43D1DA3C" w14:textId="77777777" w:rsidR="00E96E12" w:rsidRDefault="00E96E12">
      <w:pPr>
        <w:autoSpaceDE w:val="0"/>
        <w:autoSpaceDN w:val="0"/>
        <w:adjustRightInd w:val="0"/>
        <w:rPr>
          <w:rFonts w:eastAsia="TimesNewRoman"/>
          <w:szCs w:val="22"/>
          <w:lang w:eastAsia="lt-LT"/>
        </w:rPr>
      </w:pPr>
    </w:p>
    <w:p w14:paraId="64AE0224"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Kūno svoris</w:t>
      </w:r>
    </w:p>
    <w:p w14:paraId="029510D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Po 24 savaičių nustatyta, kad 10 mg dapagliflozino, vartoto gydymui </w:t>
      </w:r>
      <w:proofErr w:type="spellStart"/>
      <w:r>
        <w:rPr>
          <w:rFonts w:eastAsia="TimesNewRoman"/>
          <w:szCs w:val="22"/>
          <w:lang w:eastAsia="lt-LT"/>
        </w:rPr>
        <w:t>metforminu</w:t>
      </w:r>
      <w:proofErr w:type="spellEnd"/>
      <w:r>
        <w:rPr>
          <w:rFonts w:eastAsia="TimesNewRoman"/>
          <w:szCs w:val="22"/>
          <w:lang w:eastAsia="lt-LT"/>
        </w:rPr>
        <w:t xml:space="preserve">, </w:t>
      </w:r>
      <w:proofErr w:type="spellStart"/>
      <w:r>
        <w:rPr>
          <w:rFonts w:eastAsia="TimesNewRoman"/>
          <w:szCs w:val="22"/>
          <w:lang w:eastAsia="lt-LT"/>
        </w:rPr>
        <w:t>glimepiridu</w:t>
      </w:r>
      <w:proofErr w:type="spellEnd"/>
      <w:r>
        <w:rPr>
          <w:rFonts w:eastAsia="TimesNewRoman"/>
          <w:szCs w:val="22"/>
          <w:lang w:eastAsia="lt-LT"/>
        </w:rPr>
        <w:t xml:space="preserve">, </w:t>
      </w:r>
      <w:proofErr w:type="spellStart"/>
      <w:r>
        <w:rPr>
          <w:rFonts w:eastAsia="TimesNewRoman"/>
          <w:szCs w:val="22"/>
          <w:lang w:eastAsia="lt-LT"/>
        </w:rPr>
        <w:t>metforminu</w:t>
      </w:r>
      <w:proofErr w:type="spellEnd"/>
      <w:r>
        <w:rPr>
          <w:rFonts w:eastAsia="TimesNewRoman"/>
          <w:szCs w:val="22"/>
          <w:lang w:eastAsia="lt-LT"/>
        </w:rPr>
        <w:t xml:space="preserve"> ir </w:t>
      </w:r>
      <w:proofErr w:type="spellStart"/>
      <w:r>
        <w:rPr>
          <w:rFonts w:eastAsia="TimesNewRoman"/>
          <w:szCs w:val="22"/>
          <w:lang w:eastAsia="lt-LT"/>
        </w:rPr>
        <w:t>sulfonilkarbamidu</w:t>
      </w:r>
      <w:proofErr w:type="spellEnd"/>
      <w:r>
        <w:rPr>
          <w:rFonts w:eastAsia="TimesNewRoman"/>
          <w:szCs w:val="22"/>
          <w:lang w:eastAsia="lt-LT"/>
        </w:rPr>
        <w:t xml:space="preserve">, </w:t>
      </w:r>
      <w:proofErr w:type="spellStart"/>
      <w:r>
        <w:rPr>
          <w:rFonts w:eastAsia="TimesNewRoman"/>
          <w:szCs w:val="22"/>
          <w:lang w:eastAsia="lt-LT"/>
        </w:rPr>
        <w:t>sitagliptinu</w:t>
      </w:r>
      <w:proofErr w:type="spellEnd"/>
      <w:r>
        <w:rPr>
          <w:rFonts w:eastAsia="TimesNewRoman"/>
          <w:szCs w:val="22"/>
          <w:lang w:eastAsia="lt-LT"/>
        </w:rPr>
        <w:t xml:space="preserve"> (kartu dar vartojant </w:t>
      </w:r>
      <w:proofErr w:type="spellStart"/>
      <w:r>
        <w:rPr>
          <w:rFonts w:eastAsia="TimesNewRoman"/>
          <w:szCs w:val="22"/>
          <w:lang w:eastAsia="lt-LT"/>
        </w:rPr>
        <w:t>metformino</w:t>
      </w:r>
      <w:proofErr w:type="spellEnd"/>
      <w:r>
        <w:rPr>
          <w:rFonts w:eastAsia="TimesNewRoman"/>
          <w:szCs w:val="22"/>
          <w:lang w:eastAsia="lt-LT"/>
        </w:rPr>
        <w:t xml:space="preserve"> arba jo nevartojant) ar insulinu papildyti, sukėlė statistiškai reikšmingą kūno svorio sumažėjimą (p &lt; 0,0001, 4 ir 5 lentelės). Šie poveikiai išliko ir ilgesnės trukmės tyrimų metu. Po 48 savaičių gydymui </w:t>
      </w:r>
      <w:proofErr w:type="spellStart"/>
      <w:r>
        <w:rPr>
          <w:rFonts w:eastAsia="TimesNewRoman"/>
          <w:szCs w:val="22"/>
          <w:lang w:eastAsia="lt-LT"/>
        </w:rPr>
        <w:t>sitagliptinu</w:t>
      </w:r>
      <w:proofErr w:type="spellEnd"/>
      <w:r>
        <w:rPr>
          <w:rFonts w:eastAsia="TimesNewRoman"/>
          <w:szCs w:val="22"/>
          <w:lang w:eastAsia="lt-LT"/>
        </w:rPr>
        <w:t xml:space="preserve"> papildyti (kartu dar vartojant </w:t>
      </w:r>
      <w:proofErr w:type="spellStart"/>
      <w:r>
        <w:rPr>
          <w:rFonts w:eastAsia="TimesNewRoman"/>
          <w:szCs w:val="22"/>
          <w:lang w:eastAsia="lt-LT"/>
        </w:rPr>
        <w:t>metformino</w:t>
      </w:r>
      <w:proofErr w:type="spellEnd"/>
      <w:r>
        <w:rPr>
          <w:rFonts w:eastAsia="TimesNewRoman"/>
          <w:szCs w:val="22"/>
          <w:lang w:eastAsia="lt-LT"/>
        </w:rPr>
        <w:t xml:space="preserve"> arba jo nevartojant) vartoto dapagliflozino grupės pacientų svoris buvo sumažėjęs 2,22 kg (palyginus su placebo grupe). 102-ją savaitę </w:t>
      </w:r>
      <w:proofErr w:type="spellStart"/>
      <w:r>
        <w:rPr>
          <w:rFonts w:eastAsia="TimesNewRoman"/>
          <w:szCs w:val="22"/>
          <w:lang w:eastAsia="lt-LT"/>
        </w:rPr>
        <w:t>metformino</w:t>
      </w:r>
      <w:proofErr w:type="spellEnd"/>
      <w:r>
        <w:rPr>
          <w:rFonts w:eastAsia="TimesNewRoman"/>
          <w:szCs w:val="22"/>
          <w:lang w:eastAsia="lt-LT"/>
        </w:rPr>
        <w:t xml:space="preserve"> poveikiui papildyti vartoto dapagliflozino grupės pacientų svoris buvo sumažėjęs 2,14 kg, o vartoto papildyti insulino poveikiui – 2,88 kg (palyginus su placebo grupe).</w:t>
      </w:r>
    </w:p>
    <w:p w14:paraId="2BB317CA" w14:textId="77777777" w:rsidR="00E96E12" w:rsidRDefault="00E96E12">
      <w:pPr>
        <w:autoSpaceDE w:val="0"/>
        <w:autoSpaceDN w:val="0"/>
        <w:adjustRightInd w:val="0"/>
        <w:rPr>
          <w:rFonts w:eastAsia="TimesNewRoman"/>
          <w:szCs w:val="22"/>
          <w:lang w:eastAsia="lt-LT"/>
        </w:rPr>
      </w:pPr>
    </w:p>
    <w:p w14:paraId="10A46F8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Aktyviai kontroliuojamo, ne prastesnio poveikio, gydymui </w:t>
      </w:r>
      <w:proofErr w:type="spellStart"/>
      <w:r>
        <w:rPr>
          <w:rFonts w:eastAsia="TimesNewRoman"/>
          <w:szCs w:val="22"/>
          <w:lang w:eastAsia="lt-LT"/>
        </w:rPr>
        <w:t>metforminu</w:t>
      </w:r>
      <w:proofErr w:type="spellEnd"/>
      <w:r>
        <w:rPr>
          <w:rFonts w:eastAsia="TimesNewRoman"/>
          <w:szCs w:val="22"/>
          <w:lang w:eastAsia="lt-LT"/>
        </w:rPr>
        <w:t xml:space="preserve"> papildyti tyrimo metu po 52 savaičių nustatytas dapagliflozino sukeltas statistikai reikšmingas kūno svorio sumažėjimas 4,65 kg palyginus su vartojusiais </w:t>
      </w:r>
      <w:proofErr w:type="spellStart"/>
      <w:r>
        <w:rPr>
          <w:rFonts w:eastAsia="TimesNewRoman"/>
          <w:szCs w:val="22"/>
          <w:lang w:eastAsia="lt-LT"/>
        </w:rPr>
        <w:t>glipizido</w:t>
      </w:r>
      <w:proofErr w:type="spellEnd"/>
      <w:r>
        <w:rPr>
          <w:rFonts w:eastAsia="TimesNewRoman"/>
          <w:szCs w:val="22"/>
          <w:lang w:eastAsia="lt-LT"/>
        </w:rPr>
        <w:t xml:space="preserve"> (p &lt; 0,0001, 3 lentelė). Dapagliflozino grupės pacientų svoris išliko sumažėjęs ir 104-ją bei 208-ją savaitę (atitinkamai 5,06 kg ir 4,38 kg).</w:t>
      </w:r>
    </w:p>
    <w:p w14:paraId="0F56B7E1" w14:textId="77777777" w:rsidR="00E96E12" w:rsidRDefault="00E96E12">
      <w:pPr>
        <w:autoSpaceDE w:val="0"/>
        <w:autoSpaceDN w:val="0"/>
        <w:adjustRightInd w:val="0"/>
        <w:rPr>
          <w:rFonts w:eastAsia="TimesNewRoman"/>
          <w:szCs w:val="22"/>
          <w:lang w:eastAsia="lt-LT"/>
        </w:rPr>
      </w:pPr>
    </w:p>
    <w:p w14:paraId="0CD8EA9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Sudėtinis gydymas vartojant 10 mg dapagliflozino ir pailginto atpalaidavimo </w:t>
      </w:r>
      <w:proofErr w:type="spellStart"/>
      <w:r>
        <w:rPr>
          <w:rFonts w:eastAsia="TimesNewRoman"/>
          <w:szCs w:val="22"/>
          <w:lang w:eastAsia="lt-LT"/>
        </w:rPr>
        <w:t>eksenatidą</w:t>
      </w:r>
      <w:proofErr w:type="spellEnd"/>
      <w:r>
        <w:rPr>
          <w:rFonts w:eastAsia="TimesNewRoman"/>
          <w:szCs w:val="22"/>
          <w:lang w:eastAsia="lt-LT"/>
        </w:rPr>
        <w:t xml:space="preserve"> sukėlė reikšmingai didesnį kūno svorio sumažėjimą negu bet kuris iš šių vaistinių preparatų atskirai (žr. 8 lentelę).</w:t>
      </w:r>
    </w:p>
    <w:p w14:paraId="78AB5626" w14:textId="77777777" w:rsidR="00E96E12" w:rsidRDefault="00E96E12">
      <w:pPr>
        <w:autoSpaceDE w:val="0"/>
        <w:autoSpaceDN w:val="0"/>
        <w:adjustRightInd w:val="0"/>
        <w:rPr>
          <w:rFonts w:eastAsia="TimesNewRoman"/>
          <w:szCs w:val="22"/>
          <w:lang w:eastAsia="lt-LT"/>
        </w:rPr>
      </w:pPr>
    </w:p>
    <w:p w14:paraId="6014E6B7" w14:textId="77777777" w:rsidR="00E96E12" w:rsidRDefault="00E97765">
      <w:pPr>
        <w:autoSpaceDE w:val="0"/>
        <w:autoSpaceDN w:val="0"/>
        <w:adjustRightInd w:val="0"/>
        <w:rPr>
          <w:rFonts w:eastAsia="TimesNewRoman"/>
          <w:szCs w:val="22"/>
          <w:lang w:eastAsia="lt-LT"/>
        </w:rPr>
      </w:pPr>
      <w:r>
        <w:rPr>
          <w:rFonts w:eastAsia="TimesNewRoman"/>
          <w:szCs w:val="22"/>
          <w:lang w:eastAsia="lt-LT"/>
        </w:rPr>
        <w:lastRenderedPageBreak/>
        <w:t xml:space="preserve">24 savaičių trukmės tyrimo metu atlikti 182 diabetu sergančių asmenų kūno sudėties dvigubos energijos rentgeno spindulių </w:t>
      </w:r>
      <w:proofErr w:type="spellStart"/>
      <w:r>
        <w:rPr>
          <w:rFonts w:eastAsia="TimesNewRoman"/>
          <w:szCs w:val="22"/>
          <w:lang w:eastAsia="lt-LT"/>
        </w:rPr>
        <w:t>absorbciometrijos</w:t>
      </w:r>
      <w:proofErr w:type="spellEnd"/>
      <w:r>
        <w:rPr>
          <w:rFonts w:eastAsia="TimesNewRoman"/>
          <w:szCs w:val="22"/>
          <w:lang w:eastAsia="lt-LT"/>
        </w:rPr>
        <w:t xml:space="preserve"> tyrimai parodė, kad dapagliflozino 10 mg ir </w:t>
      </w:r>
      <w:proofErr w:type="spellStart"/>
      <w:r>
        <w:rPr>
          <w:rFonts w:eastAsia="TimesNewRoman"/>
          <w:szCs w:val="22"/>
          <w:lang w:eastAsia="lt-LT"/>
        </w:rPr>
        <w:t>metformino</w:t>
      </w:r>
      <w:proofErr w:type="spellEnd"/>
      <w:r>
        <w:rPr>
          <w:rFonts w:eastAsia="TimesNewRoman"/>
          <w:szCs w:val="22"/>
          <w:lang w:eastAsia="lt-LT"/>
        </w:rPr>
        <w:t xml:space="preserve"> derinys, palyginus su placebo ir </w:t>
      </w:r>
      <w:proofErr w:type="spellStart"/>
      <w:r>
        <w:rPr>
          <w:rFonts w:eastAsia="TimesNewRoman"/>
          <w:szCs w:val="22"/>
          <w:lang w:eastAsia="lt-LT"/>
        </w:rPr>
        <w:t>metformino</w:t>
      </w:r>
      <w:proofErr w:type="spellEnd"/>
      <w:r>
        <w:rPr>
          <w:rFonts w:eastAsia="TimesNewRoman"/>
          <w:szCs w:val="22"/>
          <w:lang w:eastAsia="lt-LT"/>
        </w:rPr>
        <w:t xml:space="preserve"> deriniu, sumažino kūno svorį ir kūno riebalų kiekį (ne lieso audinio ar skysčių kiekį). Šio tyrimo MRT dalis parodė dapagliflozino ir </w:t>
      </w:r>
      <w:proofErr w:type="spellStart"/>
      <w:r>
        <w:rPr>
          <w:rFonts w:eastAsia="TimesNewRoman"/>
          <w:szCs w:val="22"/>
          <w:lang w:eastAsia="lt-LT"/>
        </w:rPr>
        <w:t>metformino</w:t>
      </w:r>
      <w:proofErr w:type="spellEnd"/>
      <w:r>
        <w:rPr>
          <w:rFonts w:eastAsia="TimesNewRoman"/>
          <w:szCs w:val="22"/>
          <w:lang w:eastAsia="lt-LT"/>
        </w:rPr>
        <w:t xml:space="preserve"> derinio grupės pacientų </w:t>
      </w:r>
      <w:proofErr w:type="spellStart"/>
      <w:r>
        <w:rPr>
          <w:rFonts w:eastAsia="TimesNewRoman"/>
          <w:szCs w:val="22"/>
          <w:lang w:eastAsia="lt-LT"/>
        </w:rPr>
        <w:t>visceralinio</w:t>
      </w:r>
      <w:proofErr w:type="spellEnd"/>
      <w:r>
        <w:rPr>
          <w:rFonts w:eastAsia="TimesNewRoman"/>
          <w:szCs w:val="22"/>
          <w:lang w:eastAsia="lt-LT"/>
        </w:rPr>
        <w:t xml:space="preserve"> riebalinio audinio kiekio sumažėjimą palyginus su placebo ir </w:t>
      </w:r>
      <w:proofErr w:type="spellStart"/>
      <w:r>
        <w:rPr>
          <w:rFonts w:eastAsia="TimesNewRoman"/>
          <w:szCs w:val="22"/>
          <w:lang w:eastAsia="lt-LT"/>
        </w:rPr>
        <w:t>metformino</w:t>
      </w:r>
      <w:proofErr w:type="spellEnd"/>
      <w:r>
        <w:rPr>
          <w:rFonts w:eastAsia="TimesNewRoman"/>
          <w:szCs w:val="22"/>
          <w:lang w:eastAsia="lt-LT"/>
        </w:rPr>
        <w:t xml:space="preserve"> derinio grupe.</w:t>
      </w:r>
    </w:p>
    <w:p w14:paraId="1CE3DE83" w14:textId="77777777" w:rsidR="00E96E12" w:rsidRDefault="00E96E12">
      <w:pPr>
        <w:autoSpaceDE w:val="0"/>
        <w:autoSpaceDN w:val="0"/>
        <w:adjustRightInd w:val="0"/>
        <w:rPr>
          <w:rFonts w:eastAsia="TimesNewRoman"/>
          <w:szCs w:val="22"/>
          <w:lang w:eastAsia="lt-LT"/>
        </w:rPr>
      </w:pPr>
    </w:p>
    <w:p w14:paraId="6CDC0DDF"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Kraujospūdis</w:t>
      </w:r>
    </w:p>
    <w:p w14:paraId="510D0C6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Iš anksto numatyta 13 placebu kontroliuojamų tyrimų duomenų bendra analizė parodė, kad po 24 savaičių trukmės 10 mg dapagliflozino vartojimo grupės pacientų </w:t>
      </w:r>
      <w:proofErr w:type="spellStart"/>
      <w:r>
        <w:rPr>
          <w:rFonts w:eastAsia="TimesNewRoman"/>
          <w:szCs w:val="22"/>
          <w:lang w:eastAsia="lt-LT"/>
        </w:rPr>
        <w:t>sistolinis</w:t>
      </w:r>
      <w:proofErr w:type="spellEnd"/>
      <w:r>
        <w:rPr>
          <w:rFonts w:eastAsia="TimesNewRoman"/>
          <w:szCs w:val="22"/>
          <w:lang w:eastAsia="lt-LT"/>
        </w:rPr>
        <w:t xml:space="preserve"> kraujospūdis, palyginus su buvusiu iki tyrimo, buvo sumažėjęs 3,7 </w:t>
      </w:r>
      <w:proofErr w:type="spellStart"/>
      <w:r>
        <w:rPr>
          <w:rFonts w:eastAsia="TimesNewRoman"/>
          <w:szCs w:val="22"/>
          <w:lang w:eastAsia="lt-LT"/>
        </w:rPr>
        <w:t>mmHg</w:t>
      </w:r>
      <w:proofErr w:type="spellEnd"/>
      <w:r>
        <w:rPr>
          <w:rFonts w:eastAsia="TimesNewRoman"/>
          <w:szCs w:val="22"/>
          <w:lang w:eastAsia="lt-LT"/>
        </w:rPr>
        <w:t xml:space="preserve">, o </w:t>
      </w:r>
      <w:proofErr w:type="spellStart"/>
      <w:r>
        <w:rPr>
          <w:rFonts w:eastAsia="TimesNewRoman"/>
          <w:szCs w:val="22"/>
          <w:lang w:eastAsia="lt-LT"/>
        </w:rPr>
        <w:t>diastolinis</w:t>
      </w:r>
      <w:proofErr w:type="spellEnd"/>
      <w:r>
        <w:rPr>
          <w:rFonts w:eastAsia="TimesNewRoman"/>
          <w:szCs w:val="22"/>
          <w:lang w:eastAsia="lt-LT"/>
        </w:rPr>
        <w:t xml:space="preserve"> – 1,8 </w:t>
      </w:r>
      <w:proofErr w:type="spellStart"/>
      <w:r>
        <w:rPr>
          <w:rFonts w:eastAsia="TimesNewRoman"/>
          <w:szCs w:val="22"/>
          <w:lang w:eastAsia="lt-LT"/>
        </w:rPr>
        <w:t>mmHg</w:t>
      </w:r>
      <w:proofErr w:type="spellEnd"/>
      <w:r>
        <w:rPr>
          <w:rFonts w:eastAsia="TimesNewRoman"/>
          <w:szCs w:val="22"/>
          <w:lang w:eastAsia="lt-LT"/>
        </w:rPr>
        <w:t xml:space="preserve"> (placebo grupės pacientų – atitinkamai 0,5 </w:t>
      </w:r>
      <w:proofErr w:type="spellStart"/>
      <w:r>
        <w:rPr>
          <w:rFonts w:eastAsia="TimesNewRoman"/>
          <w:szCs w:val="22"/>
          <w:lang w:eastAsia="lt-LT"/>
        </w:rPr>
        <w:t>mmHg</w:t>
      </w:r>
      <w:proofErr w:type="spellEnd"/>
      <w:r>
        <w:rPr>
          <w:rFonts w:eastAsia="TimesNewRoman"/>
          <w:szCs w:val="22"/>
          <w:lang w:eastAsia="lt-LT"/>
        </w:rPr>
        <w:t xml:space="preserve"> ir 0,5 </w:t>
      </w:r>
      <w:proofErr w:type="spellStart"/>
      <w:r>
        <w:rPr>
          <w:rFonts w:eastAsia="TimesNewRoman"/>
          <w:szCs w:val="22"/>
          <w:lang w:eastAsia="lt-LT"/>
        </w:rPr>
        <w:t>mmHg</w:t>
      </w:r>
      <w:proofErr w:type="spellEnd"/>
      <w:r>
        <w:rPr>
          <w:rFonts w:eastAsia="TimesNewRoman"/>
          <w:szCs w:val="22"/>
          <w:lang w:eastAsia="lt-LT"/>
        </w:rPr>
        <w:t>). Panašus kraujospūdžio sumažėjimas buvo stebėtas iki 104 savaitės pabaigos.</w:t>
      </w:r>
    </w:p>
    <w:p w14:paraId="7CA10CD9" w14:textId="77777777" w:rsidR="00E96E12" w:rsidRDefault="00E96E12">
      <w:pPr>
        <w:autoSpaceDE w:val="0"/>
        <w:autoSpaceDN w:val="0"/>
        <w:adjustRightInd w:val="0"/>
        <w:rPr>
          <w:rFonts w:eastAsia="TimesNewRoman"/>
          <w:szCs w:val="22"/>
          <w:lang w:eastAsia="lt-LT"/>
        </w:rPr>
      </w:pPr>
    </w:p>
    <w:p w14:paraId="4976EDB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Sudėtinis gydymas vartojant 10 mg dapagliflozino ir pailginto atpalaidavimo </w:t>
      </w:r>
      <w:proofErr w:type="spellStart"/>
      <w:r>
        <w:rPr>
          <w:rFonts w:eastAsia="TimesNewRoman"/>
          <w:szCs w:val="22"/>
          <w:lang w:eastAsia="lt-LT"/>
        </w:rPr>
        <w:t>eksenatidą</w:t>
      </w:r>
      <w:proofErr w:type="spellEnd"/>
      <w:r>
        <w:rPr>
          <w:rFonts w:eastAsia="TimesNewRoman"/>
          <w:szCs w:val="22"/>
          <w:lang w:eastAsia="lt-LT"/>
        </w:rPr>
        <w:t xml:space="preserve"> sumažino </w:t>
      </w:r>
      <w:proofErr w:type="spellStart"/>
      <w:r>
        <w:rPr>
          <w:rFonts w:eastAsia="TimesNewRoman"/>
          <w:szCs w:val="22"/>
          <w:lang w:eastAsia="lt-LT"/>
        </w:rPr>
        <w:t>sistolinį</w:t>
      </w:r>
      <w:proofErr w:type="spellEnd"/>
      <w:r>
        <w:rPr>
          <w:rFonts w:eastAsia="TimesNewRoman"/>
          <w:szCs w:val="22"/>
          <w:lang w:eastAsia="lt-LT"/>
        </w:rPr>
        <w:t xml:space="preserve"> kraujospūdį praėjus 28 savaitėms reikšmingai labiau (4,3 mm </w:t>
      </w:r>
      <w:proofErr w:type="spellStart"/>
      <w:r>
        <w:rPr>
          <w:rFonts w:eastAsia="TimesNewRoman"/>
          <w:szCs w:val="22"/>
          <w:lang w:eastAsia="lt-LT"/>
        </w:rPr>
        <w:t>Hg</w:t>
      </w:r>
      <w:proofErr w:type="spellEnd"/>
      <w:r>
        <w:rPr>
          <w:rFonts w:eastAsia="TimesNewRoman"/>
          <w:szCs w:val="22"/>
          <w:lang w:eastAsia="lt-LT"/>
        </w:rPr>
        <w:t xml:space="preserve">) negu vien dapagliflozinas (1,8 mm </w:t>
      </w:r>
      <w:proofErr w:type="spellStart"/>
      <w:r>
        <w:rPr>
          <w:rFonts w:eastAsia="TimesNewRoman"/>
          <w:szCs w:val="22"/>
          <w:lang w:eastAsia="lt-LT"/>
        </w:rPr>
        <w:t>Hg</w:t>
      </w:r>
      <w:proofErr w:type="spellEnd"/>
      <w:r>
        <w:rPr>
          <w:rFonts w:eastAsia="TimesNewRoman"/>
          <w:szCs w:val="22"/>
          <w:lang w:eastAsia="lt-LT"/>
        </w:rPr>
        <w:t xml:space="preserve">, p &lt; 0,05) ar vien pailginto atpalaidavimo </w:t>
      </w:r>
      <w:proofErr w:type="spellStart"/>
      <w:r>
        <w:rPr>
          <w:rFonts w:eastAsia="TimesNewRoman"/>
          <w:szCs w:val="22"/>
          <w:lang w:eastAsia="lt-LT"/>
        </w:rPr>
        <w:t>eksenatidas</w:t>
      </w:r>
      <w:proofErr w:type="spellEnd"/>
      <w:r>
        <w:rPr>
          <w:rFonts w:eastAsia="TimesNewRoman"/>
          <w:szCs w:val="22"/>
          <w:lang w:eastAsia="lt-LT"/>
        </w:rPr>
        <w:t xml:space="preserve"> (1,2 mm </w:t>
      </w:r>
      <w:proofErr w:type="spellStart"/>
      <w:r>
        <w:rPr>
          <w:rFonts w:eastAsia="TimesNewRoman"/>
          <w:szCs w:val="22"/>
          <w:lang w:eastAsia="lt-LT"/>
        </w:rPr>
        <w:t>Hg</w:t>
      </w:r>
      <w:proofErr w:type="spellEnd"/>
      <w:r>
        <w:rPr>
          <w:rFonts w:eastAsia="TimesNewRoman"/>
          <w:szCs w:val="22"/>
          <w:lang w:eastAsia="lt-LT"/>
        </w:rPr>
        <w:t>, p &lt; 0,01).</w:t>
      </w:r>
    </w:p>
    <w:p w14:paraId="7289B215" w14:textId="77777777" w:rsidR="00E96E12" w:rsidRDefault="00E96E12">
      <w:pPr>
        <w:autoSpaceDE w:val="0"/>
        <w:autoSpaceDN w:val="0"/>
        <w:adjustRightInd w:val="0"/>
        <w:rPr>
          <w:rFonts w:eastAsia="TimesNewRoman"/>
          <w:szCs w:val="22"/>
          <w:lang w:eastAsia="lt-LT"/>
        </w:rPr>
      </w:pPr>
    </w:p>
    <w:p w14:paraId="2781C97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Dviejų 12 savaičių trukmės placebu kontroliuojamų tyrimų metu iš viso 1062 pacientai, kurie sirgo tinkamai nekontroliuojamu 2 tipo diabetu ir hipertenzija (nepaisant nuolatinių stabilių AKF-I arba ARB dozių vartojimo vieno tyrimo metu bei jų ir dar vieno vaistinio preparato nuo hipertenzijos vartojimo kito tyrimo metu), vartojo 10 mg dapagliflozino arba placebo. Abiejų tyrimų metu po 12 savaičių nustatyta, kad 10 mg dapagliflozino kartu su įprastu diabeto gydymu sukėlė HbA1c koncentracijos sumažėjimą ir sumažino pagal placebą koreguotą </w:t>
      </w:r>
      <w:proofErr w:type="spellStart"/>
      <w:r>
        <w:rPr>
          <w:rFonts w:eastAsia="TimesNewRoman"/>
          <w:szCs w:val="22"/>
          <w:lang w:eastAsia="lt-LT"/>
        </w:rPr>
        <w:t>sistolinį</w:t>
      </w:r>
      <w:proofErr w:type="spellEnd"/>
      <w:r>
        <w:rPr>
          <w:rFonts w:eastAsia="TimesNewRoman"/>
          <w:szCs w:val="22"/>
          <w:lang w:eastAsia="lt-LT"/>
        </w:rPr>
        <w:t xml:space="preserve"> kraujospūdį vidutiniškai atitinkamai 3,1 ir 4.3 mm </w:t>
      </w:r>
      <w:proofErr w:type="spellStart"/>
      <w:r>
        <w:rPr>
          <w:rFonts w:eastAsia="TimesNewRoman"/>
          <w:szCs w:val="22"/>
          <w:lang w:eastAsia="lt-LT"/>
        </w:rPr>
        <w:t>Hg</w:t>
      </w:r>
      <w:proofErr w:type="spellEnd"/>
      <w:r>
        <w:rPr>
          <w:rFonts w:eastAsia="TimesNewRoman"/>
          <w:szCs w:val="22"/>
          <w:lang w:eastAsia="lt-LT"/>
        </w:rPr>
        <w:t>.</w:t>
      </w:r>
    </w:p>
    <w:p w14:paraId="391A9B32" w14:textId="77777777" w:rsidR="00E96E12" w:rsidRDefault="00E96E12">
      <w:pPr>
        <w:autoSpaceDE w:val="0"/>
        <w:autoSpaceDN w:val="0"/>
        <w:adjustRightInd w:val="0"/>
        <w:rPr>
          <w:rFonts w:eastAsia="TimesNewRoman"/>
          <w:szCs w:val="22"/>
          <w:lang w:eastAsia="lt-LT"/>
        </w:rPr>
      </w:pPr>
    </w:p>
    <w:p w14:paraId="4CC0932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Specialaus tyrimo metu diabetu sirgusių dapagliflozino grupės pacientų, kurių </w:t>
      </w:r>
      <w:proofErr w:type="spellStart"/>
      <w:r>
        <w:rPr>
          <w:rFonts w:eastAsia="TimesNewRoman"/>
          <w:szCs w:val="22"/>
          <w:lang w:eastAsia="lt-LT"/>
        </w:rPr>
        <w:t>aGFG</w:t>
      </w:r>
      <w:proofErr w:type="spellEnd"/>
      <w:r>
        <w:rPr>
          <w:rFonts w:eastAsia="TimesNewRoman"/>
          <w:szCs w:val="22"/>
          <w:lang w:eastAsia="lt-LT"/>
        </w:rPr>
        <w:t xml:space="preserve"> buvo nuo ≥ 45 iki &lt; 60 ml/min./1,73 m</w:t>
      </w:r>
      <w:r>
        <w:rPr>
          <w:rFonts w:eastAsia="TimesNewRoman"/>
          <w:szCs w:val="22"/>
          <w:vertAlign w:val="superscript"/>
          <w:lang w:eastAsia="lt-LT"/>
        </w:rPr>
        <w:t>2</w:t>
      </w:r>
      <w:r>
        <w:rPr>
          <w:rFonts w:eastAsia="TimesNewRoman"/>
          <w:szCs w:val="22"/>
          <w:lang w:eastAsia="lt-LT"/>
        </w:rPr>
        <w:t xml:space="preserve">, </w:t>
      </w:r>
      <w:proofErr w:type="spellStart"/>
      <w:r>
        <w:rPr>
          <w:rFonts w:eastAsia="TimesNewRoman"/>
          <w:szCs w:val="22"/>
          <w:lang w:eastAsia="lt-LT"/>
        </w:rPr>
        <w:t>sistolinis</w:t>
      </w:r>
      <w:proofErr w:type="spellEnd"/>
      <w:r>
        <w:rPr>
          <w:rFonts w:eastAsia="TimesNewRoman"/>
          <w:szCs w:val="22"/>
          <w:lang w:eastAsia="lt-LT"/>
        </w:rPr>
        <w:t xml:space="preserve"> kraujo spaudimas sėdint po 24 savaičių buvo sumažėjęs 4,8 mm </w:t>
      </w:r>
      <w:proofErr w:type="spellStart"/>
      <w:r>
        <w:rPr>
          <w:rFonts w:eastAsia="TimesNewRoman"/>
          <w:szCs w:val="22"/>
          <w:lang w:eastAsia="lt-LT"/>
        </w:rPr>
        <w:t>Hg</w:t>
      </w:r>
      <w:proofErr w:type="spellEnd"/>
      <w:r>
        <w:rPr>
          <w:rFonts w:eastAsia="TimesNewRoman"/>
          <w:szCs w:val="22"/>
          <w:lang w:eastAsia="lt-LT"/>
        </w:rPr>
        <w:t xml:space="preserve">, placebo – 1,7 mm </w:t>
      </w:r>
      <w:proofErr w:type="spellStart"/>
      <w:r>
        <w:rPr>
          <w:rFonts w:eastAsia="TimesNewRoman"/>
          <w:szCs w:val="22"/>
          <w:lang w:eastAsia="lt-LT"/>
        </w:rPr>
        <w:t>Hg</w:t>
      </w:r>
      <w:proofErr w:type="spellEnd"/>
      <w:r>
        <w:rPr>
          <w:rFonts w:eastAsia="TimesNewRoman"/>
          <w:szCs w:val="22"/>
          <w:lang w:eastAsia="lt-LT"/>
        </w:rPr>
        <w:t xml:space="preserve"> (p &lt; 0,05).</w:t>
      </w:r>
    </w:p>
    <w:p w14:paraId="12D9E54F" w14:textId="77777777" w:rsidR="00E96E12" w:rsidRDefault="00E96E12">
      <w:pPr>
        <w:autoSpaceDE w:val="0"/>
        <w:autoSpaceDN w:val="0"/>
        <w:adjustRightInd w:val="0"/>
        <w:rPr>
          <w:rFonts w:eastAsia="TimesNewRoman,Italic"/>
          <w:i/>
          <w:iCs/>
          <w:szCs w:val="22"/>
          <w:lang w:eastAsia="lt-LT"/>
        </w:rPr>
      </w:pPr>
    </w:p>
    <w:p w14:paraId="4C3ECCA2" w14:textId="77777777" w:rsidR="00E96E12" w:rsidRDefault="00E97765">
      <w:pPr>
        <w:autoSpaceDE w:val="0"/>
        <w:autoSpaceDN w:val="0"/>
        <w:adjustRightInd w:val="0"/>
        <w:rPr>
          <w:rFonts w:eastAsia="TimesNewRoman,Italic"/>
          <w:i/>
          <w:iCs/>
          <w:szCs w:val="22"/>
          <w:u w:val="single"/>
          <w:lang w:eastAsia="lt-LT"/>
        </w:rPr>
      </w:pPr>
      <w:proofErr w:type="spellStart"/>
      <w:r>
        <w:rPr>
          <w:rFonts w:eastAsia="TimesNewRoman,Italic"/>
          <w:i/>
          <w:iCs/>
          <w:szCs w:val="22"/>
          <w:u w:val="single"/>
          <w:lang w:eastAsia="lt-LT"/>
        </w:rPr>
        <w:t>Glikemijos</w:t>
      </w:r>
      <w:proofErr w:type="spellEnd"/>
      <w:r>
        <w:rPr>
          <w:rFonts w:eastAsia="TimesNewRoman,Italic"/>
          <w:i/>
          <w:iCs/>
          <w:szCs w:val="22"/>
          <w:u w:val="single"/>
          <w:lang w:eastAsia="lt-LT"/>
        </w:rPr>
        <w:t xml:space="preserve"> kontrolė pacientams, kurių inkstų funkcija vidutiniškai sutrikusi (3A stadijos lėtinė inkstų liga, </w:t>
      </w:r>
      <w:proofErr w:type="spellStart"/>
      <w:r>
        <w:rPr>
          <w:rFonts w:eastAsia="TimesNewRoman,Italic"/>
          <w:i/>
          <w:iCs/>
          <w:szCs w:val="22"/>
          <w:u w:val="single"/>
          <w:lang w:eastAsia="lt-LT"/>
        </w:rPr>
        <w:t>aGFG</w:t>
      </w:r>
      <w:proofErr w:type="spellEnd"/>
      <w:r>
        <w:rPr>
          <w:rFonts w:eastAsia="TimesNewRoman,Italic"/>
          <w:i/>
          <w:iCs/>
          <w:szCs w:val="22"/>
          <w:u w:val="single"/>
          <w:lang w:eastAsia="lt-LT"/>
        </w:rPr>
        <w:t xml:space="preserve"> nuo ≥ 45 iki &lt; 60 ml/min./1,73 m</w:t>
      </w:r>
      <w:r>
        <w:rPr>
          <w:rFonts w:eastAsia="TimesNewRoman,Italic"/>
          <w:i/>
          <w:iCs/>
          <w:szCs w:val="22"/>
          <w:u w:val="single"/>
          <w:vertAlign w:val="superscript"/>
          <w:lang w:eastAsia="lt-LT"/>
        </w:rPr>
        <w:t>2</w:t>
      </w:r>
      <w:r>
        <w:rPr>
          <w:rFonts w:eastAsia="TimesNewRoman,Italic"/>
          <w:i/>
          <w:iCs/>
          <w:szCs w:val="22"/>
          <w:u w:val="single"/>
          <w:lang w:eastAsia="lt-LT"/>
        </w:rPr>
        <w:t>)</w:t>
      </w:r>
    </w:p>
    <w:p w14:paraId="203D40E4"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veiksmingumas diabetu sergantiems pacientams, kurių </w:t>
      </w:r>
      <w:proofErr w:type="spellStart"/>
      <w:r>
        <w:rPr>
          <w:rFonts w:eastAsia="TimesNewRoman"/>
          <w:szCs w:val="22"/>
          <w:lang w:eastAsia="lt-LT"/>
        </w:rPr>
        <w:t>aGFG</w:t>
      </w:r>
      <w:proofErr w:type="spellEnd"/>
      <w:r>
        <w:rPr>
          <w:rFonts w:eastAsia="TimesNewRoman"/>
          <w:szCs w:val="22"/>
          <w:lang w:eastAsia="lt-LT"/>
        </w:rPr>
        <w:t xml:space="preserve"> nuo ≥ 45 iki &lt; 60 ml/min./1,73 m</w:t>
      </w:r>
      <w:r>
        <w:rPr>
          <w:rFonts w:eastAsia="TimesNewRoman"/>
          <w:szCs w:val="22"/>
          <w:vertAlign w:val="superscript"/>
          <w:lang w:eastAsia="lt-LT"/>
        </w:rPr>
        <w:t>2</w:t>
      </w:r>
      <w:r>
        <w:rPr>
          <w:rFonts w:eastAsia="TimesNewRoman"/>
          <w:szCs w:val="22"/>
          <w:lang w:eastAsia="lt-LT"/>
        </w:rPr>
        <w:t xml:space="preserve">, ir kurių </w:t>
      </w:r>
      <w:proofErr w:type="spellStart"/>
      <w:r>
        <w:rPr>
          <w:rFonts w:eastAsia="TimesNewRoman"/>
          <w:szCs w:val="22"/>
          <w:lang w:eastAsia="lt-LT"/>
        </w:rPr>
        <w:t>glikemija</w:t>
      </w:r>
      <w:proofErr w:type="spellEnd"/>
      <w:r>
        <w:rPr>
          <w:rFonts w:eastAsia="TimesNewRoman"/>
          <w:szCs w:val="22"/>
          <w:lang w:eastAsia="lt-LT"/>
        </w:rPr>
        <w:t xml:space="preserve"> nebuvo tinkamai sureguliuota taikant įprastinį gydymą, tirtas specialaus tyrimo metu. Vartojus dapaglifloziną, HbA1c koncentracija ir kūno svoris buvo mažesni negu vartojus placebą (9 lentelė).</w:t>
      </w:r>
    </w:p>
    <w:p w14:paraId="68EF1CBA" w14:textId="77777777" w:rsidR="00E96E12" w:rsidRDefault="00E96E12">
      <w:pPr>
        <w:autoSpaceDE w:val="0"/>
        <w:autoSpaceDN w:val="0"/>
        <w:adjustRightInd w:val="0"/>
        <w:rPr>
          <w:rFonts w:eastAsia="TimesNewRoman"/>
          <w:szCs w:val="22"/>
          <w:lang w:eastAsia="lt-LT"/>
        </w:rPr>
      </w:pPr>
    </w:p>
    <w:p w14:paraId="382E0AB9"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 xml:space="preserve">9 lentelė. Placebu kontroliuojamo dapagliflozino tyrimo duomenys diabetu sergantiems pacientams, kurių </w:t>
      </w:r>
      <w:proofErr w:type="spellStart"/>
      <w:r>
        <w:rPr>
          <w:rFonts w:eastAsia="TimesNewRoman,Bold"/>
          <w:b/>
          <w:bCs/>
          <w:szCs w:val="22"/>
          <w:lang w:eastAsia="lt-LT"/>
        </w:rPr>
        <w:t>aGFG</w:t>
      </w:r>
      <w:proofErr w:type="spellEnd"/>
      <w:r>
        <w:rPr>
          <w:rFonts w:eastAsia="TimesNewRoman,Bold"/>
          <w:b/>
          <w:bCs/>
          <w:szCs w:val="22"/>
          <w:lang w:eastAsia="lt-LT"/>
        </w:rPr>
        <w:t xml:space="preserve"> nuo ≥ 45 iki &lt; 60 ml/min./1,73 m</w:t>
      </w:r>
      <w:r>
        <w:rPr>
          <w:rFonts w:eastAsia="TimesNewRoman,Bold"/>
          <w:b/>
          <w:bCs/>
          <w:szCs w:val="22"/>
          <w:vertAlign w:val="superscript"/>
          <w:lang w:eastAsia="lt-LT"/>
        </w:rPr>
        <w:t>2</w:t>
      </w:r>
      <w:r>
        <w:rPr>
          <w:rFonts w:eastAsia="TimesNewRoman,Bold"/>
          <w:b/>
          <w:bCs/>
          <w:szCs w:val="22"/>
          <w:lang w:eastAsia="lt-LT"/>
        </w:rPr>
        <w:t>, po 24 savaičių</w:t>
      </w:r>
    </w:p>
    <w:p w14:paraId="595E3E69" w14:textId="77777777" w:rsidR="00E96E12" w:rsidRDefault="00E96E12">
      <w:pPr>
        <w:widowControl w:val="0"/>
        <w:tabs>
          <w:tab w:val="left" w:pos="567"/>
        </w:tabs>
        <w:rPr>
          <w:b/>
          <w:bCs/>
          <w:szCs w:val="22"/>
        </w:rPr>
      </w:pPr>
    </w:p>
    <w:tbl>
      <w:tblPr>
        <w:tblStyle w:val="Lentelstinklelis"/>
        <w:tblW w:w="5000" w:type="pct"/>
        <w:tblLook w:val="04A0" w:firstRow="1" w:lastRow="0" w:firstColumn="1" w:lastColumn="0" w:noHBand="0" w:noVBand="1"/>
      </w:tblPr>
      <w:tblGrid>
        <w:gridCol w:w="3867"/>
        <w:gridCol w:w="2843"/>
        <w:gridCol w:w="2360"/>
      </w:tblGrid>
      <w:tr w:rsidR="00E96E12" w14:paraId="019E9AA0" w14:textId="77777777">
        <w:tc>
          <w:tcPr>
            <w:tcW w:w="2132" w:type="pct"/>
            <w:tcBorders>
              <w:top w:val="single" w:sz="4" w:space="0" w:color="auto"/>
              <w:left w:val="nil"/>
              <w:bottom w:val="single" w:sz="4" w:space="0" w:color="auto"/>
              <w:right w:val="nil"/>
            </w:tcBorders>
          </w:tcPr>
          <w:p w14:paraId="0F8D2EDE" w14:textId="77777777" w:rsidR="00E96E12" w:rsidRDefault="00E96E12">
            <w:pPr>
              <w:widowControl w:val="0"/>
              <w:tabs>
                <w:tab w:val="left" w:pos="567"/>
              </w:tabs>
              <w:rPr>
                <w:szCs w:val="22"/>
                <w:lang w:val="lt-LT"/>
              </w:rPr>
            </w:pPr>
          </w:p>
        </w:tc>
        <w:tc>
          <w:tcPr>
            <w:tcW w:w="1567" w:type="pct"/>
            <w:tcBorders>
              <w:top w:val="single" w:sz="4" w:space="0" w:color="auto"/>
              <w:left w:val="nil"/>
              <w:bottom w:val="single" w:sz="4" w:space="0" w:color="auto"/>
              <w:right w:val="nil"/>
            </w:tcBorders>
          </w:tcPr>
          <w:p w14:paraId="364BC3A1" w14:textId="77777777" w:rsidR="00E96E12" w:rsidRDefault="00E97765">
            <w:pPr>
              <w:widowControl w:val="0"/>
              <w:tabs>
                <w:tab w:val="left" w:pos="567"/>
              </w:tabs>
              <w:jc w:val="center"/>
              <w:rPr>
                <w:b/>
                <w:szCs w:val="22"/>
                <w:lang w:val="en-GB"/>
              </w:rPr>
            </w:pPr>
            <w:proofErr w:type="spellStart"/>
            <w:r>
              <w:rPr>
                <w:b/>
                <w:szCs w:val="22"/>
                <w:lang w:val="en-GB"/>
              </w:rPr>
              <w:t>Dapagliflozinas</w:t>
            </w:r>
            <w:proofErr w:type="spellEnd"/>
            <w:r>
              <w:rPr>
                <w:b/>
                <w:szCs w:val="22"/>
                <w:lang w:val="en-GB"/>
              </w:rPr>
              <w:t xml:space="preserve"> 10 </w:t>
            </w:r>
            <w:proofErr w:type="spellStart"/>
            <w:r>
              <w:rPr>
                <w:b/>
                <w:szCs w:val="22"/>
                <w:lang w:val="en-GB"/>
              </w:rPr>
              <w:t>mg</w:t>
            </w:r>
            <w:r>
              <w:rPr>
                <w:szCs w:val="22"/>
                <w:vertAlign w:val="superscript"/>
                <w:lang w:val="en-GB"/>
              </w:rPr>
              <w:t>a</w:t>
            </w:r>
            <w:proofErr w:type="spellEnd"/>
          </w:p>
        </w:tc>
        <w:tc>
          <w:tcPr>
            <w:tcW w:w="1301" w:type="pct"/>
            <w:tcBorders>
              <w:top w:val="single" w:sz="4" w:space="0" w:color="auto"/>
              <w:left w:val="nil"/>
              <w:bottom w:val="single" w:sz="4" w:space="0" w:color="auto"/>
              <w:right w:val="nil"/>
            </w:tcBorders>
          </w:tcPr>
          <w:p w14:paraId="139CCE2F" w14:textId="77777777" w:rsidR="00E96E12" w:rsidRDefault="00E97765">
            <w:pPr>
              <w:widowControl w:val="0"/>
              <w:tabs>
                <w:tab w:val="left" w:pos="567"/>
              </w:tabs>
              <w:jc w:val="center"/>
              <w:rPr>
                <w:b/>
                <w:szCs w:val="22"/>
                <w:lang w:val="en-GB"/>
              </w:rPr>
            </w:pPr>
            <w:proofErr w:type="spellStart"/>
            <w:r>
              <w:rPr>
                <w:b/>
                <w:szCs w:val="22"/>
                <w:lang w:val="en-GB"/>
              </w:rPr>
              <w:t>Placebas</w:t>
            </w:r>
            <w:r>
              <w:rPr>
                <w:szCs w:val="22"/>
                <w:vertAlign w:val="superscript"/>
                <w:lang w:val="en-GB"/>
              </w:rPr>
              <w:t>a</w:t>
            </w:r>
            <w:proofErr w:type="spellEnd"/>
          </w:p>
        </w:tc>
      </w:tr>
      <w:tr w:rsidR="00E96E12" w14:paraId="6B4C41E9" w14:textId="77777777">
        <w:tc>
          <w:tcPr>
            <w:tcW w:w="2132" w:type="pct"/>
            <w:tcBorders>
              <w:top w:val="single" w:sz="4" w:space="0" w:color="auto"/>
              <w:left w:val="nil"/>
              <w:bottom w:val="single" w:sz="4" w:space="0" w:color="auto"/>
              <w:right w:val="nil"/>
            </w:tcBorders>
          </w:tcPr>
          <w:p w14:paraId="3C9E8C6B" w14:textId="77777777" w:rsidR="00E96E12" w:rsidRDefault="00E97765">
            <w:pPr>
              <w:widowControl w:val="0"/>
              <w:tabs>
                <w:tab w:val="left" w:pos="567"/>
              </w:tabs>
              <w:rPr>
                <w:szCs w:val="22"/>
                <w:vertAlign w:val="superscript"/>
                <w:lang w:val="en-GB"/>
              </w:rPr>
            </w:pPr>
            <w:r>
              <w:rPr>
                <w:szCs w:val="22"/>
                <w:lang w:val="en-GB"/>
              </w:rPr>
              <w:t>N</w:t>
            </w:r>
            <w:r>
              <w:rPr>
                <w:szCs w:val="22"/>
                <w:vertAlign w:val="superscript"/>
                <w:lang w:val="en-GB"/>
              </w:rPr>
              <w:t>b</w:t>
            </w:r>
          </w:p>
        </w:tc>
        <w:tc>
          <w:tcPr>
            <w:tcW w:w="1567" w:type="pct"/>
            <w:tcBorders>
              <w:top w:val="single" w:sz="4" w:space="0" w:color="auto"/>
              <w:left w:val="nil"/>
              <w:bottom w:val="single" w:sz="4" w:space="0" w:color="auto"/>
              <w:right w:val="nil"/>
            </w:tcBorders>
          </w:tcPr>
          <w:p w14:paraId="297DC9BA" w14:textId="77777777" w:rsidR="00E96E12" w:rsidRDefault="00E97765">
            <w:pPr>
              <w:widowControl w:val="0"/>
              <w:tabs>
                <w:tab w:val="left" w:pos="567"/>
              </w:tabs>
              <w:jc w:val="center"/>
              <w:rPr>
                <w:szCs w:val="22"/>
                <w:lang w:val="en-GB"/>
              </w:rPr>
            </w:pPr>
            <w:r>
              <w:rPr>
                <w:szCs w:val="22"/>
                <w:lang w:val="en-GB"/>
              </w:rPr>
              <w:t>159</w:t>
            </w:r>
          </w:p>
        </w:tc>
        <w:tc>
          <w:tcPr>
            <w:tcW w:w="1301" w:type="pct"/>
            <w:tcBorders>
              <w:top w:val="single" w:sz="4" w:space="0" w:color="auto"/>
              <w:left w:val="nil"/>
              <w:bottom w:val="single" w:sz="4" w:space="0" w:color="auto"/>
              <w:right w:val="nil"/>
            </w:tcBorders>
          </w:tcPr>
          <w:p w14:paraId="59B0B63E" w14:textId="77777777" w:rsidR="00E96E12" w:rsidRDefault="00E97765">
            <w:pPr>
              <w:widowControl w:val="0"/>
              <w:tabs>
                <w:tab w:val="left" w:pos="567"/>
              </w:tabs>
              <w:jc w:val="center"/>
              <w:rPr>
                <w:szCs w:val="22"/>
                <w:lang w:val="en-GB"/>
              </w:rPr>
            </w:pPr>
            <w:r>
              <w:rPr>
                <w:szCs w:val="22"/>
                <w:lang w:val="en-GB"/>
              </w:rPr>
              <w:t>161</w:t>
            </w:r>
          </w:p>
        </w:tc>
      </w:tr>
      <w:tr w:rsidR="00E96E12" w14:paraId="6F178E41" w14:textId="77777777">
        <w:tc>
          <w:tcPr>
            <w:tcW w:w="2132" w:type="pct"/>
            <w:tcBorders>
              <w:top w:val="single" w:sz="4" w:space="0" w:color="auto"/>
              <w:left w:val="nil"/>
              <w:bottom w:val="nil"/>
              <w:right w:val="nil"/>
            </w:tcBorders>
          </w:tcPr>
          <w:p w14:paraId="67897C3B" w14:textId="77777777" w:rsidR="00E96E12" w:rsidRDefault="00E97765">
            <w:pPr>
              <w:widowControl w:val="0"/>
              <w:tabs>
                <w:tab w:val="left" w:pos="567"/>
              </w:tabs>
              <w:rPr>
                <w:b/>
                <w:szCs w:val="22"/>
                <w:lang w:val="en-US"/>
              </w:rPr>
            </w:pPr>
            <w:r>
              <w:rPr>
                <w:b/>
                <w:szCs w:val="22"/>
                <w:lang w:val="en-US"/>
              </w:rPr>
              <w:t xml:space="preserve">HbA1c </w:t>
            </w:r>
            <w:proofErr w:type="spellStart"/>
            <w:r>
              <w:rPr>
                <w:b/>
                <w:szCs w:val="22"/>
                <w:lang w:val="en-US"/>
              </w:rPr>
              <w:t>koncentracija</w:t>
            </w:r>
            <w:proofErr w:type="spellEnd"/>
            <w:r>
              <w:rPr>
                <w:b/>
                <w:szCs w:val="22"/>
                <w:lang w:val="en-US"/>
              </w:rPr>
              <w:t xml:space="preserve"> (%)</w:t>
            </w:r>
          </w:p>
          <w:p w14:paraId="206FD58D" w14:textId="77777777" w:rsidR="00E96E12" w:rsidRDefault="00E97765">
            <w:pPr>
              <w:widowControl w:val="0"/>
              <w:tabs>
                <w:tab w:val="left" w:pos="567"/>
              </w:tabs>
              <w:rPr>
                <w:b/>
                <w:szCs w:val="22"/>
                <w:lang w:val="en-US"/>
              </w:rPr>
            </w:pPr>
            <w:proofErr w:type="spellStart"/>
            <w:r>
              <w:rPr>
                <w:szCs w:val="22"/>
                <w:lang w:val="en-US"/>
              </w:rPr>
              <w:t>Pradinė</w:t>
            </w:r>
            <w:proofErr w:type="spellEnd"/>
            <w:r>
              <w:rPr>
                <w:szCs w:val="22"/>
                <w:lang w:val="en-US"/>
              </w:rPr>
              <w:t xml:space="preserve"> (</w:t>
            </w:r>
            <w:proofErr w:type="spellStart"/>
            <w:r>
              <w:rPr>
                <w:szCs w:val="22"/>
                <w:lang w:val="en-US"/>
              </w:rPr>
              <w:t>vidurkis</w:t>
            </w:r>
            <w:proofErr w:type="spellEnd"/>
            <w:r>
              <w:rPr>
                <w:szCs w:val="22"/>
                <w:lang w:val="en-US"/>
              </w:rPr>
              <w:t>)</w:t>
            </w:r>
          </w:p>
        </w:tc>
        <w:tc>
          <w:tcPr>
            <w:tcW w:w="1567" w:type="pct"/>
            <w:tcBorders>
              <w:top w:val="single" w:sz="4" w:space="0" w:color="auto"/>
              <w:left w:val="nil"/>
              <w:bottom w:val="nil"/>
              <w:right w:val="nil"/>
            </w:tcBorders>
          </w:tcPr>
          <w:p w14:paraId="7D604E32" w14:textId="77777777" w:rsidR="00E96E12" w:rsidRDefault="00E96E12">
            <w:pPr>
              <w:widowControl w:val="0"/>
              <w:tabs>
                <w:tab w:val="left" w:pos="567"/>
              </w:tabs>
              <w:jc w:val="center"/>
              <w:rPr>
                <w:szCs w:val="22"/>
                <w:lang w:val="en-GB"/>
              </w:rPr>
            </w:pPr>
          </w:p>
          <w:p w14:paraId="72A4DB68" w14:textId="77777777" w:rsidR="00E96E12" w:rsidRDefault="00E97765">
            <w:pPr>
              <w:widowControl w:val="0"/>
              <w:tabs>
                <w:tab w:val="left" w:pos="567"/>
              </w:tabs>
              <w:jc w:val="center"/>
              <w:rPr>
                <w:szCs w:val="22"/>
                <w:lang w:val="en-GB"/>
              </w:rPr>
            </w:pPr>
            <w:r>
              <w:rPr>
                <w:szCs w:val="22"/>
                <w:lang w:val="en-GB"/>
              </w:rPr>
              <w:t>8,35</w:t>
            </w:r>
          </w:p>
        </w:tc>
        <w:tc>
          <w:tcPr>
            <w:tcW w:w="1301" w:type="pct"/>
            <w:tcBorders>
              <w:top w:val="single" w:sz="4" w:space="0" w:color="auto"/>
              <w:left w:val="nil"/>
              <w:bottom w:val="nil"/>
              <w:right w:val="nil"/>
            </w:tcBorders>
          </w:tcPr>
          <w:p w14:paraId="39821FBD" w14:textId="77777777" w:rsidR="00E96E12" w:rsidRDefault="00E96E12">
            <w:pPr>
              <w:widowControl w:val="0"/>
              <w:tabs>
                <w:tab w:val="left" w:pos="567"/>
              </w:tabs>
              <w:jc w:val="center"/>
              <w:rPr>
                <w:szCs w:val="22"/>
                <w:lang w:val="en-GB"/>
              </w:rPr>
            </w:pPr>
          </w:p>
          <w:p w14:paraId="50087259" w14:textId="77777777" w:rsidR="00E96E12" w:rsidRDefault="00E97765">
            <w:pPr>
              <w:widowControl w:val="0"/>
              <w:tabs>
                <w:tab w:val="left" w:pos="567"/>
              </w:tabs>
              <w:jc w:val="center"/>
              <w:rPr>
                <w:szCs w:val="22"/>
                <w:lang w:val="en-GB"/>
              </w:rPr>
            </w:pPr>
            <w:r>
              <w:rPr>
                <w:szCs w:val="22"/>
                <w:lang w:val="en-GB"/>
              </w:rPr>
              <w:t>8,03</w:t>
            </w:r>
          </w:p>
        </w:tc>
      </w:tr>
      <w:tr w:rsidR="00E96E12" w14:paraId="1D8466B7" w14:textId="77777777">
        <w:tc>
          <w:tcPr>
            <w:tcW w:w="2132" w:type="pct"/>
            <w:tcBorders>
              <w:top w:val="nil"/>
              <w:left w:val="nil"/>
              <w:bottom w:val="nil"/>
              <w:right w:val="nil"/>
            </w:tcBorders>
          </w:tcPr>
          <w:p w14:paraId="75B95037" w14:textId="77777777" w:rsidR="00E96E12" w:rsidRDefault="00E97765">
            <w:pPr>
              <w:widowControl w:val="0"/>
              <w:tabs>
                <w:tab w:val="left" w:pos="567"/>
              </w:tabs>
              <w:rPr>
                <w:szCs w:val="22"/>
                <w:lang w:val="en-US"/>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pradine</w:t>
            </w:r>
            <w:r>
              <w:rPr>
                <w:szCs w:val="22"/>
                <w:vertAlign w:val="superscript"/>
                <w:lang w:val="en-US"/>
              </w:rPr>
              <w:t>b</w:t>
            </w:r>
            <w:proofErr w:type="spellEnd"/>
          </w:p>
        </w:tc>
        <w:tc>
          <w:tcPr>
            <w:tcW w:w="1567" w:type="pct"/>
            <w:tcBorders>
              <w:top w:val="nil"/>
              <w:left w:val="nil"/>
              <w:bottom w:val="nil"/>
              <w:right w:val="nil"/>
            </w:tcBorders>
          </w:tcPr>
          <w:p w14:paraId="614750E1" w14:textId="77777777" w:rsidR="00E96E12" w:rsidRDefault="00E97765">
            <w:pPr>
              <w:widowControl w:val="0"/>
              <w:tabs>
                <w:tab w:val="left" w:pos="567"/>
              </w:tabs>
              <w:jc w:val="center"/>
              <w:rPr>
                <w:szCs w:val="22"/>
                <w:lang w:val="en-GB"/>
              </w:rPr>
            </w:pPr>
            <w:r>
              <w:rPr>
                <w:szCs w:val="22"/>
                <w:lang w:val="en-GB"/>
              </w:rPr>
              <w:t>-0,37</w:t>
            </w:r>
          </w:p>
        </w:tc>
        <w:tc>
          <w:tcPr>
            <w:tcW w:w="1301" w:type="pct"/>
            <w:tcBorders>
              <w:top w:val="nil"/>
              <w:left w:val="nil"/>
              <w:bottom w:val="nil"/>
              <w:right w:val="nil"/>
            </w:tcBorders>
          </w:tcPr>
          <w:p w14:paraId="07F6AE2B" w14:textId="77777777" w:rsidR="00E96E12" w:rsidRDefault="00E97765">
            <w:pPr>
              <w:widowControl w:val="0"/>
              <w:tabs>
                <w:tab w:val="left" w:pos="567"/>
              </w:tabs>
              <w:jc w:val="center"/>
              <w:rPr>
                <w:szCs w:val="22"/>
                <w:lang w:val="en-GB"/>
              </w:rPr>
            </w:pPr>
            <w:r>
              <w:rPr>
                <w:szCs w:val="22"/>
                <w:lang w:val="en-GB"/>
              </w:rPr>
              <w:t>-0,03</w:t>
            </w:r>
          </w:p>
        </w:tc>
      </w:tr>
      <w:tr w:rsidR="00E96E12" w14:paraId="450C2361" w14:textId="77777777">
        <w:tc>
          <w:tcPr>
            <w:tcW w:w="2132" w:type="pct"/>
            <w:tcBorders>
              <w:top w:val="nil"/>
              <w:left w:val="nil"/>
              <w:bottom w:val="nil"/>
              <w:right w:val="nil"/>
            </w:tcBorders>
          </w:tcPr>
          <w:p w14:paraId="7B652BB4" w14:textId="77777777" w:rsidR="00E96E12" w:rsidRDefault="00E97765">
            <w:pPr>
              <w:widowControl w:val="0"/>
              <w:tabs>
                <w:tab w:val="left" w:pos="567"/>
              </w:tabs>
              <w:rPr>
                <w:szCs w:val="22"/>
                <w:lang w:val="en-GB"/>
              </w:rPr>
            </w:pPr>
            <w:proofErr w:type="spellStart"/>
            <w:r>
              <w:rPr>
                <w:szCs w:val="22"/>
                <w:lang w:val="en-US"/>
              </w:rPr>
              <w:t>Skirtumas</w:t>
            </w:r>
            <w:proofErr w:type="spellEnd"/>
            <w:r>
              <w:rPr>
                <w:szCs w:val="22"/>
                <w:lang w:val="en-US"/>
              </w:rPr>
              <w:t xml:space="preserve"> </w:t>
            </w:r>
            <w:proofErr w:type="spellStart"/>
            <w:r>
              <w:rPr>
                <w:szCs w:val="22"/>
                <w:lang w:val="en-US"/>
              </w:rPr>
              <w:t>nuo</w:t>
            </w:r>
            <w:proofErr w:type="spellEnd"/>
            <w:r>
              <w:rPr>
                <w:szCs w:val="22"/>
                <w:lang w:val="en-US"/>
              </w:rPr>
              <w:t xml:space="preserve"> </w:t>
            </w:r>
            <w:proofErr w:type="spellStart"/>
            <w:r>
              <w:rPr>
                <w:szCs w:val="22"/>
                <w:lang w:val="en-US"/>
              </w:rPr>
              <w:t>placebo</w:t>
            </w:r>
            <w:r>
              <w:rPr>
                <w:szCs w:val="22"/>
                <w:vertAlign w:val="superscript"/>
                <w:lang w:val="en-US"/>
              </w:rPr>
              <w:t>b</w:t>
            </w:r>
            <w:proofErr w:type="spellEnd"/>
          </w:p>
        </w:tc>
        <w:tc>
          <w:tcPr>
            <w:tcW w:w="1567" w:type="pct"/>
            <w:tcBorders>
              <w:top w:val="nil"/>
              <w:left w:val="nil"/>
              <w:bottom w:val="nil"/>
              <w:right w:val="nil"/>
            </w:tcBorders>
          </w:tcPr>
          <w:p w14:paraId="734AA58D" w14:textId="77777777" w:rsidR="00E96E12" w:rsidRDefault="00E97765">
            <w:pPr>
              <w:widowControl w:val="0"/>
              <w:tabs>
                <w:tab w:val="left" w:pos="567"/>
              </w:tabs>
              <w:jc w:val="center"/>
              <w:rPr>
                <w:szCs w:val="22"/>
                <w:lang w:val="en-GB"/>
              </w:rPr>
            </w:pPr>
            <w:r>
              <w:rPr>
                <w:szCs w:val="22"/>
                <w:lang w:val="en-GB"/>
              </w:rPr>
              <w:t>-0,34</w:t>
            </w:r>
            <w:r>
              <w:rPr>
                <w:szCs w:val="22"/>
                <w:vertAlign w:val="superscript"/>
                <w:lang w:val="en-GB"/>
              </w:rPr>
              <w:t>*</w:t>
            </w:r>
          </w:p>
        </w:tc>
        <w:tc>
          <w:tcPr>
            <w:tcW w:w="1301" w:type="pct"/>
            <w:tcBorders>
              <w:top w:val="nil"/>
              <w:left w:val="nil"/>
              <w:bottom w:val="nil"/>
              <w:right w:val="nil"/>
            </w:tcBorders>
          </w:tcPr>
          <w:p w14:paraId="11BE1A85" w14:textId="77777777" w:rsidR="00E96E12" w:rsidRDefault="00E96E12">
            <w:pPr>
              <w:widowControl w:val="0"/>
              <w:tabs>
                <w:tab w:val="left" w:pos="567"/>
              </w:tabs>
              <w:jc w:val="center"/>
              <w:rPr>
                <w:szCs w:val="22"/>
                <w:lang w:val="en-GB"/>
              </w:rPr>
            </w:pPr>
          </w:p>
        </w:tc>
      </w:tr>
      <w:tr w:rsidR="00E96E12" w14:paraId="24B9010D" w14:textId="77777777">
        <w:tc>
          <w:tcPr>
            <w:tcW w:w="2132" w:type="pct"/>
            <w:tcBorders>
              <w:top w:val="nil"/>
              <w:left w:val="nil"/>
              <w:bottom w:val="single" w:sz="4" w:space="0" w:color="auto"/>
              <w:right w:val="nil"/>
            </w:tcBorders>
          </w:tcPr>
          <w:p w14:paraId="7DB60984" w14:textId="77777777" w:rsidR="00E96E12" w:rsidRDefault="00E97765">
            <w:pPr>
              <w:widowControl w:val="0"/>
              <w:tabs>
                <w:tab w:val="left" w:pos="567"/>
              </w:tabs>
              <w:rPr>
                <w:szCs w:val="22"/>
                <w:lang w:val="en-GB"/>
              </w:rPr>
            </w:pPr>
            <w:r>
              <w:rPr>
                <w:szCs w:val="22"/>
                <w:lang w:val="en-US"/>
              </w:rPr>
              <w:t>(95 % PI)</w:t>
            </w:r>
          </w:p>
        </w:tc>
        <w:tc>
          <w:tcPr>
            <w:tcW w:w="1567" w:type="pct"/>
            <w:tcBorders>
              <w:top w:val="nil"/>
              <w:left w:val="nil"/>
              <w:bottom w:val="single" w:sz="4" w:space="0" w:color="auto"/>
              <w:right w:val="nil"/>
            </w:tcBorders>
          </w:tcPr>
          <w:p w14:paraId="4B97FF85" w14:textId="77777777" w:rsidR="00E96E12" w:rsidRDefault="00E97765">
            <w:pPr>
              <w:widowControl w:val="0"/>
              <w:tabs>
                <w:tab w:val="left" w:pos="567"/>
              </w:tabs>
              <w:jc w:val="center"/>
              <w:rPr>
                <w:szCs w:val="22"/>
                <w:lang w:val="en-GB"/>
              </w:rPr>
            </w:pPr>
            <w:r>
              <w:rPr>
                <w:szCs w:val="22"/>
                <w:lang w:val="en-GB"/>
              </w:rPr>
              <w:t>(-0,53, -0,15)</w:t>
            </w:r>
          </w:p>
        </w:tc>
        <w:tc>
          <w:tcPr>
            <w:tcW w:w="1301" w:type="pct"/>
            <w:tcBorders>
              <w:top w:val="nil"/>
              <w:left w:val="nil"/>
              <w:bottom w:val="single" w:sz="4" w:space="0" w:color="auto"/>
              <w:right w:val="nil"/>
            </w:tcBorders>
          </w:tcPr>
          <w:p w14:paraId="213260D1" w14:textId="77777777" w:rsidR="00E96E12" w:rsidRDefault="00E96E12">
            <w:pPr>
              <w:widowControl w:val="0"/>
              <w:tabs>
                <w:tab w:val="left" w:pos="567"/>
              </w:tabs>
              <w:jc w:val="center"/>
              <w:rPr>
                <w:szCs w:val="22"/>
                <w:lang w:val="en-GB"/>
              </w:rPr>
            </w:pPr>
          </w:p>
        </w:tc>
      </w:tr>
      <w:tr w:rsidR="00E96E12" w14:paraId="15CA77F3" w14:textId="77777777">
        <w:tc>
          <w:tcPr>
            <w:tcW w:w="2132" w:type="pct"/>
            <w:tcBorders>
              <w:top w:val="single" w:sz="4" w:space="0" w:color="auto"/>
              <w:left w:val="nil"/>
              <w:bottom w:val="nil"/>
              <w:right w:val="nil"/>
            </w:tcBorders>
          </w:tcPr>
          <w:p w14:paraId="686A225E" w14:textId="77777777" w:rsidR="00E96E12" w:rsidRDefault="00E97765">
            <w:pPr>
              <w:widowControl w:val="0"/>
              <w:tabs>
                <w:tab w:val="left" w:pos="567"/>
              </w:tabs>
              <w:rPr>
                <w:szCs w:val="22"/>
                <w:lang w:val="en-GB"/>
              </w:rPr>
            </w:pPr>
            <w:proofErr w:type="spellStart"/>
            <w:r>
              <w:rPr>
                <w:b/>
                <w:szCs w:val="22"/>
                <w:lang w:val="en-US"/>
              </w:rPr>
              <w:t>Kūno</w:t>
            </w:r>
            <w:proofErr w:type="spellEnd"/>
            <w:r>
              <w:rPr>
                <w:b/>
                <w:szCs w:val="22"/>
                <w:lang w:val="en-US"/>
              </w:rPr>
              <w:t xml:space="preserve"> </w:t>
            </w:r>
            <w:proofErr w:type="spellStart"/>
            <w:r>
              <w:rPr>
                <w:b/>
                <w:szCs w:val="22"/>
                <w:lang w:val="en-US"/>
              </w:rPr>
              <w:t>svoris</w:t>
            </w:r>
            <w:proofErr w:type="spellEnd"/>
            <w:r>
              <w:rPr>
                <w:b/>
                <w:szCs w:val="22"/>
                <w:lang w:val="en-US"/>
              </w:rPr>
              <w:t xml:space="preserve"> (kg)</w:t>
            </w:r>
          </w:p>
        </w:tc>
        <w:tc>
          <w:tcPr>
            <w:tcW w:w="1567" w:type="pct"/>
            <w:tcBorders>
              <w:top w:val="single" w:sz="4" w:space="0" w:color="auto"/>
              <w:left w:val="nil"/>
              <w:bottom w:val="nil"/>
              <w:right w:val="nil"/>
            </w:tcBorders>
          </w:tcPr>
          <w:p w14:paraId="4AB55766" w14:textId="77777777" w:rsidR="00E96E12" w:rsidRDefault="00E96E12">
            <w:pPr>
              <w:widowControl w:val="0"/>
              <w:tabs>
                <w:tab w:val="left" w:pos="567"/>
              </w:tabs>
              <w:jc w:val="center"/>
              <w:rPr>
                <w:szCs w:val="22"/>
                <w:lang w:val="en-GB"/>
              </w:rPr>
            </w:pPr>
          </w:p>
        </w:tc>
        <w:tc>
          <w:tcPr>
            <w:tcW w:w="1301" w:type="pct"/>
            <w:tcBorders>
              <w:top w:val="single" w:sz="4" w:space="0" w:color="auto"/>
              <w:left w:val="nil"/>
              <w:bottom w:val="nil"/>
              <w:right w:val="nil"/>
            </w:tcBorders>
          </w:tcPr>
          <w:p w14:paraId="29E6C96F" w14:textId="77777777" w:rsidR="00E96E12" w:rsidRDefault="00E96E12">
            <w:pPr>
              <w:widowControl w:val="0"/>
              <w:tabs>
                <w:tab w:val="left" w:pos="567"/>
              </w:tabs>
              <w:jc w:val="center"/>
              <w:rPr>
                <w:szCs w:val="22"/>
                <w:lang w:val="en-GB"/>
              </w:rPr>
            </w:pPr>
          </w:p>
        </w:tc>
      </w:tr>
      <w:tr w:rsidR="00E96E12" w14:paraId="5F982D99" w14:textId="77777777">
        <w:tc>
          <w:tcPr>
            <w:tcW w:w="2132" w:type="pct"/>
            <w:tcBorders>
              <w:top w:val="nil"/>
              <w:left w:val="nil"/>
              <w:bottom w:val="nil"/>
              <w:right w:val="nil"/>
            </w:tcBorders>
          </w:tcPr>
          <w:p w14:paraId="136869D7" w14:textId="77777777" w:rsidR="00E96E12" w:rsidRDefault="00E97765">
            <w:pPr>
              <w:widowControl w:val="0"/>
              <w:tabs>
                <w:tab w:val="left" w:pos="567"/>
              </w:tabs>
              <w:rPr>
                <w:szCs w:val="22"/>
                <w:lang w:val="en-GB"/>
              </w:rPr>
            </w:pPr>
            <w:proofErr w:type="spellStart"/>
            <w:r>
              <w:rPr>
                <w:szCs w:val="22"/>
                <w:lang w:val="en-US"/>
              </w:rPr>
              <w:t>Pradinis</w:t>
            </w:r>
            <w:proofErr w:type="spellEnd"/>
            <w:r>
              <w:rPr>
                <w:szCs w:val="22"/>
                <w:lang w:val="en-US"/>
              </w:rPr>
              <w:t xml:space="preserve"> (</w:t>
            </w:r>
            <w:proofErr w:type="spellStart"/>
            <w:r>
              <w:rPr>
                <w:szCs w:val="22"/>
                <w:lang w:val="en-US"/>
              </w:rPr>
              <w:t>vidurkis</w:t>
            </w:r>
            <w:proofErr w:type="spellEnd"/>
            <w:r>
              <w:rPr>
                <w:szCs w:val="22"/>
                <w:lang w:val="en-US"/>
              </w:rPr>
              <w:t>)</w:t>
            </w:r>
          </w:p>
        </w:tc>
        <w:tc>
          <w:tcPr>
            <w:tcW w:w="1567" w:type="pct"/>
            <w:tcBorders>
              <w:top w:val="nil"/>
              <w:left w:val="nil"/>
              <w:bottom w:val="nil"/>
              <w:right w:val="nil"/>
            </w:tcBorders>
          </w:tcPr>
          <w:p w14:paraId="27B1184D" w14:textId="77777777" w:rsidR="00E96E12" w:rsidRDefault="00E97765">
            <w:pPr>
              <w:widowControl w:val="0"/>
              <w:tabs>
                <w:tab w:val="left" w:pos="567"/>
              </w:tabs>
              <w:jc w:val="center"/>
              <w:rPr>
                <w:szCs w:val="22"/>
                <w:lang w:val="en-GB"/>
              </w:rPr>
            </w:pPr>
            <w:r>
              <w:rPr>
                <w:szCs w:val="22"/>
                <w:lang w:val="en-GB"/>
              </w:rPr>
              <w:t>92,51</w:t>
            </w:r>
          </w:p>
        </w:tc>
        <w:tc>
          <w:tcPr>
            <w:tcW w:w="1301" w:type="pct"/>
            <w:tcBorders>
              <w:top w:val="nil"/>
              <w:left w:val="nil"/>
              <w:bottom w:val="nil"/>
              <w:right w:val="nil"/>
            </w:tcBorders>
          </w:tcPr>
          <w:p w14:paraId="4FFE087B" w14:textId="77777777" w:rsidR="00E96E12" w:rsidRDefault="00E97765">
            <w:pPr>
              <w:widowControl w:val="0"/>
              <w:tabs>
                <w:tab w:val="left" w:pos="567"/>
              </w:tabs>
              <w:jc w:val="center"/>
              <w:rPr>
                <w:szCs w:val="22"/>
                <w:lang w:val="en-GB"/>
              </w:rPr>
            </w:pPr>
            <w:r>
              <w:rPr>
                <w:szCs w:val="22"/>
                <w:lang w:val="en-GB"/>
              </w:rPr>
              <w:t>88,30</w:t>
            </w:r>
          </w:p>
        </w:tc>
      </w:tr>
      <w:tr w:rsidR="00E96E12" w14:paraId="485EC672" w14:textId="77777777">
        <w:tc>
          <w:tcPr>
            <w:tcW w:w="2132" w:type="pct"/>
            <w:tcBorders>
              <w:top w:val="nil"/>
              <w:left w:val="nil"/>
              <w:bottom w:val="nil"/>
              <w:right w:val="nil"/>
            </w:tcBorders>
          </w:tcPr>
          <w:p w14:paraId="6C1A3B65" w14:textId="77777777" w:rsidR="00E96E12" w:rsidRDefault="00E97765">
            <w:pPr>
              <w:widowControl w:val="0"/>
              <w:tabs>
                <w:tab w:val="left" w:pos="567"/>
              </w:tabs>
              <w:rPr>
                <w:szCs w:val="22"/>
                <w:lang w:val="en-GB"/>
              </w:rPr>
            </w:pPr>
            <w:proofErr w:type="spellStart"/>
            <w:r>
              <w:rPr>
                <w:szCs w:val="22"/>
                <w:lang w:val="en-US"/>
              </w:rPr>
              <w:t>Pokytis</w:t>
            </w:r>
            <w:proofErr w:type="spellEnd"/>
            <w:r>
              <w:rPr>
                <w:szCs w:val="22"/>
                <w:lang w:val="en-US"/>
              </w:rPr>
              <w:t xml:space="preserve"> </w:t>
            </w:r>
            <w:proofErr w:type="spellStart"/>
            <w:r>
              <w:rPr>
                <w:szCs w:val="22"/>
                <w:lang w:val="en-US"/>
              </w:rPr>
              <w:t>palyginus</w:t>
            </w:r>
            <w:proofErr w:type="spellEnd"/>
            <w:r>
              <w:rPr>
                <w:szCs w:val="22"/>
                <w:lang w:val="en-US"/>
              </w:rPr>
              <w:t xml:space="preserve"> </w:t>
            </w:r>
            <w:proofErr w:type="spellStart"/>
            <w:r>
              <w:rPr>
                <w:szCs w:val="22"/>
                <w:lang w:val="en-US"/>
              </w:rPr>
              <w:t>su</w:t>
            </w:r>
            <w:proofErr w:type="spellEnd"/>
            <w:r>
              <w:rPr>
                <w:szCs w:val="22"/>
                <w:lang w:val="en-US"/>
              </w:rPr>
              <w:t xml:space="preserve"> </w:t>
            </w:r>
            <w:proofErr w:type="spellStart"/>
            <w:r>
              <w:rPr>
                <w:szCs w:val="22"/>
                <w:lang w:val="en-US"/>
              </w:rPr>
              <w:t>pradiniu</w:t>
            </w:r>
            <w:r>
              <w:rPr>
                <w:szCs w:val="22"/>
                <w:vertAlign w:val="superscript"/>
                <w:lang w:val="en-US"/>
              </w:rPr>
              <w:t>c</w:t>
            </w:r>
            <w:proofErr w:type="spellEnd"/>
          </w:p>
        </w:tc>
        <w:tc>
          <w:tcPr>
            <w:tcW w:w="1567" w:type="pct"/>
            <w:tcBorders>
              <w:top w:val="nil"/>
              <w:left w:val="nil"/>
              <w:bottom w:val="nil"/>
              <w:right w:val="nil"/>
            </w:tcBorders>
          </w:tcPr>
          <w:p w14:paraId="45657259" w14:textId="77777777" w:rsidR="00E96E12" w:rsidRDefault="00E97765">
            <w:pPr>
              <w:widowControl w:val="0"/>
              <w:tabs>
                <w:tab w:val="left" w:pos="567"/>
              </w:tabs>
              <w:jc w:val="center"/>
              <w:rPr>
                <w:szCs w:val="22"/>
                <w:lang w:val="en-GB"/>
              </w:rPr>
            </w:pPr>
            <w:r>
              <w:rPr>
                <w:szCs w:val="22"/>
                <w:lang w:val="en-GB"/>
              </w:rPr>
              <w:t>-3,42</w:t>
            </w:r>
          </w:p>
        </w:tc>
        <w:tc>
          <w:tcPr>
            <w:tcW w:w="1301" w:type="pct"/>
            <w:tcBorders>
              <w:top w:val="nil"/>
              <w:left w:val="nil"/>
              <w:bottom w:val="nil"/>
              <w:right w:val="nil"/>
            </w:tcBorders>
          </w:tcPr>
          <w:p w14:paraId="5FE0A675" w14:textId="77777777" w:rsidR="00E96E12" w:rsidRDefault="00E97765">
            <w:pPr>
              <w:widowControl w:val="0"/>
              <w:tabs>
                <w:tab w:val="left" w:pos="567"/>
              </w:tabs>
              <w:jc w:val="center"/>
              <w:rPr>
                <w:szCs w:val="22"/>
                <w:lang w:val="en-GB"/>
              </w:rPr>
            </w:pPr>
            <w:r>
              <w:rPr>
                <w:szCs w:val="22"/>
                <w:lang w:val="en-GB"/>
              </w:rPr>
              <w:t>-2,02</w:t>
            </w:r>
          </w:p>
        </w:tc>
      </w:tr>
      <w:tr w:rsidR="00E96E12" w14:paraId="68EDDC78" w14:textId="77777777">
        <w:tc>
          <w:tcPr>
            <w:tcW w:w="2132" w:type="pct"/>
            <w:tcBorders>
              <w:top w:val="nil"/>
              <w:left w:val="nil"/>
              <w:bottom w:val="nil"/>
              <w:right w:val="nil"/>
            </w:tcBorders>
          </w:tcPr>
          <w:p w14:paraId="76EFEB7D" w14:textId="77777777" w:rsidR="00E96E12" w:rsidRDefault="00E97765">
            <w:pPr>
              <w:widowControl w:val="0"/>
              <w:tabs>
                <w:tab w:val="left" w:pos="567"/>
              </w:tabs>
              <w:rPr>
                <w:szCs w:val="22"/>
                <w:lang w:val="pt-PT"/>
              </w:rPr>
            </w:pPr>
            <w:r>
              <w:rPr>
                <w:szCs w:val="22"/>
                <w:lang w:val="pt-PT"/>
              </w:rPr>
              <w:t>Procentinio pokyčio skirtumas nuo placebo</w:t>
            </w:r>
            <w:r>
              <w:rPr>
                <w:szCs w:val="22"/>
                <w:vertAlign w:val="superscript"/>
                <w:lang w:val="pt-PT"/>
              </w:rPr>
              <w:t>c</w:t>
            </w:r>
          </w:p>
        </w:tc>
        <w:tc>
          <w:tcPr>
            <w:tcW w:w="1567" w:type="pct"/>
            <w:tcBorders>
              <w:top w:val="nil"/>
              <w:left w:val="nil"/>
              <w:bottom w:val="nil"/>
              <w:right w:val="nil"/>
            </w:tcBorders>
            <w:vAlign w:val="center"/>
          </w:tcPr>
          <w:p w14:paraId="6D29FFB6" w14:textId="77777777" w:rsidR="00E96E12" w:rsidRDefault="00E97765">
            <w:pPr>
              <w:widowControl w:val="0"/>
              <w:tabs>
                <w:tab w:val="left" w:pos="567"/>
              </w:tabs>
              <w:jc w:val="center"/>
              <w:rPr>
                <w:szCs w:val="22"/>
                <w:lang w:val="en-GB"/>
              </w:rPr>
            </w:pPr>
            <w:r>
              <w:rPr>
                <w:szCs w:val="22"/>
                <w:lang w:val="en-GB"/>
              </w:rPr>
              <w:t>-1,43</w:t>
            </w:r>
            <w:r>
              <w:rPr>
                <w:szCs w:val="22"/>
                <w:vertAlign w:val="superscript"/>
                <w:lang w:val="en-GB"/>
              </w:rPr>
              <w:t>*</w:t>
            </w:r>
          </w:p>
        </w:tc>
        <w:tc>
          <w:tcPr>
            <w:tcW w:w="1301" w:type="pct"/>
            <w:tcBorders>
              <w:top w:val="nil"/>
              <w:left w:val="nil"/>
              <w:bottom w:val="nil"/>
              <w:right w:val="nil"/>
            </w:tcBorders>
          </w:tcPr>
          <w:p w14:paraId="7F43D922" w14:textId="77777777" w:rsidR="00E96E12" w:rsidRDefault="00E96E12">
            <w:pPr>
              <w:widowControl w:val="0"/>
              <w:tabs>
                <w:tab w:val="left" w:pos="567"/>
              </w:tabs>
              <w:jc w:val="center"/>
              <w:rPr>
                <w:szCs w:val="22"/>
                <w:lang w:val="en-GB"/>
              </w:rPr>
            </w:pPr>
          </w:p>
        </w:tc>
      </w:tr>
      <w:tr w:rsidR="00E96E12" w14:paraId="69F3E1B2" w14:textId="77777777">
        <w:tc>
          <w:tcPr>
            <w:tcW w:w="2132" w:type="pct"/>
            <w:tcBorders>
              <w:top w:val="nil"/>
              <w:left w:val="nil"/>
              <w:bottom w:val="single" w:sz="4" w:space="0" w:color="auto"/>
              <w:right w:val="nil"/>
            </w:tcBorders>
          </w:tcPr>
          <w:p w14:paraId="082FCFD3" w14:textId="77777777" w:rsidR="00E96E12" w:rsidRDefault="00E97765">
            <w:pPr>
              <w:widowControl w:val="0"/>
              <w:tabs>
                <w:tab w:val="left" w:pos="567"/>
              </w:tabs>
              <w:rPr>
                <w:szCs w:val="22"/>
                <w:lang w:val="en-GB"/>
              </w:rPr>
            </w:pPr>
            <w:r>
              <w:rPr>
                <w:szCs w:val="22"/>
                <w:lang w:val="en-US"/>
              </w:rPr>
              <w:t>(95 % PI)</w:t>
            </w:r>
          </w:p>
        </w:tc>
        <w:tc>
          <w:tcPr>
            <w:tcW w:w="1567" w:type="pct"/>
            <w:tcBorders>
              <w:top w:val="nil"/>
              <w:left w:val="nil"/>
              <w:bottom w:val="single" w:sz="4" w:space="0" w:color="auto"/>
              <w:right w:val="nil"/>
            </w:tcBorders>
          </w:tcPr>
          <w:p w14:paraId="2D44782B" w14:textId="77777777" w:rsidR="00E96E12" w:rsidRDefault="00E97765">
            <w:pPr>
              <w:widowControl w:val="0"/>
              <w:tabs>
                <w:tab w:val="left" w:pos="567"/>
              </w:tabs>
              <w:jc w:val="center"/>
              <w:rPr>
                <w:szCs w:val="22"/>
                <w:lang w:val="en-GB"/>
              </w:rPr>
            </w:pPr>
            <w:r>
              <w:rPr>
                <w:szCs w:val="22"/>
                <w:lang w:val="en-GB"/>
              </w:rPr>
              <w:t>(-2,15, -0,69)</w:t>
            </w:r>
          </w:p>
        </w:tc>
        <w:tc>
          <w:tcPr>
            <w:tcW w:w="1301" w:type="pct"/>
            <w:tcBorders>
              <w:top w:val="nil"/>
              <w:left w:val="nil"/>
              <w:bottom w:val="single" w:sz="4" w:space="0" w:color="auto"/>
              <w:right w:val="nil"/>
            </w:tcBorders>
          </w:tcPr>
          <w:p w14:paraId="36C2CB09" w14:textId="77777777" w:rsidR="00E96E12" w:rsidRDefault="00E96E12">
            <w:pPr>
              <w:widowControl w:val="0"/>
              <w:tabs>
                <w:tab w:val="left" w:pos="567"/>
              </w:tabs>
              <w:jc w:val="center"/>
              <w:rPr>
                <w:szCs w:val="22"/>
                <w:lang w:val="en-GB"/>
              </w:rPr>
            </w:pPr>
          </w:p>
        </w:tc>
      </w:tr>
    </w:tbl>
    <w:p w14:paraId="4C266A2A"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 xml:space="preserve">a </w:t>
      </w:r>
      <w:proofErr w:type="spellStart"/>
      <w:r>
        <w:rPr>
          <w:rFonts w:eastAsia="TimesNewRoman"/>
          <w:sz w:val="18"/>
          <w:szCs w:val="18"/>
          <w:lang w:eastAsia="lt-LT"/>
        </w:rPr>
        <w:t>Metforminas</w:t>
      </w:r>
      <w:proofErr w:type="spellEnd"/>
      <w:r>
        <w:rPr>
          <w:rFonts w:eastAsia="TimesNewRoman"/>
          <w:sz w:val="18"/>
          <w:szCs w:val="18"/>
          <w:lang w:eastAsia="lt-LT"/>
        </w:rPr>
        <w:t xml:space="preserve"> arba </w:t>
      </w:r>
      <w:proofErr w:type="spellStart"/>
      <w:r>
        <w:rPr>
          <w:rFonts w:eastAsia="TimesNewRoman"/>
          <w:sz w:val="18"/>
          <w:szCs w:val="18"/>
          <w:lang w:eastAsia="lt-LT"/>
        </w:rPr>
        <w:t>metformino</w:t>
      </w:r>
      <w:proofErr w:type="spellEnd"/>
      <w:r>
        <w:rPr>
          <w:rFonts w:eastAsia="TimesNewRoman"/>
          <w:sz w:val="18"/>
          <w:szCs w:val="18"/>
          <w:lang w:eastAsia="lt-LT"/>
        </w:rPr>
        <w:t xml:space="preserve"> hidrochloridas buvo įprastinio gydymo dalis 69,4 % ir 64,0 % atitinkamai dapagliflozino ir placebo grupių pacientų.</w:t>
      </w:r>
    </w:p>
    <w:p w14:paraId="78C3BACD"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b</w:t>
      </w:r>
      <w:r>
        <w:rPr>
          <w:rFonts w:eastAsia="TimesNewRoman"/>
          <w:sz w:val="18"/>
          <w:szCs w:val="18"/>
          <w:lang w:eastAsia="lt-LT"/>
        </w:rPr>
        <w:t xml:space="preserve"> Mažiausių kvadratų metodu apskaičiuotas vidurkis, koreguotas pagal pradinę reikšmę.</w:t>
      </w:r>
    </w:p>
    <w:p w14:paraId="07E239BF"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c</w:t>
      </w:r>
      <w:r>
        <w:rPr>
          <w:rFonts w:eastAsia="TimesNewRoman"/>
          <w:sz w:val="18"/>
          <w:szCs w:val="18"/>
          <w:lang w:eastAsia="lt-LT"/>
        </w:rPr>
        <w:t xml:space="preserve"> Mažiausių kvadratų metodu apskaičiuotas vidurkis, koreguotas pagal pradinę reikšmę.</w:t>
      </w:r>
    </w:p>
    <w:p w14:paraId="0CCDFDD3"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p &lt; 0,001</w:t>
      </w:r>
    </w:p>
    <w:p w14:paraId="558F4C49" w14:textId="77777777" w:rsidR="00E96E12" w:rsidRDefault="00E96E12">
      <w:pPr>
        <w:autoSpaceDE w:val="0"/>
        <w:autoSpaceDN w:val="0"/>
        <w:adjustRightInd w:val="0"/>
        <w:rPr>
          <w:rFonts w:eastAsia="TimesNewRoman"/>
          <w:szCs w:val="22"/>
          <w:lang w:eastAsia="lt-LT"/>
        </w:rPr>
      </w:pPr>
    </w:p>
    <w:p w14:paraId="756E750B"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Pacientai, kurių HbA1c koncentracija iki tyrimo buvo ≥ 9 %</w:t>
      </w:r>
    </w:p>
    <w:p w14:paraId="298D0FB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Iš anksto numatyta asmenų, kurių HbA1c iki tyrimo buvo ≥ 9 %, duomenų analizė parodė, kad 10 mg dapagliflozino sukėlė statistikai reikšmingą HbA1c koncentracijos po 24 savaičių sumažėjimą taikius </w:t>
      </w:r>
      <w:proofErr w:type="spellStart"/>
      <w:r>
        <w:rPr>
          <w:rFonts w:eastAsia="TimesNewRoman"/>
          <w:szCs w:val="22"/>
          <w:lang w:eastAsia="lt-LT"/>
        </w:rPr>
        <w:t>monoterapiją</w:t>
      </w:r>
      <w:proofErr w:type="spellEnd"/>
      <w:r>
        <w:rPr>
          <w:rFonts w:eastAsia="TimesNewRoman"/>
          <w:szCs w:val="22"/>
          <w:lang w:eastAsia="lt-LT"/>
        </w:rPr>
        <w:t xml:space="preserve"> (vidutinis koreguotas pokytis, palyginus su buvusia iki tyrimo, 10 mg dapagliflozino vartojusiems pacientams buvo minus 2,04 %, o vartojusiems placebą – plius 0,19 %) ir jį vartojus papildomam kombinuotam gydymui kartu su </w:t>
      </w:r>
      <w:proofErr w:type="spellStart"/>
      <w:r>
        <w:rPr>
          <w:rFonts w:eastAsia="TimesNewRoman"/>
          <w:szCs w:val="22"/>
          <w:lang w:eastAsia="lt-LT"/>
        </w:rPr>
        <w:t>metforminu</w:t>
      </w:r>
      <w:proofErr w:type="spellEnd"/>
      <w:r>
        <w:rPr>
          <w:rFonts w:eastAsia="TimesNewRoman"/>
          <w:szCs w:val="22"/>
          <w:lang w:eastAsia="lt-LT"/>
        </w:rPr>
        <w:t xml:space="preserve"> (vidutinis koreguotas pokytis, palyginus su buvusia iki tyrimo, dapaglifloziną vartojusiems pacientams buvo minus 1,32 %, o vartojusiems placebą – minus 0,53 %).</w:t>
      </w:r>
    </w:p>
    <w:p w14:paraId="23A1E9D5" w14:textId="77777777" w:rsidR="00E96E12" w:rsidRDefault="00E96E12">
      <w:pPr>
        <w:autoSpaceDE w:val="0"/>
        <w:autoSpaceDN w:val="0"/>
        <w:adjustRightInd w:val="0"/>
        <w:rPr>
          <w:rFonts w:eastAsia="TimesNewRoman,Italic"/>
          <w:i/>
          <w:iCs/>
          <w:szCs w:val="22"/>
          <w:lang w:eastAsia="lt-LT"/>
        </w:rPr>
      </w:pPr>
    </w:p>
    <w:p w14:paraId="159442E2"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Kardiovaskulinės ir inkstų komplikacijos</w:t>
      </w:r>
    </w:p>
    <w:p w14:paraId="73D69BE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poveikio kardiovaskulinėms komplikacijoms (</w:t>
      </w:r>
      <w:r>
        <w:rPr>
          <w:rFonts w:eastAsia="TimesNewRoman,Italic"/>
          <w:i/>
          <w:iCs/>
          <w:szCs w:val="22"/>
          <w:lang w:eastAsia="lt-LT"/>
        </w:rPr>
        <w:t>DECLARE</w:t>
      </w:r>
      <w:r>
        <w:rPr>
          <w:rFonts w:eastAsia="TimesNewRoman"/>
          <w:szCs w:val="22"/>
          <w:lang w:eastAsia="lt-LT"/>
        </w:rPr>
        <w:t xml:space="preserve">) tyrimas buvo tarptautinis daugelio centrų </w:t>
      </w:r>
      <w:proofErr w:type="spellStart"/>
      <w:r>
        <w:rPr>
          <w:rFonts w:eastAsia="TimesNewRoman"/>
          <w:szCs w:val="22"/>
          <w:lang w:eastAsia="lt-LT"/>
        </w:rPr>
        <w:t>randomizuotas</w:t>
      </w:r>
      <w:proofErr w:type="spellEnd"/>
      <w:r>
        <w:rPr>
          <w:rFonts w:eastAsia="TimesNewRoman"/>
          <w:szCs w:val="22"/>
          <w:lang w:eastAsia="lt-LT"/>
        </w:rPr>
        <w:t xml:space="preserve"> dvigubai aklas placebu kontroliuotas klinikinis tyrimas, skirtas palyginti kartu su kitais vaistiniais preparatais papildomai vartojamo dapagliflozino ir placebo įtaką kardiovaskulinėms komplikacijoms. Visi pacientai sirgo 2 tipo cukriniu diabetu ir turėjo bent 2 papildomus kardiovaskulinės rizikos faktorius (vyrai turėjo bent 55 metus, moterys – bent 60 metų ir bent vieną iš šių sutrikimų: </w:t>
      </w:r>
      <w:proofErr w:type="spellStart"/>
      <w:r>
        <w:rPr>
          <w:rFonts w:eastAsia="TimesNewRoman"/>
          <w:szCs w:val="22"/>
          <w:lang w:eastAsia="lt-LT"/>
        </w:rPr>
        <w:t>dislipidemija</w:t>
      </w:r>
      <w:proofErr w:type="spellEnd"/>
      <w:r>
        <w:rPr>
          <w:rFonts w:eastAsia="TimesNewRoman"/>
          <w:szCs w:val="22"/>
          <w:lang w:eastAsia="lt-LT"/>
        </w:rPr>
        <w:t>, hipertenzija arba rūkymas šiuo metu) arba sirgo kardiovaskuline liga.</w:t>
      </w:r>
    </w:p>
    <w:p w14:paraId="0B28223F" w14:textId="77777777" w:rsidR="00E96E12" w:rsidRDefault="00E96E12">
      <w:pPr>
        <w:autoSpaceDE w:val="0"/>
        <w:autoSpaceDN w:val="0"/>
        <w:adjustRightInd w:val="0"/>
        <w:rPr>
          <w:rFonts w:eastAsia="TimesNewRoman"/>
          <w:szCs w:val="22"/>
          <w:lang w:eastAsia="lt-LT"/>
        </w:rPr>
      </w:pPr>
    </w:p>
    <w:p w14:paraId="1DB6943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6 974 iš 17 160 (40,6 %) </w:t>
      </w:r>
      <w:proofErr w:type="spellStart"/>
      <w:r>
        <w:rPr>
          <w:rFonts w:eastAsia="TimesNewRoman"/>
          <w:szCs w:val="22"/>
          <w:lang w:eastAsia="lt-LT"/>
        </w:rPr>
        <w:t>randomizuotų</w:t>
      </w:r>
      <w:proofErr w:type="spellEnd"/>
      <w:r>
        <w:rPr>
          <w:rFonts w:eastAsia="TimesNewRoman"/>
          <w:szCs w:val="22"/>
          <w:lang w:eastAsia="lt-LT"/>
        </w:rPr>
        <w:t xml:space="preserve"> pacientų sirgo kardiovaskulinėmis ligomis, o 10 186 (59,4 %) jų nebuvo diagnozuota. 8 582 pacientai buvo </w:t>
      </w:r>
      <w:proofErr w:type="spellStart"/>
      <w:r>
        <w:rPr>
          <w:rFonts w:eastAsia="TimesNewRoman"/>
          <w:szCs w:val="22"/>
          <w:lang w:eastAsia="lt-LT"/>
        </w:rPr>
        <w:t>randomizuoti</w:t>
      </w:r>
      <w:proofErr w:type="spellEnd"/>
      <w:r>
        <w:rPr>
          <w:rFonts w:eastAsia="TimesNewRoman"/>
          <w:szCs w:val="22"/>
          <w:lang w:eastAsia="lt-LT"/>
        </w:rPr>
        <w:t xml:space="preserve"> vartoti 10 mg dapagliflozino, o 8 578 – placebą. Jie stebėti laikotarpį, kurio mediana – 4,2 metų.</w:t>
      </w:r>
    </w:p>
    <w:p w14:paraId="0061E1B3" w14:textId="77777777" w:rsidR="00E96E12" w:rsidRDefault="00E96E12">
      <w:pPr>
        <w:autoSpaceDE w:val="0"/>
        <w:autoSpaceDN w:val="0"/>
        <w:adjustRightInd w:val="0"/>
        <w:rPr>
          <w:rFonts w:eastAsia="TimesNewRoman"/>
          <w:szCs w:val="22"/>
          <w:lang w:eastAsia="lt-LT"/>
        </w:rPr>
      </w:pPr>
    </w:p>
    <w:p w14:paraId="461C34F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Tirtų pacientų vidutinis amžius buvo 63,9 metų, 37,4 % buvo moterys. Iš viso 22,4 % sirgo diabetu ≤ 5 metus, vidutinė sirgimo diabetu trukmė buvo 11,9 metų. Vidutinė HbA1c koncentracija buvo 8,3 %, o vidutinis KMI – 32,1 kg/m</w:t>
      </w:r>
      <w:r>
        <w:rPr>
          <w:rFonts w:eastAsia="TimesNewRoman"/>
          <w:szCs w:val="22"/>
          <w:vertAlign w:val="superscript"/>
          <w:lang w:eastAsia="lt-LT"/>
        </w:rPr>
        <w:t>2</w:t>
      </w:r>
      <w:r>
        <w:rPr>
          <w:rFonts w:eastAsia="TimesNewRoman"/>
          <w:szCs w:val="22"/>
          <w:lang w:eastAsia="lt-LT"/>
        </w:rPr>
        <w:t>.</w:t>
      </w:r>
    </w:p>
    <w:p w14:paraId="4328D6A0" w14:textId="77777777" w:rsidR="00E96E12" w:rsidRDefault="00E96E12">
      <w:pPr>
        <w:autoSpaceDE w:val="0"/>
        <w:autoSpaceDN w:val="0"/>
        <w:adjustRightInd w:val="0"/>
        <w:rPr>
          <w:rFonts w:eastAsia="TimesNewRoman"/>
          <w:szCs w:val="22"/>
          <w:lang w:eastAsia="lt-LT"/>
        </w:rPr>
      </w:pPr>
    </w:p>
    <w:p w14:paraId="10BE99C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Įtraukiant į tyrimą, 10,0 % pacientų anamnezėje buvo širdies nepakankamumas. Vidutinis </w:t>
      </w:r>
      <w:proofErr w:type="spellStart"/>
      <w:r>
        <w:rPr>
          <w:rFonts w:eastAsia="TimesNewRoman"/>
          <w:szCs w:val="22"/>
          <w:lang w:eastAsia="lt-LT"/>
        </w:rPr>
        <w:t>aGFG</w:t>
      </w:r>
      <w:proofErr w:type="spellEnd"/>
      <w:r>
        <w:rPr>
          <w:rFonts w:eastAsia="TimesNewRoman"/>
          <w:szCs w:val="22"/>
          <w:lang w:eastAsia="lt-LT"/>
        </w:rPr>
        <w:t xml:space="preserve"> buvo 85,2 ml/min./1,73 m</w:t>
      </w:r>
      <w:r>
        <w:rPr>
          <w:rFonts w:eastAsia="TimesNewRoman"/>
          <w:szCs w:val="22"/>
          <w:vertAlign w:val="superscript"/>
          <w:lang w:eastAsia="lt-LT"/>
        </w:rPr>
        <w:t>2</w:t>
      </w:r>
      <w:r>
        <w:rPr>
          <w:rFonts w:eastAsia="TimesNewRoman"/>
          <w:szCs w:val="22"/>
          <w:lang w:eastAsia="lt-LT"/>
        </w:rPr>
        <w:t xml:space="preserve">, 7,4 % pacientų </w:t>
      </w:r>
      <w:proofErr w:type="spellStart"/>
      <w:r>
        <w:rPr>
          <w:rFonts w:eastAsia="TimesNewRoman"/>
          <w:szCs w:val="22"/>
          <w:lang w:eastAsia="lt-LT"/>
        </w:rPr>
        <w:t>aGFG</w:t>
      </w:r>
      <w:proofErr w:type="spellEnd"/>
      <w:r>
        <w:rPr>
          <w:rFonts w:eastAsia="TimesNewRoman"/>
          <w:szCs w:val="22"/>
          <w:lang w:eastAsia="lt-LT"/>
        </w:rPr>
        <w:t xml:space="preserve"> buvo &lt; 60 ml/min./1,73 m</w:t>
      </w:r>
      <w:r>
        <w:rPr>
          <w:rFonts w:eastAsia="TimesNewRoman"/>
          <w:szCs w:val="22"/>
          <w:vertAlign w:val="superscript"/>
          <w:lang w:eastAsia="lt-LT"/>
        </w:rPr>
        <w:t>2</w:t>
      </w:r>
      <w:r>
        <w:rPr>
          <w:rFonts w:eastAsia="TimesNewRoman"/>
          <w:szCs w:val="22"/>
          <w:lang w:eastAsia="lt-LT"/>
        </w:rPr>
        <w:t xml:space="preserve">, 30,3 % pacientų rasta </w:t>
      </w:r>
      <w:proofErr w:type="spellStart"/>
      <w:r>
        <w:rPr>
          <w:rFonts w:eastAsia="TimesNewRoman"/>
          <w:szCs w:val="22"/>
          <w:lang w:eastAsia="lt-LT"/>
        </w:rPr>
        <w:t>mikroarba</w:t>
      </w:r>
      <w:proofErr w:type="spellEnd"/>
      <w:r>
        <w:rPr>
          <w:rFonts w:eastAsia="TimesNewRoman"/>
          <w:szCs w:val="22"/>
          <w:lang w:eastAsia="lt-LT"/>
        </w:rPr>
        <w:t xml:space="preserve"> </w:t>
      </w:r>
      <w:proofErr w:type="spellStart"/>
      <w:r>
        <w:rPr>
          <w:rFonts w:eastAsia="TimesNewRoman"/>
          <w:szCs w:val="22"/>
          <w:lang w:eastAsia="lt-LT"/>
        </w:rPr>
        <w:t>makroalbuminurija</w:t>
      </w:r>
      <w:proofErr w:type="spellEnd"/>
      <w:r>
        <w:rPr>
          <w:rFonts w:eastAsia="TimesNewRoman"/>
          <w:szCs w:val="22"/>
          <w:lang w:eastAsia="lt-LT"/>
        </w:rPr>
        <w:t xml:space="preserve">, </w:t>
      </w:r>
      <w:proofErr w:type="spellStart"/>
      <w:r>
        <w:rPr>
          <w:rFonts w:eastAsia="TimesNewRoman"/>
          <w:szCs w:val="22"/>
          <w:lang w:eastAsia="lt-LT"/>
        </w:rPr>
        <w:t>t.y</w:t>
      </w:r>
      <w:proofErr w:type="spellEnd"/>
      <w:r>
        <w:rPr>
          <w:rFonts w:eastAsia="TimesNewRoman"/>
          <w:szCs w:val="22"/>
          <w:lang w:eastAsia="lt-LT"/>
        </w:rPr>
        <w:t xml:space="preserve">. </w:t>
      </w:r>
      <w:proofErr w:type="spellStart"/>
      <w:r>
        <w:rPr>
          <w:rFonts w:eastAsia="TimesNewRoman"/>
          <w:szCs w:val="22"/>
          <w:lang w:eastAsia="lt-LT"/>
        </w:rPr>
        <w:t>albumino</w:t>
      </w:r>
      <w:proofErr w:type="spellEnd"/>
      <w:r>
        <w:rPr>
          <w:rFonts w:eastAsia="TimesNewRoman"/>
          <w:szCs w:val="22"/>
          <w:lang w:eastAsia="lt-LT"/>
        </w:rPr>
        <w:t xml:space="preserve"> ir kreatinino kiekio šlapime santykis (UACR) buvo atitinkamai nuo ≥ 30 iki ≤ 300 mg/g arba &gt; 30 mg/g.</w:t>
      </w:r>
    </w:p>
    <w:p w14:paraId="7B1D74F3" w14:textId="77777777" w:rsidR="00E96E12" w:rsidRDefault="00E96E12">
      <w:pPr>
        <w:autoSpaceDE w:val="0"/>
        <w:autoSpaceDN w:val="0"/>
        <w:adjustRightInd w:val="0"/>
        <w:rPr>
          <w:rFonts w:eastAsia="TimesNewRoman"/>
          <w:szCs w:val="22"/>
          <w:lang w:eastAsia="lt-LT"/>
        </w:rPr>
      </w:pPr>
    </w:p>
    <w:p w14:paraId="341C877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Dauguma (98 %) pacientų įtraukiant į tyrimą vartojo vieną arba kelis vaistinius preparatus nuo diabeto, įskaitant </w:t>
      </w:r>
      <w:proofErr w:type="spellStart"/>
      <w:r>
        <w:rPr>
          <w:rFonts w:eastAsia="TimesNewRoman"/>
          <w:szCs w:val="22"/>
          <w:lang w:eastAsia="lt-LT"/>
        </w:rPr>
        <w:t>metforminą</w:t>
      </w:r>
      <w:proofErr w:type="spellEnd"/>
      <w:r>
        <w:rPr>
          <w:rFonts w:eastAsia="TimesNewRoman"/>
          <w:szCs w:val="22"/>
          <w:lang w:eastAsia="lt-LT"/>
        </w:rPr>
        <w:t xml:space="preserve"> (82 %), insuliną (41 %) ir </w:t>
      </w:r>
      <w:proofErr w:type="spellStart"/>
      <w:r>
        <w:rPr>
          <w:rFonts w:eastAsia="TimesNewRoman"/>
          <w:szCs w:val="22"/>
          <w:lang w:eastAsia="lt-LT"/>
        </w:rPr>
        <w:t>sulfonilkarbamidus</w:t>
      </w:r>
      <w:proofErr w:type="spellEnd"/>
      <w:r>
        <w:rPr>
          <w:rFonts w:eastAsia="TimesNewRoman"/>
          <w:szCs w:val="22"/>
          <w:lang w:eastAsia="lt-LT"/>
        </w:rPr>
        <w:t xml:space="preserve"> (43 %).</w:t>
      </w:r>
    </w:p>
    <w:p w14:paraId="4584A296" w14:textId="77777777" w:rsidR="00E96E12" w:rsidRDefault="00E96E12">
      <w:pPr>
        <w:autoSpaceDE w:val="0"/>
        <w:autoSpaceDN w:val="0"/>
        <w:adjustRightInd w:val="0"/>
        <w:rPr>
          <w:rFonts w:eastAsia="TimesNewRoman"/>
          <w:szCs w:val="22"/>
          <w:lang w:eastAsia="lt-LT"/>
        </w:rPr>
      </w:pPr>
    </w:p>
    <w:p w14:paraId="0C5E389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Pagrindinės vertinamosios baigtys buvo laikas iki pirmosios komplikacijos iš šių: kardiovaskulinė mirtis, miokardo infarktas arba išeminis insultas (</w:t>
      </w:r>
      <w:r>
        <w:rPr>
          <w:rFonts w:eastAsia="TimesNewRoman,Italic"/>
          <w:i/>
          <w:iCs/>
          <w:szCs w:val="22"/>
          <w:lang w:eastAsia="lt-LT"/>
        </w:rPr>
        <w:t>MACE</w:t>
      </w:r>
      <w:r>
        <w:rPr>
          <w:rFonts w:eastAsia="TimesNewRoman"/>
          <w:szCs w:val="22"/>
          <w:lang w:eastAsia="lt-LT"/>
        </w:rPr>
        <w:t>) ir laikas iki pirmosios hospitalizacijos dėl širdies nepakankamumo arba kardiovaskulinės mirties. Antrinės vertinamosios baigtys buvo sudėtinė inkstų baigtis ir mirtys dėl visų priežasčių.</w:t>
      </w:r>
    </w:p>
    <w:p w14:paraId="15AE12D6" w14:textId="77777777" w:rsidR="00E96E12" w:rsidRDefault="00E96E12">
      <w:pPr>
        <w:autoSpaceDE w:val="0"/>
        <w:autoSpaceDN w:val="0"/>
        <w:adjustRightInd w:val="0"/>
        <w:rPr>
          <w:rFonts w:eastAsia="TimesNewRoman,Italic"/>
          <w:i/>
          <w:iCs/>
          <w:szCs w:val="22"/>
          <w:lang w:eastAsia="lt-LT"/>
        </w:rPr>
      </w:pPr>
    </w:p>
    <w:p w14:paraId="521559A2"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Didžiosios kardiovaskulinės komplikacijos</w:t>
      </w:r>
    </w:p>
    <w:p w14:paraId="181C770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Nustatyta, kad 10 mg dapagliflozino poveikis sudėtinei baigčiai (kardiovaskulinė mirtis, miokardo infarktas, išeminis insultas) yra ne prastesnis negu placebo (vienos pusės p &lt; 0,001).</w:t>
      </w:r>
    </w:p>
    <w:p w14:paraId="170F96A6" w14:textId="77777777" w:rsidR="00E96E12" w:rsidRDefault="00E96E12">
      <w:pPr>
        <w:autoSpaceDE w:val="0"/>
        <w:autoSpaceDN w:val="0"/>
        <w:adjustRightInd w:val="0"/>
        <w:rPr>
          <w:rFonts w:eastAsia="TimesNewRoman,Italic"/>
          <w:i/>
          <w:iCs/>
          <w:szCs w:val="22"/>
          <w:lang w:eastAsia="lt-LT"/>
        </w:rPr>
      </w:pPr>
    </w:p>
    <w:p w14:paraId="4C1313E1"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Širdies nepakankamumas ir kardiovaskulinės mirtys</w:t>
      </w:r>
    </w:p>
    <w:p w14:paraId="12EE73B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Nustatytas 10 mg dapagliflozino pranašumas prieš placebą išvengiant sudėtinės baigties, kurią sudarė hospitalizacijos dėl širdies nepakankamumo ir kardiovaskulinės mirtys (1 pav.). Tą nulėmė skirtingas hospitalizacijų dėl širdies nepakankamumo dažnis, o kardiovaskulinių mirčių dažnis nesiskyrė (2 pav.).</w:t>
      </w:r>
    </w:p>
    <w:p w14:paraId="60D9BFD8" w14:textId="77777777" w:rsidR="00E96E12" w:rsidRDefault="00E96E12">
      <w:pPr>
        <w:autoSpaceDE w:val="0"/>
        <w:autoSpaceDN w:val="0"/>
        <w:adjustRightInd w:val="0"/>
        <w:rPr>
          <w:rFonts w:eastAsia="TimesNewRoman"/>
          <w:szCs w:val="22"/>
          <w:lang w:eastAsia="lt-LT"/>
        </w:rPr>
      </w:pPr>
    </w:p>
    <w:p w14:paraId="1CA19A3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pranašumas prieš placebą nustatytas iki tyrimo kardiovaskulinėmis ligomis sirgusiems ir jomis nesirgusiems pacientams, taip pat iki tyrimo širdies nepakankamumu sirgusiems ir juo nesirgusiems pacientams. Šis pranašumas nuosekliai pastebėtas pagrindiniuose pogrupiuose, sudarytuose pagal amžių, lytį, inkstų funkciją (</w:t>
      </w:r>
      <w:proofErr w:type="spellStart"/>
      <w:r>
        <w:rPr>
          <w:rFonts w:eastAsia="TimesNewRoman"/>
          <w:szCs w:val="22"/>
          <w:lang w:eastAsia="lt-LT"/>
        </w:rPr>
        <w:t>aGFG</w:t>
      </w:r>
      <w:proofErr w:type="spellEnd"/>
      <w:r>
        <w:rPr>
          <w:rFonts w:eastAsia="TimesNewRoman"/>
          <w:szCs w:val="22"/>
          <w:lang w:eastAsia="lt-LT"/>
        </w:rPr>
        <w:t>) ir regioną.</w:t>
      </w:r>
    </w:p>
    <w:p w14:paraId="7EA4D94F" w14:textId="77777777" w:rsidR="00E96E12" w:rsidRDefault="00E96E12">
      <w:pPr>
        <w:autoSpaceDE w:val="0"/>
        <w:autoSpaceDN w:val="0"/>
        <w:adjustRightInd w:val="0"/>
        <w:rPr>
          <w:rFonts w:eastAsia="TimesNewRoman,Bold"/>
          <w:b/>
          <w:bCs/>
          <w:szCs w:val="22"/>
          <w:lang w:eastAsia="lt-LT"/>
        </w:rPr>
      </w:pPr>
    </w:p>
    <w:p w14:paraId="15319C8B"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1 pav. Laikas iki pirmosios hospitalizacijos dėl širdies nepakankamumo arba kardiovaskulinės mirties</w:t>
      </w:r>
    </w:p>
    <w:p w14:paraId="2B4F4941" w14:textId="77777777" w:rsidR="00E96E12" w:rsidRDefault="00E97765">
      <w:pPr>
        <w:autoSpaceDE w:val="0"/>
        <w:autoSpaceDN w:val="0"/>
        <w:adjustRightInd w:val="0"/>
        <w:rPr>
          <w:rFonts w:eastAsia="TimesNewRoman"/>
          <w:szCs w:val="22"/>
          <w:lang w:eastAsia="lt-LT"/>
        </w:rPr>
      </w:pPr>
      <w:r w:rsidRPr="00233A36">
        <w:rPr>
          <w:noProof/>
        </w:rPr>
        <w:lastRenderedPageBreak/>
        <w:drawing>
          <wp:inline distT="0" distB="0" distL="0" distR="0" wp14:anchorId="51EEE2FE" wp14:editId="54870E27">
            <wp:extent cx="5286375" cy="3394656"/>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6375" cy="3394656"/>
                    </a:xfrm>
                    <a:prstGeom prst="rect">
                      <a:avLst/>
                    </a:prstGeom>
                    <a:noFill/>
                  </pic:spPr>
                </pic:pic>
              </a:graphicData>
            </a:graphic>
          </wp:inline>
        </w:drawing>
      </w:r>
    </w:p>
    <w:p w14:paraId="1BBA0467"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Pacientų su rizika skaičius – jų skaičius tam tikro laikotarpio pradžioje.</w:t>
      </w:r>
    </w:p>
    <w:p w14:paraId="4A47A953" w14:textId="77777777" w:rsidR="00E96E12" w:rsidRDefault="00E97765">
      <w:pPr>
        <w:autoSpaceDE w:val="0"/>
        <w:autoSpaceDN w:val="0"/>
        <w:adjustRightInd w:val="0"/>
        <w:rPr>
          <w:rFonts w:eastAsia="TimesNewRoman"/>
          <w:sz w:val="20"/>
          <w:szCs w:val="20"/>
          <w:lang w:eastAsia="lt-LT"/>
        </w:rPr>
      </w:pPr>
      <w:r>
        <w:rPr>
          <w:rFonts w:eastAsia="TimesNewRoman"/>
          <w:sz w:val="18"/>
          <w:szCs w:val="18"/>
          <w:lang w:eastAsia="lt-LT"/>
        </w:rPr>
        <w:t xml:space="preserve">HR – (angl. </w:t>
      </w:r>
      <w:proofErr w:type="spellStart"/>
      <w:r>
        <w:rPr>
          <w:rFonts w:eastAsia="TimesNewRoman,Italic"/>
          <w:i/>
          <w:iCs/>
          <w:sz w:val="18"/>
          <w:szCs w:val="18"/>
          <w:lang w:eastAsia="lt-LT"/>
        </w:rPr>
        <w:t>Hazard</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ratio</w:t>
      </w:r>
      <w:proofErr w:type="spellEnd"/>
      <w:r>
        <w:rPr>
          <w:rFonts w:eastAsia="TimesNewRoman"/>
          <w:sz w:val="18"/>
          <w:szCs w:val="18"/>
          <w:lang w:eastAsia="lt-LT"/>
        </w:rPr>
        <w:t xml:space="preserve">) – rizikos santykis, CI (angl. </w:t>
      </w:r>
      <w:proofErr w:type="spellStart"/>
      <w:r>
        <w:rPr>
          <w:rFonts w:eastAsia="TimesNewRoman,Italic"/>
          <w:i/>
          <w:iCs/>
          <w:sz w:val="18"/>
          <w:szCs w:val="18"/>
          <w:lang w:eastAsia="lt-LT"/>
        </w:rPr>
        <w:t>confidence</w:t>
      </w:r>
      <w:proofErr w:type="spellEnd"/>
      <w:r>
        <w:rPr>
          <w:rFonts w:eastAsia="TimesNewRoman,Italic"/>
          <w:i/>
          <w:iCs/>
          <w:sz w:val="18"/>
          <w:szCs w:val="18"/>
          <w:lang w:eastAsia="lt-LT"/>
        </w:rPr>
        <w:t xml:space="preserve"> </w:t>
      </w:r>
      <w:proofErr w:type="spellStart"/>
      <w:r>
        <w:rPr>
          <w:rFonts w:eastAsia="TimesNewRoman,Italic"/>
          <w:i/>
          <w:iCs/>
          <w:sz w:val="18"/>
          <w:szCs w:val="18"/>
          <w:lang w:eastAsia="lt-LT"/>
        </w:rPr>
        <w:t>interval</w:t>
      </w:r>
      <w:proofErr w:type="spellEnd"/>
      <w:r>
        <w:rPr>
          <w:rFonts w:eastAsia="TimesNewRoman"/>
          <w:sz w:val="18"/>
          <w:szCs w:val="18"/>
          <w:lang w:eastAsia="lt-LT"/>
        </w:rPr>
        <w:t xml:space="preserve">) – </w:t>
      </w:r>
      <w:proofErr w:type="spellStart"/>
      <w:r>
        <w:rPr>
          <w:rFonts w:eastAsia="TimesNewRoman"/>
          <w:sz w:val="18"/>
          <w:szCs w:val="18"/>
          <w:lang w:eastAsia="lt-LT"/>
        </w:rPr>
        <w:t>pasikliautinasis</w:t>
      </w:r>
      <w:proofErr w:type="spellEnd"/>
      <w:r>
        <w:rPr>
          <w:rFonts w:eastAsia="TimesNewRoman"/>
          <w:sz w:val="18"/>
          <w:szCs w:val="18"/>
          <w:lang w:eastAsia="lt-LT"/>
        </w:rPr>
        <w:t xml:space="preserve"> intervalas</w:t>
      </w:r>
    </w:p>
    <w:p w14:paraId="3A37C10D" w14:textId="77777777" w:rsidR="00E96E12" w:rsidRDefault="00E96E12">
      <w:pPr>
        <w:autoSpaceDE w:val="0"/>
        <w:autoSpaceDN w:val="0"/>
        <w:adjustRightInd w:val="0"/>
        <w:rPr>
          <w:rFonts w:eastAsia="TimesNewRoman"/>
          <w:sz w:val="20"/>
          <w:szCs w:val="20"/>
          <w:lang w:eastAsia="lt-LT"/>
        </w:rPr>
      </w:pPr>
    </w:p>
    <w:p w14:paraId="07F5D8C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Pirminių ir antrinių vertinamųjų baigčių duomenys pateikiami 2 pav. Dapagliflozino pranašumo prieš placebą pagal </w:t>
      </w:r>
      <w:r>
        <w:rPr>
          <w:rFonts w:eastAsia="TimesNewRoman,Italic"/>
          <w:i/>
          <w:iCs/>
          <w:szCs w:val="22"/>
          <w:lang w:eastAsia="lt-LT"/>
        </w:rPr>
        <w:t xml:space="preserve">MACE </w:t>
      </w:r>
      <w:r>
        <w:rPr>
          <w:rFonts w:eastAsia="TimesNewRoman"/>
          <w:szCs w:val="22"/>
          <w:lang w:eastAsia="lt-LT"/>
        </w:rPr>
        <w:t>nenustatyta (p = 0,172), todėl sudėtinė inkstų vertinamoji baigtis ir mirštamumas dėl visų priežasčių nebuvo tiriami kaip patvirtinamosios testavimo procedūros dalis.</w:t>
      </w:r>
    </w:p>
    <w:p w14:paraId="7D8A27F3" w14:textId="77777777" w:rsidR="00E96E12" w:rsidRDefault="00E96E12">
      <w:pPr>
        <w:autoSpaceDE w:val="0"/>
        <w:autoSpaceDN w:val="0"/>
        <w:adjustRightInd w:val="0"/>
        <w:rPr>
          <w:rFonts w:eastAsia="TimesNewRoman,Bold"/>
          <w:b/>
          <w:bCs/>
          <w:szCs w:val="22"/>
          <w:lang w:eastAsia="lt-LT"/>
        </w:rPr>
      </w:pPr>
    </w:p>
    <w:p w14:paraId="382B976E"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2 pav. Gydymo poveikis pagrindinėms ir antrinėms vertinamosioms baigtims bei jų komponentams</w:t>
      </w:r>
    </w:p>
    <w:p w14:paraId="7B5D1E11" w14:textId="77777777" w:rsidR="00E96E12" w:rsidRDefault="00E96E12">
      <w:pPr>
        <w:autoSpaceDE w:val="0"/>
        <w:autoSpaceDN w:val="0"/>
        <w:adjustRightInd w:val="0"/>
        <w:rPr>
          <w:rFonts w:eastAsia="TimesNewRoman,Bold"/>
          <w:b/>
          <w:bCs/>
          <w:szCs w:val="22"/>
          <w:lang w:eastAsia="lt-LT"/>
        </w:rPr>
      </w:pPr>
    </w:p>
    <w:p w14:paraId="3E575A7A" w14:textId="77777777" w:rsidR="00E96E12" w:rsidRDefault="00E97765">
      <w:pPr>
        <w:autoSpaceDE w:val="0"/>
        <w:autoSpaceDN w:val="0"/>
        <w:adjustRightInd w:val="0"/>
        <w:rPr>
          <w:rFonts w:eastAsia="TimesNewRoman,Bold"/>
          <w:b/>
          <w:bCs/>
          <w:szCs w:val="22"/>
          <w:lang w:eastAsia="lt-LT"/>
        </w:rPr>
      </w:pPr>
      <w:r w:rsidRPr="00233A36">
        <w:rPr>
          <w:b/>
          <w:noProof/>
        </w:rPr>
        <w:drawing>
          <wp:inline distT="0" distB="0" distL="0" distR="0" wp14:anchorId="5C36CCE0" wp14:editId="3D5E9DFE">
            <wp:extent cx="5755005" cy="293878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005" cy="2938780"/>
                    </a:xfrm>
                    <a:prstGeom prst="rect">
                      <a:avLst/>
                    </a:prstGeom>
                    <a:noFill/>
                  </pic:spPr>
                </pic:pic>
              </a:graphicData>
            </a:graphic>
          </wp:inline>
        </w:drawing>
      </w:r>
    </w:p>
    <w:p w14:paraId="3836CE2A"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xml:space="preserve">Sudėtinė inkstų vertinamoji baigtis apibrėžta kaip nuolatinis patvirtintas </w:t>
      </w:r>
      <w:proofErr w:type="spellStart"/>
      <w:r>
        <w:rPr>
          <w:rFonts w:eastAsia="TimesNewRoman"/>
          <w:sz w:val="18"/>
          <w:szCs w:val="18"/>
          <w:lang w:eastAsia="lt-LT"/>
        </w:rPr>
        <w:t>aGFG</w:t>
      </w:r>
      <w:proofErr w:type="spellEnd"/>
      <w:r>
        <w:rPr>
          <w:rFonts w:eastAsia="TimesNewRoman"/>
          <w:sz w:val="18"/>
          <w:szCs w:val="18"/>
          <w:lang w:eastAsia="lt-LT"/>
        </w:rPr>
        <w:t xml:space="preserve"> sumažėjimas ≥ 40 % iki </w:t>
      </w:r>
      <w:proofErr w:type="spellStart"/>
      <w:r>
        <w:rPr>
          <w:rFonts w:eastAsia="TimesNewRoman"/>
          <w:sz w:val="18"/>
          <w:szCs w:val="18"/>
          <w:lang w:eastAsia="lt-LT"/>
        </w:rPr>
        <w:t>aGFG</w:t>
      </w:r>
      <w:proofErr w:type="spellEnd"/>
      <w:r>
        <w:rPr>
          <w:rFonts w:eastAsia="TimesNewRoman"/>
          <w:sz w:val="18"/>
          <w:szCs w:val="18"/>
          <w:lang w:eastAsia="lt-LT"/>
        </w:rPr>
        <w:t xml:space="preserve"> &lt; 60 ml/min./1,73 m</w:t>
      </w:r>
      <w:r>
        <w:rPr>
          <w:rFonts w:eastAsia="TimesNewRoman"/>
          <w:sz w:val="18"/>
          <w:szCs w:val="18"/>
          <w:vertAlign w:val="superscript"/>
          <w:lang w:eastAsia="lt-LT"/>
        </w:rPr>
        <w:t>2</w:t>
      </w:r>
      <w:r>
        <w:rPr>
          <w:rFonts w:eastAsia="TimesNewRoman"/>
          <w:sz w:val="18"/>
          <w:szCs w:val="18"/>
          <w:lang w:eastAsia="lt-LT"/>
        </w:rPr>
        <w:t xml:space="preserve"> ir (arba) galutinės stadijos inkstų liga (dializės ≥ 90 dienų arba inksto persodinimas, nuolatinis patvirtintas </w:t>
      </w:r>
      <w:proofErr w:type="spellStart"/>
      <w:r>
        <w:rPr>
          <w:rFonts w:eastAsia="TimesNewRoman"/>
          <w:sz w:val="18"/>
          <w:szCs w:val="18"/>
          <w:lang w:eastAsia="lt-LT"/>
        </w:rPr>
        <w:t>aGFG</w:t>
      </w:r>
      <w:proofErr w:type="spellEnd"/>
      <w:r>
        <w:rPr>
          <w:rFonts w:eastAsia="TimesNewRoman"/>
          <w:sz w:val="18"/>
          <w:szCs w:val="18"/>
          <w:lang w:eastAsia="lt-LT"/>
        </w:rPr>
        <w:t xml:space="preserve"> &lt; 15 ml/min./1,73 m</w:t>
      </w:r>
      <w:r>
        <w:rPr>
          <w:rFonts w:eastAsia="TimesNewRoman"/>
          <w:sz w:val="18"/>
          <w:szCs w:val="18"/>
          <w:vertAlign w:val="superscript"/>
          <w:lang w:eastAsia="lt-LT"/>
        </w:rPr>
        <w:t>2</w:t>
      </w:r>
      <w:r>
        <w:rPr>
          <w:rFonts w:eastAsia="TimesNewRoman"/>
          <w:sz w:val="18"/>
          <w:szCs w:val="18"/>
          <w:lang w:eastAsia="lt-LT"/>
        </w:rPr>
        <w:t xml:space="preserve">) ir (arba) </w:t>
      </w:r>
      <w:proofErr w:type="spellStart"/>
      <w:r>
        <w:rPr>
          <w:rFonts w:eastAsia="TimesNewRoman"/>
          <w:sz w:val="18"/>
          <w:szCs w:val="18"/>
          <w:lang w:eastAsia="lt-LT"/>
        </w:rPr>
        <w:t>inkstinė</w:t>
      </w:r>
      <w:proofErr w:type="spellEnd"/>
      <w:r>
        <w:rPr>
          <w:rFonts w:eastAsia="TimesNewRoman"/>
          <w:sz w:val="18"/>
          <w:szCs w:val="18"/>
          <w:lang w:eastAsia="lt-LT"/>
        </w:rPr>
        <w:t xml:space="preserve"> arba kardiovaskulinė mirtis.</w:t>
      </w:r>
    </w:p>
    <w:p w14:paraId="299004EA"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 xml:space="preserve">p reikšmės yra dvipusės. Antrinių vertinamųjų baigčių ir atskirų komponentų p reikšmės yra nominalios. Laikas iki pirmosios komplikacijos analizuotas </w:t>
      </w:r>
      <w:proofErr w:type="spellStart"/>
      <w:r>
        <w:rPr>
          <w:rFonts w:eastAsia="TimesNewRoman,Italic"/>
          <w:i/>
          <w:iCs/>
          <w:sz w:val="18"/>
          <w:szCs w:val="18"/>
          <w:lang w:eastAsia="lt-LT"/>
        </w:rPr>
        <w:t>Cox</w:t>
      </w:r>
      <w:proofErr w:type="spellEnd"/>
      <w:r>
        <w:rPr>
          <w:rFonts w:eastAsia="TimesNewRoman,Italic"/>
          <w:i/>
          <w:iCs/>
          <w:sz w:val="18"/>
          <w:szCs w:val="18"/>
          <w:lang w:eastAsia="lt-LT"/>
        </w:rPr>
        <w:t xml:space="preserve"> </w:t>
      </w:r>
      <w:r>
        <w:rPr>
          <w:rFonts w:eastAsia="TimesNewRoman"/>
          <w:sz w:val="18"/>
          <w:szCs w:val="18"/>
          <w:lang w:eastAsia="lt-LT"/>
        </w:rPr>
        <w:t>proporcingos rizikos modeliu. Nurodytas pirmųjų komplikacijų skaičius pagal atskirus komponentus; vėlesnių komplikacijų skaičius nepridėtas ir prie sudėtinės vertinamosios baigties komplikacijų.</w:t>
      </w:r>
    </w:p>
    <w:p w14:paraId="15194ED1" w14:textId="77777777" w:rsidR="00E96E12" w:rsidRDefault="00E97765">
      <w:pPr>
        <w:ind w:left="567" w:hanging="567"/>
        <w:rPr>
          <w:rFonts w:eastAsia="TimesNewRoman"/>
          <w:sz w:val="18"/>
          <w:szCs w:val="18"/>
          <w:lang w:eastAsia="lt-LT"/>
        </w:rPr>
      </w:pPr>
      <w:r>
        <w:rPr>
          <w:rFonts w:eastAsia="TimesNewRoman"/>
          <w:sz w:val="18"/>
          <w:szCs w:val="18"/>
          <w:lang w:eastAsia="lt-LT"/>
        </w:rPr>
        <w:t xml:space="preserve">PI – </w:t>
      </w:r>
      <w:proofErr w:type="spellStart"/>
      <w:r>
        <w:rPr>
          <w:rFonts w:eastAsia="TimesNewRoman"/>
          <w:sz w:val="18"/>
          <w:szCs w:val="18"/>
          <w:lang w:eastAsia="lt-LT"/>
        </w:rPr>
        <w:t>pasikliautinasis</w:t>
      </w:r>
      <w:proofErr w:type="spellEnd"/>
      <w:r>
        <w:rPr>
          <w:rFonts w:eastAsia="TimesNewRoman"/>
          <w:sz w:val="18"/>
          <w:szCs w:val="18"/>
          <w:lang w:eastAsia="lt-LT"/>
        </w:rPr>
        <w:t xml:space="preserve"> intervalas</w:t>
      </w:r>
    </w:p>
    <w:p w14:paraId="06F1582F" w14:textId="77777777" w:rsidR="00E96E12" w:rsidRDefault="00E96E12">
      <w:pPr>
        <w:autoSpaceDE w:val="0"/>
        <w:autoSpaceDN w:val="0"/>
        <w:adjustRightInd w:val="0"/>
        <w:rPr>
          <w:rFonts w:eastAsia="TimesNewRoman,Italic"/>
          <w:i/>
          <w:iCs/>
          <w:szCs w:val="22"/>
          <w:lang w:eastAsia="lt-LT"/>
        </w:rPr>
      </w:pPr>
    </w:p>
    <w:p w14:paraId="73D0B5A6" w14:textId="77777777" w:rsidR="00E96E12" w:rsidRDefault="00E97765">
      <w:pPr>
        <w:autoSpaceDE w:val="0"/>
        <w:autoSpaceDN w:val="0"/>
        <w:adjustRightInd w:val="0"/>
        <w:rPr>
          <w:rFonts w:eastAsia="TimesNewRoman,Italic"/>
          <w:i/>
          <w:iCs/>
          <w:szCs w:val="22"/>
          <w:lang w:eastAsia="lt-LT"/>
        </w:rPr>
      </w:pPr>
      <w:proofErr w:type="spellStart"/>
      <w:r>
        <w:rPr>
          <w:rFonts w:eastAsia="TimesNewRoman,Italic"/>
          <w:i/>
          <w:iCs/>
          <w:szCs w:val="22"/>
          <w:lang w:eastAsia="lt-LT"/>
        </w:rPr>
        <w:t>Nefropatija</w:t>
      </w:r>
      <w:proofErr w:type="spellEnd"/>
    </w:p>
    <w:p w14:paraId="28D59273" w14:textId="77777777" w:rsidR="00E96E12" w:rsidRDefault="00E97765">
      <w:pPr>
        <w:autoSpaceDE w:val="0"/>
        <w:autoSpaceDN w:val="0"/>
        <w:adjustRightInd w:val="0"/>
        <w:rPr>
          <w:rFonts w:eastAsia="TimesNewRoman"/>
          <w:szCs w:val="22"/>
          <w:lang w:eastAsia="lt-LT"/>
        </w:rPr>
      </w:pPr>
      <w:r>
        <w:rPr>
          <w:rFonts w:eastAsia="TimesNewRoman"/>
          <w:szCs w:val="22"/>
          <w:lang w:eastAsia="lt-LT"/>
        </w:rPr>
        <w:lastRenderedPageBreak/>
        <w:t xml:space="preserve">Dapagliflozinas sumažino sudėtinės vertinamosios baigties, kurią sudarė patvirtintas nuolatinis </w:t>
      </w:r>
      <w:proofErr w:type="spellStart"/>
      <w:r>
        <w:rPr>
          <w:rFonts w:eastAsia="TimesNewRoman"/>
          <w:szCs w:val="22"/>
          <w:lang w:eastAsia="lt-LT"/>
        </w:rPr>
        <w:t>aGFG</w:t>
      </w:r>
      <w:proofErr w:type="spellEnd"/>
      <w:r>
        <w:rPr>
          <w:rFonts w:eastAsia="TimesNewRoman"/>
          <w:szCs w:val="22"/>
          <w:lang w:eastAsia="lt-LT"/>
        </w:rPr>
        <w:t xml:space="preserve"> sumažėjimas, galutinės stadijos inkstų liga bei </w:t>
      </w:r>
      <w:proofErr w:type="spellStart"/>
      <w:r>
        <w:rPr>
          <w:rFonts w:eastAsia="TimesNewRoman"/>
          <w:szCs w:val="22"/>
          <w:lang w:eastAsia="lt-LT"/>
        </w:rPr>
        <w:t>inkstinės</w:t>
      </w:r>
      <w:proofErr w:type="spellEnd"/>
      <w:r>
        <w:rPr>
          <w:rFonts w:eastAsia="TimesNewRoman"/>
          <w:szCs w:val="22"/>
          <w:lang w:eastAsia="lt-LT"/>
        </w:rPr>
        <w:t xml:space="preserve"> ir kardiovaskulinės mirtys, atvejų skaičių. Skirtumą tarp grupių nulėmė inkstų baigčių komponentai – užfiksuota mažiau nuolatinio </w:t>
      </w:r>
      <w:proofErr w:type="spellStart"/>
      <w:r>
        <w:rPr>
          <w:rFonts w:eastAsia="TimesNewRoman"/>
          <w:szCs w:val="22"/>
          <w:lang w:eastAsia="lt-LT"/>
        </w:rPr>
        <w:t>aGFG</w:t>
      </w:r>
      <w:proofErr w:type="spellEnd"/>
      <w:r>
        <w:rPr>
          <w:rFonts w:eastAsia="TimesNewRoman"/>
          <w:szCs w:val="22"/>
          <w:lang w:eastAsia="lt-LT"/>
        </w:rPr>
        <w:t xml:space="preserve"> sumažėjimo, galutinės stadijos inkstų ligos ir </w:t>
      </w:r>
      <w:proofErr w:type="spellStart"/>
      <w:r>
        <w:rPr>
          <w:rFonts w:eastAsia="TimesNewRoman"/>
          <w:szCs w:val="22"/>
          <w:lang w:eastAsia="lt-LT"/>
        </w:rPr>
        <w:t>inkstinės</w:t>
      </w:r>
      <w:proofErr w:type="spellEnd"/>
      <w:r>
        <w:rPr>
          <w:rFonts w:eastAsia="TimesNewRoman"/>
          <w:szCs w:val="22"/>
          <w:lang w:eastAsia="lt-LT"/>
        </w:rPr>
        <w:t xml:space="preserve"> mirties atvejų (2 pav.).</w:t>
      </w:r>
    </w:p>
    <w:p w14:paraId="2460040B" w14:textId="77777777" w:rsidR="00E96E12" w:rsidRDefault="00E96E12">
      <w:pPr>
        <w:autoSpaceDE w:val="0"/>
        <w:autoSpaceDN w:val="0"/>
        <w:adjustRightInd w:val="0"/>
        <w:rPr>
          <w:rFonts w:eastAsia="TimesNewRoman"/>
          <w:szCs w:val="22"/>
          <w:lang w:eastAsia="lt-LT"/>
        </w:rPr>
      </w:pPr>
    </w:p>
    <w:p w14:paraId="1287F1A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Laiko iki </w:t>
      </w:r>
      <w:proofErr w:type="spellStart"/>
      <w:r>
        <w:rPr>
          <w:rFonts w:eastAsia="TimesNewRoman"/>
          <w:szCs w:val="22"/>
          <w:lang w:eastAsia="lt-LT"/>
        </w:rPr>
        <w:t>nefropatijos</w:t>
      </w:r>
      <w:proofErr w:type="spellEnd"/>
      <w:r>
        <w:rPr>
          <w:rFonts w:eastAsia="TimesNewRoman"/>
          <w:szCs w:val="22"/>
          <w:lang w:eastAsia="lt-LT"/>
        </w:rPr>
        <w:t xml:space="preserve"> (nuolatinio </w:t>
      </w:r>
      <w:proofErr w:type="spellStart"/>
      <w:r>
        <w:rPr>
          <w:rFonts w:eastAsia="TimesNewRoman"/>
          <w:szCs w:val="22"/>
          <w:lang w:eastAsia="lt-LT"/>
        </w:rPr>
        <w:t>aGFG</w:t>
      </w:r>
      <w:proofErr w:type="spellEnd"/>
      <w:r>
        <w:rPr>
          <w:rFonts w:eastAsia="TimesNewRoman"/>
          <w:szCs w:val="22"/>
          <w:lang w:eastAsia="lt-LT"/>
        </w:rPr>
        <w:t xml:space="preserve"> sumažėjimo, galutinės stadijos inkstų ligos arba </w:t>
      </w:r>
      <w:proofErr w:type="spellStart"/>
      <w:r>
        <w:rPr>
          <w:rFonts w:eastAsia="TimesNewRoman"/>
          <w:szCs w:val="22"/>
          <w:lang w:eastAsia="lt-LT"/>
        </w:rPr>
        <w:t>inkstinės</w:t>
      </w:r>
      <w:proofErr w:type="spellEnd"/>
      <w:r>
        <w:rPr>
          <w:rFonts w:eastAsia="TimesNewRoman"/>
          <w:szCs w:val="22"/>
          <w:lang w:eastAsia="lt-LT"/>
        </w:rPr>
        <w:t xml:space="preserve"> mirties) pasireiškimo rizikos santykis (RS), palyginus dapaglifloziną su placebu, buvo 0,53 (95 % PI – nuo 0,43 iki 0,66).</w:t>
      </w:r>
    </w:p>
    <w:p w14:paraId="044ECE2B" w14:textId="77777777" w:rsidR="00E96E12" w:rsidRDefault="00E96E12">
      <w:pPr>
        <w:autoSpaceDE w:val="0"/>
        <w:autoSpaceDN w:val="0"/>
        <w:adjustRightInd w:val="0"/>
        <w:rPr>
          <w:rFonts w:eastAsia="TimesNewRoman"/>
          <w:szCs w:val="22"/>
          <w:lang w:eastAsia="lt-LT"/>
        </w:rPr>
      </w:pPr>
    </w:p>
    <w:p w14:paraId="5E47FF1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Be to, dapagliflozinas (palyginus su placebu) sumažino nuolatinės </w:t>
      </w:r>
      <w:proofErr w:type="spellStart"/>
      <w:r>
        <w:rPr>
          <w:rFonts w:eastAsia="TimesNewRoman"/>
          <w:szCs w:val="22"/>
          <w:lang w:eastAsia="lt-LT"/>
        </w:rPr>
        <w:t>albuminurijos</w:t>
      </w:r>
      <w:proofErr w:type="spellEnd"/>
      <w:r>
        <w:rPr>
          <w:rFonts w:eastAsia="TimesNewRoman"/>
          <w:szCs w:val="22"/>
          <w:lang w:eastAsia="lt-LT"/>
        </w:rPr>
        <w:t xml:space="preserve"> pirmojo pasireiškimo riziką (RS – 0,79, 95 % PI – nuo 0,72 iki 0,87) ir labiau sumažino </w:t>
      </w:r>
      <w:proofErr w:type="spellStart"/>
      <w:r>
        <w:rPr>
          <w:rFonts w:eastAsia="TimesNewRoman"/>
          <w:szCs w:val="22"/>
          <w:lang w:eastAsia="lt-LT"/>
        </w:rPr>
        <w:t>makroalbuminuriją</w:t>
      </w:r>
      <w:proofErr w:type="spellEnd"/>
      <w:r>
        <w:rPr>
          <w:rFonts w:eastAsia="TimesNewRoman"/>
          <w:szCs w:val="22"/>
          <w:lang w:eastAsia="lt-LT"/>
        </w:rPr>
        <w:t xml:space="preserve"> (RS – 1,82, 95 % PI – nuo 1,51 iki 2,20).</w:t>
      </w:r>
    </w:p>
    <w:p w14:paraId="0B1118E7" w14:textId="77777777" w:rsidR="00E96E12" w:rsidRDefault="00E96E12">
      <w:pPr>
        <w:autoSpaceDE w:val="0"/>
        <w:autoSpaceDN w:val="0"/>
        <w:adjustRightInd w:val="0"/>
        <w:rPr>
          <w:rFonts w:eastAsia="TimesNewRoman"/>
          <w:szCs w:val="22"/>
          <w:lang w:eastAsia="lt-LT"/>
        </w:rPr>
      </w:pPr>
    </w:p>
    <w:p w14:paraId="29F514B6"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Širdies nepakankamumas</w:t>
      </w:r>
    </w:p>
    <w:p w14:paraId="3A2845D6" w14:textId="77777777" w:rsidR="00E96E12" w:rsidRDefault="00E96E12">
      <w:pPr>
        <w:autoSpaceDE w:val="0"/>
        <w:autoSpaceDN w:val="0"/>
        <w:adjustRightInd w:val="0"/>
        <w:rPr>
          <w:rFonts w:eastAsia="TimesNewRoman"/>
          <w:szCs w:val="22"/>
          <w:lang w:eastAsia="lt-LT"/>
        </w:rPr>
      </w:pPr>
    </w:p>
    <w:p w14:paraId="360BF3AA"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 xml:space="preserve">DAPA-HF tyrimas: širdies nepakankamumas su sumažėjusia išstūmimo frakcija (LVEF </w:t>
      </w:r>
      <w:r>
        <w:rPr>
          <w:rFonts w:eastAsia="SimSun"/>
          <w:sz w:val="23"/>
          <w:szCs w:val="23"/>
          <w:u w:val="single"/>
          <w:lang w:eastAsia="lt-LT"/>
        </w:rPr>
        <w:t xml:space="preserve">≤ </w:t>
      </w:r>
      <w:r>
        <w:rPr>
          <w:rFonts w:eastAsia="TimesNewRoman,Italic"/>
          <w:i/>
          <w:iCs/>
          <w:szCs w:val="22"/>
          <w:u w:val="single"/>
          <w:lang w:eastAsia="lt-LT"/>
        </w:rPr>
        <w:t>40 %)</w:t>
      </w:r>
    </w:p>
    <w:p w14:paraId="038FA13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poveikio širdies nepakankamumo komplikacijų profilaktikai (angl. </w:t>
      </w:r>
      <w:proofErr w:type="spellStart"/>
      <w:r>
        <w:rPr>
          <w:rFonts w:eastAsia="TimesNewRoman,Italic"/>
          <w:i/>
          <w:iCs/>
          <w:szCs w:val="22"/>
          <w:lang w:eastAsia="lt-LT"/>
        </w:rPr>
        <w:t>Dapagliflozin</w:t>
      </w:r>
      <w:proofErr w:type="spellEnd"/>
      <w:r>
        <w:rPr>
          <w:rFonts w:eastAsia="TimesNewRoman,Italic"/>
          <w:i/>
          <w:iCs/>
          <w:szCs w:val="22"/>
          <w:lang w:eastAsia="lt-LT"/>
        </w:rPr>
        <w:t xml:space="preserve"> </w:t>
      </w:r>
      <w:proofErr w:type="spellStart"/>
      <w:r>
        <w:rPr>
          <w:rFonts w:eastAsia="TimesNewRoman,Italic"/>
          <w:i/>
          <w:iCs/>
          <w:szCs w:val="22"/>
          <w:lang w:eastAsia="lt-LT"/>
        </w:rPr>
        <w:t>And</w:t>
      </w:r>
      <w:proofErr w:type="spellEnd"/>
      <w:r>
        <w:rPr>
          <w:rFonts w:eastAsia="TimesNewRoman,Italic"/>
          <w:i/>
          <w:iCs/>
          <w:szCs w:val="22"/>
          <w:lang w:eastAsia="lt-LT"/>
        </w:rPr>
        <w:t xml:space="preserve"> </w:t>
      </w:r>
      <w:proofErr w:type="spellStart"/>
      <w:r>
        <w:rPr>
          <w:rFonts w:eastAsia="TimesNewRoman,Italic"/>
          <w:i/>
          <w:iCs/>
          <w:szCs w:val="22"/>
          <w:lang w:eastAsia="lt-LT"/>
        </w:rPr>
        <w:t>Prevention</w:t>
      </w:r>
      <w:proofErr w:type="spellEnd"/>
      <w:r>
        <w:rPr>
          <w:rFonts w:eastAsia="TimesNewRoman,Italic"/>
          <w:i/>
          <w:iCs/>
          <w:szCs w:val="22"/>
          <w:lang w:eastAsia="lt-LT"/>
        </w:rPr>
        <w:t xml:space="preserve"> </w:t>
      </w:r>
      <w:proofErr w:type="spellStart"/>
      <w:r>
        <w:rPr>
          <w:rFonts w:eastAsia="TimesNewRoman,Italic"/>
          <w:i/>
          <w:iCs/>
          <w:szCs w:val="22"/>
          <w:lang w:eastAsia="lt-LT"/>
        </w:rPr>
        <w:t>of</w:t>
      </w:r>
      <w:proofErr w:type="spellEnd"/>
      <w:r>
        <w:rPr>
          <w:rFonts w:eastAsia="TimesNewRoman,Italic"/>
          <w:i/>
          <w:iCs/>
          <w:szCs w:val="22"/>
          <w:lang w:eastAsia="lt-LT"/>
        </w:rPr>
        <w:t xml:space="preserve"> </w:t>
      </w:r>
      <w:proofErr w:type="spellStart"/>
      <w:r>
        <w:rPr>
          <w:rFonts w:eastAsia="TimesNewRoman,Italic"/>
          <w:i/>
          <w:iCs/>
          <w:szCs w:val="22"/>
          <w:lang w:eastAsia="lt-LT"/>
        </w:rPr>
        <w:t>Adverse</w:t>
      </w:r>
      <w:proofErr w:type="spellEnd"/>
      <w:r>
        <w:rPr>
          <w:rFonts w:eastAsia="TimesNewRoman,Italic"/>
          <w:i/>
          <w:iCs/>
          <w:szCs w:val="22"/>
          <w:lang w:eastAsia="lt-LT"/>
        </w:rPr>
        <w:t xml:space="preserve"> </w:t>
      </w:r>
      <w:proofErr w:type="spellStart"/>
      <w:r>
        <w:rPr>
          <w:rFonts w:eastAsia="TimesNewRoman,Italic"/>
          <w:i/>
          <w:iCs/>
          <w:szCs w:val="22"/>
          <w:lang w:eastAsia="lt-LT"/>
        </w:rPr>
        <w:t>outcomes</w:t>
      </w:r>
      <w:proofErr w:type="spellEnd"/>
      <w:r>
        <w:rPr>
          <w:rFonts w:eastAsia="TimesNewRoman,Italic"/>
          <w:i/>
          <w:iCs/>
          <w:szCs w:val="22"/>
          <w:lang w:eastAsia="lt-LT"/>
        </w:rPr>
        <w:t xml:space="preserve"> </w:t>
      </w:r>
      <w:proofErr w:type="spellStart"/>
      <w:r>
        <w:rPr>
          <w:rFonts w:eastAsia="TimesNewRoman,Italic"/>
          <w:i/>
          <w:iCs/>
          <w:szCs w:val="22"/>
          <w:lang w:eastAsia="lt-LT"/>
        </w:rPr>
        <w:t>in</w:t>
      </w:r>
      <w:proofErr w:type="spellEnd"/>
      <w:r>
        <w:rPr>
          <w:rFonts w:eastAsia="TimesNewRoman,Italic"/>
          <w:i/>
          <w:iCs/>
          <w:szCs w:val="22"/>
          <w:lang w:eastAsia="lt-LT"/>
        </w:rPr>
        <w:t xml:space="preserve"> </w:t>
      </w:r>
      <w:proofErr w:type="spellStart"/>
      <w:r>
        <w:rPr>
          <w:rFonts w:eastAsia="TimesNewRoman,Italic"/>
          <w:i/>
          <w:iCs/>
          <w:szCs w:val="22"/>
          <w:lang w:eastAsia="lt-LT"/>
        </w:rPr>
        <w:t>Heart</w:t>
      </w:r>
      <w:proofErr w:type="spellEnd"/>
      <w:r>
        <w:rPr>
          <w:rFonts w:eastAsia="TimesNewRoman,Italic"/>
          <w:i/>
          <w:iCs/>
          <w:szCs w:val="22"/>
          <w:lang w:eastAsia="lt-LT"/>
        </w:rPr>
        <w:t xml:space="preserve"> </w:t>
      </w:r>
      <w:proofErr w:type="spellStart"/>
      <w:r>
        <w:rPr>
          <w:rFonts w:eastAsia="TimesNewRoman,Italic"/>
          <w:i/>
          <w:iCs/>
          <w:szCs w:val="22"/>
          <w:lang w:eastAsia="lt-LT"/>
        </w:rPr>
        <w:t>Failure</w:t>
      </w:r>
      <w:proofErr w:type="spellEnd"/>
      <w:r>
        <w:rPr>
          <w:rFonts w:eastAsia="TimesNewRoman,Italic"/>
          <w:i/>
          <w:iCs/>
          <w:szCs w:val="22"/>
          <w:lang w:eastAsia="lt-LT"/>
        </w:rPr>
        <w:t xml:space="preserve">, </w:t>
      </w:r>
      <w:r>
        <w:rPr>
          <w:rFonts w:eastAsia="TimesNewRoman"/>
          <w:szCs w:val="22"/>
          <w:lang w:eastAsia="lt-LT"/>
        </w:rPr>
        <w:t>DAPA-HF) tyrimas buvo tarptautinis, daugelio</w:t>
      </w:r>
      <w:r>
        <w:rPr>
          <w:rFonts w:eastAsia="TimesNewRoman,Italic"/>
          <w:i/>
          <w:iCs/>
          <w:szCs w:val="22"/>
          <w:lang w:eastAsia="lt-LT"/>
        </w:rPr>
        <w:t xml:space="preserve"> </w:t>
      </w:r>
      <w:r>
        <w:rPr>
          <w:rFonts w:eastAsia="TimesNewRoman"/>
          <w:szCs w:val="22"/>
          <w:lang w:eastAsia="lt-LT"/>
        </w:rPr>
        <w:t xml:space="preserve">centrų, </w:t>
      </w:r>
      <w:proofErr w:type="spellStart"/>
      <w:r>
        <w:rPr>
          <w:rFonts w:eastAsia="TimesNewRoman"/>
          <w:szCs w:val="22"/>
          <w:lang w:eastAsia="lt-LT"/>
        </w:rPr>
        <w:t>randomizuotas</w:t>
      </w:r>
      <w:proofErr w:type="spellEnd"/>
      <w:r>
        <w:rPr>
          <w:rFonts w:eastAsia="TimesNewRoman"/>
          <w:szCs w:val="22"/>
          <w:lang w:eastAsia="lt-LT"/>
        </w:rPr>
        <w:t>, dvigubai aklas, kontroliuotas placebu. Jame dalyvavo II-IV funkcinių klasių</w:t>
      </w:r>
      <w:r>
        <w:rPr>
          <w:rFonts w:eastAsia="TimesNewRoman,Italic"/>
          <w:i/>
          <w:iCs/>
          <w:szCs w:val="22"/>
          <w:lang w:eastAsia="lt-LT"/>
        </w:rPr>
        <w:t xml:space="preserve"> </w:t>
      </w:r>
      <w:r>
        <w:rPr>
          <w:rFonts w:eastAsia="TimesNewRoman"/>
          <w:szCs w:val="22"/>
          <w:lang w:eastAsia="lt-LT"/>
        </w:rPr>
        <w:t xml:space="preserve">pagal Niujorko širdies asociaciją (angl. </w:t>
      </w:r>
      <w:proofErr w:type="spellStart"/>
      <w:r>
        <w:rPr>
          <w:rFonts w:eastAsia="TimesNewRoman,Italic"/>
          <w:i/>
          <w:iCs/>
          <w:szCs w:val="22"/>
          <w:lang w:eastAsia="lt-LT"/>
        </w:rPr>
        <w:t>New</w:t>
      </w:r>
      <w:proofErr w:type="spellEnd"/>
      <w:r>
        <w:rPr>
          <w:rFonts w:eastAsia="TimesNewRoman,Italic"/>
          <w:i/>
          <w:iCs/>
          <w:szCs w:val="22"/>
          <w:lang w:eastAsia="lt-LT"/>
        </w:rPr>
        <w:t xml:space="preserve"> York </w:t>
      </w:r>
      <w:proofErr w:type="spellStart"/>
      <w:r>
        <w:rPr>
          <w:rFonts w:eastAsia="TimesNewRoman,Italic"/>
          <w:i/>
          <w:iCs/>
          <w:szCs w:val="22"/>
          <w:lang w:eastAsia="lt-LT"/>
        </w:rPr>
        <w:t>Heart</w:t>
      </w:r>
      <w:proofErr w:type="spellEnd"/>
      <w:r>
        <w:rPr>
          <w:rFonts w:eastAsia="TimesNewRoman,Italic"/>
          <w:i/>
          <w:iCs/>
          <w:szCs w:val="22"/>
          <w:lang w:eastAsia="lt-LT"/>
        </w:rPr>
        <w:t xml:space="preserve"> </w:t>
      </w:r>
      <w:proofErr w:type="spellStart"/>
      <w:r>
        <w:rPr>
          <w:rFonts w:eastAsia="TimesNewRoman,Italic"/>
          <w:i/>
          <w:iCs/>
          <w:szCs w:val="22"/>
          <w:lang w:eastAsia="lt-LT"/>
        </w:rPr>
        <w:t>Association</w:t>
      </w:r>
      <w:proofErr w:type="spellEnd"/>
      <w:r>
        <w:rPr>
          <w:rFonts w:eastAsia="TimesNewRoman,Italic"/>
          <w:i/>
          <w:iCs/>
          <w:szCs w:val="22"/>
          <w:lang w:eastAsia="lt-LT"/>
        </w:rPr>
        <w:t>, NYHA</w:t>
      </w:r>
      <w:r>
        <w:rPr>
          <w:rFonts w:eastAsia="TimesNewRoman"/>
          <w:szCs w:val="22"/>
          <w:lang w:eastAsia="lt-LT"/>
        </w:rPr>
        <w:t>) su sumažėjusia (≤ 40 %)</w:t>
      </w:r>
      <w:r>
        <w:rPr>
          <w:rFonts w:eastAsia="TimesNewRoman,Italic"/>
          <w:i/>
          <w:iCs/>
          <w:szCs w:val="22"/>
          <w:lang w:eastAsia="lt-LT"/>
        </w:rPr>
        <w:t xml:space="preserve"> </w:t>
      </w:r>
      <w:r>
        <w:rPr>
          <w:rFonts w:eastAsia="TimesNewRoman"/>
          <w:szCs w:val="22"/>
          <w:lang w:eastAsia="lt-LT"/>
        </w:rPr>
        <w:t xml:space="preserve">išstūmimo frakcija (angl. </w:t>
      </w:r>
      <w:proofErr w:type="spellStart"/>
      <w:r>
        <w:rPr>
          <w:rFonts w:eastAsia="TimesNewRoman,Italic"/>
          <w:i/>
          <w:iCs/>
          <w:szCs w:val="22"/>
          <w:lang w:eastAsia="lt-LT"/>
        </w:rPr>
        <w:t>left</w:t>
      </w:r>
      <w:proofErr w:type="spellEnd"/>
      <w:r>
        <w:rPr>
          <w:rFonts w:eastAsia="TimesNewRoman,Italic"/>
          <w:i/>
          <w:iCs/>
          <w:szCs w:val="22"/>
          <w:lang w:eastAsia="lt-LT"/>
        </w:rPr>
        <w:t xml:space="preserve"> </w:t>
      </w:r>
      <w:proofErr w:type="spellStart"/>
      <w:r>
        <w:rPr>
          <w:rFonts w:eastAsia="TimesNewRoman,Italic"/>
          <w:i/>
          <w:iCs/>
          <w:szCs w:val="22"/>
          <w:lang w:eastAsia="lt-LT"/>
        </w:rPr>
        <w:t>ventricular</w:t>
      </w:r>
      <w:proofErr w:type="spellEnd"/>
      <w:r>
        <w:rPr>
          <w:rFonts w:eastAsia="TimesNewRoman,Italic"/>
          <w:i/>
          <w:iCs/>
          <w:szCs w:val="22"/>
          <w:lang w:eastAsia="lt-LT"/>
        </w:rPr>
        <w:t xml:space="preserve"> </w:t>
      </w:r>
      <w:proofErr w:type="spellStart"/>
      <w:r>
        <w:rPr>
          <w:rFonts w:eastAsia="TimesNewRoman,Italic"/>
          <w:i/>
          <w:iCs/>
          <w:szCs w:val="22"/>
          <w:lang w:eastAsia="lt-LT"/>
        </w:rPr>
        <w:t>ejection</w:t>
      </w:r>
      <w:proofErr w:type="spellEnd"/>
      <w:r>
        <w:rPr>
          <w:rFonts w:eastAsia="TimesNewRoman,Italic"/>
          <w:i/>
          <w:iCs/>
          <w:szCs w:val="22"/>
          <w:lang w:eastAsia="lt-LT"/>
        </w:rPr>
        <w:t xml:space="preserve"> </w:t>
      </w:r>
      <w:proofErr w:type="spellStart"/>
      <w:r>
        <w:rPr>
          <w:rFonts w:eastAsia="TimesNewRoman,Italic"/>
          <w:i/>
          <w:iCs/>
          <w:szCs w:val="22"/>
          <w:lang w:eastAsia="lt-LT"/>
        </w:rPr>
        <w:t>fraction</w:t>
      </w:r>
      <w:proofErr w:type="spellEnd"/>
      <w:r>
        <w:rPr>
          <w:rFonts w:eastAsia="TimesNewRoman,Italic"/>
          <w:i/>
          <w:iCs/>
          <w:szCs w:val="22"/>
          <w:lang w:eastAsia="lt-LT"/>
        </w:rPr>
        <w:t>, LVEF</w:t>
      </w:r>
      <w:r>
        <w:rPr>
          <w:rFonts w:eastAsia="TimesNewRoman"/>
          <w:szCs w:val="22"/>
          <w:lang w:eastAsia="lt-LT"/>
        </w:rPr>
        <w:t>) sirgę pacientai. Šio tyrimo metu</w:t>
      </w:r>
      <w:r>
        <w:rPr>
          <w:rFonts w:eastAsia="TimesNewRoman,Italic"/>
          <w:i/>
          <w:iCs/>
          <w:szCs w:val="22"/>
          <w:lang w:eastAsia="lt-LT"/>
        </w:rPr>
        <w:t xml:space="preserve"> </w:t>
      </w:r>
      <w:r>
        <w:rPr>
          <w:rFonts w:eastAsia="TimesNewRoman"/>
          <w:szCs w:val="22"/>
          <w:lang w:eastAsia="lt-LT"/>
        </w:rPr>
        <w:t>lygintas dapagliflozino ir placebo, vartojamų kartu su įprastiniu gydymu, poveikis kardiovaskulinės</w:t>
      </w:r>
      <w:r>
        <w:rPr>
          <w:rFonts w:eastAsia="TimesNewRoman,Italic"/>
          <w:i/>
          <w:iCs/>
          <w:szCs w:val="22"/>
          <w:lang w:eastAsia="lt-LT"/>
        </w:rPr>
        <w:t xml:space="preserve"> </w:t>
      </w:r>
      <w:r>
        <w:rPr>
          <w:rFonts w:eastAsia="TimesNewRoman"/>
          <w:szCs w:val="22"/>
          <w:lang w:eastAsia="lt-LT"/>
        </w:rPr>
        <w:t>mirties ir širdies nepakankamumo pasunkėjimo rizikai.</w:t>
      </w:r>
    </w:p>
    <w:p w14:paraId="3827A5E0" w14:textId="77777777" w:rsidR="00E96E12" w:rsidRDefault="00E96E12">
      <w:pPr>
        <w:autoSpaceDE w:val="0"/>
        <w:autoSpaceDN w:val="0"/>
        <w:adjustRightInd w:val="0"/>
        <w:rPr>
          <w:rFonts w:eastAsia="TimesNewRoman,Italic"/>
          <w:i/>
          <w:iCs/>
          <w:szCs w:val="22"/>
          <w:lang w:eastAsia="lt-LT"/>
        </w:rPr>
      </w:pPr>
    </w:p>
    <w:p w14:paraId="64134A6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2373 iš 4744 pacientų buvo </w:t>
      </w:r>
      <w:proofErr w:type="spellStart"/>
      <w:r>
        <w:rPr>
          <w:rFonts w:eastAsia="TimesNewRoman"/>
          <w:szCs w:val="22"/>
          <w:lang w:eastAsia="lt-LT"/>
        </w:rPr>
        <w:t>randomizuoti</w:t>
      </w:r>
      <w:proofErr w:type="spellEnd"/>
      <w:r>
        <w:rPr>
          <w:rFonts w:eastAsia="TimesNewRoman"/>
          <w:szCs w:val="22"/>
          <w:lang w:eastAsia="lt-LT"/>
        </w:rPr>
        <w:t xml:space="preserve"> vartoti 10 mg dapagliflozino ir 2371 – placebą. Jų stebėjimo laikotarpio mediana buvo 18 mėn. Tirtų pacientų amžiaus mediana buvo 66 metai, 77 % buvo vyrai.</w:t>
      </w:r>
    </w:p>
    <w:p w14:paraId="53195A6E" w14:textId="77777777" w:rsidR="00E96E12" w:rsidRDefault="00E96E12">
      <w:pPr>
        <w:autoSpaceDE w:val="0"/>
        <w:autoSpaceDN w:val="0"/>
        <w:adjustRightInd w:val="0"/>
        <w:rPr>
          <w:rFonts w:eastAsia="TimesNewRoman"/>
          <w:szCs w:val="22"/>
          <w:lang w:eastAsia="lt-LT"/>
        </w:rPr>
      </w:pPr>
    </w:p>
    <w:p w14:paraId="0EAF1D15"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Iš pradžių 67,5 % pacientų buvo nustatyta NYHA II klasė, 31,6 % – III klasė ir 0,9 % – IV klasė, LVEF mediana buvo 32 %. 56 % pacientų širdies nepakankamumas buvo išeminės, 36 % – neišeminės ir 8 % – nežinomos kilmės. Po 42 % abejų grupių pacientų anamnezėje buvo 2 tipo cukrinis diabetas, dar po 3 % abejų grupių pacientų 2 tipo cukrinis diabetas diagnozuotas remiantis įtraukimo ir </w:t>
      </w:r>
      <w:proofErr w:type="spellStart"/>
      <w:r>
        <w:rPr>
          <w:rFonts w:eastAsia="TimesNewRoman"/>
          <w:szCs w:val="22"/>
          <w:lang w:eastAsia="lt-LT"/>
        </w:rPr>
        <w:t>randomizacijos</w:t>
      </w:r>
      <w:proofErr w:type="spellEnd"/>
      <w:r>
        <w:rPr>
          <w:rFonts w:eastAsia="TimesNewRoman"/>
          <w:szCs w:val="22"/>
          <w:lang w:eastAsia="lt-LT"/>
        </w:rPr>
        <w:t xml:space="preserve"> metu rasta HbA1c koncentracija ≥ 6,5 %. Pacientams taikytas įprastinis gydymas: 94 % vartojo AKFI, ARB arba </w:t>
      </w:r>
      <w:proofErr w:type="spellStart"/>
      <w:r>
        <w:rPr>
          <w:rFonts w:eastAsia="TimesNewRoman"/>
          <w:szCs w:val="22"/>
          <w:lang w:eastAsia="lt-LT"/>
        </w:rPr>
        <w:t>angiotenzino</w:t>
      </w:r>
      <w:proofErr w:type="spellEnd"/>
      <w:r>
        <w:rPr>
          <w:rFonts w:eastAsia="TimesNewRoman"/>
          <w:szCs w:val="22"/>
          <w:lang w:eastAsia="lt-LT"/>
        </w:rPr>
        <w:t xml:space="preserve"> receptorių ir </w:t>
      </w:r>
      <w:proofErr w:type="spellStart"/>
      <w:r>
        <w:rPr>
          <w:rFonts w:eastAsia="TimesNewRoman"/>
          <w:szCs w:val="22"/>
          <w:lang w:eastAsia="lt-LT"/>
        </w:rPr>
        <w:t>neprilizino</w:t>
      </w:r>
      <w:proofErr w:type="spellEnd"/>
      <w:r>
        <w:rPr>
          <w:rFonts w:eastAsia="TimesNewRoman"/>
          <w:szCs w:val="22"/>
          <w:lang w:eastAsia="lt-LT"/>
        </w:rPr>
        <w:t xml:space="preserve"> inhibitorių (ARNI, 11 %), 96 % – beta blokatorių, 71 % </w:t>
      </w:r>
      <w:proofErr w:type="spellStart"/>
      <w:r>
        <w:rPr>
          <w:rFonts w:eastAsia="TimesNewRoman"/>
          <w:szCs w:val="22"/>
          <w:lang w:eastAsia="lt-LT"/>
        </w:rPr>
        <w:t>mineralokortikoidų</w:t>
      </w:r>
      <w:proofErr w:type="spellEnd"/>
      <w:r>
        <w:rPr>
          <w:rFonts w:eastAsia="TimesNewRoman"/>
          <w:szCs w:val="22"/>
          <w:lang w:eastAsia="lt-LT"/>
        </w:rPr>
        <w:t xml:space="preserve"> receptorių antagonistą (MRA), 93 % – diuretiką, o 26 % turėjo implantuotą prietaisą (su </w:t>
      </w:r>
      <w:proofErr w:type="spellStart"/>
      <w:r>
        <w:rPr>
          <w:rFonts w:eastAsia="TimesNewRoman"/>
          <w:szCs w:val="22"/>
          <w:lang w:eastAsia="lt-LT"/>
        </w:rPr>
        <w:t>defibriliatoriaus</w:t>
      </w:r>
      <w:proofErr w:type="spellEnd"/>
      <w:r>
        <w:rPr>
          <w:rFonts w:eastAsia="TimesNewRoman"/>
          <w:szCs w:val="22"/>
          <w:lang w:eastAsia="lt-LT"/>
        </w:rPr>
        <w:t xml:space="preserve"> funkcija).</w:t>
      </w:r>
    </w:p>
    <w:p w14:paraId="6EFB706A" w14:textId="77777777" w:rsidR="00E96E12" w:rsidRDefault="00E96E12">
      <w:pPr>
        <w:autoSpaceDE w:val="0"/>
        <w:autoSpaceDN w:val="0"/>
        <w:adjustRightInd w:val="0"/>
        <w:rPr>
          <w:rFonts w:eastAsia="TimesNewRoman"/>
          <w:szCs w:val="22"/>
          <w:lang w:eastAsia="lt-LT"/>
        </w:rPr>
      </w:pPr>
    </w:p>
    <w:p w14:paraId="3F147EC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Tirtų pacientų </w:t>
      </w:r>
      <w:proofErr w:type="spellStart"/>
      <w:r>
        <w:rPr>
          <w:rFonts w:eastAsia="TimesNewRoman"/>
          <w:szCs w:val="22"/>
          <w:lang w:eastAsia="lt-LT"/>
        </w:rPr>
        <w:t>aGFG</w:t>
      </w:r>
      <w:proofErr w:type="spellEnd"/>
      <w:r>
        <w:rPr>
          <w:rFonts w:eastAsia="TimesNewRoman"/>
          <w:szCs w:val="22"/>
          <w:lang w:eastAsia="lt-LT"/>
        </w:rPr>
        <w:t xml:space="preserve"> įtraukimo metu buvo ≥ 30 ml/min./1,73 m</w:t>
      </w:r>
      <w:r>
        <w:rPr>
          <w:rFonts w:eastAsia="TimesNewRoman"/>
          <w:sz w:val="14"/>
          <w:szCs w:val="14"/>
          <w:vertAlign w:val="superscript"/>
          <w:lang w:eastAsia="lt-LT"/>
        </w:rPr>
        <w:t>2</w:t>
      </w:r>
      <w:r>
        <w:rPr>
          <w:rFonts w:eastAsia="TimesNewRoman"/>
          <w:szCs w:val="22"/>
          <w:lang w:eastAsia="lt-LT"/>
        </w:rPr>
        <w:t xml:space="preserve">. </w:t>
      </w:r>
      <w:proofErr w:type="spellStart"/>
      <w:r>
        <w:rPr>
          <w:rFonts w:eastAsia="TimesNewRoman"/>
          <w:szCs w:val="22"/>
          <w:lang w:eastAsia="lt-LT"/>
        </w:rPr>
        <w:t>aGFG</w:t>
      </w:r>
      <w:proofErr w:type="spellEnd"/>
      <w:r>
        <w:rPr>
          <w:rFonts w:eastAsia="TimesNewRoman"/>
          <w:szCs w:val="22"/>
          <w:lang w:eastAsia="lt-LT"/>
        </w:rPr>
        <w:t xml:space="preserve"> mediana buvo 66 ml/min./1,73 m</w:t>
      </w:r>
      <w:r>
        <w:rPr>
          <w:rFonts w:eastAsia="TimesNewRoman"/>
          <w:szCs w:val="22"/>
          <w:vertAlign w:val="superscript"/>
          <w:lang w:eastAsia="lt-LT"/>
        </w:rPr>
        <w:t>2</w:t>
      </w:r>
      <w:r>
        <w:rPr>
          <w:rFonts w:eastAsia="TimesNewRoman"/>
          <w:szCs w:val="22"/>
          <w:lang w:eastAsia="lt-LT"/>
        </w:rPr>
        <w:t xml:space="preserve">, 41 % pacientų </w:t>
      </w:r>
      <w:proofErr w:type="spellStart"/>
      <w:r>
        <w:rPr>
          <w:rFonts w:eastAsia="TimesNewRoman"/>
          <w:szCs w:val="22"/>
          <w:lang w:eastAsia="lt-LT"/>
        </w:rPr>
        <w:t>aGFG</w:t>
      </w:r>
      <w:proofErr w:type="spellEnd"/>
      <w:r>
        <w:rPr>
          <w:rFonts w:eastAsia="TimesNewRoman"/>
          <w:szCs w:val="22"/>
          <w:lang w:eastAsia="lt-LT"/>
        </w:rPr>
        <w:t xml:space="preserve"> buvo &lt; 60 ml/min./1,73 m</w:t>
      </w:r>
      <w:r>
        <w:rPr>
          <w:rFonts w:eastAsia="TimesNewRoman"/>
          <w:szCs w:val="22"/>
          <w:vertAlign w:val="superscript"/>
          <w:lang w:eastAsia="lt-LT"/>
        </w:rPr>
        <w:t xml:space="preserve">2 </w:t>
      </w:r>
      <w:r>
        <w:rPr>
          <w:rFonts w:eastAsia="TimesNewRoman"/>
          <w:szCs w:val="22"/>
          <w:lang w:eastAsia="lt-LT"/>
        </w:rPr>
        <w:t>ir 15 % pacientų &lt; 45 ml/min./1,73 m</w:t>
      </w:r>
      <w:r>
        <w:rPr>
          <w:rFonts w:eastAsia="TimesNewRoman"/>
          <w:szCs w:val="22"/>
          <w:vertAlign w:val="superscript"/>
          <w:lang w:eastAsia="lt-LT"/>
        </w:rPr>
        <w:t>2</w:t>
      </w:r>
      <w:r>
        <w:rPr>
          <w:rFonts w:eastAsia="TimesNewRoman"/>
          <w:szCs w:val="22"/>
          <w:lang w:eastAsia="lt-LT"/>
        </w:rPr>
        <w:t>.</w:t>
      </w:r>
    </w:p>
    <w:p w14:paraId="10508445" w14:textId="77777777" w:rsidR="00E96E12" w:rsidRDefault="00E96E12">
      <w:pPr>
        <w:autoSpaceDE w:val="0"/>
        <w:autoSpaceDN w:val="0"/>
        <w:adjustRightInd w:val="0"/>
        <w:rPr>
          <w:rFonts w:eastAsia="TimesNewRoman"/>
          <w:szCs w:val="22"/>
          <w:lang w:eastAsia="lt-LT"/>
        </w:rPr>
      </w:pPr>
    </w:p>
    <w:p w14:paraId="7BEEF4B9"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Kardiovaskulinės mirtys ir širdies nepakankamumo pasunkėjimas</w:t>
      </w:r>
    </w:p>
    <w:p w14:paraId="192F5D1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Dapagliflozinas geriau už placebą apsaugojo nuo pagrindinės sudėtinės vertinamosios baigties, kurią sudarė kardiovaskulinės mirtys bei hospitalizacijos ir skubūs vizitai dėl širdies nepakankamumo (RS = 0,74, 95 % PI – nuo 0,65 iki 0,85, p &lt; 0,0001). Šis poveikis pasireiškė anksti ir išliko viso tyrimo metu (3 pav.).</w:t>
      </w:r>
    </w:p>
    <w:p w14:paraId="4913D769" w14:textId="77777777" w:rsidR="00E96E12" w:rsidRDefault="00E96E12">
      <w:pPr>
        <w:autoSpaceDE w:val="0"/>
        <w:autoSpaceDN w:val="0"/>
        <w:adjustRightInd w:val="0"/>
        <w:rPr>
          <w:rFonts w:eastAsia="TimesNewRoman"/>
          <w:szCs w:val="22"/>
          <w:lang w:eastAsia="lt-LT"/>
        </w:rPr>
      </w:pPr>
    </w:p>
    <w:p w14:paraId="193BA1A0"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3 pav. Laikas iki pirmojo sudėtinės baigties (kardiovaskulinės mirties arba hospitalizacijos ar skubaus vizito dėl širdies nepakankamumo) atvejo</w:t>
      </w:r>
    </w:p>
    <w:p w14:paraId="1FB43FBC" w14:textId="77777777" w:rsidR="00E96E12" w:rsidRDefault="00E97765">
      <w:pPr>
        <w:autoSpaceDE w:val="0"/>
        <w:autoSpaceDN w:val="0"/>
        <w:adjustRightInd w:val="0"/>
        <w:rPr>
          <w:rFonts w:eastAsia="TimesNewRoman,Bold"/>
          <w:b/>
          <w:bCs/>
          <w:szCs w:val="22"/>
          <w:lang w:eastAsia="lt-LT"/>
        </w:rPr>
      </w:pPr>
      <w:r w:rsidRPr="00233A36">
        <w:rPr>
          <w:b/>
          <w:noProof/>
        </w:rPr>
        <w:lastRenderedPageBreak/>
        <w:drawing>
          <wp:inline distT="0" distB="0" distL="0" distR="0" wp14:anchorId="71DFF356" wp14:editId="378710D2">
            <wp:extent cx="5759450" cy="1369763"/>
            <wp:effectExtent l="0" t="0" r="0" b="190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9450" cy="1369763"/>
                    </a:xfrm>
                    <a:prstGeom prst="rect">
                      <a:avLst/>
                    </a:prstGeom>
                    <a:noFill/>
                    <a:ln>
                      <a:noFill/>
                    </a:ln>
                  </pic:spPr>
                </pic:pic>
              </a:graphicData>
            </a:graphic>
          </wp:inline>
        </w:drawing>
      </w:r>
      <w:r w:rsidRPr="00233A36">
        <w:rPr>
          <w:b/>
          <w:noProof/>
        </w:rPr>
        <w:drawing>
          <wp:inline distT="0" distB="0" distL="0" distR="0" wp14:anchorId="539D1564" wp14:editId="4C4A73A5">
            <wp:extent cx="5759450" cy="1369763"/>
            <wp:effectExtent l="0" t="0" r="0" b="1905"/>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9450" cy="1369763"/>
                    </a:xfrm>
                    <a:prstGeom prst="rect">
                      <a:avLst/>
                    </a:prstGeom>
                    <a:noFill/>
                    <a:ln>
                      <a:noFill/>
                    </a:ln>
                  </pic:spPr>
                </pic:pic>
              </a:graphicData>
            </a:graphic>
          </wp:inline>
        </w:drawing>
      </w:r>
      <w:r w:rsidRPr="00233A36">
        <w:rPr>
          <w:b/>
          <w:noProof/>
        </w:rPr>
        <w:drawing>
          <wp:inline distT="0" distB="0" distL="0" distR="0" wp14:anchorId="5F43645F" wp14:editId="376E6BC6">
            <wp:extent cx="5759450" cy="1366540"/>
            <wp:effectExtent l="0" t="0" r="0" b="508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1366540"/>
                    </a:xfrm>
                    <a:prstGeom prst="rect">
                      <a:avLst/>
                    </a:prstGeom>
                    <a:noFill/>
                    <a:ln>
                      <a:noFill/>
                    </a:ln>
                  </pic:spPr>
                </pic:pic>
              </a:graphicData>
            </a:graphic>
          </wp:inline>
        </w:drawing>
      </w:r>
    </w:p>
    <w:p w14:paraId="60FDC325"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Skubus vizitas dėl širdies nepakankamumo apibrėžtas kaip skubus neplanuotas gydytojo atliktas ištyrimas, pvz., skubiosios pagalbos skyriuje, kai teko skirti gydymą dėl pasunkėjusio širdies nepakankamumo, išskyrus geriamųjų diuretikų dozės padidinimą.</w:t>
      </w:r>
    </w:p>
    <w:p w14:paraId="023456F6"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Pacientų su rizika skaičius nurodytas laikotarpio pradžioje.</w:t>
      </w:r>
    </w:p>
    <w:p w14:paraId="2CF8B9CA" w14:textId="77777777" w:rsidR="00E96E12" w:rsidRDefault="00E96E12">
      <w:pPr>
        <w:autoSpaceDE w:val="0"/>
        <w:autoSpaceDN w:val="0"/>
        <w:adjustRightInd w:val="0"/>
        <w:rPr>
          <w:rFonts w:eastAsia="TimesNewRoman"/>
          <w:szCs w:val="22"/>
          <w:lang w:eastAsia="lt-LT"/>
        </w:rPr>
      </w:pPr>
    </w:p>
    <w:p w14:paraId="5CFC4A7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Įtakos gydomajam poveikiui turėjo visi 3 pagrindinės vertinamosios baigties komponentai (4 pav.). Skubių vizitų dėl širdies nepakankamumo buvo nedaug.</w:t>
      </w:r>
    </w:p>
    <w:p w14:paraId="55C24831" w14:textId="77777777" w:rsidR="00E96E12" w:rsidRDefault="00E96E12">
      <w:pPr>
        <w:autoSpaceDE w:val="0"/>
        <w:autoSpaceDN w:val="0"/>
        <w:adjustRightInd w:val="0"/>
        <w:rPr>
          <w:rFonts w:eastAsia="TimesNewRoman,Bold"/>
          <w:b/>
          <w:bCs/>
          <w:szCs w:val="22"/>
          <w:lang w:eastAsia="lt-LT"/>
        </w:rPr>
      </w:pPr>
    </w:p>
    <w:p w14:paraId="19587524"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4 pav. Gydomasis poveikis pagrindinei sudėtinei vertinamajai baigčiai, jos komponentams ir bendram mirštamumui</w:t>
      </w:r>
    </w:p>
    <w:p w14:paraId="7192AAC9" w14:textId="77777777" w:rsidR="00E96E12" w:rsidRDefault="00E97765">
      <w:pPr>
        <w:autoSpaceDE w:val="0"/>
        <w:autoSpaceDN w:val="0"/>
        <w:adjustRightInd w:val="0"/>
        <w:rPr>
          <w:rFonts w:eastAsia="TimesNewRoman,Bold"/>
          <w:b/>
          <w:bCs/>
          <w:szCs w:val="22"/>
          <w:lang w:eastAsia="lt-LT"/>
        </w:rPr>
      </w:pPr>
      <w:r w:rsidRPr="00233A36">
        <w:rPr>
          <w:b/>
          <w:noProof/>
        </w:rPr>
        <w:lastRenderedPageBreak/>
        <w:drawing>
          <wp:inline distT="0" distB="0" distL="0" distR="0" wp14:anchorId="22296DE9" wp14:editId="2A6A5B76">
            <wp:extent cx="5602605" cy="3932555"/>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02605" cy="3932555"/>
                    </a:xfrm>
                    <a:prstGeom prst="rect">
                      <a:avLst/>
                    </a:prstGeom>
                    <a:noFill/>
                  </pic:spPr>
                </pic:pic>
              </a:graphicData>
            </a:graphic>
          </wp:inline>
        </w:drawing>
      </w:r>
    </w:p>
    <w:p w14:paraId="22AED084"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Skubus vizitas dėl širdies nepakankamumo apibrėžtas kaip skubus neplanuotas gydytojo atliktas ištyrimas, pvz., skubiosios pagalbos skyriuje, kai teko skirti gydymą dėl pasunkėjusio širdies nepakankamumo, išskyrus geriamųjų diuretikų dozės padidinimą.</w:t>
      </w:r>
    </w:p>
    <w:p w14:paraId="27821638"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Atskirų komponentų pirmųjų atvejų skaičius yra tikrasis kiekvieno komponento pirmųjų atvejų skaičius. Jų suma neatitinka sudėtinės baigties atvejų skaičiaus.</w:t>
      </w:r>
    </w:p>
    <w:p w14:paraId="449B3A03"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Komplikacijos dažnis atitinka ją patyrusių tiriamųjų skaičių per 100 paciento stebėjimo metų. Atskirų komponentų ir bendrojo mirštamumo p reikšmės yra nominalios.</w:t>
      </w:r>
    </w:p>
    <w:p w14:paraId="120D4C80" w14:textId="77777777" w:rsidR="00E96E12" w:rsidRDefault="00E96E12">
      <w:pPr>
        <w:autoSpaceDE w:val="0"/>
        <w:autoSpaceDN w:val="0"/>
        <w:adjustRightInd w:val="0"/>
        <w:rPr>
          <w:rFonts w:eastAsia="TimesNewRoman"/>
          <w:szCs w:val="22"/>
          <w:lang w:eastAsia="lt-LT"/>
        </w:rPr>
      </w:pPr>
    </w:p>
    <w:p w14:paraId="233C81F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Be to, dapagliflozinas sumažino bendrą pirmų ir pakartotinių hospitalizacijų dėl širdies nepakankamumo atvejų bei kardiovaskulinių mirčių skaičių: užfiksuoti 567 atvejai dapagliflozino ir 742 – placebo grupės pacientams (dažnio santykis – 0,75, 95 % PI – nuo 0,65 iki 0,88, p = 0,0002).</w:t>
      </w:r>
    </w:p>
    <w:p w14:paraId="63520AA3" w14:textId="77777777" w:rsidR="00E96E12" w:rsidRDefault="00E96E12">
      <w:pPr>
        <w:autoSpaceDE w:val="0"/>
        <w:autoSpaceDN w:val="0"/>
        <w:adjustRightInd w:val="0"/>
        <w:rPr>
          <w:rFonts w:eastAsia="TimesNewRoman"/>
          <w:szCs w:val="22"/>
          <w:lang w:eastAsia="lt-LT"/>
        </w:rPr>
      </w:pPr>
    </w:p>
    <w:p w14:paraId="5D6EF45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palankus poveikis širdies nepakankamumui pasireiškė tiek sergant 2 tipo cukriniu diabetu, tiek nesergant cukriniu diabetu. Dapagliflozinas sumažino pagrindinės sudėtinės vertinamosios baigties (kardiovaskulinių mirčių ir širdies nepakankamumo pasunkėjimo) atvejų riziką tiek cukriniu diabetu sirgusiems (RS = 0,75, 95 % PI – nuo 0,63 iki 0,90), tiek juo nesirgusiems (0,73, 95 % PI – nuo 0,60 iki 0,88) pacientams.</w:t>
      </w:r>
    </w:p>
    <w:p w14:paraId="04A19C3C" w14:textId="77777777" w:rsidR="00E96E12" w:rsidRDefault="00E96E12">
      <w:pPr>
        <w:autoSpaceDE w:val="0"/>
        <w:autoSpaceDN w:val="0"/>
        <w:adjustRightInd w:val="0"/>
        <w:rPr>
          <w:rFonts w:eastAsia="TimesNewRoman"/>
          <w:szCs w:val="22"/>
          <w:lang w:eastAsia="lt-LT"/>
        </w:rPr>
      </w:pPr>
    </w:p>
    <w:p w14:paraId="46F3545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palyginus su placebu, palankus poveikis pagrindinei vertinamajai baigčiai užfiksuotas ir kituose pagrindiniuose pogrupiuose, sudarytuose pagal kartu taikytą širdies nepakankamumo gydymą, inkstų funkciją (</w:t>
      </w:r>
      <w:proofErr w:type="spellStart"/>
      <w:r>
        <w:rPr>
          <w:rFonts w:eastAsia="TimesNewRoman"/>
          <w:szCs w:val="22"/>
          <w:lang w:eastAsia="lt-LT"/>
        </w:rPr>
        <w:t>aGFG</w:t>
      </w:r>
      <w:proofErr w:type="spellEnd"/>
      <w:r>
        <w:rPr>
          <w:rFonts w:eastAsia="TimesNewRoman"/>
          <w:szCs w:val="22"/>
          <w:lang w:eastAsia="lt-LT"/>
        </w:rPr>
        <w:t>), amžių, lytį ir regioną.</w:t>
      </w:r>
    </w:p>
    <w:p w14:paraId="7FF8077D" w14:textId="77777777" w:rsidR="00E96E12" w:rsidRDefault="00E96E12">
      <w:pPr>
        <w:autoSpaceDE w:val="0"/>
        <w:autoSpaceDN w:val="0"/>
        <w:adjustRightInd w:val="0"/>
        <w:rPr>
          <w:rFonts w:eastAsia="TimesNewRoman"/>
          <w:szCs w:val="22"/>
          <w:lang w:eastAsia="lt-LT"/>
        </w:rPr>
      </w:pPr>
    </w:p>
    <w:p w14:paraId="69443DD8"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Pacientų fiksuota baigtis – širdies nepakankamumo simptomai</w:t>
      </w:r>
    </w:p>
    <w:p w14:paraId="7A0575F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gydomasis poveikis širdies nepakankamumo simptomams vertintas pagal Kanzaso kardiomiopatijos klausimyno bendrąjį simptomų rodiklį (angl. </w:t>
      </w:r>
      <w:proofErr w:type="spellStart"/>
      <w:r>
        <w:rPr>
          <w:rFonts w:eastAsia="TimesNewRoman,Italic"/>
          <w:i/>
          <w:iCs/>
          <w:szCs w:val="22"/>
          <w:lang w:eastAsia="lt-LT"/>
        </w:rPr>
        <w:t>Questionnaire</w:t>
      </w:r>
      <w:proofErr w:type="spellEnd"/>
      <w:r>
        <w:rPr>
          <w:rFonts w:eastAsia="TimesNewRoman,Italic"/>
          <w:i/>
          <w:iCs/>
          <w:szCs w:val="22"/>
          <w:lang w:eastAsia="lt-LT"/>
        </w:rPr>
        <w:t xml:space="preserve"> </w:t>
      </w:r>
      <w:proofErr w:type="spellStart"/>
      <w:r>
        <w:rPr>
          <w:rFonts w:eastAsia="TimesNewRoman,Italic"/>
          <w:i/>
          <w:iCs/>
          <w:szCs w:val="22"/>
          <w:lang w:eastAsia="lt-LT"/>
        </w:rPr>
        <w:t>Total</w:t>
      </w:r>
      <w:proofErr w:type="spellEnd"/>
      <w:r>
        <w:rPr>
          <w:rFonts w:eastAsia="TimesNewRoman,Italic"/>
          <w:i/>
          <w:iCs/>
          <w:szCs w:val="22"/>
          <w:lang w:eastAsia="lt-LT"/>
        </w:rPr>
        <w:t xml:space="preserve"> </w:t>
      </w:r>
      <w:proofErr w:type="spellStart"/>
      <w:r>
        <w:rPr>
          <w:rFonts w:eastAsia="TimesNewRoman,Italic"/>
          <w:i/>
          <w:iCs/>
          <w:szCs w:val="22"/>
          <w:lang w:eastAsia="lt-LT"/>
        </w:rPr>
        <w:t>Symptom</w:t>
      </w:r>
      <w:proofErr w:type="spellEnd"/>
      <w:r>
        <w:rPr>
          <w:rFonts w:eastAsia="TimesNewRoman,Italic"/>
          <w:i/>
          <w:iCs/>
          <w:szCs w:val="22"/>
          <w:lang w:eastAsia="lt-LT"/>
        </w:rPr>
        <w:t xml:space="preserve"> </w:t>
      </w:r>
      <w:proofErr w:type="spellStart"/>
      <w:r>
        <w:rPr>
          <w:rFonts w:eastAsia="TimesNewRoman,Italic"/>
          <w:i/>
          <w:iCs/>
          <w:szCs w:val="22"/>
          <w:lang w:eastAsia="lt-LT"/>
        </w:rPr>
        <w:t>Score</w:t>
      </w:r>
      <w:proofErr w:type="spellEnd"/>
      <w:r>
        <w:rPr>
          <w:rFonts w:eastAsia="TimesNewRoman,Italic"/>
          <w:i/>
          <w:iCs/>
          <w:szCs w:val="22"/>
          <w:lang w:eastAsia="lt-LT"/>
        </w:rPr>
        <w:t xml:space="preserve"> </w:t>
      </w:r>
      <w:proofErr w:type="spellStart"/>
      <w:r>
        <w:rPr>
          <w:rFonts w:eastAsia="TimesNewRoman,Italic"/>
          <w:i/>
          <w:iCs/>
          <w:szCs w:val="22"/>
          <w:lang w:eastAsia="lt-LT"/>
        </w:rPr>
        <w:t>of</w:t>
      </w:r>
      <w:proofErr w:type="spellEnd"/>
      <w:r>
        <w:rPr>
          <w:rFonts w:eastAsia="TimesNewRoman,Italic"/>
          <w:i/>
          <w:iCs/>
          <w:szCs w:val="22"/>
          <w:lang w:eastAsia="lt-LT"/>
        </w:rPr>
        <w:t xml:space="preserve"> </w:t>
      </w:r>
      <w:proofErr w:type="spellStart"/>
      <w:r>
        <w:rPr>
          <w:rFonts w:eastAsia="TimesNewRoman,Italic"/>
          <w:i/>
          <w:iCs/>
          <w:szCs w:val="22"/>
          <w:lang w:eastAsia="lt-LT"/>
        </w:rPr>
        <w:t>the</w:t>
      </w:r>
      <w:proofErr w:type="spellEnd"/>
      <w:r>
        <w:rPr>
          <w:rFonts w:eastAsia="TimesNewRoman,Italic"/>
          <w:i/>
          <w:iCs/>
          <w:szCs w:val="22"/>
          <w:lang w:eastAsia="lt-LT"/>
        </w:rPr>
        <w:t xml:space="preserve"> </w:t>
      </w:r>
      <w:proofErr w:type="spellStart"/>
      <w:r>
        <w:rPr>
          <w:rFonts w:eastAsia="TimesNewRoman,Italic"/>
          <w:i/>
          <w:iCs/>
          <w:szCs w:val="22"/>
          <w:lang w:eastAsia="lt-LT"/>
        </w:rPr>
        <w:t>Kansas</w:t>
      </w:r>
      <w:proofErr w:type="spellEnd"/>
      <w:r>
        <w:rPr>
          <w:rFonts w:eastAsia="TimesNewRoman,Italic"/>
          <w:i/>
          <w:iCs/>
          <w:szCs w:val="22"/>
          <w:lang w:eastAsia="lt-LT"/>
        </w:rPr>
        <w:t xml:space="preserve"> </w:t>
      </w:r>
      <w:proofErr w:type="spellStart"/>
      <w:r>
        <w:rPr>
          <w:rFonts w:eastAsia="TimesNewRoman,Italic"/>
          <w:i/>
          <w:iCs/>
          <w:szCs w:val="22"/>
          <w:lang w:eastAsia="lt-LT"/>
        </w:rPr>
        <w:t>City</w:t>
      </w:r>
      <w:proofErr w:type="spellEnd"/>
      <w:r>
        <w:rPr>
          <w:rFonts w:eastAsia="TimesNewRoman,Italic"/>
          <w:i/>
          <w:iCs/>
          <w:szCs w:val="22"/>
          <w:lang w:eastAsia="lt-LT"/>
        </w:rPr>
        <w:t xml:space="preserve"> </w:t>
      </w:r>
      <w:proofErr w:type="spellStart"/>
      <w:r>
        <w:rPr>
          <w:rFonts w:eastAsia="TimesNewRoman,Italic"/>
          <w:i/>
          <w:iCs/>
          <w:szCs w:val="22"/>
          <w:lang w:eastAsia="lt-LT"/>
        </w:rPr>
        <w:t>Cardiomyopathy</w:t>
      </w:r>
      <w:proofErr w:type="spellEnd"/>
      <w:r>
        <w:rPr>
          <w:rFonts w:eastAsia="TimesNewRoman,Italic"/>
          <w:i/>
          <w:iCs/>
          <w:szCs w:val="22"/>
          <w:lang w:eastAsia="lt-LT"/>
        </w:rPr>
        <w:t xml:space="preserve"> </w:t>
      </w:r>
      <w:proofErr w:type="spellStart"/>
      <w:r>
        <w:rPr>
          <w:rFonts w:eastAsia="TimesNewRoman,Italic"/>
          <w:i/>
          <w:iCs/>
          <w:szCs w:val="22"/>
          <w:lang w:eastAsia="lt-LT"/>
        </w:rPr>
        <w:t>Questionnaire</w:t>
      </w:r>
      <w:proofErr w:type="spellEnd"/>
      <w:r>
        <w:rPr>
          <w:rFonts w:eastAsia="TimesNewRoman,Italic"/>
          <w:i/>
          <w:iCs/>
          <w:szCs w:val="22"/>
          <w:lang w:eastAsia="lt-LT"/>
        </w:rPr>
        <w:t>, KCCQ-TSS</w:t>
      </w:r>
      <w:r>
        <w:rPr>
          <w:rFonts w:eastAsia="TimesNewRoman"/>
          <w:szCs w:val="22"/>
          <w:lang w:eastAsia="lt-LT"/>
        </w:rPr>
        <w:t xml:space="preserve">), į kurį įtrauktas širdies nepakankamumo simptomų (nuovargio, periferinės edemos, dusulio ir </w:t>
      </w:r>
      <w:proofErr w:type="spellStart"/>
      <w:r>
        <w:rPr>
          <w:rFonts w:eastAsia="TimesNewRoman"/>
          <w:szCs w:val="22"/>
          <w:lang w:eastAsia="lt-LT"/>
        </w:rPr>
        <w:t>ortopnėjos</w:t>
      </w:r>
      <w:proofErr w:type="spellEnd"/>
      <w:r>
        <w:rPr>
          <w:rFonts w:eastAsia="TimesNewRoman"/>
          <w:szCs w:val="22"/>
          <w:lang w:eastAsia="lt-LT"/>
        </w:rPr>
        <w:t>) pasireiškimo dažnis ir sunkumas. Šio rodiklio diapazonas yra nuo 0 iki 100, didesnis rodiklis rodo geresnę sveikatos būklę.</w:t>
      </w:r>
    </w:p>
    <w:p w14:paraId="3E8C41A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Dapaglifloziną vartojusiems pacientams (palyginus su vartojusiais placebą) nustatytas statistiškai reikšmingas ir kliniškai svarbus palankus poveikis širdies nepakankamumo simptomų KCCQ-TSS rodiklio pokyčiui juos įvertinus iš pradžių ir po 8 mėn. (naudos tikimybių santykis – 1,18, 95 % PI – nuo 1,11 iki 1,26, p &lt; 0,0001). Įtakos gautiems rezultatams turėjo retesnis simptomų pasireiškimas ir mažesnė jų našta. Nustatytas palankus poveikis pagal širdies nepakankamumo simptomų palengvėjimą ir jų pasunkėjimo išvengimą.</w:t>
      </w:r>
    </w:p>
    <w:p w14:paraId="25C070E0" w14:textId="77777777" w:rsidR="00E96E12" w:rsidRDefault="00E96E12">
      <w:pPr>
        <w:autoSpaceDE w:val="0"/>
        <w:autoSpaceDN w:val="0"/>
        <w:adjustRightInd w:val="0"/>
        <w:rPr>
          <w:rFonts w:eastAsia="TimesNewRoman"/>
          <w:szCs w:val="22"/>
          <w:lang w:eastAsia="lt-LT"/>
        </w:rPr>
      </w:pPr>
    </w:p>
    <w:p w14:paraId="62B711D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Respondentų duomenų analizė parodė, kad dalis pacientų, kuriems po 8 mėn. nustatytas kliniškai reikšmingai (≥ 5 taškais) pagerėjęs KCCQ-TSS rodiklis, palyginus su pradiniu, dapagliflozino grupėje buvo didesnė negu placebo. Dalis pacientų, kuriems po 8 mėn. nustatytas kliniškai reikšmingai (≥ 5 taškais) pablogėjęs rodiklis, dapagliflozino grupėje buvo mažesnė negu placebo. Dapagliflozino nauda išliko ir taikant konservatyvesnes ribas didesniems kliniškai reikšmingiems pokyčiams (10 lentelė).</w:t>
      </w:r>
    </w:p>
    <w:p w14:paraId="24348ED2" w14:textId="77777777" w:rsidR="00E96E12" w:rsidRDefault="00E96E12">
      <w:pPr>
        <w:autoSpaceDE w:val="0"/>
        <w:autoSpaceDN w:val="0"/>
        <w:adjustRightInd w:val="0"/>
        <w:rPr>
          <w:rFonts w:ascii="TimesNewRoman,Bold" w:eastAsia="TimesNewRoman,Bold" w:cs="TimesNewRoman,Bold"/>
          <w:b/>
          <w:bCs/>
          <w:szCs w:val="22"/>
          <w:lang w:eastAsia="lt-LT"/>
        </w:rPr>
      </w:pPr>
    </w:p>
    <w:p w14:paraId="0F57D1BA"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10 lentelė. Pacientų, kuriems po 8 mėn. nustatytas kliniškai reikšmingas KCCQ-TSS pagerėjimas ar pablogėjimas, skaičius ir procentas</w:t>
      </w:r>
    </w:p>
    <w:p w14:paraId="37159254" w14:textId="77777777" w:rsidR="00E96E12" w:rsidRDefault="00E96E12">
      <w:pPr>
        <w:widowControl w:val="0"/>
        <w:tabs>
          <w:tab w:val="left" w:pos="567"/>
        </w:tabs>
        <w:rPr>
          <w:szCs w:val="22"/>
        </w:rPr>
      </w:pPr>
    </w:p>
    <w:tbl>
      <w:tblPr>
        <w:tblStyle w:val="Lentelstinklelis"/>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1701"/>
        <w:gridCol w:w="1701"/>
        <w:gridCol w:w="1701"/>
        <w:gridCol w:w="1276"/>
      </w:tblGrid>
      <w:tr w:rsidR="00E96E12" w14:paraId="6A9DC2EB" w14:textId="77777777">
        <w:tc>
          <w:tcPr>
            <w:tcW w:w="2410" w:type="dxa"/>
            <w:tcBorders>
              <w:top w:val="single" w:sz="4" w:space="0" w:color="auto"/>
              <w:bottom w:val="single" w:sz="4" w:space="0" w:color="auto"/>
            </w:tcBorders>
          </w:tcPr>
          <w:p w14:paraId="519B7E7A"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Pokytis po 8 mėn.,</w:t>
            </w:r>
          </w:p>
          <w:p w14:paraId="554FDF9E" w14:textId="77777777" w:rsidR="00E96E12" w:rsidRDefault="00E97765">
            <w:pPr>
              <w:widowControl w:val="0"/>
              <w:tabs>
                <w:tab w:val="left" w:pos="567"/>
              </w:tabs>
              <w:rPr>
                <w:szCs w:val="22"/>
                <w:lang w:val="en-US"/>
              </w:rPr>
            </w:pPr>
            <w:r>
              <w:rPr>
                <w:rFonts w:eastAsia="TimesNewRoman,Bold"/>
                <w:b/>
                <w:bCs/>
                <w:szCs w:val="22"/>
                <w:lang w:eastAsia="lt-LT"/>
              </w:rPr>
              <w:t>palyginus su pradiniu</w:t>
            </w:r>
          </w:p>
        </w:tc>
        <w:tc>
          <w:tcPr>
            <w:tcW w:w="1701" w:type="dxa"/>
            <w:tcBorders>
              <w:top w:val="single" w:sz="4" w:space="0" w:color="auto"/>
              <w:bottom w:val="single" w:sz="4" w:space="0" w:color="auto"/>
            </w:tcBorders>
          </w:tcPr>
          <w:p w14:paraId="74428D4F" w14:textId="77777777" w:rsidR="00E96E12" w:rsidRDefault="00E97765">
            <w:pPr>
              <w:widowControl w:val="0"/>
              <w:tabs>
                <w:tab w:val="left" w:pos="567"/>
              </w:tabs>
              <w:jc w:val="center"/>
              <w:rPr>
                <w:b/>
                <w:szCs w:val="22"/>
                <w:lang w:val="en-US"/>
              </w:rPr>
            </w:pPr>
            <w:proofErr w:type="spellStart"/>
            <w:r>
              <w:rPr>
                <w:b/>
                <w:szCs w:val="22"/>
                <w:lang w:val="en-US"/>
              </w:rPr>
              <w:t>Dapagliflozinas</w:t>
            </w:r>
            <w:proofErr w:type="spellEnd"/>
            <w:r>
              <w:rPr>
                <w:b/>
                <w:szCs w:val="22"/>
                <w:lang w:val="en-US"/>
              </w:rPr>
              <w:t xml:space="preserve"> 10 mg</w:t>
            </w:r>
          </w:p>
          <w:p w14:paraId="3833F288" w14:textId="77777777" w:rsidR="00E96E12" w:rsidRDefault="00E97765">
            <w:pPr>
              <w:widowControl w:val="0"/>
              <w:tabs>
                <w:tab w:val="left" w:pos="567"/>
              </w:tabs>
              <w:jc w:val="center"/>
              <w:rPr>
                <w:b/>
                <w:szCs w:val="22"/>
                <w:lang w:val="en-US"/>
              </w:rPr>
            </w:pPr>
            <w:proofErr w:type="spellStart"/>
            <w:r>
              <w:rPr>
                <w:b/>
                <w:szCs w:val="22"/>
                <w:lang w:val="en-US"/>
              </w:rPr>
              <w:t>n</w:t>
            </w:r>
            <w:r>
              <w:rPr>
                <w:b/>
                <w:szCs w:val="22"/>
                <w:vertAlign w:val="superscript"/>
                <w:lang w:val="en-US"/>
              </w:rPr>
              <w:t>a</w:t>
            </w:r>
            <w:proofErr w:type="spellEnd"/>
            <w:r>
              <w:rPr>
                <w:b/>
                <w:szCs w:val="22"/>
                <w:lang w:val="en-US"/>
              </w:rPr>
              <w:t>=2086</w:t>
            </w:r>
          </w:p>
        </w:tc>
        <w:tc>
          <w:tcPr>
            <w:tcW w:w="1701" w:type="dxa"/>
            <w:tcBorders>
              <w:top w:val="single" w:sz="4" w:space="0" w:color="auto"/>
              <w:bottom w:val="single" w:sz="4" w:space="0" w:color="auto"/>
            </w:tcBorders>
          </w:tcPr>
          <w:p w14:paraId="3BEC155C" w14:textId="77777777" w:rsidR="00E96E12" w:rsidRDefault="00E97765">
            <w:pPr>
              <w:widowControl w:val="0"/>
              <w:tabs>
                <w:tab w:val="left" w:pos="567"/>
              </w:tabs>
              <w:jc w:val="center"/>
              <w:rPr>
                <w:b/>
                <w:szCs w:val="22"/>
                <w:lang w:val="en-US"/>
              </w:rPr>
            </w:pPr>
            <w:proofErr w:type="spellStart"/>
            <w:r>
              <w:rPr>
                <w:b/>
                <w:szCs w:val="22"/>
                <w:lang w:val="en-US"/>
              </w:rPr>
              <w:t>Placebas</w:t>
            </w:r>
            <w:proofErr w:type="spellEnd"/>
          </w:p>
          <w:p w14:paraId="6AFC4EF9" w14:textId="77777777" w:rsidR="00E96E12" w:rsidRDefault="00E97765">
            <w:pPr>
              <w:widowControl w:val="0"/>
              <w:tabs>
                <w:tab w:val="left" w:pos="567"/>
              </w:tabs>
              <w:jc w:val="center"/>
              <w:rPr>
                <w:b/>
                <w:szCs w:val="22"/>
                <w:lang w:val="en-US"/>
              </w:rPr>
            </w:pPr>
            <w:proofErr w:type="spellStart"/>
            <w:r>
              <w:rPr>
                <w:b/>
                <w:szCs w:val="22"/>
                <w:lang w:val="en-US"/>
              </w:rPr>
              <w:t>n</w:t>
            </w:r>
            <w:r>
              <w:rPr>
                <w:b/>
                <w:szCs w:val="22"/>
                <w:vertAlign w:val="superscript"/>
                <w:lang w:val="en-US"/>
              </w:rPr>
              <w:t>a</w:t>
            </w:r>
            <w:proofErr w:type="spellEnd"/>
            <w:r>
              <w:rPr>
                <w:b/>
                <w:szCs w:val="22"/>
                <w:lang w:val="en-US"/>
              </w:rPr>
              <w:t>=2062</w:t>
            </w:r>
          </w:p>
        </w:tc>
        <w:tc>
          <w:tcPr>
            <w:tcW w:w="2977" w:type="dxa"/>
            <w:gridSpan w:val="2"/>
            <w:tcBorders>
              <w:top w:val="single" w:sz="4" w:space="0" w:color="auto"/>
              <w:bottom w:val="single" w:sz="4" w:space="0" w:color="auto"/>
            </w:tcBorders>
          </w:tcPr>
          <w:p w14:paraId="6C6E9D84" w14:textId="77777777" w:rsidR="00E96E12" w:rsidRDefault="00E96E12">
            <w:pPr>
              <w:widowControl w:val="0"/>
              <w:tabs>
                <w:tab w:val="left" w:pos="567"/>
              </w:tabs>
              <w:jc w:val="center"/>
              <w:rPr>
                <w:szCs w:val="22"/>
                <w:lang w:val="en-US"/>
              </w:rPr>
            </w:pPr>
          </w:p>
        </w:tc>
      </w:tr>
      <w:tr w:rsidR="00E96E12" w14:paraId="6A6CEA3B" w14:textId="77777777">
        <w:tc>
          <w:tcPr>
            <w:tcW w:w="2410" w:type="dxa"/>
            <w:tcBorders>
              <w:top w:val="single" w:sz="4" w:space="0" w:color="auto"/>
              <w:bottom w:val="single" w:sz="4" w:space="0" w:color="auto"/>
            </w:tcBorders>
          </w:tcPr>
          <w:p w14:paraId="414B95DA" w14:textId="77777777" w:rsidR="00E96E12" w:rsidRDefault="00E97765">
            <w:pPr>
              <w:widowControl w:val="0"/>
              <w:tabs>
                <w:tab w:val="left" w:pos="567"/>
              </w:tabs>
              <w:rPr>
                <w:b/>
                <w:i/>
                <w:szCs w:val="22"/>
                <w:lang w:val="en-US"/>
              </w:rPr>
            </w:pPr>
            <w:r>
              <w:rPr>
                <w:b/>
                <w:i/>
                <w:szCs w:val="22"/>
                <w:lang w:val="en-US"/>
              </w:rPr>
              <w:t>Improvement</w:t>
            </w:r>
          </w:p>
        </w:tc>
        <w:tc>
          <w:tcPr>
            <w:tcW w:w="1701" w:type="dxa"/>
            <w:tcBorders>
              <w:top w:val="single" w:sz="4" w:space="0" w:color="auto"/>
              <w:bottom w:val="single" w:sz="4" w:space="0" w:color="auto"/>
            </w:tcBorders>
          </w:tcPr>
          <w:p w14:paraId="0BC095EE" w14:textId="77777777" w:rsidR="00E96E12" w:rsidRDefault="00E97765">
            <w:pPr>
              <w:widowControl w:val="0"/>
              <w:tabs>
                <w:tab w:val="left" w:pos="567"/>
              </w:tabs>
              <w:jc w:val="center"/>
              <w:rPr>
                <w:b/>
                <w:szCs w:val="22"/>
                <w:lang w:val="en-US"/>
              </w:rPr>
            </w:pPr>
            <w:r>
              <w:rPr>
                <w:b/>
                <w:szCs w:val="22"/>
                <w:lang w:val="en-US"/>
              </w:rPr>
              <w:t xml:space="preserve">n (%) </w:t>
            </w:r>
            <w:proofErr w:type="spellStart"/>
            <w:r>
              <w:rPr>
                <w:b/>
                <w:szCs w:val="22"/>
                <w:lang w:val="en-US"/>
              </w:rPr>
              <w:t>pagerėjo</w:t>
            </w:r>
            <w:r>
              <w:rPr>
                <w:b/>
                <w:szCs w:val="22"/>
                <w:vertAlign w:val="superscript"/>
                <w:lang w:val="en-US"/>
              </w:rPr>
              <w:t>b</w:t>
            </w:r>
            <w:proofErr w:type="spellEnd"/>
          </w:p>
        </w:tc>
        <w:tc>
          <w:tcPr>
            <w:tcW w:w="1701" w:type="dxa"/>
            <w:tcBorders>
              <w:top w:val="single" w:sz="4" w:space="0" w:color="auto"/>
              <w:bottom w:val="single" w:sz="4" w:space="0" w:color="auto"/>
            </w:tcBorders>
          </w:tcPr>
          <w:p w14:paraId="764474BE" w14:textId="77777777" w:rsidR="00E96E12" w:rsidRDefault="00E97765">
            <w:pPr>
              <w:widowControl w:val="0"/>
              <w:tabs>
                <w:tab w:val="left" w:pos="567"/>
              </w:tabs>
              <w:jc w:val="center"/>
              <w:rPr>
                <w:b/>
                <w:szCs w:val="22"/>
                <w:lang w:val="en-US"/>
              </w:rPr>
            </w:pPr>
            <w:r>
              <w:rPr>
                <w:b/>
                <w:szCs w:val="22"/>
                <w:lang w:val="en-US"/>
              </w:rPr>
              <w:t xml:space="preserve">n (%) </w:t>
            </w:r>
            <w:proofErr w:type="spellStart"/>
            <w:r>
              <w:rPr>
                <w:b/>
                <w:szCs w:val="22"/>
                <w:lang w:val="en-US"/>
              </w:rPr>
              <w:t>pagerėjo</w:t>
            </w:r>
            <w:r>
              <w:rPr>
                <w:b/>
                <w:szCs w:val="22"/>
                <w:vertAlign w:val="superscript"/>
                <w:lang w:val="en-US"/>
              </w:rPr>
              <w:t>b</w:t>
            </w:r>
            <w:proofErr w:type="spellEnd"/>
          </w:p>
        </w:tc>
        <w:tc>
          <w:tcPr>
            <w:tcW w:w="1701" w:type="dxa"/>
            <w:tcBorders>
              <w:top w:val="single" w:sz="4" w:space="0" w:color="auto"/>
              <w:bottom w:val="single" w:sz="4" w:space="0" w:color="auto"/>
            </w:tcBorders>
          </w:tcPr>
          <w:p w14:paraId="3B3FA073" w14:textId="77777777" w:rsidR="00E96E12" w:rsidRDefault="00E97765">
            <w:pPr>
              <w:widowControl w:val="0"/>
              <w:tabs>
                <w:tab w:val="left" w:pos="567"/>
              </w:tabs>
              <w:jc w:val="center"/>
              <w:rPr>
                <w:b/>
                <w:szCs w:val="22"/>
                <w:vertAlign w:val="superscript"/>
                <w:lang w:val="en-US"/>
              </w:rPr>
            </w:pPr>
            <w:proofErr w:type="spellStart"/>
            <w:r>
              <w:rPr>
                <w:b/>
                <w:szCs w:val="22"/>
                <w:lang w:val="en-US"/>
              </w:rPr>
              <w:t>Šansų</w:t>
            </w:r>
            <w:proofErr w:type="spellEnd"/>
            <w:r>
              <w:rPr>
                <w:b/>
                <w:szCs w:val="22"/>
                <w:lang w:val="en-US"/>
              </w:rPr>
              <w:t xml:space="preserve"> </w:t>
            </w:r>
            <w:proofErr w:type="spellStart"/>
            <w:r>
              <w:rPr>
                <w:b/>
                <w:szCs w:val="22"/>
                <w:lang w:val="en-US"/>
              </w:rPr>
              <w:t>santykis</w:t>
            </w:r>
            <w:r>
              <w:rPr>
                <w:b/>
                <w:szCs w:val="22"/>
                <w:vertAlign w:val="superscript"/>
                <w:lang w:val="en-US"/>
              </w:rPr>
              <w:t>c</w:t>
            </w:r>
            <w:proofErr w:type="spellEnd"/>
          </w:p>
          <w:p w14:paraId="12FB2656" w14:textId="77777777" w:rsidR="00E96E12" w:rsidRDefault="00E97765">
            <w:pPr>
              <w:widowControl w:val="0"/>
              <w:tabs>
                <w:tab w:val="left" w:pos="567"/>
              </w:tabs>
              <w:jc w:val="center"/>
              <w:rPr>
                <w:b/>
                <w:szCs w:val="22"/>
                <w:lang w:val="en-US"/>
              </w:rPr>
            </w:pPr>
            <w:r>
              <w:rPr>
                <w:b/>
                <w:szCs w:val="22"/>
                <w:lang w:val="en-US"/>
              </w:rPr>
              <w:t>(95% PI)</w:t>
            </w:r>
          </w:p>
        </w:tc>
        <w:tc>
          <w:tcPr>
            <w:tcW w:w="1276" w:type="dxa"/>
            <w:tcBorders>
              <w:top w:val="single" w:sz="4" w:space="0" w:color="auto"/>
              <w:bottom w:val="single" w:sz="4" w:space="0" w:color="auto"/>
            </w:tcBorders>
          </w:tcPr>
          <w:p w14:paraId="47FA5A74" w14:textId="77777777" w:rsidR="00E96E12" w:rsidRDefault="00E97765">
            <w:pPr>
              <w:widowControl w:val="0"/>
              <w:tabs>
                <w:tab w:val="left" w:pos="567"/>
              </w:tabs>
              <w:jc w:val="center"/>
              <w:rPr>
                <w:b/>
                <w:szCs w:val="22"/>
                <w:lang w:val="en-US"/>
              </w:rPr>
            </w:pPr>
            <w:r>
              <w:rPr>
                <w:b/>
                <w:szCs w:val="22"/>
                <w:lang w:val="en-US"/>
              </w:rPr>
              <w:t xml:space="preserve">P </w:t>
            </w:r>
            <w:proofErr w:type="spellStart"/>
            <w:r>
              <w:rPr>
                <w:b/>
                <w:szCs w:val="22"/>
                <w:lang w:val="en-US"/>
              </w:rPr>
              <w:t>reikšmė</w:t>
            </w:r>
            <w:r>
              <w:rPr>
                <w:b/>
                <w:szCs w:val="22"/>
                <w:vertAlign w:val="superscript"/>
                <w:lang w:val="en-US"/>
              </w:rPr>
              <w:t>f</w:t>
            </w:r>
            <w:proofErr w:type="spellEnd"/>
          </w:p>
        </w:tc>
      </w:tr>
      <w:tr w:rsidR="00E96E12" w14:paraId="40613936" w14:textId="77777777">
        <w:tc>
          <w:tcPr>
            <w:tcW w:w="2410" w:type="dxa"/>
            <w:tcBorders>
              <w:top w:val="single" w:sz="4" w:space="0" w:color="auto"/>
            </w:tcBorders>
          </w:tcPr>
          <w:p w14:paraId="6F62CE52" w14:textId="77777777" w:rsidR="00E96E12" w:rsidRDefault="00E97765">
            <w:pPr>
              <w:widowControl w:val="0"/>
              <w:tabs>
                <w:tab w:val="left" w:pos="567"/>
              </w:tabs>
              <w:rPr>
                <w:szCs w:val="22"/>
                <w:lang w:val="en-US"/>
              </w:rPr>
            </w:pPr>
            <w:r>
              <w:rPr>
                <w:szCs w:val="22"/>
                <w:lang w:val="en-US"/>
              </w:rPr>
              <w:t xml:space="preserve">≥ 5 </w:t>
            </w:r>
            <w:proofErr w:type="spellStart"/>
            <w:r>
              <w:rPr>
                <w:szCs w:val="22"/>
                <w:lang w:val="en-US"/>
              </w:rPr>
              <w:t>taškais</w:t>
            </w:r>
            <w:proofErr w:type="spellEnd"/>
          </w:p>
        </w:tc>
        <w:tc>
          <w:tcPr>
            <w:tcW w:w="1701" w:type="dxa"/>
            <w:tcBorders>
              <w:top w:val="single" w:sz="4" w:space="0" w:color="auto"/>
            </w:tcBorders>
          </w:tcPr>
          <w:p w14:paraId="3C92076A" w14:textId="77777777" w:rsidR="00E96E12" w:rsidRDefault="00E97765">
            <w:pPr>
              <w:widowControl w:val="0"/>
              <w:tabs>
                <w:tab w:val="left" w:pos="567"/>
              </w:tabs>
              <w:jc w:val="center"/>
              <w:rPr>
                <w:szCs w:val="22"/>
                <w:lang w:val="en-US"/>
              </w:rPr>
            </w:pPr>
            <w:r>
              <w:rPr>
                <w:szCs w:val="22"/>
                <w:lang w:val="en-US"/>
              </w:rPr>
              <w:t>933 (44,7)</w:t>
            </w:r>
          </w:p>
        </w:tc>
        <w:tc>
          <w:tcPr>
            <w:tcW w:w="1701" w:type="dxa"/>
            <w:tcBorders>
              <w:top w:val="single" w:sz="4" w:space="0" w:color="auto"/>
            </w:tcBorders>
          </w:tcPr>
          <w:p w14:paraId="49334F70" w14:textId="77777777" w:rsidR="00E96E12" w:rsidRDefault="00E97765">
            <w:pPr>
              <w:widowControl w:val="0"/>
              <w:tabs>
                <w:tab w:val="left" w:pos="567"/>
              </w:tabs>
              <w:jc w:val="center"/>
              <w:rPr>
                <w:szCs w:val="22"/>
                <w:lang w:val="en-US"/>
              </w:rPr>
            </w:pPr>
            <w:r>
              <w:rPr>
                <w:szCs w:val="22"/>
                <w:lang w:val="en-US"/>
              </w:rPr>
              <w:t>794 (38,5)</w:t>
            </w:r>
          </w:p>
        </w:tc>
        <w:tc>
          <w:tcPr>
            <w:tcW w:w="1701" w:type="dxa"/>
            <w:tcBorders>
              <w:top w:val="single" w:sz="4" w:space="0" w:color="auto"/>
            </w:tcBorders>
          </w:tcPr>
          <w:p w14:paraId="507B6509" w14:textId="77777777" w:rsidR="00E96E12" w:rsidRDefault="00E97765">
            <w:pPr>
              <w:widowControl w:val="0"/>
              <w:tabs>
                <w:tab w:val="left" w:pos="567"/>
              </w:tabs>
              <w:jc w:val="center"/>
              <w:rPr>
                <w:szCs w:val="22"/>
                <w:lang w:val="en-US"/>
              </w:rPr>
            </w:pPr>
            <w:r>
              <w:rPr>
                <w:szCs w:val="22"/>
                <w:lang w:val="en-US"/>
              </w:rPr>
              <w:t>1,14</w:t>
            </w:r>
          </w:p>
          <w:p w14:paraId="28DFF2F2" w14:textId="77777777" w:rsidR="00E96E12" w:rsidRDefault="00E97765">
            <w:pPr>
              <w:widowControl w:val="0"/>
              <w:tabs>
                <w:tab w:val="left" w:pos="567"/>
              </w:tabs>
              <w:jc w:val="center"/>
              <w:rPr>
                <w:szCs w:val="22"/>
                <w:lang w:val="en-US"/>
              </w:rPr>
            </w:pPr>
            <w:r>
              <w:rPr>
                <w:szCs w:val="22"/>
                <w:lang w:val="en-US"/>
              </w:rPr>
              <w:t>(1.06, 1,22)</w:t>
            </w:r>
          </w:p>
        </w:tc>
        <w:tc>
          <w:tcPr>
            <w:tcW w:w="1276" w:type="dxa"/>
            <w:tcBorders>
              <w:top w:val="single" w:sz="4" w:space="0" w:color="auto"/>
            </w:tcBorders>
          </w:tcPr>
          <w:p w14:paraId="3277FE3D" w14:textId="77777777" w:rsidR="00E96E12" w:rsidRDefault="00E97765">
            <w:pPr>
              <w:widowControl w:val="0"/>
              <w:tabs>
                <w:tab w:val="left" w:pos="567"/>
              </w:tabs>
              <w:jc w:val="center"/>
              <w:rPr>
                <w:szCs w:val="22"/>
                <w:lang w:val="en-US"/>
              </w:rPr>
            </w:pPr>
            <w:r>
              <w:rPr>
                <w:szCs w:val="22"/>
                <w:lang w:val="en-US"/>
              </w:rPr>
              <w:t>0,0002</w:t>
            </w:r>
          </w:p>
        </w:tc>
      </w:tr>
      <w:tr w:rsidR="00E96E12" w14:paraId="73B653D8" w14:textId="77777777">
        <w:tc>
          <w:tcPr>
            <w:tcW w:w="2410" w:type="dxa"/>
          </w:tcPr>
          <w:p w14:paraId="6CDC984B" w14:textId="77777777" w:rsidR="00E96E12" w:rsidRDefault="00E97765">
            <w:pPr>
              <w:widowControl w:val="0"/>
              <w:tabs>
                <w:tab w:val="left" w:pos="567"/>
              </w:tabs>
              <w:rPr>
                <w:szCs w:val="22"/>
                <w:lang w:val="en-US"/>
              </w:rPr>
            </w:pPr>
            <w:r>
              <w:rPr>
                <w:szCs w:val="22"/>
                <w:lang w:val="en-US"/>
              </w:rPr>
              <w:t xml:space="preserve">≥ 10 </w:t>
            </w:r>
            <w:proofErr w:type="spellStart"/>
            <w:r>
              <w:rPr>
                <w:szCs w:val="22"/>
                <w:lang w:val="en-US"/>
              </w:rPr>
              <w:t>taškų</w:t>
            </w:r>
            <w:proofErr w:type="spellEnd"/>
          </w:p>
        </w:tc>
        <w:tc>
          <w:tcPr>
            <w:tcW w:w="1701" w:type="dxa"/>
          </w:tcPr>
          <w:p w14:paraId="65CB609E" w14:textId="77777777" w:rsidR="00E96E12" w:rsidRDefault="00E97765">
            <w:pPr>
              <w:widowControl w:val="0"/>
              <w:tabs>
                <w:tab w:val="left" w:pos="567"/>
              </w:tabs>
              <w:jc w:val="center"/>
              <w:rPr>
                <w:szCs w:val="22"/>
                <w:lang w:val="en-US"/>
              </w:rPr>
            </w:pPr>
            <w:r>
              <w:rPr>
                <w:szCs w:val="22"/>
                <w:lang w:val="en-US"/>
              </w:rPr>
              <w:t>689 (33,0)</w:t>
            </w:r>
          </w:p>
        </w:tc>
        <w:tc>
          <w:tcPr>
            <w:tcW w:w="1701" w:type="dxa"/>
          </w:tcPr>
          <w:p w14:paraId="4646727A" w14:textId="77777777" w:rsidR="00E96E12" w:rsidRDefault="00E97765">
            <w:pPr>
              <w:widowControl w:val="0"/>
              <w:tabs>
                <w:tab w:val="left" w:pos="567"/>
              </w:tabs>
              <w:jc w:val="center"/>
              <w:rPr>
                <w:szCs w:val="22"/>
                <w:lang w:val="en-US"/>
              </w:rPr>
            </w:pPr>
            <w:r>
              <w:rPr>
                <w:szCs w:val="22"/>
                <w:lang w:val="en-US"/>
              </w:rPr>
              <w:t>579 (28,1)</w:t>
            </w:r>
          </w:p>
        </w:tc>
        <w:tc>
          <w:tcPr>
            <w:tcW w:w="1701" w:type="dxa"/>
          </w:tcPr>
          <w:p w14:paraId="17A28D70" w14:textId="77777777" w:rsidR="00E96E12" w:rsidRDefault="00E97765">
            <w:pPr>
              <w:widowControl w:val="0"/>
              <w:tabs>
                <w:tab w:val="left" w:pos="567"/>
              </w:tabs>
              <w:jc w:val="center"/>
              <w:rPr>
                <w:szCs w:val="22"/>
                <w:lang w:val="en-US"/>
              </w:rPr>
            </w:pPr>
            <w:r>
              <w:rPr>
                <w:szCs w:val="22"/>
                <w:lang w:val="en-US"/>
              </w:rPr>
              <w:t>1,13</w:t>
            </w:r>
          </w:p>
          <w:p w14:paraId="5218B05E" w14:textId="77777777" w:rsidR="00E96E12" w:rsidRDefault="00E97765">
            <w:pPr>
              <w:widowControl w:val="0"/>
              <w:tabs>
                <w:tab w:val="left" w:pos="567"/>
              </w:tabs>
              <w:jc w:val="center"/>
              <w:rPr>
                <w:szCs w:val="22"/>
                <w:lang w:val="en-US"/>
              </w:rPr>
            </w:pPr>
            <w:r>
              <w:rPr>
                <w:szCs w:val="22"/>
                <w:lang w:val="en-US"/>
              </w:rPr>
              <w:t>(1.05, 1,22)</w:t>
            </w:r>
          </w:p>
        </w:tc>
        <w:tc>
          <w:tcPr>
            <w:tcW w:w="1276" w:type="dxa"/>
          </w:tcPr>
          <w:p w14:paraId="1832E636" w14:textId="77777777" w:rsidR="00E96E12" w:rsidRDefault="00E97765">
            <w:pPr>
              <w:widowControl w:val="0"/>
              <w:tabs>
                <w:tab w:val="left" w:pos="567"/>
              </w:tabs>
              <w:jc w:val="center"/>
              <w:rPr>
                <w:szCs w:val="22"/>
                <w:lang w:val="en-US"/>
              </w:rPr>
            </w:pPr>
            <w:r>
              <w:rPr>
                <w:szCs w:val="22"/>
                <w:lang w:val="en-US"/>
              </w:rPr>
              <w:t>0,0018</w:t>
            </w:r>
          </w:p>
        </w:tc>
      </w:tr>
      <w:tr w:rsidR="00E96E12" w14:paraId="7B1A9BC1" w14:textId="77777777">
        <w:tc>
          <w:tcPr>
            <w:tcW w:w="2410" w:type="dxa"/>
            <w:tcBorders>
              <w:bottom w:val="single" w:sz="4" w:space="0" w:color="auto"/>
            </w:tcBorders>
          </w:tcPr>
          <w:p w14:paraId="34BB8872" w14:textId="77777777" w:rsidR="00E96E12" w:rsidRDefault="00E97765">
            <w:pPr>
              <w:widowControl w:val="0"/>
              <w:tabs>
                <w:tab w:val="left" w:pos="567"/>
              </w:tabs>
              <w:rPr>
                <w:szCs w:val="22"/>
                <w:lang w:val="en-US"/>
              </w:rPr>
            </w:pPr>
            <w:r>
              <w:rPr>
                <w:szCs w:val="22"/>
                <w:lang w:val="en-US"/>
              </w:rPr>
              <w:t xml:space="preserve">≥ 15 </w:t>
            </w:r>
            <w:proofErr w:type="spellStart"/>
            <w:r>
              <w:rPr>
                <w:szCs w:val="22"/>
                <w:lang w:val="en-US"/>
              </w:rPr>
              <w:t>taškų</w:t>
            </w:r>
            <w:proofErr w:type="spellEnd"/>
          </w:p>
        </w:tc>
        <w:tc>
          <w:tcPr>
            <w:tcW w:w="1701" w:type="dxa"/>
            <w:tcBorders>
              <w:bottom w:val="single" w:sz="4" w:space="0" w:color="auto"/>
            </w:tcBorders>
          </w:tcPr>
          <w:p w14:paraId="196E4460" w14:textId="77777777" w:rsidR="00E96E12" w:rsidRDefault="00E97765">
            <w:pPr>
              <w:widowControl w:val="0"/>
              <w:tabs>
                <w:tab w:val="left" w:pos="567"/>
              </w:tabs>
              <w:jc w:val="center"/>
              <w:rPr>
                <w:szCs w:val="22"/>
                <w:lang w:val="en-US"/>
              </w:rPr>
            </w:pPr>
            <w:r>
              <w:rPr>
                <w:szCs w:val="22"/>
                <w:lang w:val="en-US"/>
              </w:rPr>
              <w:t>474 (22,7)</w:t>
            </w:r>
          </w:p>
        </w:tc>
        <w:tc>
          <w:tcPr>
            <w:tcW w:w="1701" w:type="dxa"/>
            <w:tcBorders>
              <w:bottom w:val="single" w:sz="4" w:space="0" w:color="auto"/>
            </w:tcBorders>
          </w:tcPr>
          <w:p w14:paraId="3641CAE0" w14:textId="77777777" w:rsidR="00E96E12" w:rsidRDefault="00E97765">
            <w:pPr>
              <w:widowControl w:val="0"/>
              <w:tabs>
                <w:tab w:val="left" w:pos="567"/>
              </w:tabs>
              <w:jc w:val="center"/>
              <w:rPr>
                <w:szCs w:val="22"/>
                <w:lang w:val="en-US"/>
              </w:rPr>
            </w:pPr>
            <w:r>
              <w:rPr>
                <w:szCs w:val="22"/>
                <w:lang w:val="en-US"/>
              </w:rPr>
              <w:t>406 (19,7)</w:t>
            </w:r>
          </w:p>
        </w:tc>
        <w:tc>
          <w:tcPr>
            <w:tcW w:w="1701" w:type="dxa"/>
            <w:tcBorders>
              <w:bottom w:val="single" w:sz="4" w:space="0" w:color="auto"/>
            </w:tcBorders>
          </w:tcPr>
          <w:p w14:paraId="1510CF77" w14:textId="77777777" w:rsidR="00E96E12" w:rsidRDefault="00E97765">
            <w:pPr>
              <w:widowControl w:val="0"/>
              <w:tabs>
                <w:tab w:val="left" w:pos="567"/>
              </w:tabs>
              <w:jc w:val="center"/>
              <w:rPr>
                <w:szCs w:val="22"/>
                <w:lang w:val="en-US"/>
              </w:rPr>
            </w:pPr>
            <w:r>
              <w:rPr>
                <w:szCs w:val="22"/>
                <w:lang w:val="en-US"/>
              </w:rPr>
              <w:t>1,10</w:t>
            </w:r>
          </w:p>
          <w:p w14:paraId="40F3C4C6" w14:textId="77777777" w:rsidR="00E96E12" w:rsidRDefault="00E97765">
            <w:pPr>
              <w:widowControl w:val="0"/>
              <w:tabs>
                <w:tab w:val="left" w:pos="567"/>
              </w:tabs>
              <w:jc w:val="center"/>
              <w:rPr>
                <w:szCs w:val="22"/>
                <w:lang w:val="en-US"/>
              </w:rPr>
            </w:pPr>
            <w:r>
              <w:rPr>
                <w:szCs w:val="22"/>
                <w:lang w:val="en-US"/>
              </w:rPr>
              <w:t>(1,01, 1,19)</w:t>
            </w:r>
          </w:p>
        </w:tc>
        <w:tc>
          <w:tcPr>
            <w:tcW w:w="1276" w:type="dxa"/>
            <w:tcBorders>
              <w:bottom w:val="single" w:sz="4" w:space="0" w:color="auto"/>
            </w:tcBorders>
          </w:tcPr>
          <w:p w14:paraId="62D0B0C7" w14:textId="77777777" w:rsidR="00E96E12" w:rsidRDefault="00E97765">
            <w:pPr>
              <w:widowControl w:val="0"/>
              <w:tabs>
                <w:tab w:val="left" w:pos="567"/>
              </w:tabs>
              <w:jc w:val="center"/>
              <w:rPr>
                <w:szCs w:val="22"/>
                <w:lang w:val="en-US"/>
              </w:rPr>
            </w:pPr>
            <w:r>
              <w:rPr>
                <w:szCs w:val="22"/>
                <w:lang w:val="en-US"/>
              </w:rPr>
              <w:t>0,0300</w:t>
            </w:r>
          </w:p>
        </w:tc>
      </w:tr>
      <w:tr w:rsidR="00E96E12" w14:paraId="7D655C7B" w14:textId="77777777">
        <w:tc>
          <w:tcPr>
            <w:tcW w:w="2410" w:type="dxa"/>
            <w:tcBorders>
              <w:top w:val="single" w:sz="4" w:space="0" w:color="auto"/>
              <w:bottom w:val="single" w:sz="4" w:space="0" w:color="auto"/>
            </w:tcBorders>
          </w:tcPr>
          <w:p w14:paraId="46D636AC" w14:textId="77777777" w:rsidR="00E96E12" w:rsidRDefault="00E97765">
            <w:pPr>
              <w:widowControl w:val="0"/>
              <w:tabs>
                <w:tab w:val="left" w:pos="567"/>
              </w:tabs>
              <w:rPr>
                <w:b/>
                <w:i/>
                <w:szCs w:val="22"/>
                <w:lang w:val="en-US"/>
              </w:rPr>
            </w:pPr>
            <w:proofErr w:type="spellStart"/>
            <w:r>
              <w:rPr>
                <w:b/>
                <w:i/>
                <w:szCs w:val="22"/>
                <w:lang w:val="en-US"/>
              </w:rPr>
              <w:t>Pablogėjimas</w:t>
            </w:r>
            <w:proofErr w:type="spellEnd"/>
          </w:p>
        </w:tc>
        <w:tc>
          <w:tcPr>
            <w:tcW w:w="1701" w:type="dxa"/>
            <w:tcBorders>
              <w:top w:val="single" w:sz="4" w:space="0" w:color="auto"/>
              <w:bottom w:val="single" w:sz="4" w:space="0" w:color="auto"/>
            </w:tcBorders>
          </w:tcPr>
          <w:p w14:paraId="22FC2C31" w14:textId="77777777" w:rsidR="00E96E12" w:rsidRDefault="00E97765">
            <w:pPr>
              <w:widowControl w:val="0"/>
              <w:tabs>
                <w:tab w:val="left" w:pos="567"/>
              </w:tabs>
              <w:jc w:val="center"/>
              <w:rPr>
                <w:b/>
                <w:szCs w:val="22"/>
                <w:lang w:val="en-US"/>
              </w:rPr>
            </w:pPr>
            <w:r>
              <w:rPr>
                <w:b/>
                <w:szCs w:val="22"/>
                <w:lang w:val="en-US"/>
              </w:rPr>
              <w:t xml:space="preserve">n (%) </w:t>
            </w:r>
            <w:proofErr w:type="spellStart"/>
            <w:r>
              <w:rPr>
                <w:b/>
                <w:szCs w:val="22"/>
                <w:lang w:val="en-US"/>
              </w:rPr>
              <w:t>pablogėjo</w:t>
            </w:r>
            <w:r>
              <w:rPr>
                <w:b/>
                <w:szCs w:val="22"/>
                <w:vertAlign w:val="superscript"/>
                <w:lang w:val="en-US"/>
              </w:rPr>
              <w:t>d</w:t>
            </w:r>
            <w:proofErr w:type="spellEnd"/>
          </w:p>
        </w:tc>
        <w:tc>
          <w:tcPr>
            <w:tcW w:w="1701" w:type="dxa"/>
            <w:tcBorders>
              <w:top w:val="single" w:sz="4" w:space="0" w:color="auto"/>
              <w:bottom w:val="single" w:sz="4" w:space="0" w:color="auto"/>
            </w:tcBorders>
          </w:tcPr>
          <w:p w14:paraId="3F38271F" w14:textId="77777777" w:rsidR="00E96E12" w:rsidRDefault="00E97765">
            <w:pPr>
              <w:widowControl w:val="0"/>
              <w:tabs>
                <w:tab w:val="left" w:pos="567"/>
              </w:tabs>
              <w:jc w:val="center"/>
              <w:rPr>
                <w:b/>
                <w:szCs w:val="22"/>
                <w:lang w:val="en-US"/>
              </w:rPr>
            </w:pPr>
            <w:r>
              <w:rPr>
                <w:b/>
                <w:szCs w:val="22"/>
                <w:lang w:val="en-US"/>
              </w:rPr>
              <w:t xml:space="preserve">n (%) </w:t>
            </w:r>
            <w:proofErr w:type="spellStart"/>
            <w:r>
              <w:rPr>
                <w:b/>
                <w:szCs w:val="22"/>
                <w:lang w:val="en-US"/>
              </w:rPr>
              <w:t>pablogėjo</w:t>
            </w:r>
            <w:r>
              <w:rPr>
                <w:b/>
                <w:szCs w:val="22"/>
                <w:vertAlign w:val="superscript"/>
                <w:lang w:val="en-US"/>
              </w:rPr>
              <w:t>d</w:t>
            </w:r>
            <w:proofErr w:type="spellEnd"/>
          </w:p>
        </w:tc>
        <w:tc>
          <w:tcPr>
            <w:tcW w:w="1701" w:type="dxa"/>
            <w:tcBorders>
              <w:top w:val="single" w:sz="4" w:space="0" w:color="auto"/>
              <w:bottom w:val="single" w:sz="4" w:space="0" w:color="auto"/>
            </w:tcBorders>
          </w:tcPr>
          <w:p w14:paraId="6841A980" w14:textId="77777777" w:rsidR="00E96E12" w:rsidRDefault="00E97765">
            <w:pPr>
              <w:widowControl w:val="0"/>
              <w:tabs>
                <w:tab w:val="left" w:pos="567"/>
              </w:tabs>
              <w:jc w:val="center"/>
              <w:rPr>
                <w:b/>
                <w:szCs w:val="22"/>
                <w:lang w:val="en-US"/>
              </w:rPr>
            </w:pPr>
            <w:proofErr w:type="spellStart"/>
            <w:r>
              <w:rPr>
                <w:b/>
                <w:szCs w:val="22"/>
                <w:lang w:val="en-US"/>
              </w:rPr>
              <w:t>Šansų</w:t>
            </w:r>
            <w:proofErr w:type="spellEnd"/>
            <w:r>
              <w:rPr>
                <w:b/>
                <w:szCs w:val="22"/>
                <w:lang w:val="en-US"/>
              </w:rPr>
              <w:t xml:space="preserve"> </w:t>
            </w:r>
            <w:proofErr w:type="spellStart"/>
            <w:r>
              <w:rPr>
                <w:b/>
                <w:szCs w:val="22"/>
                <w:lang w:val="en-US"/>
              </w:rPr>
              <w:t>santykis</w:t>
            </w:r>
            <w:r>
              <w:rPr>
                <w:b/>
                <w:szCs w:val="22"/>
                <w:vertAlign w:val="superscript"/>
                <w:lang w:val="en-US"/>
              </w:rPr>
              <w:t>e</w:t>
            </w:r>
            <w:proofErr w:type="spellEnd"/>
          </w:p>
          <w:p w14:paraId="3A107A27" w14:textId="77777777" w:rsidR="00E96E12" w:rsidRDefault="00E97765">
            <w:pPr>
              <w:widowControl w:val="0"/>
              <w:tabs>
                <w:tab w:val="left" w:pos="567"/>
              </w:tabs>
              <w:jc w:val="center"/>
              <w:rPr>
                <w:b/>
                <w:szCs w:val="22"/>
                <w:lang w:val="en-US"/>
              </w:rPr>
            </w:pPr>
            <w:r>
              <w:rPr>
                <w:b/>
                <w:szCs w:val="22"/>
                <w:lang w:val="en-US"/>
              </w:rPr>
              <w:t>(95% CI)</w:t>
            </w:r>
          </w:p>
        </w:tc>
        <w:tc>
          <w:tcPr>
            <w:tcW w:w="1276" w:type="dxa"/>
            <w:tcBorders>
              <w:top w:val="single" w:sz="4" w:space="0" w:color="auto"/>
              <w:bottom w:val="single" w:sz="4" w:space="0" w:color="auto"/>
            </w:tcBorders>
          </w:tcPr>
          <w:p w14:paraId="252AFE2A" w14:textId="77777777" w:rsidR="00E96E12" w:rsidRDefault="00E97765">
            <w:pPr>
              <w:widowControl w:val="0"/>
              <w:tabs>
                <w:tab w:val="left" w:pos="567"/>
              </w:tabs>
              <w:jc w:val="center"/>
              <w:rPr>
                <w:b/>
                <w:szCs w:val="22"/>
                <w:lang w:val="en-US"/>
              </w:rPr>
            </w:pPr>
            <w:r>
              <w:rPr>
                <w:b/>
                <w:szCs w:val="22"/>
                <w:lang w:val="en-US"/>
              </w:rPr>
              <w:t xml:space="preserve">P </w:t>
            </w:r>
            <w:proofErr w:type="spellStart"/>
            <w:r>
              <w:rPr>
                <w:b/>
                <w:szCs w:val="22"/>
                <w:lang w:val="en-US"/>
              </w:rPr>
              <w:t>reikšmė</w:t>
            </w:r>
            <w:r>
              <w:rPr>
                <w:b/>
                <w:szCs w:val="22"/>
                <w:vertAlign w:val="superscript"/>
                <w:lang w:val="en-US"/>
              </w:rPr>
              <w:t>f</w:t>
            </w:r>
            <w:proofErr w:type="spellEnd"/>
          </w:p>
        </w:tc>
      </w:tr>
      <w:tr w:rsidR="00E96E12" w14:paraId="068D8233" w14:textId="77777777">
        <w:tc>
          <w:tcPr>
            <w:tcW w:w="2410" w:type="dxa"/>
            <w:tcBorders>
              <w:top w:val="single" w:sz="4" w:space="0" w:color="auto"/>
            </w:tcBorders>
          </w:tcPr>
          <w:p w14:paraId="3499E8F9" w14:textId="77777777" w:rsidR="00E96E12" w:rsidRDefault="00E97765">
            <w:pPr>
              <w:widowControl w:val="0"/>
              <w:tabs>
                <w:tab w:val="left" w:pos="567"/>
              </w:tabs>
              <w:rPr>
                <w:szCs w:val="22"/>
                <w:lang w:val="en-US"/>
              </w:rPr>
            </w:pPr>
            <w:r>
              <w:rPr>
                <w:szCs w:val="22"/>
                <w:lang w:val="en-US"/>
              </w:rPr>
              <w:t xml:space="preserve">≥ 5 </w:t>
            </w:r>
            <w:proofErr w:type="spellStart"/>
            <w:r>
              <w:rPr>
                <w:szCs w:val="22"/>
                <w:lang w:val="en-US"/>
              </w:rPr>
              <w:t>taškų</w:t>
            </w:r>
            <w:proofErr w:type="spellEnd"/>
          </w:p>
        </w:tc>
        <w:tc>
          <w:tcPr>
            <w:tcW w:w="1701" w:type="dxa"/>
            <w:tcBorders>
              <w:top w:val="single" w:sz="4" w:space="0" w:color="auto"/>
            </w:tcBorders>
          </w:tcPr>
          <w:p w14:paraId="0F8B6FE7" w14:textId="77777777" w:rsidR="00E96E12" w:rsidRDefault="00E97765">
            <w:pPr>
              <w:widowControl w:val="0"/>
              <w:tabs>
                <w:tab w:val="left" w:pos="567"/>
              </w:tabs>
              <w:jc w:val="center"/>
              <w:rPr>
                <w:szCs w:val="22"/>
                <w:lang w:val="en-US"/>
              </w:rPr>
            </w:pPr>
            <w:r>
              <w:rPr>
                <w:szCs w:val="22"/>
                <w:lang w:val="en-US"/>
              </w:rPr>
              <w:t>537 (25,7)</w:t>
            </w:r>
          </w:p>
        </w:tc>
        <w:tc>
          <w:tcPr>
            <w:tcW w:w="1701" w:type="dxa"/>
            <w:tcBorders>
              <w:top w:val="single" w:sz="4" w:space="0" w:color="auto"/>
            </w:tcBorders>
          </w:tcPr>
          <w:p w14:paraId="7350A36B" w14:textId="77777777" w:rsidR="00E96E12" w:rsidRDefault="00E97765">
            <w:pPr>
              <w:widowControl w:val="0"/>
              <w:tabs>
                <w:tab w:val="left" w:pos="567"/>
              </w:tabs>
              <w:jc w:val="center"/>
              <w:rPr>
                <w:szCs w:val="22"/>
                <w:lang w:val="en-US"/>
              </w:rPr>
            </w:pPr>
            <w:r>
              <w:rPr>
                <w:szCs w:val="22"/>
                <w:lang w:val="en-US"/>
              </w:rPr>
              <w:t>693 (33,6)</w:t>
            </w:r>
          </w:p>
        </w:tc>
        <w:tc>
          <w:tcPr>
            <w:tcW w:w="1701" w:type="dxa"/>
            <w:tcBorders>
              <w:top w:val="single" w:sz="4" w:space="0" w:color="auto"/>
            </w:tcBorders>
          </w:tcPr>
          <w:p w14:paraId="779A2A0B" w14:textId="77777777" w:rsidR="00E96E12" w:rsidRDefault="00E97765">
            <w:pPr>
              <w:widowControl w:val="0"/>
              <w:tabs>
                <w:tab w:val="left" w:pos="567"/>
              </w:tabs>
              <w:jc w:val="center"/>
              <w:rPr>
                <w:szCs w:val="22"/>
                <w:lang w:val="en-US"/>
              </w:rPr>
            </w:pPr>
            <w:r>
              <w:rPr>
                <w:szCs w:val="22"/>
                <w:lang w:val="en-US"/>
              </w:rPr>
              <w:t>0,84</w:t>
            </w:r>
          </w:p>
          <w:p w14:paraId="704BD0AB" w14:textId="77777777" w:rsidR="00E96E12" w:rsidRDefault="00E97765">
            <w:pPr>
              <w:widowControl w:val="0"/>
              <w:tabs>
                <w:tab w:val="left" w:pos="567"/>
              </w:tabs>
              <w:jc w:val="center"/>
              <w:rPr>
                <w:szCs w:val="22"/>
                <w:lang w:val="en-US"/>
              </w:rPr>
            </w:pPr>
            <w:r>
              <w:rPr>
                <w:szCs w:val="22"/>
                <w:lang w:val="en-US"/>
              </w:rPr>
              <w:t>(0,78, 0,89)</w:t>
            </w:r>
          </w:p>
        </w:tc>
        <w:tc>
          <w:tcPr>
            <w:tcW w:w="1276" w:type="dxa"/>
            <w:tcBorders>
              <w:top w:val="single" w:sz="4" w:space="0" w:color="auto"/>
            </w:tcBorders>
          </w:tcPr>
          <w:p w14:paraId="279126E2" w14:textId="77777777" w:rsidR="00E96E12" w:rsidRDefault="00E97765">
            <w:pPr>
              <w:widowControl w:val="0"/>
              <w:tabs>
                <w:tab w:val="left" w:pos="567"/>
              </w:tabs>
              <w:jc w:val="center"/>
              <w:rPr>
                <w:szCs w:val="22"/>
                <w:lang w:val="en-US"/>
              </w:rPr>
            </w:pPr>
            <w:r>
              <w:rPr>
                <w:szCs w:val="22"/>
                <w:lang w:val="en-US"/>
              </w:rPr>
              <w:t>&lt;0,0001</w:t>
            </w:r>
          </w:p>
        </w:tc>
      </w:tr>
      <w:tr w:rsidR="00E96E12" w14:paraId="7EF57A42" w14:textId="77777777">
        <w:tc>
          <w:tcPr>
            <w:tcW w:w="2410" w:type="dxa"/>
            <w:tcBorders>
              <w:bottom w:val="single" w:sz="4" w:space="0" w:color="auto"/>
            </w:tcBorders>
          </w:tcPr>
          <w:p w14:paraId="7DC886AF" w14:textId="77777777" w:rsidR="00E96E12" w:rsidRDefault="00E97765">
            <w:pPr>
              <w:widowControl w:val="0"/>
              <w:tabs>
                <w:tab w:val="left" w:pos="567"/>
              </w:tabs>
              <w:rPr>
                <w:szCs w:val="22"/>
                <w:lang w:val="en-US"/>
              </w:rPr>
            </w:pPr>
            <w:r>
              <w:rPr>
                <w:szCs w:val="22"/>
                <w:lang w:val="en-US"/>
              </w:rPr>
              <w:t xml:space="preserve">≥ 10 </w:t>
            </w:r>
            <w:proofErr w:type="spellStart"/>
            <w:r>
              <w:rPr>
                <w:szCs w:val="22"/>
                <w:lang w:val="en-US"/>
              </w:rPr>
              <w:t>taškų</w:t>
            </w:r>
            <w:proofErr w:type="spellEnd"/>
          </w:p>
        </w:tc>
        <w:tc>
          <w:tcPr>
            <w:tcW w:w="1701" w:type="dxa"/>
            <w:tcBorders>
              <w:bottom w:val="single" w:sz="4" w:space="0" w:color="auto"/>
            </w:tcBorders>
          </w:tcPr>
          <w:p w14:paraId="10E3F591" w14:textId="77777777" w:rsidR="00E96E12" w:rsidRDefault="00E97765">
            <w:pPr>
              <w:widowControl w:val="0"/>
              <w:tabs>
                <w:tab w:val="left" w:pos="567"/>
              </w:tabs>
              <w:jc w:val="center"/>
              <w:rPr>
                <w:szCs w:val="22"/>
                <w:lang w:val="en-US"/>
              </w:rPr>
            </w:pPr>
            <w:r>
              <w:rPr>
                <w:szCs w:val="22"/>
                <w:lang w:val="en-US"/>
              </w:rPr>
              <w:t>395 (18,9)</w:t>
            </w:r>
          </w:p>
        </w:tc>
        <w:tc>
          <w:tcPr>
            <w:tcW w:w="1701" w:type="dxa"/>
            <w:tcBorders>
              <w:bottom w:val="single" w:sz="4" w:space="0" w:color="auto"/>
            </w:tcBorders>
          </w:tcPr>
          <w:p w14:paraId="1450773F" w14:textId="77777777" w:rsidR="00E96E12" w:rsidRDefault="00E97765">
            <w:pPr>
              <w:widowControl w:val="0"/>
              <w:tabs>
                <w:tab w:val="left" w:pos="567"/>
              </w:tabs>
              <w:jc w:val="center"/>
              <w:rPr>
                <w:szCs w:val="22"/>
                <w:lang w:val="en-US"/>
              </w:rPr>
            </w:pPr>
            <w:r>
              <w:rPr>
                <w:szCs w:val="22"/>
                <w:lang w:val="en-US"/>
              </w:rPr>
              <w:t>506 (24,5)</w:t>
            </w:r>
          </w:p>
        </w:tc>
        <w:tc>
          <w:tcPr>
            <w:tcW w:w="1701" w:type="dxa"/>
            <w:tcBorders>
              <w:bottom w:val="single" w:sz="4" w:space="0" w:color="auto"/>
            </w:tcBorders>
          </w:tcPr>
          <w:p w14:paraId="6DFB6EDF" w14:textId="77777777" w:rsidR="00E96E12" w:rsidRDefault="00E97765">
            <w:pPr>
              <w:widowControl w:val="0"/>
              <w:tabs>
                <w:tab w:val="left" w:pos="567"/>
              </w:tabs>
              <w:jc w:val="center"/>
              <w:rPr>
                <w:szCs w:val="22"/>
                <w:lang w:val="en-US"/>
              </w:rPr>
            </w:pPr>
            <w:r>
              <w:rPr>
                <w:szCs w:val="22"/>
                <w:lang w:val="en-US"/>
              </w:rPr>
              <w:t>0,85</w:t>
            </w:r>
          </w:p>
          <w:p w14:paraId="61D949AF" w14:textId="77777777" w:rsidR="00E96E12" w:rsidRDefault="00E97765">
            <w:pPr>
              <w:widowControl w:val="0"/>
              <w:tabs>
                <w:tab w:val="left" w:pos="567"/>
              </w:tabs>
              <w:jc w:val="center"/>
              <w:rPr>
                <w:szCs w:val="22"/>
                <w:lang w:val="en-US"/>
              </w:rPr>
            </w:pPr>
            <w:r>
              <w:rPr>
                <w:szCs w:val="22"/>
                <w:lang w:val="en-US"/>
              </w:rPr>
              <w:t>(0,79, 0,92)</w:t>
            </w:r>
          </w:p>
        </w:tc>
        <w:tc>
          <w:tcPr>
            <w:tcW w:w="1276" w:type="dxa"/>
            <w:tcBorders>
              <w:bottom w:val="single" w:sz="4" w:space="0" w:color="auto"/>
            </w:tcBorders>
          </w:tcPr>
          <w:p w14:paraId="67ECB555" w14:textId="77777777" w:rsidR="00E96E12" w:rsidRDefault="00E97765">
            <w:pPr>
              <w:widowControl w:val="0"/>
              <w:tabs>
                <w:tab w:val="left" w:pos="567"/>
              </w:tabs>
              <w:jc w:val="center"/>
              <w:rPr>
                <w:szCs w:val="22"/>
                <w:lang w:val="en-US"/>
              </w:rPr>
            </w:pPr>
            <w:r>
              <w:rPr>
                <w:szCs w:val="22"/>
                <w:lang w:val="en-US"/>
              </w:rPr>
              <w:t>&lt;0,0001</w:t>
            </w:r>
          </w:p>
        </w:tc>
      </w:tr>
    </w:tbl>
    <w:p w14:paraId="2A6023E6"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 xml:space="preserve">a </w:t>
      </w:r>
      <w:r>
        <w:rPr>
          <w:rFonts w:eastAsia="TimesNewRoman"/>
          <w:sz w:val="18"/>
          <w:szCs w:val="18"/>
          <w:lang w:eastAsia="lt-LT"/>
        </w:rPr>
        <w:t>Pacientų, kuriems buvo nustatytas KCCQ-TSS arba kurie mirė nepraėjus 8 mėn., skaičius.</w:t>
      </w:r>
    </w:p>
    <w:p w14:paraId="454DF403"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b</w:t>
      </w:r>
      <w:r>
        <w:rPr>
          <w:rFonts w:eastAsia="TimesNewRoman"/>
          <w:sz w:val="18"/>
          <w:szCs w:val="18"/>
          <w:lang w:eastAsia="lt-LT"/>
        </w:rPr>
        <w:t xml:space="preserve"> Pacientų, kuriems nustatytas rodiklio, palyginus su pradiniu, pagerėjimas atitinkamai bent 5, 10 arba 15 taškų, skaičius.</w:t>
      </w:r>
    </w:p>
    <w:p w14:paraId="5A96FF8A"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Laikyta, kad pacientų, mirusių iki nustatyto laiko, būklė nepagerėjo.</w:t>
      </w:r>
    </w:p>
    <w:p w14:paraId="6DD632E9"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c</w:t>
      </w:r>
      <w:r>
        <w:rPr>
          <w:rFonts w:eastAsia="TimesNewRoman"/>
          <w:sz w:val="18"/>
          <w:szCs w:val="18"/>
          <w:lang w:eastAsia="lt-LT"/>
        </w:rPr>
        <w:t xml:space="preserve"> Pagerėjimo šansų santykis &gt; 1 rodo palankesnį dapagliflozino 10 mg poveikį.</w:t>
      </w:r>
    </w:p>
    <w:p w14:paraId="4D6C166B"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d</w:t>
      </w:r>
      <w:r>
        <w:rPr>
          <w:rFonts w:eastAsia="TimesNewRoman"/>
          <w:sz w:val="18"/>
          <w:szCs w:val="18"/>
          <w:lang w:eastAsia="lt-LT"/>
        </w:rPr>
        <w:t xml:space="preserve"> Pacientų, kuriems nustatytas rodiklio, palyginus su pradiniu, pablogėjimas atitinkamai bent 5 arba 10 taškų, skaičius.</w:t>
      </w:r>
    </w:p>
    <w:p w14:paraId="46A4F7CA"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Laikyta, kad pacientų, mirusių iki nustatyto laiko, būklė pablogėjo.</w:t>
      </w:r>
    </w:p>
    <w:p w14:paraId="41C2CFF5" w14:textId="77777777" w:rsidR="00E96E12" w:rsidRDefault="00E97765">
      <w:pPr>
        <w:autoSpaceDE w:val="0"/>
        <w:autoSpaceDN w:val="0"/>
        <w:adjustRightInd w:val="0"/>
        <w:rPr>
          <w:rFonts w:eastAsia="TimesNewRoman"/>
          <w:sz w:val="18"/>
          <w:szCs w:val="18"/>
          <w:lang w:eastAsia="lt-LT"/>
        </w:rPr>
      </w:pPr>
      <w:r>
        <w:rPr>
          <w:rFonts w:eastAsia="TimesNewRoman"/>
          <w:sz w:val="18"/>
          <w:szCs w:val="18"/>
          <w:vertAlign w:val="superscript"/>
          <w:lang w:eastAsia="lt-LT"/>
        </w:rPr>
        <w:t>e</w:t>
      </w:r>
      <w:r>
        <w:rPr>
          <w:rFonts w:eastAsia="TimesNewRoman"/>
          <w:sz w:val="18"/>
          <w:szCs w:val="18"/>
          <w:lang w:eastAsia="lt-LT"/>
        </w:rPr>
        <w:t xml:space="preserve"> Pablogėjimo šansų santykis &lt; 1 rodo palankesnį dapagliflozino 10 mg poveikį.</w:t>
      </w:r>
    </w:p>
    <w:p w14:paraId="69B0C018" w14:textId="77777777" w:rsidR="00E96E12" w:rsidRDefault="00E97765">
      <w:pPr>
        <w:autoSpaceDE w:val="0"/>
        <w:autoSpaceDN w:val="0"/>
        <w:adjustRightInd w:val="0"/>
        <w:rPr>
          <w:rFonts w:eastAsia="TimesNewRoman"/>
          <w:szCs w:val="22"/>
          <w:lang w:eastAsia="lt-LT"/>
        </w:rPr>
      </w:pPr>
      <w:r>
        <w:rPr>
          <w:rFonts w:eastAsia="TimesNewRoman"/>
          <w:sz w:val="18"/>
          <w:szCs w:val="18"/>
          <w:vertAlign w:val="superscript"/>
          <w:lang w:eastAsia="lt-LT"/>
        </w:rPr>
        <w:t xml:space="preserve">f </w:t>
      </w:r>
      <w:r>
        <w:rPr>
          <w:rFonts w:eastAsia="TimesNewRoman"/>
          <w:sz w:val="18"/>
          <w:szCs w:val="18"/>
          <w:lang w:eastAsia="lt-LT"/>
        </w:rPr>
        <w:t>p reikšmės yra nominalios</w:t>
      </w:r>
      <w:r>
        <w:rPr>
          <w:rFonts w:eastAsia="TimesNewRoman"/>
          <w:szCs w:val="22"/>
          <w:lang w:eastAsia="lt-LT"/>
        </w:rPr>
        <w:t>.</w:t>
      </w:r>
    </w:p>
    <w:p w14:paraId="3CC64D9B" w14:textId="77777777" w:rsidR="00E96E12" w:rsidRDefault="00E96E12">
      <w:pPr>
        <w:autoSpaceDE w:val="0"/>
        <w:autoSpaceDN w:val="0"/>
        <w:adjustRightInd w:val="0"/>
        <w:rPr>
          <w:rFonts w:ascii="TimesNewRoman,Italic" w:eastAsia="TimesNewRoman,Italic" w:cs="TimesNewRoman,Italic"/>
          <w:i/>
          <w:iCs/>
          <w:szCs w:val="22"/>
          <w:lang w:eastAsia="lt-LT"/>
        </w:rPr>
      </w:pPr>
    </w:p>
    <w:p w14:paraId="1E9C1AF0" w14:textId="77777777" w:rsidR="00E96E12" w:rsidRDefault="00E97765">
      <w:pPr>
        <w:autoSpaceDE w:val="0"/>
        <w:autoSpaceDN w:val="0"/>
        <w:adjustRightInd w:val="0"/>
        <w:rPr>
          <w:rFonts w:eastAsia="TimesNewRoman,Italic"/>
          <w:i/>
          <w:iCs/>
          <w:szCs w:val="22"/>
          <w:u w:val="single"/>
          <w:lang w:eastAsia="lt-LT"/>
        </w:rPr>
      </w:pPr>
      <w:proofErr w:type="spellStart"/>
      <w:r>
        <w:rPr>
          <w:rFonts w:eastAsia="TimesNewRoman,Italic"/>
          <w:i/>
          <w:iCs/>
          <w:szCs w:val="22"/>
          <w:u w:val="single"/>
          <w:lang w:eastAsia="lt-LT"/>
        </w:rPr>
        <w:t>Nefropatija</w:t>
      </w:r>
      <w:proofErr w:type="spellEnd"/>
    </w:p>
    <w:p w14:paraId="65C224A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Užfiksuoti keli inkstų sudėtinės baigties (patvirtintas nuolatinis </w:t>
      </w:r>
      <w:proofErr w:type="spellStart"/>
      <w:r>
        <w:rPr>
          <w:rFonts w:eastAsia="TimesNewRoman"/>
          <w:szCs w:val="22"/>
          <w:lang w:eastAsia="lt-LT"/>
        </w:rPr>
        <w:t>aGFG</w:t>
      </w:r>
      <w:proofErr w:type="spellEnd"/>
      <w:r>
        <w:rPr>
          <w:rFonts w:eastAsia="TimesNewRoman"/>
          <w:szCs w:val="22"/>
          <w:lang w:eastAsia="lt-LT"/>
        </w:rPr>
        <w:t xml:space="preserve"> sumažėjimas ≥ 50 %, GSIL arba mirtis dėl inkstų ligos) atvejai. Dapagliflozino grupės pacientams jų dažnis buvo 1,2 %, placebo – 1,6 %.</w:t>
      </w:r>
    </w:p>
    <w:p w14:paraId="64060997" w14:textId="77777777" w:rsidR="00E96E12" w:rsidRDefault="00E96E12">
      <w:pPr>
        <w:autoSpaceDE w:val="0"/>
        <w:autoSpaceDN w:val="0"/>
        <w:adjustRightInd w:val="0"/>
        <w:rPr>
          <w:rFonts w:eastAsia="TimesNewRoman,Italic"/>
          <w:i/>
          <w:iCs/>
          <w:szCs w:val="22"/>
          <w:lang w:eastAsia="lt-LT"/>
        </w:rPr>
      </w:pPr>
    </w:p>
    <w:p w14:paraId="56AAD2A6"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DELIVER tyrimas: širdies nepakankamumas su kairiojo skilvelio išstūmimo frakcija &gt; 40 %</w:t>
      </w:r>
    </w:p>
    <w:p w14:paraId="7260209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poveikio vertinimo siekiant pagerinti gyvenimo kokybę širdies nepakankamumu su išlikusia išstūmimo frakcija sergantiems pacientams (angl. </w:t>
      </w:r>
      <w:proofErr w:type="spellStart"/>
      <w:r>
        <w:rPr>
          <w:rFonts w:eastAsia="TimesNewRoman,Italic"/>
          <w:i/>
          <w:iCs/>
          <w:szCs w:val="22"/>
          <w:lang w:eastAsia="lt-LT"/>
        </w:rPr>
        <w:t>Dapagliflozin</w:t>
      </w:r>
      <w:proofErr w:type="spellEnd"/>
      <w:r>
        <w:rPr>
          <w:rFonts w:eastAsia="TimesNewRoman,Italic"/>
          <w:i/>
          <w:iCs/>
          <w:szCs w:val="22"/>
          <w:lang w:eastAsia="lt-LT"/>
        </w:rPr>
        <w:t xml:space="preserve"> </w:t>
      </w:r>
      <w:proofErr w:type="spellStart"/>
      <w:r>
        <w:rPr>
          <w:rFonts w:eastAsia="TimesNewRoman,Italic"/>
          <w:i/>
          <w:iCs/>
          <w:szCs w:val="22"/>
          <w:lang w:eastAsia="lt-LT"/>
        </w:rPr>
        <w:t>Evaluation</w:t>
      </w:r>
      <w:proofErr w:type="spellEnd"/>
      <w:r>
        <w:rPr>
          <w:rFonts w:eastAsia="TimesNewRoman,Italic"/>
          <w:i/>
          <w:iCs/>
          <w:szCs w:val="22"/>
          <w:lang w:eastAsia="lt-LT"/>
        </w:rPr>
        <w:t xml:space="preserve"> to </w:t>
      </w:r>
      <w:proofErr w:type="spellStart"/>
      <w:r>
        <w:rPr>
          <w:rFonts w:eastAsia="TimesNewRoman,Italic"/>
          <w:i/>
          <w:iCs/>
          <w:szCs w:val="22"/>
          <w:lang w:eastAsia="lt-LT"/>
        </w:rPr>
        <w:t>Improve</w:t>
      </w:r>
      <w:proofErr w:type="spellEnd"/>
      <w:r>
        <w:rPr>
          <w:rFonts w:eastAsia="TimesNewRoman,Italic"/>
          <w:i/>
          <w:iCs/>
          <w:szCs w:val="22"/>
          <w:lang w:eastAsia="lt-LT"/>
        </w:rPr>
        <w:t xml:space="preserve"> </w:t>
      </w:r>
      <w:proofErr w:type="spellStart"/>
      <w:r>
        <w:rPr>
          <w:rFonts w:eastAsia="TimesNewRoman,Italic"/>
          <w:i/>
          <w:iCs/>
          <w:szCs w:val="22"/>
          <w:lang w:eastAsia="lt-LT"/>
        </w:rPr>
        <w:t>the</w:t>
      </w:r>
      <w:proofErr w:type="spellEnd"/>
      <w:r>
        <w:rPr>
          <w:rFonts w:eastAsia="TimesNewRoman"/>
          <w:szCs w:val="22"/>
          <w:lang w:eastAsia="lt-LT"/>
        </w:rPr>
        <w:t xml:space="preserve"> </w:t>
      </w:r>
      <w:proofErr w:type="spellStart"/>
      <w:r>
        <w:rPr>
          <w:rFonts w:eastAsia="TimesNewRoman,Italic"/>
          <w:i/>
          <w:iCs/>
          <w:szCs w:val="22"/>
          <w:lang w:eastAsia="lt-LT"/>
        </w:rPr>
        <w:t>LIVEs</w:t>
      </w:r>
      <w:proofErr w:type="spellEnd"/>
      <w:r>
        <w:rPr>
          <w:rFonts w:eastAsia="TimesNewRoman,Italic"/>
          <w:i/>
          <w:iCs/>
          <w:szCs w:val="22"/>
          <w:lang w:eastAsia="lt-LT"/>
        </w:rPr>
        <w:t xml:space="preserve"> </w:t>
      </w:r>
      <w:proofErr w:type="spellStart"/>
      <w:r>
        <w:rPr>
          <w:rFonts w:eastAsia="TimesNewRoman,Italic"/>
          <w:i/>
          <w:iCs/>
          <w:szCs w:val="22"/>
          <w:lang w:eastAsia="lt-LT"/>
        </w:rPr>
        <w:t>of</w:t>
      </w:r>
      <w:proofErr w:type="spellEnd"/>
      <w:r>
        <w:rPr>
          <w:rFonts w:eastAsia="TimesNewRoman,Italic"/>
          <w:i/>
          <w:iCs/>
          <w:szCs w:val="22"/>
          <w:lang w:eastAsia="lt-LT"/>
        </w:rPr>
        <w:t xml:space="preserve"> </w:t>
      </w:r>
      <w:proofErr w:type="spellStart"/>
      <w:r>
        <w:rPr>
          <w:rFonts w:eastAsia="TimesNewRoman,Italic"/>
          <w:i/>
          <w:iCs/>
          <w:szCs w:val="22"/>
          <w:lang w:eastAsia="lt-LT"/>
        </w:rPr>
        <w:t>Patients</w:t>
      </w:r>
      <w:proofErr w:type="spellEnd"/>
      <w:r>
        <w:rPr>
          <w:rFonts w:eastAsia="TimesNewRoman,Italic"/>
          <w:i/>
          <w:iCs/>
          <w:szCs w:val="22"/>
          <w:lang w:eastAsia="lt-LT"/>
        </w:rPr>
        <w:t xml:space="preserve"> </w:t>
      </w:r>
      <w:proofErr w:type="spellStart"/>
      <w:r>
        <w:rPr>
          <w:rFonts w:eastAsia="TimesNewRoman,Italic"/>
          <w:i/>
          <w:iCs/>
          <w:szCs w:val="22"/>
          <w:lang w:eastAsia="lt-LT"/>
        </w:rPr>
        <w:t>with</w:t>
      </w:r>
      <w:proofErr w:type="spellEnd"/>
      <w:r>
        <w:rPr>
          <w:rFonts w:eastAsia="TimesNewRoman,Italic"/>
          <w:i/>
          <w:iCs/>
          <w:szCs w:val="22"/>
          <w:lang w:eastAsia="lt-LT"/>
        </w:rPr>
        <w:t xml:space="preserve"> </w:t>
      </w:r>
      <w:proofErr w:type="spellStart"/>
      <w:r>
        <w:rPr>
          <w:rFonts w:eastAsia="TimesNewRoman,Italic"/>
          <w:i/>
          <w:iCs/>
          <w:szCs w:val="22"/>
          <w:lang w:eastAsia="lt-LT"/>
        </w:rPr>
        <w:t>PReserved</w:t>
      </w:r>
      <w:proofErr w:type="spellEnd"/>
      <w:r>
        <w:rPr>
          <w:rFonts w:eastAsia="TimesNewRoman,Italic"/>
          <w:i/>
          <w:iCs/>
          <w:szCs w:val="22"/>
          <w:lang w:eastAsia="lt-LT"/>
        </w:rPr>
        <w:t xml:space="preserve"> </w:t>
      </w:r>
      <w:proofErr w:type="spellStart"/>
      <w:r>
        <w:rPr>
          <w:rFonts w:eastAsia="TimesNewRoman,Italic"/>
          <w:i/>
          <w:iCs/>
          <w:szCs w:val="22"/>
          <w:lang w:eastAsia="lt-LT"/>
        </w:rPr>
        <w:t>Ejection</w:t>
      </w:r>
      <w:proofErr w:type="spellEnd"/>
      <w:r>
        <w:rPr>
          <w:rFonts w:eastAsia="TimesNewRoman,Italic"/>
          <w:i/>
          <w:iCs/>
          <w:szCs w:val="22"/>
          <w:lang w:eastAsia="lt-LT"/>
        </w:rPr>
        <w:t xml:space="preserve"> </w:t>
      </w:r>
      <w:proofErr w:type="spellStart"/>
      <w:r>
        <w:rPr>
          <w:rFonts w:eastAsia="TimesNewRoman,Italic"/>
          <w:i/>
          <w:iCs/>
          <w:szCs w:val="22"/>
          <w:lang w:eastAsia="lt-LT"/>
        </w:rPr>
        <w:t>Fraction</w:t>
      </w:r>
      <w:proofErr w:type="spellEnd"/>
      <w:r>
        <w:rPr>
          <w:rFonts w:eastAsia="TimesNewRoman,Italic"/>
          <w:i/>
          <w:iCs/>
          <w:szCs w:val="22"/>
          <w:lang w:eastAsia="lt-LT"/>
        </w:rPr>
        <w:t xml:space="preserve"> </w:t>
      </w:r>
      <w:proofErr w:type="spellStart"/>
      <w:r>
        <w:rPr>
          <w:rFonts w:eastAsia="TimesNewRoman,Italic"/>
          <w:i/>
          <w:iCs/>
          <w:szCs w:val="22"/>
          <w:lang w:eastAsia="lt-LT"/>
        </w:rPr>
        <w:t>Heart</w:t>
      </w:r>
      <w:proofErr w:type="spellEnd"/>
      <w:r>
        <w:rPr>
          <w:rFonts w:eastAsia="TimesNewRoman,Italic"/>
          <w:i/>
          <w:iCs/>
          <w:szCs w:val="22"/>
          <w:lang w:eastAsia="lt-LT"/>
        </w:rPr>
        <w:t xml:space="preserve"> </w:t>
      </w:r>
      <w:proofErr w:type="spellStart"/>
      <w:r>
        <w:rPr>
          <w:rFonts w:eastAsia="TimesNewRoman,Italic"/>
          <w:i/>
          <w:iCs/>
          <w:szCs w:val="22"/>
          <w:lang w:eastAsia="lt-LT"/>
        </w:rPr>
        <w:t>Failure</w:t>
      </w:r>
      <w:proofErr w:type="spellEnd"/>
      <w:r>
        <w:rPr>
          <w:rFonts w:eastAsia="TimesNewRoman"/>
          <w:szCs w:val="22"/>
          <w:lang w:eastAsia="lt-LT"/>
        </w:rPr>
        <w:t xml:space="preserve">, DELIVER) tyrimas buvo tarptautinis, </w:t>
      </w:r>
      <w:proofErr w:type="spellStart"/>
      <w:r>
        <w:rPr>
          <w:rFonts w:eastAsia="TimesNewRoman"/>
          <w:szCs w:val="22"/>
          <w:lang w:eastAsia="lt-LT"/>
        </w:rPr>
        <w:t>daugiacentris</w:t>
      </w:r>
      <w:proofErr w:type="spellEnd"/>
      <w:r>
        <w:rPr>
          <w:rFonts w:eastAsia="TimesNewRoman"/>
          <w:szCs w:val="22"/>
          <w:lang w:eastAsia="lt-LT"/>
        </w:rPr>
        <w:t>, atsitiktinių imčių, dvigubai aklas, placebu kontroliuojamas. Jame dalyvavo 40 metų ir vyresni pacientai, sirgę NYHA II-IV klasės širdies nepakankamumu su LVEF &gt; 40%, kuriems buvo rasta širdies struktūros pažeidimą rodančių duomenų. Šio tyrimo tikslas buvo palyginti dapagliflozino ir placebo poveikį kardiovaskulinės mirties ir širdies nepakankamumo pasunkėjimo rizikai.</w:t>
      </w:r>
    </w:p>
    <w:p w14:paraId="6CD01FF8" w14:textId="77777777" w:rsidR="00E96E12" w:rsidRDefault="00E96E12">
      <w:pPr>
        <w:autoSpaceDE w:val="0"/>
        <w:autoSpaceDN w:val="0"/>
        <w:adjustRightInd w:val="0"/>
        <w:rPr>
          <w:rFonts w:eastAsia="TimesNewRoman"/>
          <w:szCs w:val="22"/>
          <w:lang w:eastAsia="lt-LT"/>
        </w:rPr>
      </w:pPr>
    </w:p>
    <w:p w14:paraId="07674D8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3131 iš 6263 pacientų buvo </w:t>
      </w:r>
      <w:proofErr w:type="spellStart"/>
      <w:r>
        <w:rPr>
          <w:rFonts w:eastAsia="TimesNewRoman"/>
          <w:szCs w:val="22"/>
          <w:lang w:eastAsia="lt-LT"/>
        </w:rPr>
        <w:t>randomizuotas</w:t>
      </w:r>
      <w:proofErr w:type="spellEnd"/>
      <w:r>
        <w:rPr>
          <w:rFonts w:eastAsia="TimesNewRoman"/>
          <w:szCs w:val="22"/>
          <w:lang w:eastAsia="lt-LT"/>
        </w:rPr>
        <w:t xml:space="preserve"> vartoti 10 mg dapagliflozino ir 3132 – placebą. Stebėjimo laikotarpio mediana buvo 28 mėnesiai. 654 tyrime dalyvavę pacientai (10 %) sirgo </w:t>
      </w:r>
      <w:proofErr w:type="spellStart"/>
      <w:r>
        <w:rPr>
          <w:rFonts w:eastAsia="TimesNewRoman"/>
          <w:szCs w:val="22"/>
          <w:lang w:eastAsia="lt-LT"/>
        </w:rPr>
        <w:t>poūmiu</w:t>
      </w:r>
      <w:proofErr w:type="spellEnd"/>
      <w:r>
        <w:rPr>
          <w:rFonts w:eastAsia="TimesNewRoman"/>
          <w:szCs w:val="22"/>
          <w:lang w:eastAsia="lt-LT"/>
        </w:rPr>
        <w:t xml:space="preserve"> širdies nepakankamumu (buvo </w:t>
      </w:r>
      <w:proofErr w:type="spellStart"/>
      <w:r>
        <w:rPr>
          <w:rFonts w:eastAsia="TimesNewRoman"/>
          <w:szCs w:val="22"/>
          <w:lang w:eastAsia="lt-LT"/>
        </w:rPr>
        <w:t>randomizuoti</w:t>
      </w:r>
      <w:proofErr w:type="spellEnd"/>
      <w:r>
        <w:rPr>
          <w:rFonts w:eastAsia="TimesNewRoman"/>
          <w:szCs w:val="22"/>
          <w:lang w:eastAsia="lt-LT"/>
        </w:rPr>
        <w:t xml:space="preserve"> hospitalizacijos dėl širdies nepakankamumo metu arba per 30 dienų po išrašymo). Vidutinis tirtų pacientų amžius buvo 72 metai, 56 % sudarė vyrai.</w:t>
      </w:r>
    </w:p>
    <w:p w14:paraId="21160531" w14:textId="77777777" w:rsidR="00E96E12" w:rsidRDefault="00E96E12">
      <w:pPr>
        <w:autoSpaceDE w:val="0"/>
        <w:autoSpaceDN w:val="0"/>
        <w:adjustRightInd w:val="0"/>
        <w:rPr>
          <w:rFonts w:eastAsia="TimesNewRoman"/>
          <w:szCs w:val="22"/>
          <w:lang w:eastAsia="lt-LT"/>
        </w:rPr>
      </w:pPr>
    </w:p>
    <w:p w14:paraId="64D1F7C6" w14:textId="77777777" w:rsidR="00E96E12" w:rsidRDefault="00E97765">
      <w:pPr>
        <w:autoSpaceDE w:val="0"/>
        <w:autoSpaceDN w:val="0"/>
        <w:adjustRightInd w:val="0"/>
        <w:rPr>
          <w:rFonts w:eastAsia="TimesNewRoman"/>
          <w:szCs w:val="22"/>
          <w:lang w:eastAsia="lt-LT"/>
        </w:rPr>
      </w:pPr>
      <w:r>
        <w:rPr>
          <w:rFonts w:eastAsia="TimesNewRoman"/>
          <w:szCs w:val="22"/>
          <w:lang w:eastAsia="lt-LT"/>
        </w:rPr>
        <w:lastRenderedPageBreak/>
        <w:t xml:space="preserve">Iš pradžių 75 % pacientų sirgo NYHA II klasės, 24 % – III klasės ir 0,3 % – IV klasės širdies nepakankamumu. LVEF mediana buvo 54 %, 34 % pacientų LVEF buvo ≤ 49 %, 36 % – 50-59 % ir 30 % – bent 60 %. Po 45 % abejų grupių pacientų sirgo 2 tipo cukriniu diabetu. Iš pradžių tiriamieji vartojo </w:t>
      </w:r>
      <w:proofErr w:type="spellStart"/>
      <w:r>
        <w:rPr>
          <w:rFonts w:eastAsia="TimesNewRoman"/>
          <w:szCs w:val="22"/>
          <w:lang w:eastAsia="lt-LT"/>
        </w:rPr>
        <w:t>AKFi</w:t>
      </w:r>
      <w:proofErr w:type="spellEnd"/>
      <w:r>
        <w:rPr>
          <w:rFonts w:eastAsia="TimesNewRoman"/>
          <w:szCs w:val="22"/>
          <w:lang w:eastAsia="lt-LT"/>
        </w:rPr>
        <w:t xml:space="preserve">/ARB/ARNI (77 %), beta </w:t>
      </w:r>
      <w:proofErr w:type="spellStart"/>
      <w:r>
        <w:rPr>
          <w:rFonts w:eastAsia="TimesNewRoman"/>
          <w:szCs w:val="22"/>
          <w:lang w:eastAsia="lt-LT"/>
        </w:rPr>
        <w:t>adrenoblokatorių</w:t>
      </w:r>
      <w:proofErr w:type="spellEnd"/>
      <w:r>
        <w:rPr>
          <w:rFonts w:eastAsia="TimesNewRoman"/>
          <w:szCs w:val="22"/>
          <w:lang w:eastAsia="lt-LT"/>
        </w:rPr>
        <w:t xml:space="preserve"> (83 %), diuretikų (98 %) ir MRA (43 %).</w:t>
      </w:r>
    </w:p>
    <w:p w14:paraId="661B5200" w14:textId="77777777" w:rsidR="00E96E12" w:rsidRDefault="00E96E12">
      <w:pPr>
        <w:autoSpaceDE w:val="0"/>
        <w:autoSpaceDN w:val="0"/>
        <w:adjustRightInd w:val="0"/>
        <w:rPr>
          <w:rFonts w:eastAsia="TimesNewRoman"/>
          <w:szCs w:val="22"/>
          <w:lang w:eastAsia="lt-LT"/>
        </w:rPr>
      </w:pPr>
    </w:p>
    <w:p w14:paraId="4125B97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Vidutinis </w:t>
      </w:r>
      <w:proofErr w:type="spellStart"/>
      <w:r>
        <w:rPr>
          <w:rFonts w:eastAsia="TimesNewRoman"/>
          <w:szCs w:val="22"/>
          <w:lang w:eastAsia="lt-LT"/>
        </w:rPr>
        <w:t>aGFG</w:t>
      </w:r>
      <w:proofErr w:type="spellEnd"/>
      <w:r>
        <w:rPr>
          <w:rFonts w:eastAsia="TimesNewRoman"/>
          <w:szCs w:val="22"/>
          <w:lang w:eastAsia="lt-LT"/>
        </w:rPr>
        <w:t xml:space="preserve"> buvo 61 ml/min/1,73 m</w:t>
      </w:r>
      <w:r>
        <w:rPr>
          <w:rFonts w:eastAsia="TimesNewRoman"/>
          <w:szCs w:val="22"/>
          <w:vertAlign w:val="superscript"/>
          <w:lang w:eastAsia="lt-LT"/>
        </w:rPr>
        <w:t>2</w:t>
      </w:r>
      <w:r>
        <w:rPr>
          <w:rFonts w:eastAsia="TimesNewRoman"/>
          <w:szCs w:val="22"/>
          <w:lang w:eastAsia="lt-LT"/>
        </w:rPr>
        <w:t xml:space="preserve">, 49 % pacientų </w:t>
      </w:r>
      <w:proofErr w:type="spellStart"/>
      <w:r>
        <w:rPr>
          <w:rFonts w:eastAsia="TimesNewRoman"/>
          <w:szCs w:val="22"/>
          <w:lang w:eastAsia="lt-LT"/>
        </w:rPr>
        <w:t>aGFG</w:t>
      </w:r>
      <w:proofErr w:type="spellEnd"/>
      <w:r>
        <w:rPr>
          <w:rFonts w:eastAsia="TimesNewRoman"/>
          <w:szCs w:val="22"/>
          <w:lang w:eastAsia="lt-LT"/>
        </w:rPr>
        <w:t xml:space="preserve"> buvo &lt; 60 ml/min/1,73 m</w:t>
      </w:r>
      <w:r>
        <w:rPr>
          <w:rFonts w:eastAsia="TimesNewRoman"/>
          <w:szCs w:val="22"/>
          <w:vertAlign w:val="superscript"/>
          <w:lang w:eastAsia="lt-LT"/>
        </w:rPr>
        <w:t>2</w:t>
      </w:r>
      <w:r>
        <w:rPr>
          <w:rFonts w:eastAsia="TimesNewRoman"/>
          <w:szCs w:val="22"/>
          <w:lang w:eastAsia="lt-LT"/>
        </w:rPr>
        <w:t>, 23 % pacientų &lt; 45 ml/min/1,73 m</w:t>
      </w:r>
      <w:r>
        <w:rPr>
          <w:rFonts w:eastAsia="TimesNewRoman"/>
          <w:szCs w:val="22"/>
          <w:vertAlign w:val="superscript"/>
          <w:lang w:eastAsia="lt-LT"/>
        </w:rPr>
        <w:t>2</w:t>
      </w:r>
      <w:r>
        <w:rPr>
          <w:rFonts w:eastAsia="TimesNewRoman"/>
          <w:sz w:val="14"/>
          <w:szCs w:val="14"/>
          <w:lang w:eastAsia="lt-LT"/>
        </w:rPr>
        <w:t xml:space="preserve"> </w:t>
      </w:r>
      <w:r>
        <w:rPr>
          <w:rFonts w:eastAsia="TimesNewRoman"/>
          <w:szCs w:val="22"/>
          <w:lang w:eastAsia="lt-LT"/>
        </w:rPr>
        <w:t>ir 3 % pacientų &lt; 30 ml/min/1,73 m</w:t>
      </w:r>
      <w:r>
        <w:rPr>
          <w:rFonts w:eastAsia="TimesNewRoman"/>
          <w:szCs w:val="22"/>
          <w:vertAlign w:val="superscript"/>
          <w:lang w:eastAsia="lt-LT"/>
        </w:rPr>
        <w:t>2</w:t>
      </w:r>
      <w:r>
        <w:rPr>
          <w:rFonts w:eastAsia="TimesNewRoman"/>
          <w:szCs w:val="22"/>
          <w:lang w:eastAsia="lt-LT"/>
        </w:rPr>
        <w:t>.</w:t>
      </w:r>
    </w:p>
    <w:p w14:paraId="5F49FB67" w14:textId="77777777" w:rsidR="00E96E12" w:rsidRDefault="00E96E12">
      <w:pPr>
        <w:autoSpaceDE w:val="0"/>
        <w:autoSpaceDN w:val="0"/>
        <w:adjustRightInd w:val="0"/>
        <w:rPr>
          <w:rFonts w:eastAsia="TimesNewRoman"/>
          <w:szCs w:val="22"/>
          <w:lang w:eastAsia="lt-LT"/>
        </w:rPr>
      </w:pPr>
    </w:p>
    <w:p w14:paraId="343E761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Vartojant dapaglifloziną, palyginus su placebu, sumažėjo pagrindinės sudėtinės baigties (kardiovaskulinės mirties, hospitalizavimo širdies nepakankamumo ar skubaus vizito dėl širdies nepakankamumo) rizika (HR 0,82 [95 % PI – 0,73, 0,92], p = 0,0008) (5 pav.).</w:t>
      </w:r>
    </w:p>
    <w:p w14:paraId="5B44F166" w14:textId="77777777" w:rsidR="00E96E12" w:rsidRDefault="00E96E12">
      <w:pPr>
        <w:autoSpaceDE w:val="0"/>
        <w:autoSpaceDN w:val="0"/>
        <w:adjustRightInd w:val="0"/>
        <w:rPr>
          <w:rFonts w:ascii="TimesNewRoman,Bold" w:eastAsia="TimesNewRoman,Bold" w:cs="TimesNewRoman,Bold"/>
          <w:b/>
          <w:bCs/>
          <w:szCs w:val="22"/>
          <w:lang w:eastAsia="lt-LT"/>
        </w:rPr>
      </w:pPr>
    </w:p>
    <w:p w14:paraId="7EEDB3DD"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5 pav. Laikas iki pirmojo sudėtinės baigties – kardiovaskulinės mirties, hospitalizacijos dėl širdies nepakankamumo ar skubaus vizito dėl širdies nepakankamumo – atvejo</w:t>
      </w:r>
    </w:p>
    <w:p w14:paraId="001A0F03" w14:textId="77777777" w:rsidR="00E96E12" w:rsidRDefault="00E96E12">
      <w:pPr>
        <w:autoSpaceDE w:val="0"/>
        <w:autoSpaceDN w:val="0"/>
        <w:adjustRightInd w:val="0"/>
        <w:rPr>
          <w:rFonts w:eastAsia="TimesNewRoman,Bold"/>
          <w:b/>
          <w:bCs/>
          <w:szCs w:val="22"/>
          <w:lang w:eastAsia="lt-LT"/>
        </w:rPr>
      </w:pPr>
    </w:p>
    <w:p w14:paraId="02BEA4F5" w14:textId="77777777" w:rsidR="00E96E12" w:rsidRDefault="00E97765">
      <w:pPr>
        <w:autoSpaceDE w:val="0"/>
        <w:autoSpaceDN w:val="0"/>
        <w:adjustRightInd w:val="0"/>
        <w:rPr>
          <w:rFonts w:eastAsia="TimesNewRoman,Bold"/>
          <w:b/>
          <w:bCs/>
          <w:szCs w:val="22"/>
          <w:lang w:eastAsia="lt-LT"/>
        </w:rPr>
      </w:pPr>
      <w:r w:rsidRPr="00233A36">
        <w:rPr>
          <w:b/>
          <w:noProof/>
        </w:rPr>
        <w:drawing>
          <wp:anchor distT="0" distB="0" distL="114300" distR="114300" simplePos="0" relativeHeight="251659264" behindDoc="0" locked="0" layoutInCell="1" allowOverlap="1" wp14:anchorId="4D439336" wp14:editId="34735430">
            <wp:simplePos x="0" y="0"/>
            <wp:positionH relativeFrom="column">
              <wp:posOffset>-300355</wp:posOffset>
            </wp:positionH>
            <wp:positionV relativeFrom="paragraph">
              <wp:posOffset>2314575</wp:posOffset>
            </wp:positionV>
            <wp:extent cx="1619250" cy="314325"/>
            <wp:effectExtent l="0" t="0" r="0" b="0"/>
            <wp:wrapNone/>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9250" cy="314325"/>
                    </a:xfrm>
                    <a:prstGeom prst="rect">
                      <a:avLst/>
                    </a:prstGeom>
                    <a:noFill/>
                  </pic:spPr>
                </pic:pic>
              </a:graphicData>
            </a:graphic>
            <wp14:sizeRelH relativeFrom="page">
              <wp14:pctWidth>0</wp14:pctWidth>
            </wp14:sizeRelH>
            <wp14:sizeRelV relativeFrom="page">
              <wp14:pctHeight>0</wp14:pctHeight>
            </wp14:sizeRelV>
          </wp:anchor>
        </w:drawing>
      </w:r>
      <w:r w:rsidRPr="00233A36">
        <w:rPr>
          <w:b/>
          <w:noProof/>
        </w:rPr>
        <w:drawing>
          <wp:anchor distT="0" distB="0" distL="114300" distR="114300" simplePos="0" relativeHeight="251658240" behindDoc="0" locked="0" layoutInCell="1" allowOverlap="1" wp14:anchorId="4771798C" wp14:editId="6750CDF8">
            <wp:simplePos x="0" y="0"/>
            <wp:positionH relativeFrom="column">
              <wp:posOffset>2166620</wp:posOffset>
            </wp:positionH>
            <wp:positionV relativeFrom="paragraph">
              <wp:posOffset>2409825</wp:posOffset>
            </wp:positionV>
            <wp:extent cx="1609725" cy="171450"/>
            <wp:effectExtent l="0" t="0" r="9525" b="0"/>
            <wp:wrapNone/>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9725" cy="171450"/>
                    </a:xfrm>
                    <a:prstGeom prst="rect">
                      <a:avLst/>
                    </a:prstGeom>
                    <a:noFill/>
                  </pic:spPr>
                </pic:pic>
              </a:graphicData>
            </a:graphic>
            <wp14:sizeRelH relativeFrom="page">
              <wp14:pctWidth>0</wp14:pctWidth>
            </wp14:sizeRelH>
            <wp14:sizeRelV relativeFrom="page">
              <wp14:pctHeight>0</wp14:pctHeight>
            </wp14:sizeRelV>
          </wp:anchor>
        </w:drawing>
      </w:r>
      <w:r w:rsidRPr="00233A36">
        <w:rPr>
          <w:noProof/>
        </w:rPr>
        <w:drawing>
          <wp:inline distT="0" distB="0" distL="0" distR="0" wp14:anchorId="21FA8254" wp14:editId="2266A530">
            <wp:extent cx="5759450" cy="3072304"/>
            <wp:effectExtent l="0" t="0" r="0" b="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072304"/>
                    </a:xfrm>
                    <a:prstGeom prst="rect">
                      <a:avLst/>
                    </a:prstGeom>
                    <a:noFill/>
                    <a:ln>
                      <a:noFill/>
                    </a:ln>
                  </pic:spPr>
                </pic:pic>
              </a:graphicData>
            </a:graphic>
          </wp:inline>
        </w:drawing>
      </w:r>
    </w:p>
    <w:p w14:paraId="66CB0DB1" w14:textId="77777777" w:rsidR="00E96E12" w:rsidRDefault="00E96E12">
      <w:pPr>
        <w:autoSpaceDE w:val="0"/>
        <w:autoSpaceDN w:val="0"/>
        <w:adjustRightInd w:val="0"/>
        <w:rPr>
          <w:rFonts w:eastAsia="TimesNewRoman,Bold"/>
          <w:b/>
          <w:bCs/>
          <w:szCs w:val="22"/>
          <w:lang w:eastAsia="lt-LT"/>
        </w:rPr>
      </w:pPr>
    </w:p>
    <w:p w14:paraId="16D91A7B" w14:textId="77777777" w:rsidR="00E96E12" w:rsidRDefault="00E97765">
      <w:pPr>
        <w:autoSpaceDE w:val="0"/>
        <w:autoSpaceDN w:val="0"/>
        <w:adjustRightInd w:val="0"/>
        <w:rPr>
          <w:rFonts w:eastAsia="TimesNewRoman,Bold"/>
          <w:bCs/>
          <w:sz w:val="18"/>
          <w:szCs w:val="18"/>
          <w:lang w:eastAsia="lt-LT"/>
        </w:rPr>
      </w:pPr>
      <w:r>
        <w:rPr>
          <w:rFonts w:eastAsia="TimesNewRoman,Bold"/>
          <w:bCs/>
          <w:sz w:val="18"/>
          <w:szCs w:val="18"/>
          <w:lang w:eastAsia="lt-LT"/>
        </w:rPr>
        <w:t>Skubus vizitas dėl širdies nepakankamumo apibrėžtas kaip skubus neplanuotas gydytojo ištyrimas (pvz., skubiosios pagalbos skyriuje), kai reikėjo gydymo dėl pasunkėjusio širdies nepakankamumo (kitokio negu vien geriamųjų diuretikų dozės padidinimas).</w:t>
      </w:r>
    </w:p>
    <w:p w14:paraId="21D99669" w14:textId="77777777" w:rsidR="00E96E12" w:rsidRDefault="00E97765">
      <w:pPr>
        <w:autoSpaceDE w:val="0"/>
        <w:autoSpaceDN w:val="0"/>
        <w:adjustRightInd w:val="0"/>
        <w:rPr>
          <w:rFonts w:eastAsia="TimesNewRoman,Bold"/>
          <w:bCs/>
          <w:sz w:val="18"/>
          <w:szCs w:val="18"/>
          <w:lang w:eastAsia="lt-LT"/>
        </w:rPr>
      </w:pPr>
      <w:r>
        <w:rPr>
          <w:rFonts w:eastAsia="TimesNewRoman,Bold"/>
          <w:bCs/>
          <w:sz w:val="18"/>
          <w:szCs w:val="18"/>
          <w:lang w:eastAsia="lt-LT"/>
        </w:rPr>
        <w:t>Pacientų su rizika skaičius nurodytas gydymo pradžioje.</w:t>
      </w:r>
    </w:p>
    <w:p w14:paraId="336BF6B0" w14:textId="77777777" w:rsidR="00E96E12" w:rsidRDefault="00E96E12">
      <w:pPr>
        <w:autoSpaceDE w:val="0"/>
        <w:autoSpaceDN w:val="0"/>
        <w:adjustRightInd w:val="0"/>
        <w:rPr>
          <w:rFonts w:eastAsia="TimesNewRoman"/>
          <w:szCs w:val="22"/>
          <w:lang w:eastAsia="lt-LT"/>
        </w:rPr>
      </w:pPr>
    </w:p>
    <w:p w14:paraId="4FE38EC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6 pav. pavaizduota visų 3 komponentų įtaka gydomojo poveikio pagrindinei sudėtinei baigčiai.</w:t>
      </w:r>
    </w:p>
    <w:p w14:paraId="67E98E7B" w14:textId="77777777" w:rsidR="00E96E12" w:rsidRDefault="00E96E12">
      <w:pPr>
        <w:autoSpaceDE w:val="0"/>
        <w:autoSpaceDN w:val="0"/>
        <w:adjustRightInd w:val="0"/>
        <w:rPr>
          <w:rFonts w:eastAsia="TimesNewRoman"/>
          <w:szCs w:val="22"/>
          <w:lang w:eastAsia="lt-LT"/>
        </w:rPr>
      </w:pPr>
    </w:p>
    <w:p w14:paraId="060C003F"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6 pav. Gydomasis poveikis pagrindinei sudėtinei baigčiai ir jos komponentams</w:t>
      </w:r>
    </w:p>
    <w:p w14:paraId="15721228" w14:textId="77777777" w:rsidR="00E96E12" w:rsidRDefault="00E97765">
      <w:pPr>
        <w:autoSpaceDE w:val="0"/>
        <w:autoSpaceDN w:val="0"/>
        <w:adjustRightInd w:val="0"/>
        <w:rPr>
          <w:rFonts w:eastAsia="TimesNewRoman,Bold"/>
          <w:bCs/>
          <w:sz w:val="18"/>
          <w:szCs w:val="18"/>
          <w:lang w:eastAsia="lt-LT"/>
        </w:rPr>
      </w:pPr>
      <w:r w:rsidRPr="00233A36">
        <w:rPr>
          <w:noProof/>
          <w:sz w:val="18"/>
        </w:rPr>
        <w:lastRenderedPageBreak/>
        <w:drawing>
          <wp:inline distT="0" distB="0" distL="0" distR="0" wp14:anchorId="56DBDFA7" wp14:editId="4C1FF2DE">
            <wp:extent cx="5767070" cy="3054350"/>
            <wp:effectExtent l="0" t="0" r="5080" b="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7070" cy="3054350"/>
                    </a:xfrm>
                    <a:prstGeom prst="rect">
                      <a:avLst/>
                    </a:prstGeom>
                    <a:noFill/>
                  </pic:spPr>
                </pic:pic>
              </a:graphicData>
            </a:graphic>
          </wp:inline>
        </w:drawing>
      </w:r>
    </w:p>
    <w:p w14:paraId="542F54E2"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Skubus vizitas dėl širdies nepakankamumo apibrėžtas kaip skubus neplanuotas gydytojo ištyrimas (pvz., skubiosios pagalbos skyriuje), kai reikėjo gydymo dėl pasunkėjusio širdies nepakankamumo (kitokio negu vien geriamųjų diuretikų dozės padidinimas).</w:t>
      </w:r>
    </w:p>
    <w:p w14:paraId="36D83F77"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Kiekvieno komponento pirmųjų atvejų skaičius yra faktinis; jų suma neatitinka bendro sudėtinės baigties atvejų skaičiaus.</w:t>
      </w:r>
    </w:p>
    <w:p w14:paraId="21077826"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Atvejų dažnis pateikiamas kaip jų patyrusių pacientų skaičius per 100 paciento stebėjimo metų.</w:t>
      </w:r>
    </w:p>
    <w:p w14:paraId="3698FAF5"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Kardiovaskulinė mirtis, kuri čia pateikiama kaip pagrindinės baigties komponentas, taip pat patikrinta kaip antrinė baigtis atlikus formalią 1 tipo klaidos kontrolę.</w:t>
      </w:r>
    </w:p>
    <w:p w14:paraId="25E068D7" w14:textId="77777777" w:rsidR="00E96E12" w:rsidRDefault="00E96E12">
      <w:pPr>
        <w:autoSpaceDE w:val="0"/>
        <w:autoSpaceDN w:val="0"/>
        <w:adjustRightInd w:val="0"/>
        <w:rPr>
          <w:rFonts w:eastAsia="TimesNewRoman"/>
          <w:szCs w:val="22"/>
          <w:lang w:eastAsia="lt-LT"/>
        </w:rPr>
      </w:pPr>
    </w:p>
    <w:p w14:paraId="2D22BFC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grupės pacientai patyrė mažiau širdies nepakankamumo komplikacijų (įskaitant pirmas ir pakartotines hospitalizacijas dėl širdies nepakankamumo bei skubius vizitus dėl širdies nepakankamumo), mažiau jų mirė dėl širdies ir kraujagyslių ligų negu placebo grupėje (iš viso 815 atvejų dapagliflozino ir 1057 – placebo grupėje, dažnio santykis – 0,77 [95 % PI 0,67, 0,89], p = 0,0003).</w:t>
      </w:r>
    </w:p>
    <w:p w14:paraId="2924B7B9" w14:textId="77777777" w:rsidR="00E96E12" w:rsidRDefault="00E96E12">
      <w:pPr>
        <w:autoSpaceDE w:val="0"/>
        <w:autoSpaceDN w:val="0"/>
        <w:adjustRightInd w:val="0"/>
        <w:rPr>
          <w:rFonts w:eastAsia="TimesNewRoman"/>
          <w:szCs w:val="22"/>
          <w:lang w:eastAsia="lt-LT"/>
        </w:rPr>
      </w:pPr>
    </w:p>
    <w:p w14:paraId="00A8FA0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poveikio pagrindinei baigčiai pranašumas prieš placebą nustatytas LVEF ≤ 49 %, 50- 59 % ir ≥ 60 % pogrupiuose. Jis nuosekliai atsikartojo ir kituose pagrindiniuose pogrupiuose, sudarytuose, pvz., pagal amžių, lytį, NYHA klasę, NT-</w:t>
      </w:r>
      <w:proofErr w:type="spellStart"/>
      <w:r>
        <w:rPr>
          <w:rFonts w:eastAsia="TimesNewRoman"/>
          <w:szCs w:val="22"/>
          <w:lang w:eastAsia="lt-LT"/>
        </w:rPr>
        <w:t>proBNP</w:t>
      </w:r>
      <w:proofErr w:type="spellEnd"/>
      <w:r>
        <w:rPr>
          <w:rFonts w:eastAsia="TimesNewRoman"/>
          <w:szCs w:val="22"/>
          <w:lang w:eastAsia="lt-LT"/>
        </w:rPr>
        <w:t xml:space="preserve"> aktyvumą, atskirai paėmus </w:t>
      </w:r>
      <w:proofErr w:type="spellStart"/>
      <w:r>
        <w:rPr>
          <w:rFonts w:eastAsia="TimesNewRoman"/>
          <w:szCs w:val="22"/>
          <w:lang w:eastAsia="lt-LT"/>
        </w:rPr>
        <w:t>poūmius</w:t>
      </w:r>
      <w:proofErr w:type="spellEnd"/>
      <w:r>
        <w:rPr>
          <w:rFonts w:eastAsia="TimesNewRoman"/>
          <w:szCs w:val="22"/>
          <w:lang w:eastAsia="lt-LT"/>
        </w:rPr>
        <w:t xml:space="preserve"> atvejus ir 2 tipo cukriniu diabetu sirgusius pacientus.</w:t>
      </w:r>
    </w:p>
    <w:p w14:paraId="6D8D368F" w14:textId="77777777" w:rsidR="00E96E12" w:rsidRDefault="00E96E12">
      <w:pPr>
        <w:autoSpaceDE w:val="0"/>
        <w:autoSpaceDN w:val="0"/>
        <w:adjustRightInd w:val="0"/>
        <w:rPr>
          <w:rFonts w:eastAsia="TimesNewRoman,Italic"/>
          <w:i/>
          <w:iCs/>
          <w:szCs w:val="22"/>
          <w:lang w:eastAsia="lt-LT"/>
        </w:rPr>
      </w:pPr>
    </w:p>
    <w:p w14:paraId="5D72FF7D"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Pacientų fiksuota baigtis – širdies nepakankamumo simptomai</w:t>
      </w:r>
    </w:p>
    <w:p w14:paraId="1FC0473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Dapagliflozinas, palyginus su placebu, statistiškai reikšmingai palengvino širdies nepakankamumo simptomus įvertinus pagal KCCQ-TSS pokytį per pirmuosius 8 mėnesius (palankaus poveikis tikimybės santykis – 1,11 [95 % PI – 1,03, 1,21], p = 0,0086). Įtakos šiems duomenims turėjo simptomų pasireiškimo suretėjimas ir simptomų palengvėjimas.</w:t>
      </w:r>
    </w:p>
    <w:p w14:paraId="2E79A70F" w14:textId="77777777" w:rsidR="00E96E12" w:rsidRDefault="00E96E12">
      <w:pPr>
        <w:autoSpaceDE w:val="0"/>
        <w:autoSpaceDN w:val="0"/>
        <w:adjustRightInd w:val="0"/>
        <w:rPr>
          <w:rFonts w:eastAsia="TimesNewRoman"/>
          <w:szCs w:val="22"/>
          <w:lang w:eastAsia="lt-LT"/>
        </w:rPr>
      </w:pPr>
    </w:p>
    <w:p w14:paraId="0C0AB14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Nagrinėjant į gydymą reagavusių pacientų duomenis nustatyta, kad per pirmuosius 8 mėnesius vidutiniškai (≥ 5 balai) arba smarkiai (≥ 14 balų) pablogėjo mažesnės dapagliflozino grupės pacientų dalies KCCQ-TSS rodiklis negu placebo. Vidutinį pablogėjimą patyrė 24,1 % dapaglifloziną ir 29,1 % placebą vartojusių pacientų (šansų santykis – 0,78 [95 % PI – 0,64, 0,95]), o didelį pablogėjimą – atitinkamai 13,5 % ir 18,4 % pacientų (šansų santykis – 0,70 [95 % PI – 0,55, 0,88]). Pacientų, kurių būklė šiek tiek ar vidutiniškai (≥ 13 balų) arba labai (≥ 17 balų) pagerėjo, dalis tarp gydymo grupių nesiskyrė.</w:t>
      </w:r>
    </w:p>
    <w:p w14:paraId="113EFD68" w14:textId="77777777" w:rsidR="00E96E12" w:rsidRDefault="00E96E12">
      <w:pPr>
        <w:autoSpaceDE w:val="0"/>
        <w:autoSpaceDN w:val="0"/>
        <w:adjustRightInd w:val="0"/>
        <w:rPr>
          <w:rFonts w:eastAsia="TimesNewRoman,Italic"/>
          <w:i/>
          <w:iCs/>
          <w:szCs w:val="22"/>
          <w:lang w:eastAsia="lt-LT"/>
        </w:rPr>
      </w:pPr>
    </w:p>
    <w:p w14:paraId="388C3CBF"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Širdies nepakankamumas DAPA-HF ir DELIVER tyrimų metu</w:t>
      </w:r>
    </w:p>
    <w:p w14:paraId="77034D8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Atlikus bendrą DAPA-HF ir DELIVER tyrimų analizę, sudėtinės vertinamosios baigties (kardiovaskulinės mirties, hospitalizacijos dėl širdies nepakankamumo ar skubaus vizito dėl širdies nepakankamumo) HR vartojant dapaglifloziną ir placebą buvo 0,78 (95 % PI – 0,72, 0,85, p &lt; 0,0001). Gydomasis poveikis nuosekliai pasireiškė visame LVEF diapazone ir nesilpnėjo dėl LVEF.</w:t>
      </w:r>
    </w:p>
    <w:p w14:paraId="54C2A563" w14:textId="77777777" w:rsidR="00E96E12" w:rsidRDefault="00E96E12">
      <w:pPr>
        <w:autoSpaceDE w:val="0"/>
        <w:autoSpaceDN w:val="0"/>
        <w:adjustRightInd w:val="0"/>
        <w:rPr>
          <w:rFonts w:eastAsia="TimesNewRoman"/>
          <w:szCs w:val="22"/>
          <w:lang w:eastAsia="lt-LT"/>
        </w:rPr>
      </w:pPr>
    </w:p>
    <w:p w14:paraId="4A4FA35A" w14:textId="77777777" w:rsidR="00E96E12" w:rsidRDefault="00E97765">
      <w:pPr>
        <w:autoSpaceDE w:val="0"/>
        <w:autoSpaceDN w:val="0"/>
        <w:adjustRightInd w:val="0"/>
        <w:rPr>
          <w:rFonts w:eastAsia="TimesNewRoman"/>
          <w:szCs w:val="22"/>
          <w:lang w:eastAsia="lt-LT"/>
        </w:rPr>
      </w:pPr>
      <w:r>
        <w:rPr>
          <w:rFonts w:eastAsia="TimesNewRoman"/>
          <w:szCs w:val="22"/>
          <w:lang w:eastAsia="lt-LT"/>
        </w:rPr>
        <w:lastRenderedPageBreak/>
        <w:t>Atlikus iš anksto nustatytą bendrą DAPA-HF ir DELIVER tyrimų analizę pacientų lygyje, dapagliflozinas, palyginus su placebu, sumažino kardiovaskulinės mirties riziką (HR – 0,85 [95 % PI – 0,75, 0,96], p = 0,0115). Įtakos šiam poveikiui turėjo abiejų tyrimų duomenys</w:t>
      </w:r>
      <w:r>
        <w:rPr>
          <w:rFonts w:ascii="TimesNewRoman" w:eastAsia="TimesNewRoman" w:cs="TimesNewRoman"/>
          <w:szCs w:val="22"/>
          <w:lang w:eastAsia="lt-LT"/>
        </w:rPr>
        <w:t>.</w:t>
      </w:r>
    </w:p>
    <w:p w14:paraId="6C3A8C1C" w14:textId="77777777" w:rsidR="00E96E12" w:rsidRDefault="00E96E12">
      <w:pPr>
        <w:autoSpaceDE w:val="0"/>
        <w:autoSpaceDN w:val="0"/>
        <w:adjustRightInd w:val="0"/>
        <w:rPr>
          <w:rFonts w:eastAsia="TimesNewRoman"/>
          <w:szCs w:val="22"/>
          <w:lang w:eastAsia="lt-LT"/>
        </w:rPr>
      </w:pPr>
    </w:p>
    <w:p w14:paraId="1D1DF4E7"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Lėtinė inkstų liga</w:t>
      </w:r>
    </w:p>
    <w:p w14:paraId="2148F698" w14:textId="77777777" w:rsidR="00E96E12" w:rsidRDefault="00E96E12">
      <w:pPr>
        <w:autoSpaceDE w:val="0"/>
        <w:autoSpaceDN w:val="0"/>
        <w:adjustRightInd w:val="0"/>
        <w:rPr>
          <w:rFonts w:eastAsia="TimesNewRoman"/>
          <w:szCs w:val="22"/>
          <w:u w:val="single"/>
          <w:lang w:eastAsia="lt-LT"/>
        </w:rPr>
      </w:pPr>
    </w:p>
    <w:p w14:paraId="0728F34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poveikio lėtine inkstų liga sergančių pacientų inkstų baigtims ir kardiovaskuliniam mirštamumui tyrimas (angl. </w:t>
      </w:r>
      <w:proofErr w:type="spellStart"/>
      <w:r>
        <w:rPr>
          <w:rFonts w:eastAsia="TimesNewRoman,Italic"/>
          <w:i/>
          <w:iCs/>
          <w:szCs w:val="22"/>
          <w:lang w:eastAsia="lt-LT"/>
        </w:rPr>
        <w:t>The</w:t>
      </w:r>
      <w:proofErr w:type="spellEnd"/>
      <w:r>
        <w:rPr>
          <w:rFonts w:eastAsia="TimesNewRoman,Italic"/>
          <w:i/>
          <w:iCs/>
          <w:szCs w:val="22"/>
          <w:lang w:eastAsia="lt-LT"/>
        </w:rPr>
        <w:t xml:space="preserve"> </w:t>
      </w:r>
      <w:proofErr w:type="spellStart"/>
      <w:r>
        <w:rPr>
          <w:rFonts w:eastAsia="TimesNewRoman,Italic"/>
          <w:i/>
          <w:iCs/>
          <w:szCs w:val="22"/>
          <w:lang w:eastAsia="lt-LT"/>
        </w:rPr>
        <w:t>Study</w:t>
      </w:r>
      <w:proofErr w:type="spellEnd"/>
      <w:r>
        <w:rPr>
          <w:rFonts w:eastAsia="TimesNewRoman,Italic"/>
          <w:i/>
          <w:iCs/>
          <w:szCs w:val="22"/>
          <w:lang w:eastAsia="lt-LT"/>
        </w:rPr>
        <w:t xml:space="preserve"> to </w:t>
      </w:r>
      <w:proofErr w:type="spellStart"/>
      <w:r>
        <w:rPr>
          <w:rFonts w:eastAsia="TimesNewRoman,Italic"/>
          <w:i/>
          <w:iCs/>
          <w:szCs w:val="22"/>
          <w:lang w:eastAsia="lt-LT"/>
        </w:rPr>
        <w:t>Evaluate</w:t>
      </w:r>
      <w:proofErr w:type="spellEnd"/>
      <w:r>
        <w:rPr>
          <w:rFonts w:eastAsia="TimesNewRoman,Italic"/>
          <w:i/>
          <w:iCs/>
          <w:szCs w:val="22"/>
          <w:lang w:eastAsia="lt-LT"/>
        </w:rPr>
        <w:t xml:space="preserve"> </w:t>
      </w:r>
      <w:proofErr w:type="spellStart"/>
      <w:r>
        <w:rPr>
          <w:rFonts w:eastAsia="TimesNewRoman,Italic"/>
          <w:i/>
          <w:iCs/>
          <w:szCs w:val="22"/>
          <w:lang w:eastAsia="lt-LT"/>
        </w:rPr>
        <w:t>the</w:t>
      </w:r>
      <w:proofErr w:type="spellEnd"/>
      <w:r>
        <w:rPr>
          <w:rFonts w:eastAsia="TimesNewRoman,Italic"/>
          <w:i/>
          <w:iCs/>
          <w:szCs w:val="22"/>
          <w:lang w:eastAsia="lt-LT"/>
        </w:rPr>
        <w:t xml:space="preserve"> </w:t>
      </w:r>
      <w:proofErr w:type="spellStart"/>
      <w:r>
        <w:rPr>
          <w:rFonts w:eastAsia="TimesNewRoman,Italic"/>
          <w:i/>
          <w:iCs/>
          <w:szCs w:val="22"/>
          <w:lang w:eastAsia="lt-LT"/>
        </w:rPr>
        <w:t>Effect</w:t>
      </w:r>
      <w:proofErr w:type="spellEnd"/>
      <w:r>
        <w:rPr>
          <w:rFonts w:eastAsia="TimesNewRoman,Italic"/>
          <w:i/>
          <w:iCs/>
          <w:szCs w:val="22"/>
          <w:lang w:eastAsia="lt-LT"/>
        </w:rPr>
        <w:t xml:space="preserve"> </w:t>
      </w:r>
      <w:proofErr w:type="spellStart"/>
      <w:r>
        <w:rPr>
          <w:rFonts w:eastAsia="TimesNewRoman,Italic"/>
          <w:i/>
          <w:iCs/>
          <w:szCs w:val="22"/>
          <w:lang w:eastAsia="lt-LT"/>
        </w:rPr>
        <w:t>of</w:t>
      </w:r>
      <w:proofErr w:type="spellEnd"/>
      <w:r>
        <w:rPr>
          <w:rFonts w:eastAsia="TimesNewRoman,Italic"/>
          <w:i/>
          <w:iCs/>
          <w:szCs w:val="22"/>
          <w:lang w:eastAsia="lt-LT"/>
        </w:rPr>
        <w:t xml:space="preserve"> </w:t>
      </w:r>
      <w:proofErr w:type="spellStart"/>
      <w:r>
        <w:rPr>
          <w:rFonts w:eastAsia="TimesNewRoman,Italic"/>
          <w:i/>
          <w:iCs/>
          <w:szCs w:val="22"/>
          <w:lang w:eastAsia="lt-LT"/>
        </w:rPr>
        <w:t>Dapagliflozin</w:t>
      </w:r>
      <w:proofErr w:type="spellEnd"/>
      <w:r>
        <w:rPr>
          <w:rFonts w:eastAsia="TimesNewRoman,Italic"/>
          <w:i/>
          <w:iCs/>
          <w:szCs w:val="22"/>
          <w:lang w:eastAsia="lt-LT"/>
        </w:rPr>
        <w:t xml:space="preserve"> </w:t>
      </w:r>
      <w:proofErr w:type="spellStart"/>
      <w:r>
        <w:rPr>
          <w:rFonts w:eastAsia="TimesNewRoman,Italic"/>
          <w:i/>
          <w:iCs/>
          <w:szCs w:val="22"/>
          <w:lang w:eastAsia="lt-LT"/>
        </w:rPr>
        <w:t>on</w:t>
      </w:r>
      <w:proofErr w:type="spellEnd"/>
      <w:r>
        <w:rPr>
          <w:rFonts w:eastAsia="TimesNewRoman,Italic"/>
          <w:i/>
          <w:iCs/>
          <w:szCs w:val="22"/>
          <w:lang w:eastAsia="lt-LT"/>
        </w:rPr>
        <w:t xml:space="preserve"> </w:t>
      </w:r>
      <w:proofErr w:type="spellStart"/>
      <w:r>
        <w:rPr>
          <w:rFonts w:eastAsia="TimesNewRoman,Italic"/>
          <w:i/>
          <w:iCs/>
          <w:szCs w:val="22"/>
          <w:lang w:eastAsia="lt-LT"/>
        </w:rPr>
        <w:t>Renal</w:t>
      </w:r>
      <w:proofErr w:type="spellEnd"/>
      <w:r>
        <w:rPr>
          <w:rFonts w:eastAsia="TimesNewRoman,Italic"/>
          <w:i/>
          <w:iCs/>
          <w:szCs w:val="22"/>
          <w:lang w:eastAsia="lt-LT"/>
        </w:rPr>
        <w:t xml:space="preserve"> </w:t>
      </w:r>
      <w:proofErr w:type="spellStart"/>
      <w:r>
        <w:rPr>
          <w:rFonts w:eastAsia="TimesNewRoman,Italic"/>
          <w:i/>
          <w:iCs/>
          <w:szCs w:val="22"/>
          <w:lang w:eastAsia="lt-LT"/>
        </w:rPr>
        <w:t>Outcomes</w:t>
      </w:r>
      <w:proofErr w:type="spellEnd"/>
      <w:r>
        <w:rPr>
          <w:rFonts w:eastAsia="TimesNewRoman,Italic"/>
          <w:i/>
          <w:iCs/>
          <w:szCs w:val="22"/>
          <w:lang w:eastAsia="lt-LT"/>
        </w:rPr>
        <w:t xml:space="preserve"> </w:t>
      </w:r>
      <w:proofErr w:type="spellStart"/>
      <w:r>
        <w:rPr>
          <w:rFonts w:eastAsia="TimesNewRoman,Italic"/>
          <w:i/>
          <w:iCs/>
          <w:szCs w:val="22"/>
          <w:lang w:eastAsia="lt-LT"/>
        </w:rPr>
        <w:t>and</w:t>
      </w:r>
      <w:proofErr w:type="spellEnd"/>
      <w:r>
        <w:rPr>
          <w:rFonts w:eastAsia="TimesNewRoman"/>
          <w:szCs w:val="22"/>
          <w:lang w:eastAsia="lt-LT"/>
        </w:rPr>
        <w:t xml:space="preserve"> </w:t>
      </w:r>
      <w:proofErr w:type="spellStart"/>
      <w:r>
        <w:rPr>
          <w:rFonts w:eastAsia="TimesNewRoman,Italic"/>
          <w:i/>
          <w:iCs/>
          <w:szCs w:val="22"/>
          <w:lang w:eastAsia="lt-LT"/>
        </w:rPr>
        <w:t>Cardiovascular</w:t>
      </w:r>
      <w:proofErr w:type="spellEnd"/>
      <w:r>
        <w:rPr>
          <w:rFonts w:eastAsia="TimesNewRoman,Italic"/>
          <w:i/>
          <w:iCs/>
          <w:szCs w:val="22"/>
          <w:lang w:eastAsia="lt-LT"/>
        </w:rPr>
        <w:t xml:space="preserve"> </w:t>
      </w:r>
      <w:proofErr w:type="spellStart"/>
      <w:r>
        <w:rPr>
          <w:rFonts w:eastAsia="TimesNewRoman,Italic"/>
          <w:i/>
          <w:iCs/>
          <w:szCs w:val="22"/>
          <w:lang w:eastAsia="lt-LT"/>
        </w:rPr>
        <w:t>Mortality</w:t>
      </w:r>
      <w:proofErr w:type="spellEnd"/>
      <w:r>
        <w:rPr>
          <w:rFonts w:eastAsia="TimesNewRoman,Italic"/>
          <w:i/>
          <w:iCs/>
          <w:szCs w:val="22"/>
          <w:lang w:eastAsia="lt-LT"/>
        </w:rPr>
        <w:t xml:space="preserve"> </w:t>
      </w:r>
      <w:proofErr w:type="spellStart"/>
      <w:r>
        <w:rPr>
          <w:rFonts w:eastAsia="TimesNewRoman,Italic"/>
          <w:i/>
          <w:iCs/>
          <w:szCs w:val="22"/>
          <w:lang w:eastAsia="lt-LT"/>
        </w:rPr>
        <w:t>in</w:t>
      </w:r>
      <w:proofErr w:type="spellEnd"/>
      <w:r>
        <w:rPr>
          <w:rFonts w:eastAsia="TimesNewRoman,Italic"/>
          <w:i/>
          <w:iCs/>
          <w:szCs w:val="22"/>
          <w:lang w:eastAsia="lt-LT"/>
        </w:rPr>
        <w:t xml:space="preserve"> </w:t>
      </w:r>
      <w:proofErr w:type="spellStart"/>
      <w:r>
        <w:rPr>
          <w:rFonts w:eastAsia="TimesNewRoman,Italic"/>
          <w:i/>
          <w:iCs/>
          <w:szCs w:val="22"/>
          <w:lang w:eastAsia="lt-LT"/>
        </w:rPr>
        <w:t>Patients</w:t>
      </w:r>
      <w:proofErr w:type="spellEnd"/>
      <w:r>
        <w:rPr>
          <w:rFonts w:eastAsia="TimesNewRoman,Italic"/>
          <w:i/>
          <w:iCs/>
          <w:szCs w:val="22"/>
          <w:lang w:eastAsia="lt-LT"/>
        </w:rPr>
        <w:t xml:space="preserve"> </w:t>
      </w:r>
      <w:proofErr w:type="spellStart"/>
      <w:r>
        <w:rPr>
          <w:rFonts w:eastAsia="TimesNewRoman,Italic"/>
          <w:i/>
          <w:iCs/>
          <w:szCs w:val="22"/>
          <w:lang w:eastAsia="lt-LT"/>
        </w:rPr>
        <w:t>with</w:t>
      </w:r>
      <w:proofErr w:type="spellEnd"/>
      <w:r>
        <w:rPr>
          <w:rFonts w:eastAsia="TimesNewRoman,Italic"/>
          <w:i/>
          <w:iCs/>
          <w:szCs w:val="22"/>
          <w:lang w:eastAsia="lt-LT"/>
        </w:rPr>
        <w:t xml:space="preserve"> </w:t>
      </w:r>
      <w:proofErr w:type="spellStart"/>
      <w:r>
        <w:rPr>
          <w:rFonts w:eastAsia="TimesNewRoman,Italic"/>
          <w:i/>
          <w:iCs/>
          <w:szCs w:val="22"/>
          <w:lang w:eastAsia="lt-LT"/>
        </w:rPr>
        <w:t>Chronic</w:t>
      </w:r>
      <w:proofErr w:type="spellEnd"/>
      <w:r>
        <w:rPr>
          <w:rFonts w:eastAsia="TimesNewRoman,Italic"/>
          <w:i/>
          <w:iCs/>
          <w:szCs w:val="22"/>
          <w:lang w:eastAsia="lt-LT"/>
        </w:rPr>
        <w:t xml:space="preserve"> </w:t>
      </w:r>
      <w:proofErr w:type="spellStart"/>
      <w:r>
        <w:rPr>
          <w:rFonts w:eastAsia="TimesNewRoman,Italic"/>
          <w:i/>
          <w:iCs/>
          <w:szCs w:val="22"/>
          <w:lang w:eastAsia="lt-LT"/>
        </w:rPr>
        <w:t>Kidney</w:t>
      </w:r>
      <w:proofErr w:type="spellEnd"/>
      <w:r>
        <w:rPr>
          <w:rFonts w:eastAsia="TimesNewRoman,Italic"/>
          <w:i/>
          <w:iCs/>
          <w:szCs w:val="22"/>
          <w:lang w:eastAsia="lt-LT"/>
        </w:rPr>
        <w:t xml:space="preserve"> </w:t>
      </w:r>
      <w:proofErr w:type="spellStart"/>
      <w:r>
        <w:rPr>
          <w:rFonts w:eastAsia="TimesNewRoman,Italic"/>
          <w:i/>
          <w:iCs/>
          <w:szCs w:val="22"/>
          <w:lang w:eastAsia="lt-LT"/>
        </w:rPr>
        <w:t>Disease</w:t>
      </w:r>
      <w:proofErr w:type="spellEnd"/>
      <w:r>
        <w:rPr>
          <w:rFonts w:eastAsia="TimesNewRoman"/>
          <w:szCs w:val="22"/>
          <w:lang w:eastAsia="lt-LT"/>
        </w:rPr>
        <w:t xml:space="preserve">, DAPA-CKD) buvo tarptautinis daugelio centrų, </w:t>
      </w:r>
      <w:proofErr w:type="spellStart"/>
      <w:r>
        <w:rPr>
          <w:rFonts w:eastAsia="TimesNewRoman"/>
          <w:szCs w:val="22"/>
          <w:lang w:eastAsia="lt-LT"/>
        </w:rPr>
        <w:t>randomizuotas</w:t>
      </w:r>
      <w:proofErr w:type="spellEnd"/>
      <w:r>
        <w:rPr>
          <w:rFonts w:eastAsia="TimesNewRoman"/>
          <w:szCs w:val="22"/>
          <w:lang w:eastAsia="lt-LT"/>
        </w:rPr>
        <w:t xml:space="preserve">, dvigubai koduotas, kontroliuotas placebu. Jame dalyvavo lėtine inkstų liga (angl. </w:t>
      </w:r>
      <w:proofErr w:type="spellStart"/>
      <w:r>
        <w:rPr>
          <w:rFonts w:eastAsia="TimesNewRoman,Italic"/>
          <w:i/>
          <w:iCs/>
          <w:szCs w:val="22"/>
          <w:lang w:eastAsia="lt-LT"/>
        </w:rPr>
        <w:t>Chronic</w:t>
      </w:r>
      <w:proofErr w:type="spellEnd"/>
      <w:r>
        <w:rPr>
          <w:rFonts w:eastAsia="TimesNewRoman,Italic"/>
          <w:i/>
          <w:iCs/>
          <w:szCs w:val="22"/>
          <w:lang w:eastAsia="lt-LT"/>
        </w:rPr>
        <w:t xml:space="preserve"> </w:t>
      </w:r>
      <w:proofErr w:type="spellStart"/>
      <w:r>
        <w:rPr>
          <w:rFonts w:eastAsia="TimesNewRoman,Italic"/>
          <w:i/>
          <w:iCs/>
          <w:szCs w:val="22"/>
          <w:lang w:eastAsia="lt-LT"/>
        </w:rPr>
        <w:t>Kidney</w:t>
      </w:r>
      <w:proofErr w:type="spellEnd"/>
      <w:r>
        <w:rPr>
          <w:rFonts w:eastAsia="TimesNewRoman,Italic"/>
          <w:i/>
          <w:iCs/>
          <w:szCs w:val="22"/>
          <w:lang w:eastAsia="lt-LT"/>
        </w:rPr>
        <w:t xml:space="preserve"> </w:t>
      </w:r>
      <w:proofErr w:type="spellStart"/>
      <w:r>
        <w:rPr>
          <w:rFonts w:eastAsia="TimesNewRoman,Italic"/>
          <w:i/>
          <w:iCs/>
          <w:szCs w:val="22"/>
          <w:lang w:eastAsia="lt-LT"/>
        </w:rPr>
        <w:t>Disease</w:t>
      </w:r>
      <w:proofErr w:type="spellEnd"/>
      <w:r>
        <w:rPr>
          <w:rFonts w:eastAsia="TimesNewRoman"/>
          <w:szCs w:val="22"/>
          <w:lang w:eastAsia="lt-LT"/>
        </w:rPr>
        <w:t xml:space="preserve">, CKD) sirgę pacientai, turėję </w:t>
      </w:r>
      <w:proofErr w:type="spellStart"/>
      <w:r>
        <w:rPr>
          <w:rFonts w:eastAsia="TimesNewRoman"/>
          <w:szCs w:val="22"/>
          <w:lang w:eastAsia="lt-LT"/>
        </w:rPr>
        <w:t>aGFG</w:t>
      </w:r>
      <w:proofErr w:type="spellEnd"/>
      <w:r>
        <w:rPr>
          <w:rFonts w:eastAsia="TimesNewRoman"/>
          <w:szCs w:val="22"/>
          <w:lang w:eastAsia="lt-LT"/>
        </w:rPr>
        <w:t xml:space="preserve"> nuo ≥ 25 iki ≤ 75 ml/min/1,73 m</w:t>
      </w:r>
      <w:r>
        <w:rPr>
          <w:rFonts w:eastAsia="TimesNewRoman"/>
          <w:vertAlign w:val="superscript"/>
        </w:rPr>
        <w:t>2</w:t>
      </w:r>
      <w:r>
        <w:rPr>
          <w:rFonts w:eastAsia="TimesNewRoman"/>
          <w:szCs w:val="22"/>
          <w:lang w:eastAsia="lt-LT"/>
        </w:rPr>
        <w:t xml:space="preserve"> ir </w:t>
      </w:r>
      <w:proofErr w:type="spellStart"/>
      <w:r>
        <w:rPr>
          <w:rFonts w:eastAsia="TimesNewRoman"/>
          <w:szCs w:val="22"/>
          <w:lang w:eastAsia="lt-LT"/>
        </w:rPr>
        <w:t>albuminuriją</w:t>
      </w:r>
      <w:proofErr w:type="spellEnd"/>
      <w:r>
        <w:rPr>
          <w:rFonts w:eastAsia="TimesNewRoman"/>
          <w:szCs w:val="22"/>
          <w:lang w:eastAsia="lt-LT"/>
        </w:rPr>
        <w:t xml:space="preserve"> (UACR – nuo ≥ 200 iki ≤ 5000 mg/g). Lygintas dapagliflozino ir placebo poveikis, papildantis įprastinį gydymą, sudėtinės baigties atvejų dažniui. Sudėtinę baigtį sudarė nuolatinis </w:t>
      </w:r>
      <w:proofErr w:type="spellStart"/>
      <w:r>
        <w:rPr>
          <w:rFonts w:eastAsia="TimesNewRoman"/>
          <w:szCs w:val="22"/>
          <w:lang w:eastAsia="lt-LT"/>
        </w:rPr>
        <w:t>aGFG</w:t>
      </w:r>
      <w:proofErr w:type="spellEnd"/>
      <w:r>
        <w:rPr>
          <w:rFonts w:eastAsia="TimesNewRoman"/>
          <w:szCs w:val="22"/>
          <w:lang w:eastAsia="lt-LT"/>
        </w:rPr>
        <w:t xml:space="preserve"> sumažėjimas ≥ 50 %, galutinės stadijos inkstų liga (GSIL) (apibrėžta kaip </w:t>
      </w:r>
      <w:proofErr w:type="spellStart"/>
      <w:r>
        <w:rPr>
          <w:rFonts w:eastAsia="TimesNewRoman"/>
          <w:szCs w:val="22"/>
          <w:lang w:eastAsia="lt-LT"/>
        </w:rPr>
        <w:t>aGFG</w:t>
      </w:r>
      <w:proofErr w:type="spellEnd"/>
      <w:r>
        <w:rPr>
          <w:rFonts w:eastAsia="TimesNewRoman"/>
          <w:szCs w:val="22"/>
          <w:lang w:eastAsia="lt-LT"/>
        </w:rPr>
        <w:t xml:space="preserve"> nuolat &lt; 15 ml/min/1,73 m</w:t>
      </w:r>
      <w:r>
        <w:rPr>
          <w:rFonts w:eastAsia="TimesNewRoman"/>
          <w:szCs w:val="22"/>
          <w:vertAlign w:val="superscript"/>
          <w:lang w:eastAsia="lt-LT"/>
        </w:rPr>
        <w:t>2</w:t>
      </w:r>
      <w:r>
        <w:rPr>
          <w:rFonts w:eastAsia="TimesNewRoman"/>
          <w:szCs w:val="22"/>
          <w:lang w:eastAsia="lt-LT"/>
        </w:rPr>
        <w:t>, nuolatinės dializės arba inksto persodinimas) ir mirtis nuo kardiovaskulinės arba inkstų ligos.</w:t>
      </w:r>
    </w:p>
    <w:p w14:paraId="490A686D" w14:textId="77777777" w:rsidR="00E96E12" w:rsidRDefault="00E96E12">
      <w:pPr>
        <w:autoSpaceDE w:val="0"/>
        <w:autoSpaceDN w:val="0"/>
        <w:adjustRightInd w:val="0"/>
        <w:rPr>
          <w:rFonts w:eastAsia="TimesNewRoman"/>
          <w:szCs w:val="22"/>
          <w:lang w:eastAsia="lt-LT"/>
        </w:rPr>
      </w:pPr>
    </w:p>
    <w:p w14:paraId="2F54F1D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2152 iš 4304 pacientų buvo </w:t>
      </w:r>
      <w:proofErr w:type="spellStart"/>
      <w:r>
        <w:rPr>
          <w:rFonts w:eastAsia="TimesNewRoman"/>
          <w:szCs w:val="22"/>
          <w:lang w:eastAsia="lt-LT"/>
        </w:rPr>
        <w:t>randomizuoti</w:t>
      </w:r>
      <w:proofErr w:type="spellEnd"/>
      <w:r>
        <w:rPr>
          <w:rFonts w:eastAsia="TimesNewRoman"/>
          <w:szCs w:val="22"/>
          <w:lang w:eastAsia="lt-LT"/>
        </w:rPr>
        <w:t xml:space="preserve"> vartoti 10 mg dapagliflozino, o 2152 – placebą. Jie buvo stebimi laikotarpį, kurio mediana – 28,5 mėn. Gydymas tęstas ir tyrimo metu </w:t>
      </w:r>
      <w:proofErr w:type="spellStart"/>
      <w:r>
        <w:rPr>
          <w:rFonts w:eastAsia="TimesNewRoman"/>
          <w:szCs w:val="22"/>
          <w:lang w:eastAsia="lt-LT"/>
        </w:rPr>
        <w:t>aGFG</w:t>
      </w:r>
      <w:proofErr w:type="spellEnd"/>
      <w:r>
        <w:rPr>
          <w:rFonts w:eastAsia="TimesNewRoman"/>
          <w:szCs w:val="22"/>
          <w:lang w:eastAsia="lt-LT"/>
        </w:rPr>
        <w:t xml:space="preserve"> pasiekus &lt; 25 ml/min/1,73 m</w:t>
      </w:r>
      <w:r>
        <w:rPr>
          <w:rFonts w:eastAsia="TimesNewRoman"/>
          <w:szCs w:val="22"/>
          <w:vertAlign w:val="superscript"/>
          <w:lang w:eastAsia="lt-LT"/>
        </w:rPr>
        <w:t>2</w:t>
      </w:r>
      <w:r>
        <w:rPr>
          <w:rFonts w:eastAsia="TimesNewRoman"/>
          <w:szCs w:val="22"/>
          <w:lang w:eastAsia="lt-LT"/>
        </w:rPr>
        <w:t>; jį buvo leidžiama tęsti ir atsiradus dializių poreikiui.</w:t>
      </w:r>
    </w:p>
    <w:p w14:paraId="68CDBF0E" w14:textId="77777777" w:rsidR="00E96E12" w:rsidRDefault="00E96E12">
      <w:pPr>
        <w:autoSpaceDE w:val="0"/>
        <w:autoSpaceDN w:val="0"/>
        <w:adjustRightInd w:val="0"/>
        <w:rPr>
          <w:rFonts w:eastAsia="TimesNewRoman"/>
          <w:szCs w:val="22"/>
          <w:lang w:eastAsia="lt-LT"/>
        </w:rPr>
      </w:pPr>
    </w:p>
    <w:p w14:paraId="38277E0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Tirtos populiacijos vidutinis amžius buvo 61,8 metų, 66,9 % sudarė vyrai. Iš pradžių vidutinis </w:t>
      </w:r>
      <w:proofErr w:type="spellStart"/>
      <w:r>
        <w:rPr>
          <w:rFonts w:eastAsia="TimesNewRoman"/>
          <w:szCs w:val="22"/>
          <w:lang w:eastAsia="lt-LT"/>
        </w:rPr>
        <w:t>aGFG</w:t>
      </w:r>
      <w:proofErr w:type="spellEnd"/>
      <w:r>
        <w:rPr>
          <w:rFonts w:eastAsia="TimesNewRoman"/>
          <w:szCs w:val="22"/>
          <w:lang w:eastAsia="lt-LT"/>
        </w:rPr>
        <w:t xml:space="preserve"> buvo 43,1 ml/min./1,73 m</w:t>
      </w:r>
      <w:r>
        <w:rPr>
          <w:rFonts w:eastAsia="TimesNewRoman"/>
          <w:szCs w:val="22"/>
          <w:vertAlign w:val="superscript"/>
          <w:lang w:eastAsia="lt-LT"/>
        </w:rPr>
        <w:t>2</w:t>
      </w:r>
      <w:r>
        <w:rPr>
          <w:rFonts w:eastAsia="TimesNewRoman"/>
          <w:szCs w:val="22"/>
          <w:lang w:eastAsia="lt-LT"/>
        </w:rPr>
        <w:t xml:space="preserve">, UACR mediana – 949,3 mg/g, 44,1 % pacientų </w:t>
      </w:r>
      <w:proofErr w:type="spellStart"/>
      <w:r>
        <w:rPr>
          <w:rFonts w:eastAsia="TimesNewRoman"/>
          <w:szCs w:val="22"/>
          <w:lang w:eastAsia="lt-LT"/>
        </w:rPr>
        <w:t>aGFR</w:t>
      </w:r>
      <w:proofErr w:type="spellEnd"/>
      <w:r>
        <w:rPr>
          <w:rFonts w:eastAsia="TimesNewRoman"/>
          <w:szCs w:val="22"/>
          <w:lang w:eastAsia="lt-LT"/>
        </w:rPr>
        <w:t xml:space="preserve"> buvo nuo 30 iki &lt; 45 ml/min./1,73 m</w:t>
      </w:r>
      <w:r>
        <w:rPr>
          <w:rFonts w:eastAsia="TimesNewRoman"/>
          <w:szCs w:val="22"/>
          <w:vertAlign w:val="superscript"/>
          <w:lang w:eastAsia="lt-LT"/>
        </w:rPr>
        <w:t>2</w:t>
      </w:r>
      <w:r>
        <w:rPr>
          <w:rFonts w:eastAsia="TimesNewRoman"/>
          <w:szCs w:val="22"/>
          <w:lang w:eastAsia="lt-LT"/>
        </w:rPr>
        <w:t xml:space="preserve">, 14,5 % pacientų </w:t>
      </w:r>
      <w:proofErr w:type="spellStart"/>
      <w:r>
        <w:rPr>
          <w:rFonts w:eastAsia="TimesNewRoman"/>
          <w:szCs w:val="22"/>
          <w:lang w:eastAsia="lt-LT"/>
        </w:rPr>
        <w:t>aGFG</w:t>
      </w:r>
      <w:proofErr w:type="spellEnd"/>
      <w:r>
        <w:rPr>
          <w:rFonts w:eastAsia="TimesNewRoman"/>
          <w:szCs w:val="22"/>
          <w:lang w:eastAsia="lt-LT"/>
        </w:rPr>
        <w:t xml:space="preserve"> buvo &lt; 30 ml/min./1,73 m</w:t>
      </w:r>
      <w:r>
        <w:rPr>
          <w:rFonts w:eastAsia="TimesNewRoman"/>
          <w:szCs w:val="22"/>
          <w:vertAlign w:val="superscript"/>
          <w:lang w:eastAsia="lt-LT"/>
        </w:rPr>
        <w:t>2</w:t>
      </w:r>
      <w:r>
        <w:rPr>
          <w:rFonts w:eastAsia="TimesNewRoman"/>
          <w:szCs w:val="22"/>
          <w:lang w:eastAsia="lt-LT"/>
        </w:rPr>
        <w:t xml:space="preserve">. 67,5 % pacientų sirgo 2 tipo cukriniu diabetu. Taikytas įprastinis (angl. </w:t>
      </w:r>
      <w:proofErr w:type="spellStart"/>
      <w:r>
        <w:rPr>
          <w:rFonts w:eastAsia="TimesNewRoman,Italic"/>
          <w:i/>
          <w:iCs/>
          <w:szCs w:val="22"/>
          <w:lang w:eastAsia="lt-LT"/>
        </w:rPr>
        <w:t>standard</w:t>
      </w:r>
      <w:proofErr w:type="spellEnd"/>
      <w:r>
        <w:rPr>
          <w:rFonts w:eastAsia="TimesNewRoman,Italic"/>
          <w:i/>
          <w:iCs/>
          <w:szCs w:val="22"/>
          <w:lang w:eastAsia="lt-LT"/>
        </w:rPr>
        <w:t xml:space="preserve"> </w:t>
      </w:r>
      <w:proofErr w:type="spellStart"/>
      <w:r>
        <w:rPr>
          <w:rFonts w:eastAsia="TimesNewRoman,Italic"/>
          <w:i/>
          <w:iCs/>
          <w:szCs w:val="22"/>
          <w:lang w:eastAsia="lt-LT"/>
        </w:rPr>
        <w:t>of</w:t>
      </w:r>
      <w:proofErr w:type="spellEnd"/>
      <w:r>
        <w:rPr>
          <w:rFonts w:eastAsia="TimesNewRoman,Italic"/>
          <w:i/>
          <w:iCs/>
          <w:szCs w:val="22"/>
          <w:lang w:eastAsia="lt-LT"/>
        </w:rPr>
        <w:t xml:space="preserve"> care</w:t>
      </w:r>
      <w:r>
        <w:rPr>
          <w:rFonts w:eastAsia="TimesNewRoman"/>
          <w:szCs w:val="22"/>
          <w:lang w:eastAsia="lt-LT"/>
        </w:rPr>
        <w:t xml:space="preserve">, SOC) gydymas, 97 % pacientų vartojo </w:t>
      </w:r>
      <w:proofErr w:type="spellStart"/>
      <w:r>
        <w:rPr>
          <w:rFonts w:eastAsia="TimesNewRoman"/>
          <w:szCs w:val="22"/>
          <w:lang w:eastAsia="lt-LT"/>
        </w:rPr>
        <w:t>angiotenziną</w:t>
      </w:r>
      <w:proofErr w:type="spellEnd"/>
      <w:r>
        <w:rPr>
          <w:rFonts w:eastAsia="TimesNewRoman"/>
          <w:szCs w:val="22"/>
          <w:lang w:eastAsia="lt-LT"/>
        </w:rPr>
        <w:t xml:space="preserve"> konvertuojančio fermento inhibitorių (</w:t>
      </w:r>
      <w:proofErr w:type="spellStart"/>
      <w:r>
        <w:rPr>
          <w:rFonts w:eastAsia="TimesNewRoman"/>
          <w:szCs w:val="22"/>
          <w:lang w:eastAsia="lt-LT"/>
        </w:rPr>
        <w:t>AKFi</w:t>
      </w:r>
      <w:proofErr w:type="spellEnd"/>
      <w:r>
        <w:rPr>
          <w:rFonts w:eastAsia="TimesNewRoman"/>
          <w:szCs w:val="22"/>
          <w:lang w:eastAsia="lt-LT"/>
        </w:rPr>
        <w:t xml:space="preserve">) arba </w:t>
      </w:r>
      <w:proofErr w:type="spellStart"/>
      <w:r>
        <w:rPr>
          <w:rFonts w:eastAsia="TimesNewRoman"/>
          <w:szCs w:val="22"/>
          <w:lang w:eastAsia="lt-LT"/>
        </w:rPr>
        <w:t>angiotenzino</w:t>
      </w:r>
      <w:proofErr w:type="spellEnd"/>
      <w:r>
        <w:rPr>
          <w:rFonts w:eastAsia="TimesNewRoman"/>
          <w:szCs w:val="22"/>
          <w:lang w:eastAsia="lt-LT"/>
        </w:rPr>
        <w:t xml:space="preserve"> receptorių blokatorių (ARB).</w:t>
      </w:r>
    </w:p>
    <w:p w14:paraId="5E1A1194" w14:textId="77777777" w:rsidR="00E96E12" w:rsidRDefault="00E96E12">
      <w:pPr>
        <w:autoSpaceDE w:val="0"/>
        <w:autoSpaceDN w:val="0"/>
        <w:adjustRightInd w:val="0"/>
        <w:rPr>
          <w:rFonts w:eastAsia="TimesNewRoman"/>
          <w:szCs w:val="22"/>
          <w:lang w:eastAsia="lt-LT"/>
        </w:rPr>
      </w:pPr>
    </w:p>
    <w:p w14:paraId="29214876"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Tyrimas nutrauktas nesulaukus planinės analizės datos dėl veiksmingumo priežasties atsižvelgus į nepriklausomo duomenų stebėjimo komiteto (angl. </w:t>
      </w:r>
      <w:r>
        <w:rPr>
          <w:rFonts w:eastAsia="TimesNewRoman,Italic"/>
          <w:i/>
          <w:iCs/>
          <w:szCs w:val="22"/>
          <w:lang w:eastAsia="lt-LT"/>
        </w:rPr>
        <w:t xml:space="preserve">Data </w:t>
      </w:r>
      <w:proofErr w:type="spellStart"/>
      <w:r>
        <w:rPr>
          <w:rFonts w:eastAsia="TimesNewRoman,Italic"/>
          <w:i/>
          <w:iCs/>
          <w:szCs w:val="22"/>
          <w:lang w:eastAsia="lt-LT"/>
        </w:rPr>
        <w:t>Monitoring</w:t>
      </w:r>
      <w:proofErr w:type="spellEnd"/>
      <w:r>
        <w:rPr>
          <w:rFonts w:eastAsia="TimesNewRoman,Italic"/>
          <w:i/>
          <w:iCs/>
          <w:szCs w:val="22"/>
          <w:lang w:eastAsia="lt-LT"/>
        </w:rPr>
        <w:t xml:space="preserve"> </w:t>
      </w:r>
      <w:proofErr w:type="spellStart"/>
      <w:r>
        <w:rPr>
          <w:rFonts w:eastAsia="TimesNewRoman,Italic"/>
          <w:i/>
          <w:iCs/>
          <w:szCs w:val="22"/>
          <w:lang w:eastAsia="lt-LT"/>
        </w:rPr>
        <w:t>Committee</w:t>
      </w:r>
      <w:proofErr w:type="spellEnd"/>
      <w:r>
        <w:rPr>
          <w:rFonts w:eastAsia="TimesNewRoman"/>
          <w:szCs w:val="22"/>
          <w:lang w:eastAsia="lt-LT"/>
        </w:rPr>
        <w:t xml:space="preserve">) rekomendaciją. Dapagliflozinas geriau už placebą apsaugojo nuo pagrindinės sudėtinės vertinamosios baigties, kurią sudarė nuolatinis </w:t>
      </w:r>
      <w:proofErr w:type="spellStart"/>
      <w:r>
        <w:rPr>
          <w:rFonts w:eastAsia="TimesNewRoman"/>
          <w:szCs w:val="22"/>
          <w:lang w:eastAsia="lt-LT"/>
        </w:rPr>
        <w:t>aGFG</w:t>
      </w:r>
      <w:proofErr w:type="spellEnd"/>
      <w:r>
        <w:rPr>
          <w:rFonts w:eastAsia="TimesNewRoman"/>
          <w:szCs w:val="22"/>
          <w:lang w:eastAsia="lt-LT"/>
        </w:rPr>
        <w:t xml:space="preserve"> sumažėjimas ≥ 50 %, galutinės stadijos inkstų ligos pasireiškimas arba mirtis nuo kardiovaskulinės ar inkstų ligos. Įvertinus </w:t>
      </w:r>
      <w:proofErr w:type="spellStart"/>
      <w:r>
        <w:rPr>
          <w:rFonts w:eastAsia="TimesNewRoman"/>
          <w:szCs w:val="22"/>
          <w:lang w:eastAsia="lt-LT"/>
        </w:rPr>
        <w:t>Kaplan-Meier</w:t>
      </w:r>
      <w:proofErr w:type="spellEnd"/>
      <w:r>
        <w:rPr>
          <w:rFonts w:eastAsia="TimesNewRoman"/>
          <w:szCs w:val="22"/>
          <w:lang w:eastAsia="lt-LT"/>
        </w:rPr>
        <w:t xml:space="preserve"> laikotarpio iki pirmojo pagrindinės sudėtinės vertinamosios baigties pasireiškimo kreives, gydomasis poveikis nustatytas po 4 mėn. ir išliko iki tyrimo pabaigos (7 pav.).</w:t>
      </w:r>
    </w:p>
    <w:p w14:paraId="7CE5ADB5" w14:textId="77777777" w:rsidR="00E96E12" w:rsidRDefault="00E96E12">
      <w:pPr>
        <w:autoSpaceDE w:val="0"/>
        <w:autoSpaceDN w:val="0"/>
        <w:adjustRightInd w:val="0"/>
        <w:rPr>
          <w:rFonts w:eastAsia="TimesNewRoman"/>
          <w:szCs w:val="22"/>
          <w:lang w:eastAsia="lt-LT"/>
        </w:rPr>
      </w:pPr>
    </w:p>
    <w:p w14:paraId="1245E69A"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 xml:space="preserve">7 pav. Laikotarpis iki pagrindinės sudėtinės vertinamosios baigties (nuolatinio </w:t>
      </w:r>
      <w:proofErr w:type="spellStart"/>
      <w:r>
        <w:rPr>
          <w:rFonts w:eastAsia="TimesNewRoman,Bold"/>
          <w:b/>
          <w:bCs/>
          <w:szCs w:val="22"/>
          <w:lang w:eastAsia="lt-LT"/>
        </w:rPr>
        <w:t>aGFG</w:t>
      </w:r>
      <w:proofErr w:type="spellEnd"/>
      <w:r>
        <w:rPr>
          <w:rFonts w:eastAsia="TimesNewRoman,Bold"/>
          <w:b/>
          <w:bCs/>
          <w:szCs w:val="22"/>
          <w:lang w:eastAsia="lt-LT"/>
        </w:rPr>
        <w:t xml:space="preserve"> sumažėjimo ≥ 50 %, galutinės stadijos inkstų ligos arba mirties nuo kardiovaskulinės ar inkstų ligos)</w:t>
      </w:r>
    </w:p>
    <w:p w14:paraId="1EAC6083" w14:textId="77777777" w:rsidR="00E96E12" w:rsidRDefault="00E97765">
      <w:pPr>
        <w:autoSpaceDE w:val="0"/>
        <w:autoSpaceDN w:val="0"/>
        <w:adjustRightInd w:val="0"/>
        <w:rPr>
          <w:rFonts w:eastAsia="TimesNewRoman"/>
          <w:szCs w:val="22"/>
          <w:lang w:eastAsia="lt-LT"/>
        </w:rPr>
      </w:pPr>
      <w:r w:rsidRPr="00233A36">
        <w:rPr>
          <w:noProof/>
        </w:rPr>
        <w:lastRenderedPageBreak/>
        <w:drawing>
          <wp:inline distT="0" distB="0" distL="0" distR="0" wp14:anchorId="00B50964" wp14:editId="3C35F388">
            <wp:extent cx="5759450" cy="3273774"/>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9450" cy="3273774"/>
                    </a:xfrm>
                    <a:prstGeom prst="rect">
                      <a:avLst/>
                    </a:prstGeom>
                    <a:noFill/>
                    <a:ln>
                      <a:noFill/>
                    </a:ln>
                  </pic:spPr>
                </pic:pic>
              </a:graphicData>
            </a:graphic>
          </wp:inline>
        </w:drawing>
      </w:r>
    </w:p>
    <w:p w14:paraId="55FF4EC4"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Pacientų su rizika skaičius nurodytas laikotarpio pradžioje.</w:t>
      </w:r>
    </w:p>
    <w:p w14:paraId="3E7D927D" w14:textId="77777777" w:rsidR="00E96E12" w:rsidRDefault="00E96E12">
      <w:pPr>
        <w:autoSpaceDE w:val="0"/>
        <w:autoSpaceDN w:val="0"/>
        <w:adjustRightInd w:val="0"/>
        <w:rPr>
          <w:rFonts w:eastAsia="TimesNewRoman"/>
          <w:szCs w:val="22"/>
          <w:lang w:eastAsia="lt-LT"/>
        </w:rPr>
      </w:pPr>
    </w:p>
    <w:p w14:paraId="7269A4B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Įtakos gydomajam poveikiui turėjo kiekvienas iš 4 pagrindinės sudėtinės vertinamosios baigties komponentų. Be to, dapagliflozinas ≥ 50 % sumažino dažnį sudėtinės vertinamosios baigties, kurią sudarė nuolatinis </w:t>
      </w:r>
      <w:proofErr w:type="spellStart"/>
      <w:r>
        <w:rPr>
          <w:rFonts w:eastAsia="TimesNewRoman"/>
          <w:szCs w:val="22"/>
          <w:lang w:eastAsia="lt-LT"/>
        </w:rPr>
        <w:t>aGFG</w:t>
      </w:r>
      <w:proofErr w:type="spellEnd"/>
      <w:r>
        <w:rPr>
          <w:rFonts w:eastAsia="TimesNewRoman"/>
          <w:szCs w:val="22"/>
          <w:lang w:eastAsia="lt-LT"/>
        </w:rPr>
        <w:t xml:space="preserve"> sumažėjimas ≥ 50 %, galutinės stadijos inkstų ligos pasireiškimas ir mirtis dėl inkstų ligos, bei sudėtinės vertinamosios baigties, kurią sudarė mirtis dėl kardiovaskulinės ligos ir hospitalizacija dėl širdies nepakankamumo. Dapagliflozinas pagerino lėtine inkstų liga sirgusių pacientų bendrą išgyvenimą ir reikšmingai sumažino dėl bet kurios priežasties mirusių pacientų dalį (8 pav.).</w:t>
      </w:r>
    </w:p>
    <w:p w14:paraId="59E1027B" w14:textId="77777777" w:rsidR="00E96E12" w:rsidRDefault="00E96E12">
      <w:pPr>
        <w:autoSpaceDE w:val="0"/>
        <w:autoSpaceDN w:val="0"/>
        <w:adjustRightInd w:val="0"/>
        <w:rPr>
          <w:rFonts w:eastAsia="TimesNewRoman,Bold"/>
          <w:b/>
          <w:bCs/>
          <w:szCs w:val="22"/>
          <w:lang w:eastAsia="lt-LT"/>
        </w:rPr>
      </w:pPr>
    </w:p>
    <w:p w14:paraId="28290838" w14:textId="77777777" w:rsidR="00E96E12" w:rsidRDefault="00E97765">
      <w:pPr>
        <w:autoSpaceDE w:val="0"/>
        <w:autoSpaceDN w:val="0"/>
        <w:adjustRightInd w:val="0"/>
        <w:rPr>
          <w:rFonts w:eastAsia="TimesNewRoman,Bold"/>
          <w:b/>
          <w:bCs/>
          <w:szCs w:val="22"/>
          <w:lang w:eastAsia="lt-LT"/>
        </w:rPr>
      </w:pPr>
      <w:r>
        <w:rPr>
          <w:rFonts w:eastAsia="TimesNewRoman,Bold"/>
          <w:b/>
          <w:bCs/>
          <w:szCs w:val="22"/>
          <w:lang w:eastAsia="lt-LT"/>
        </w:rPr>
        <w:t>8 pav. Gydomasis poveikis pagrindinei ir antrinėms sudėtinėms vertinamosioms baigtims, jų atskiriems komponentams ir mirčių dėl bet kurios priežasties skaičiui</w:t>
      </w:r>
    </w:p>
    <w:p w14:paraId="492D1686" w14:textId="77777777" w:rsidR="00E96E12" w:rsidRDefault="00E97765">
      <w:pPr>
        <w:autoSpaceDE w:val="0"/>
        <w:autoSpaceDN w:val="0"/>
        <w:adjustRightInd w:val="0"/>
        <w:rPr>
          <w:rFonts w:eastAsia="TimesNewRoman,Bold"/>
          <w:b/>
          <w:bCs/>
          <w:szCs w:val="22"/>
          <w:lang w:eastAsia="lt-LT"/>
        </w:rPr>
      </w:pPr>
      <w:r w:rsidRPr="00233A36">
        <w:rPr>
          <w:b/>
          <w:noProof/>
        </w:rPr>
        <w:lastRenderedPageBreak/>
        <w:drawing>
          <wp:inline distT="0" distB="0" distL="0" distR="0" wp14:anchorId="7CCC76B4" wp14:editId="4AF2DBF0">
            <wp:extent cx="5767070" cy="7090410"/>
            <wp:effectExtent l="0" t="0" r="5080" b="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7070" cy="7090410"/>
                    </a:xfrm>
                    <a:prstGeom prst="rect">
                      <a:avLst/>
                    </a:prstGeom>
                    <a:noFill/>
                  </pic:spPr>
                </pic:pic>
              </a:graphicData>
            </a:graphic>
          </wp:inline>
        </w:drawing>
      </w:r>
    </w:p>
    <w:p w14:paraId="61C5E5C6"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Atskirų komponentų pirmųjų atvejų skaičius – tai tikrasis pirmųjų kiekvieno komponento atvejų skaičius (jų</w:t>
      </w:r>
    </w:p>
    <w:p w14:paraId="000CC7A2"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suma neatitinka sudėtinės baigties atvejų skaičiaus).</w:t>
      </w:r>
    </w:p>
    <w:p w14:paraId="05533825"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Atvejų dažnis rodo juos patyrusių tiriamųjų skaičių per 100 paciento stebėjimo metų.</w:t>
      </w:r>
    </w:p>
    <w:p w14:paraId="649D8FF3" w14:textId="77777777" w:rsidR="00E96E12" w:rsidRDefault="00E97765">
      <w:pPr>
        <w:autoSpaceDE w:val="0"/>
        <w:autoSpaceDN w:val="0"/>
        <w:adjustRightInd w:val="0"/>
        <w:rPr>
          <w:rFonts w:eastAsia="TimesNewRoman"/>
          <w:sz w:val="18"/>
          <w:szCs w:val="18"/>
          <w:lang w:eastAsia="lt-LT"/>
        </w:rPr>
      </w:pPr>
      <w:r>
        <w:rPr>
          <w:rFonts w:eastAsia="TimesNewRoman"/>
          <w:sz w:val="18"/>
          <w:szCs w:val="18"/>
          <w:lang w:eastAsia="lt-LT"/>
        </w:rPr>
        <w:t>Rizikos santykių įverčiai nepateikiami pogrupiuose, kuriuose iš viso (abejose grupėse kartu paėmus) užfiksuota mažiau kaip 15 atvejų.</w:t>
      </w:r>
    </w:p>
    <w:p w14:paraId="0BA840BB" w14:textId="77777777" w:rsidR="00E96E12" w:rsidRDefault="00E96E12">
      <w:pPr>
        <w:autoSpaceDE w:val="0"/>
        <w:autoSpaceDN w:val="0"/>
        <w:adjustRightInd w:val="0"/>
        <w:rPr>
          <w:rFonts w:eastAsia="TimesNewRoman"/>
          <w:sz w:val="20"/>
          <w:szCs w:val="20"/>
          <w:lang w:eastAsia="lt-LT"/>
        </w:rPr>
      </w:pPr>
    </w:p>
    <w:p w14:paraId="50C7F2F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Dapagliflozino nauda nuosekliai pasireiškė lėtine inkstų liga sirgusiems pacientams, kurie sirgo 2 tipo cukriniu diabetu arba juo nesirgo. Dapagliflozinas ≥ 50 % sumažino dažnį pagrindinės sudėtinės vertinamosios baigties, kurią sudarė nuolatinis </w:t>
      </w:r>
      <w:proofErr w:type="spellStart"/>
      <w:r>
        <w:rPr>
          <w:rFonts w:eastAsia="TimesNewRoman"/>
          <w:szCs w:val="22"/>
          <w:lang w:eastAsia="lt-LT"/>
        </w:rPr>
        <w:t>aGFG</w:t>
      </w:r>
      <w:proofErr w:type="spellEnd"/>
      <w:r>
        <w:rPr>
          <w:rFonts w:eastAsia="TimesNewRoman"/>
          <w:szCs w:val="22"/>
          <w:lang w:eastAsia="lt-LT"/>
        </w:rPr>
        <w:t xml:space="preserve"> sumažėjimas, galutinės stadijos inkstų ligos pasireiškimas ir mirtis nuo kardiovaskulinės arba inkstų ligos. 2 tipo cukriniu diabetu sirgusiems žmonėms HR buvo 0,64 (95 % PI – nuo 0,52 iki 0,79), o juo nesirgusiems pacientams – 0,50 (95 % PI – nuo 0,35 iki 0,72).</w:t>
      </w:r>
    </w:p>
    <w:p w14:paraId="21C0CDF1" w14:textId="77777777" w:rsidR="00E96E12" w:rsidRDefault="00E96E12">
      <w:pPr>
        <w:autoSpaceDE w:val="0"/>
        <w:autoSpaceDN w:val="0"/>
        <w:adjustRightInd w:val="0"/>
        <w:rPr>
          <w:rFonts w:eastAsia="TimesNewRoman"/>
          <w:szCs w:val="22"/>
          <w:lang w:eastAsia="lt-LT"/>
        </w:rPr>
      </w:pPr>
    </w:p>
    <w:p w14:paraId="7CA952B7" w14:textId="77777777" w:rsidR="00E96E12" w:rsidRDefault="00E97765">
      <w:pPr>
        <w:autoSpaceDE w:val="0"/>
        <w:autoSpaceDN w:val="0"/>
        <w:adjustRightInd w:val="0"/>
        <w:rPr>
          <w:rFonts w:eastAsia="TimesNewRoman"/>
          <w:szCs w:val="22"/>
          <w:lang w:eastAsia="lt-LT"/>
        </w:rPr>
      </w:pPr>
      <w:r>
        <w:rPr>
          <w:rFonts w:eastAsia="TimesNewRoman"/>
          <w:szCs w:val="22"/>
          <w:lang w:eastAsia="lt-LT"/>
        </w:rPr>
        <w:lastRenderedPageBreak/>
        <w:t xml:space="preserve">Palankesnis dapagliflozino, palyginus su placebu, poveikis pagrindinei sudėtinei vertinamajai baigčiai taip pat nuosekliai pasireiškė pagrindiniuose pogrupiuose, sudarytuose pagal </w:t>
      </w:r>
      <w:proofErr w:type="spellStart"/>
      <w:r>
        <w:rPr>
          <w:rFonts w:eastAsia="TimesNewRoman"/>
          <w:szCs w:val="22"/>
          <w:lang w:eastAsia="lt-LT"/>
        </w:rPr>
        <w:t>aGFG</w:t>
      </w:r>
      <w:proofErr w:type="spellEnd"/>
      <w:r>
        <w:rPr>
          <w:rFonts w:eastAsia="TimesNewRoman"/>
          <w:szCs w:val="22"/>
          <w:lang w:eastAsia="lt-LT"/>
        </w:rPr>
        <w:t>, amžių, lytį ir regioną.</w:t>
      </w:r>
    </w:p>
    <w:p w14:paraId="06D73138" w14:textId="77777777" w:rsidR="00E96E12" w:rsidRDefault="00E96E12">
      <w:pPr>
        <w:autoSpaceDE w:val="0"/>
        <w:autoSpaceDN w:val="0"/>
        <w:adjustRightInd w:val="0"/>
        <w:rPr>
          <w:rFonts w:eastAsia="TimesNewRoman"/>
          <w:szCs w:val="22"/>
          <w:lang w:eastAsia="lt-LT"/>
        </w:rPr>
      </w:pPr>
    </w:p>
    <w:p w14:paraId="0887D2D7"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Vaikų populiacija</w:t>
      </w:r>
    </w:p>
    <w:p w14:paraId="5DB03CFF" w14:textId="77777777" w:rsidR="00E96E12" w:rsidRDefault="00E96E12">
      <w:pPr>
        <w:autoSpaceDE w:val="0"/>
        <w:autoSpaceDN w:val="0"/>
        <w:adjustRightInd w:val="0"/>
        <w:rPr>
          <w:rFonts w:eastAsia="TimesNewRoman,Italic"/>
          <w:i/>
          <w:iCs/>
          <w:szCs w:val="22"/>
          <w:lang w:eastAsia="lt-LT"/>
        </w:rPr>
      </w:pPr>
    </w:p>
    <w:p w14:paraId="4D20F9FF"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2 tipo cukrinis diabetas</w:t>
      </w:r>
    </w:p>
    <w:p w14:paraId="0523930B"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10-24 metų amžiaus pacientų, sergančių 2 tipo cukriniu diabetu, klinikinio tyrimo metu 39 buvo </w:t>
      </w:r>
      <w:proofErr w:type="spellStart"/>
      <w:r>
        <w:rPr>
          <w:rFonts w:eastAsia="TimesNewRoman"/>
          <w:szCs w:val="22"/>
          <w:lang w:eastAsia="lt-LT"/>
        </w:rPr>
        <w:t>randomizuoti</w:t>
      </w:r>
      <w:proofErr w:type="spellEnd"/>
      <w:r>
        <w:rPr>
          <w:rFonts w:eastAsia="TimesNewRoman"/>
          <w:szCs w:val="22"/>
          <w:lang w:eastAsia="lt-LT"/>
        </w:rPr>
        <w:t xml:space="preserve"> vartoti 10 mg dapagliflozino ir 33 – placebą </w:t>
      </w:r>
      <w:proofErr w:type="spellStart"/>
      <w:r>
        <w:rPr>
          <w:rFonts w:eastAsia="TimesNewRoman"/>
          <w:szCs w:val="22"/>
          <w:lang w:eastAsia="lt-LT"/>
        </w:rPr>
        <w:t>metformino</w:t>
      </w:r>
      <w:proofErr w:type="spellEnd"/>
      <w:r>
        <w:rPr>
          <w:rFonts w:eastAsia="TimesNewRoman"/>
          <w:szCs w:val="22"/>
          <w:lang w:eastAsia="lt-LT"/>
        </w:rPr>
        <w:t xml:space="preserve">, insulino arba </w:t>
      </w:r>
      <w:proofErr w:type="spellStart"/>
      <w:r>
        <w:rPr>
          <w:rFonts w:eastAsia="TimesNewRoman"/>
          <w:szCs w:val="22"/>
          <w:lang w:eastAsia="lt-LT"/>
        </w:rPr>
        <w:t>metformino</w:t>
      </w:r>
      <w:proofErr w:type="spellEnd"/>
      <w:r>
        <w:rPr>
          <w:rFonts w:eastAsia="TimesNewRoman"/>
          <w:szCs w:val="22"/>
          <w:lang w:eastAsia="lt-LT"/>
        </w:rPr>
        <w:t xml:space="preserve"> ir insulino derinio poveikiui papildyti. </w:t>
      </w:r>
      <w:proofErr w:type="spellStart"/>
      <w:r>
        <w:rPr>
          <w:rFonts w:eastAsia="TimesNewRoman"/>
          <w:szCs w:val="22"/>
          <w:lang w:eastAsia="lt-LT"/>
        </w:rPr>
        <w:t>Randomizacijos</w:t>
      </w:r>
      <w:proofErr w:type="spellEnd"/>
      <w:r>
        <w:rPr>
          <w:rFonts w:eastAsia="TimesNewRoman"/>
          <w:szCs w:val="22"/>
          <w:lang w:eastAsia="lt-LT"/>
        </w:rPr>
        <w:t xml:space="preserve"> metu 74 % pacientų buvo jaunesni kaip 18 metų. Koreguotas vidutinis HbA1c pokytis vartojus dapaglifloziną (palyginus su placebu) nuo tyrimo pradžios iki 24 savaitės buvo -0,75 % (95 % PI -1,65, 0,15). Koreguotas vidutinis HbA1c, palyginus su pradiniu, pokytis jaunesnių kaip 18 metų tiriamųjų, vartojusių dapaglifloziną (palyginus su placebu), grupėje buvo -0,59 % (95 % PI -1,66, 0,48). 18 metų ir vyresniems tiriamiesiems, vartojusiems dapaglifloziną, HbA1c, palyginus su pradiniu, vidutiniškai 1,52 % sumažėjo (n = 9), o vartojusiems placebą – vidutiniškai 0,17 % padidėjo (n = 6). Veiksmingumas ir saugumas buvo panašūs kaip dapaglifloziną vartojusiems suaugusiesiems. Saugumą ir toleravimą papildomai patvirtinto 28 savaičių tęstinis saugumo tyrimas.</w:t>
      </w:r>
    </w:p>
    <w:p w14:paraId="40CCB396" w14:textId="77777777" w:rsidR="00E96E12" w:rsidRDefault="00E96E12">
      <w:pPr>
        <w:autoSpaceDE w:val="0"/>
        <w:autoSpaceDN w:val="0"/>
        <w:adjustRightInd w:val="0"/>
        <w:rPr>
          <w:rFonts w:eastAsia="TimesNewRoman,Italic"/>
          <w:i/>
          <w:iCs/>
          <w:szCs w:val="22"/>
          <w:lang w:eastAsia="lt-LT"/>
        </w:rPr>
      </w:pPr>
    </w:p>
    <w:p w14:paraId="081249E0" w14:textId="77777777" w:rsidR="00E96E12" w:rsidRDefault="00E97765">
      <w:pPr>
        <w:autoSpaceDE w:val="0"/>
        <w:autoSpaceDN w:val="0"/>
        <w:adjustRightInd w:val="0"/>
        <w:rPr>
          <w:rFonts w:eastAsia="TimesNewRoman,Italic"/>
          <w:i/>
          <w:iCs/>
          <w:szCs w:val="22"/>
          <w:u w:val="single"/>
          <w:lang w:eastAsia="lt-LT"/>
        </w:rPr>
      </w:pPr>
      <w:r>
        <w:rPr>
          <w:rFonts w:eastAsia="TimesNewRoman,Italic"/>
          <w:i/>
          <w:iCs/>
          <w:szCs w:val="22"/>
          <w:u w:val="single"/>
          <w:lang w:eastAsia="lt-LT"/>
        </w:rPr>
        <w:t>Širdies nepakankamumas ir lėtinė inkstų liga</w:t>
      </w:r>
    </w:p>
    <w:p w14:paraId="40A8DBAF" w14:textId="77777777" w:rsidR="00E96E12" w:rsidRDefault="00E97765">
      <w:pPr>
        <w:autoSpaceDE w:val="0"/>
        <w:autoSpaceDN w:val="0"/>
        <w:adjustRightInd w:val="0"/>
        <w:rPr>
          <w:rFonts w:eastAsia="TimesNewRoman"/>
          <w:szCs w:val="22"/>
          <w:lang w:eastAsia="lt-LT"/>
        </w:rPr>
      </w:pPr>
      <w:r>
        <w:rPr>
          <w:rFonts w:eastAsia="TimesNewRoman"/>
          <w:szCs w:val="22"/>
          <w:lang w:eastAsia="lt-LT"/>
        </w:rPr>
        <w:t>Europos vaistų agentūra atleido nuo įpareigojimo pateikti dapagliflozino tyrimų kardiovaskulinių komplikacijų profilaktikai su visais vaikų, sergančių lėtiniu širdies nepakankamumu ir lėtine inkstų liga, populiacijos pogrupiais duomenis (vartojimo vaikams informacija pateikiama 4.2 skyriuje).</w:t>
      </w:r>
    </w:p>
    <w:p w14:paraId="2900A317" w14:textId="77777777" w:rsidR="00E96E12" w:rsidRDefault="00E96E12">
      <w:pPr>
        <w:autoSpaceDE w:val="0"/>
        <w:autoSpaceDN w:val="0"/>
        <w:adjustRightInd w:val="0"/>
        <w:rPr>
          <w:rFonts w:eastAsia="TimesNewRoman"/>
          <w:sz w:val="20"/>
          <w:szCs w:val="20"/>
          <w:lang w:eastAsia="lt-LT"/>
        </w:rPr>
      </w:pPr>
    </w:p>
    <w:p w14:paraId="187D6D05" w14:textId="77777777" w:rsidR="00E96E12" w:rsidRDefault="00E97765">
      <w:pPr>
        <w:ind w:left="567" w:hanging="567"/>
        <w:rPr>
          <w:b/>
        </w:rPr>
      </w:pPr>
      <w:r>
        <w:rPr>
          <w:b/>
        </w:rPr>
        <w:t>5.2</w:t>
      </w:r>
      <w:r>
        <w:rPr>
          <w:b/>
        </w:rPr>
        <w:tab/>
      </w:r>
      <w:proofErr w:type="spellStart"/>
      <w:r>
        <w:rPr>
          <w:b/>
        </w:rPr>
        <w:t>Farmakokinetinės</w:t>
      </w:r>
      <w:proofErr w:type="spellEnd"/>
      <w:r>
        <w:rPr>
          <w:b/>
        </w:rPr>
        <w:t xml:space="preserve"> savybės </w:t>
      </w:r>
    </w:p>
    <w:p w14:paraId="1ECC0D1E" w14:textId="77777777" w:rsidR="00E96E12" w:rsidRDefault="00E96E12">
      <w:pPr>
        <w:ind w:left="567" w:hanging="567"/>
        <w:rPr>
          <w:b/>
        </w:rPr>
      </w:pPr>
    </w:p>
    <w:p w14:paraId="15200980"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Absorbcija</w:t>
      </w:r>
    </w:p>
    <w:p w14:paraId="09191F90" w14:textId="77777777" w:rsidR="00E96E12" w:rsidRDefault="00E96E12">
      <w:pPr>
        <w:autoSpaceDE w:val="0"/>
        <w:autoSpaceDN w:val="0"/>
        <w:adjustRightInd w:val="0"/>
        <w:rPr>
          <w:rFonts w:eastAsia="TimesNewRoman"/>
          <w:szCs w:val="22"/>
          <w:u w:val="single"/>
          <w:lang w:eastAsia="lt-LT"/>
        </w:rPr>
      </w:pPr>
    </w:p>
    <w:p w14:paraId="23DC834C" w14:textId="77777777" w:rsidR="00E96E12" w:rsidRDefault="00E97765">
      <w:pPr>
        <w:autoSpaceDE w:val="0"/>
        <w:autoSpaceDN w:val="0"/>
        <w:adjustRightInd w:val="0"/>
        <w:rPr>
          <w:rFonts w:eastAsia="TimesNewRoman"/>
          <w:szCs w:val="22"/>
          <w:lang w:eastAsia="lt-LT"/>
        </w:rPr>
      </w:pPr>
      <w:r>
        <w:rPr>
          <w:rFonts w:eastAsia="TimesNewRoman"/>
          <w:szCs w:val="22"/>
          <w:lang w:eastAsia="lt-LT"/>
        </w:rPr>
        <w:t>Per burną pavartotas dapagliflozinas absorbuojamas greitai ir gerai. Didžiausia nevalgius pavartoto dapagliflozino koncentracija plazmoje (</w:t>
      </w:r>
      <w:proofErr w:type="spellStart"/>
      <w:r>
        <w:rPr>
          <w:rFonts w:eastAsia="TimesNewRoman"/>
          <w:szCs w:val="22"/>
          <w:lang w:eastAsia="lt-LT"/>
        </w:rPr>
        <w:t>C</w:t>
      </w:r>
      <w:r>
        <w:rPr>
          <w:rFonts w:eastAsia="TimesNewRoman"/>
          <w:sz w:val="14"/>
          <w:szCs w:val="14"/>
          <w:lang w:eastAsia="lt-LT"/>
        </w:rPr>
        <w:t>max</w:t>
      </w:r>
      <w:proofErr w:type="spellEnd"/>
      <w:r>
        <w:rPr>
          <w:rFonts w:eastAsia="TimesNewRoman"/>
          <w:szCs w:val="22"/>
          <w:lang w:eastAsia="lt-LT"/>
        </w:rPr>
        <w:t xml:space="preserve">) paprastai susidaro per 2 val. Geometrinis </w:t>
      </w:r>
      <w:proofErr w:type="spellStart"/>
      <w:r>
        <w:rPr>
          <w:rFonts w:eastAsia="TimesNewRoman"/>
          <w:szCs w:val="22"/>
          <w:lang w:eastAsia="lt-LT"/>
        </w:rPr>
        <w:t>pusiausvyrinės</w:t>
      </w:r>
      <w:proofErr w:type="spellEnd"/>
      <w:r>
        <w:rPr>
          <w:rFonts w:eastAsia="TimesNewRoman"/>
          <w:szCs w:val="22"/>
          <w:lang w:eastAsia="lt-LT"/>
        </w:rPr>
        <w:t xml:space="preserve"> dapagliflozino </w:t>
      </w:r>
      <w:proofErr w:type="spellStart"/>
      <w:r>
        <w:rPr>
          <w:rFonts w:eastAsia="TimesNewRoman"/>
          <w:szCs w:val="22"/>
          <w:lang w:eastAsia="lt-LT"/>
        </w:rPr>
        <w:t>C</w:t>
      </w:r>
      <w:r>
        <w:rPr>
          <w:rFonts w:eastAsia="TimesNewRoman"/>
          <w:sz w:val="14"/>
          <w:szCs w:val="14"/>
          <w:lang w:eastAsia="lt-LT"/>
        </w:rPr>
        <w:t>max</w:t>
      </w:r>
      <w:proofErr w:type="spellEnd"/>
      <w:r>
        <w:rPr>
          <w:rFonts w:eastAsia="TimesNewRoman"/>
          <w:sz w:val="14"/>
          <w:szCs w:val="14"/>
          <w:lang w:eastAsia="lt-LT"/>
        </w:rPr>
        <w:t xml:space="preserve"> </w:t>
      </w:r>
      <w:r>
        <w:rPr>
          <w:rFonts w:eastAsia="TimesNewRoman"/>
          <w:szCs w:val="22"/>
          <w:lang w:eastAsia="lt-LT"/>
        </w:rPr>
        <w:t>vidurkis vartojant 10 mg 1 kartą per parą būna 158 </w:t>
      </w:r>
      <w:proofErr w:type="spellStart"/>
      <w:r>
        <w:rPr>
          <w:rFonts w:eastAsia="TimesNewRoman"/>
          <w:szCs w:val="22"/>
          <w:lang w:eastAsia="lt-LT"/>
        </w:rPr>
        <w:t>ng</w:t>
      </w:r>
      <w:proofErr w:type="spellEnd"/>
      <w:r>
        <w:rPr>
          <w:rFonts w:eastAsia="TimesNewRoman"/>
          <w:szCs w:val="22"/>
          <w:lang w:eastAsia="lt-LT"/>
        </w:rPr>
        <w:t xml:space="preserve">/ml, </w:t>
      </w:r>
      <w:proofErr w:type="spellStart"/>
      <w:r>
        <w:rPr>
          <w:rFonts w:eastAsia="TimesNewRoman"/>
          <w:szCs w:val="22"/>
          <w:lang w:eastAsia="lt-LT"/>
        </w:rPr>
        <w:t>AUC</w:t>
      </w:r>
      <w:r>
        <w:rPr>
          <w:rFonts w:eastAsia="TimesNewRoman"/>
          <w:sz w:val="14"/>
          <w:szCs w:val="14"/>
          <w:lang w:eastAsia="lt-LT"/>
        </w:rPr>
        <w:t>τ</w:t>
      </w:r>
      <w:proofErr w:type="spellEnd"/>
      <w:r>
        <w:rPr>
          <w:rFonts w:eastAsia="TimesNewRoman"/>
          <w:sz w:val="14"/>
          <w:szCs w:val="14"/>
          <w:lang w:eastAsia="lt-LT"/>
        </w:rPr>
        <w:t xml:space="preserve"> </w:t>
      </w:r>
      <w:r>
        <w:rPr>
          <w:rFonts w:eastAsia="TimesNewRoman"/>
          <w:szCs w:val="22"/>
          <w:lang w:eastAsia="lt-LT"/>
        </w:rPr>
        <w:t>– 628 </w:t>
      </w:r>
      <w:proofErr w:type="spellStart"/>
      <w:r>
        <w:rPr>
          <w:rFonts w:eastAsia="TimesNewRoman"/>
          <w:szCs w:val="22"/>
          <w:lang w:eastAsia="lt-LT"/>
        </w:rPr>
        <w:t>ng</w:t>
      </w:r>
      <w:proofErr w:type="spellEnd"/>
      <w:r>
        <w:rPr>
          <w:rFonts w:eastAsia="TimesNewRoman"/>
          <w:szCs w:val="22"/>
          <w:lang w:eastAsia="lt-LT"/>
        </w:rPr>
        <w:t xml:space="preserve">*val./ml. Absoliutus dapagliflozino biologinis prieinamumas pavartojus 10 mg dozę per burną yra 78 %. Riebus maistas sukelia dapagliflozino </w:t>
      </w:r>
      <w:proofErr w:type="spellStart"/>
      <w:r>
        <w:rPr>
          <w:rFonts w:eastAsia="TimesNewRoman"/>
          <w:szCs w:val="22"/>
          <w:lang w:eastAsia="lt-LT"/>
        </w:rPr>
        <w:t>C</w:t>
      </w:r>
      <w:r>
        <w:rPr>
          <w:rFonts w:eastAsia="TimesNewRoman"/>
          <w:sz w:val="14"/>
          <w:szCs w:val="14"/>
          <w:lang w:eastAsia="lt-LT"/>
        </w:rPr>
        <w:t>max</w:t>
      </w:r>
      <w:proofErr w:type="spellEnd"/>
      <w:r>
        <w:rPr>
          <w:rFonts w:eastAsia="TimesNewRoman"/>
          <w:sz w:val="14"/>
          <w:szCs w:val="14"/>
          <w:lang w:eastAsia="lt-LT"/>
        </w:rPr>
        <w:t xml:space="preserve"> </w:t>
      </w:r>
      <w:r>
        <w:rPr>
          <w:rFonts w:eastAsia="TimesNewRoman"/>
          <w:szCs w:val="22"/>
          <w:lang w:eastAsia="lt-LT"/>
        </w:rPr>
        <w:t xml:space="preserve">sumažėjimą iki 50 % ir </w:t>
      </w:r>
      <w:proofErr w:type="spellStart"/>
      <w:r>
        <w:rPr>
          <w:rFonts w:eastAsia="TimesNewRoman"/>
          <w:szCs w:val="22"/>
          <w:lang w:eastAsia="lt-LT"/>
        </w:rPr>
        <w:t>T</w:t>
      </w:r>
      <w:r>
        <w:rPr>
          <w:rFonts w:eastAsia="TimesNewRoman"/>
          <w:sz w:val="14"/>
          <w:szCs w:val="14"/>
          <w:lang w:eastAsia="lt-LT"/>
        </w:rPr>
        <w:t>max</w:t>
      </w:r>
      <w:proofErr w:type="spellEnd"/>
      <w:r>
        <w:rPr>
          <w:rFonts w:eastAsia="TimesNewRoman"/>
          <w:sz w:val="14"/>
          <w:szCs w:val="14"/>
          <w:lang w:eastAsia="lt-LT"/>
        </w:rPr>
        <w:t xml:space="preserve"> </w:t>
      </w:r>
      <w:r>
        <w:rPr>
          <w:rFonts w:eastAsia="TimesNewRoman"/>
          <w:szCs w:val="22"/>
          <w:lang w:eastAsia="lt-LT"/>
        </w:rPr>
        <w:t>pailgėjimą maždaug 1 val., tačiau neturi įtakos AUC (palyginus su susidarančiu nevalgius). Šie pokyčiai nelaikomi reikšmingais klinikai, todėl dapagliflozino galima vartoti valgant arba kitu laiku.</w:t>
      </w:r>
    </w:p>
    <w:p w14:paraId="5DA5C5FC" w14:textId="77777777" w:rsidR="00E96E12" w:rsidRDefault="00E96E12">
      <w:pPr>
        <w:autoSpaceDE w:val="0"/>
        <w:autoSpaceDN w:val="0"/>
        <w:adjustRightInd w:val="0"/>
        <w:rPr>
          <w:rFonts w:eastAsia="TimesNewRoman"/>
          <w:szCs w:val="22"/>
          <w:u w:val="single"/>
          <w:lang w:eastAsia="lt-LT"/>
        </w:rPr>
      </w:pPr>
    </w:p>
    <w:p w14:paraId="3BA94A69"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Pasiskirstymas</w:t>
      </w:r>
    </w:p>
    <w:p w14:paraId="68986D44" w14:textId="77777777" w:rsidR="00E96E12" w:rsidRDefault="00E96E12">
      <w:pPr>
        <w:autoSpaceDE w:val="0"/>
        <w:autoSpaceDN w:val="0"/>
        <w:adjustRightInd w:val="0"/>
        <w:rPr>
          <w:rFonts w:eastAsia="TimesNewRoman"/>
          <w:szCs w:val="22"/>
          <w:u w:val="single"/>
          <w:lang w:eastAsia="lt-LT"/>
        </w:rPr>
      </w:pPr>
    </w:p>
    <w:p w14:paraId="3AA4C2B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Maždaug 91 % dapagliflozino būna prisijungusio prie plazmos baltymų. Sergant įvairiomis ligomis (pvz., sutrikus inkstų ar kepenų funkcijai), prie baltymų prisijungęs jo kiekis nepakinta. Vidutinis </w:t>
      </w:r>
      <w:proofErr w:type="spellStart"/>
      <w:r>
        <w:rPr>
          <w:rFonts w:eastAsia="TimesNewRoman"/>
          <w:szCs w:val="22"/>
          <w:lang w:eastAsia="lt-LT"/>
        </w:rPr>
        <w:t>pusiausvyrinis</w:t>
      </w:r>
      <w:proofErr w:type="spellEnd"/>
      <w:r>
        <w:rPr>
          <w:rFonts w:eastAsia="TimesNewRoman"/>
          <w:szCs w:val="22"/>
          <w:lang w:eastAsia="lt-LT"/>
        </w:rPr>
        <w:t xml:space="preserve"> dapagliflozino pasiskirstymo tūris yra 118 litrų.</w:t>
      </w:r>
    </w:p>
    <w:p w14:paraId="5DCEA75E" w14:textId="77777777" w:rsidR="00E96E12" w:rsidRDefault="00E96E12">
      <w:pPr>
        <w:ind w:left="567" w:hanging="567"/>
      </w:pPr>
    </w:p>
    <w:p w14:paraId="5BF7A686" w14:textId="77777777" w:rsidR="00E96E12" w:rsidRDefault="00E97765">
      <w:pPr>
        <w:autoSpaceDE w:val="0"/>
        <w:autoSpaceDN w:val="0"/>
        <w:adjustRightInd w:val="0"/>
        <w:rPr>
          <w:rFonts w:eastAsia="TimesNewRoman"/>
          <w:szCs w:val="22"/>
          <w:u w:val="single"/>
          <w:lang w:eastAsia="lt-LT"/>
        </w:rPr>
      </w:pPr>
      <w:proofErr w:type="spellStart"/>
      <w:r>
        <w:rPr>
          <w:rFonts w:eastAsia="TimesNewRoman"/>
          <w:szCs w:val="22"/>
          <w:u w:val="single"/>
          <w:lang w:eastAsia="lt-LT"/>
        </w:rPr>
        <w:t>Biotransformacija</w:t>
      </w:r>
      <w:proofErr w:type="spellEnd"/>
    </w:p>
    <w:p w14:paraId="46BC59AA" w14:textId="77777777" w:rsidR="00E96E12" w:rsidRDefault="00E96E12">
      <w:pPr>
        <w:autoSpaceDE w:val="0"/>
        <w:autoSpaceDN w:val="0"/>
        <w:adjustRightInd w:val="0"/>
        <w:rPr>
          <w:rFonts w:eastAsia="TimesNewRoman"/>
          <w:szCs w:val="22"/>
          <w:u w:val="single"/>
          <w:lang w:eastAsia="lt-LT"/>
        </w:rPr>
      </w:pPr>
    </w:p>
    <w:p w14:paraId="42C8B9A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Dapagliflozinas ekstensyviai </w:t>
      </w:r>
      <w:proofErr w:type="spellStart"/>
      <w:r>
        <w:rPr>
          <w:rFonts w:eastAsia="TimesNewRoman"/>
          <w:szCs w:val="22"/>
          <w:lang w:eastAsia="lt-LT"/>
        </w:rPr>
        <w:t>metabolizuojamas</w:t>
      </w:r>
      <w:proofErr w:type="spellEnd"/>
      <w:r>
        <w:rPr>
          <w:rFonts w:eastAsia="TimesNewRoman"/>
          <w:szCs w:val="22"/>
          <w:lang w:eastAsia="lt-LT"/>
        </w:rPr>
        <w:t>, daugiausia į neaktyvų metabolitą – dapagliflozino 3-O-gliukuronidą. Dapagliflozino 3-O-gliukuronidas ir kiti metabolitai neturi įtakos gliukozės koncentraciją mažinančiam poveikiui. Dapagliflozino 3-O-gliukuronido susidarymą katalizuoja UGT1A9 (fermentas, kurio yra kepenyse ir inkstuose), o nuo CYP priklausomo metabolizmo žmogaus organizme sąlygojamas klirensas yra nedidelis.</w:t>
      </w:r>
    </w:p>
    <w:p w14:paraId="298829C5" w14:textId="77777777" w:rsidR="00E96E12" w:rsidRDefault="00E96E12">
      <w:pPr>
        <w:autoSpaceDE w:val="0"/>
        <w:autoSpaceDN w:val="0"/>
        <w:adjustRightInd w:val="0"/>
        <w:rPr>
          <w:rFonts w:eastAsia="TimesNewRoman"/>
          <w:szCs w:val="22"/>
          <w:lang w:eastAsia="lt-LT"/>
        </w:rPr>
      </w:pPr>
    </w:p>
    <w:p w14:paraId="67B73112"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Eliminacija</w:t>
      </w:r>
    </w:p>
    <w:p w14:paraId="79E27CD1" w14:textId="77777777" w:rsidR="00E96E12" w:rsidRDefault="00E96E12">
      <w:pPr>
        <w:autoSpaceDE w:val="0"/>
        <w:autoSpaceDN w:val="0"/>
        <w:adjustRightInd w:val="0"/>
        <w:rPr>
          <w:rFonts w:eastAsia="TimesNewRoman"/>
          <w:szCs w:val="22"/>
          <w:u w:val="single"/>
          <w:lang w:eastAsia="lt-LT"/>
        </w:rPr>
      </w:pPr>
    </w:p>
    <w:p w14:paraId="00DB52BE"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vidutinis terminalinis pusinis periodas sveikų asmenų, pavartojusių vieną 10 mg dozę per burną, plazmoje (t</w:t>
      </w:r>
      <w:r>
        <w:rPr>
          <w:rFonts w:eastAsia="TimesNewRoman"/>
          <w:sz w:val="14"/>
          <w:szCs w:val="14"/>
          <w:lang w:eastAsia="lt-LT"/>
        </w:rPr>
        <w:t>1/2</w:t>
      </w:r>
      <w:r>
        <w:rPr>
          <w:rFonts w:eastAsia="TimesNewRoman"/>
          <w:szCs w:val="22"/>
          <w:lang w:eastAsia="lt-LT"/>
        </w:rPr>
        <w:t xml:space="preserve">) yra 12,9 val. Į veną pavartoto dapagliflozino vidutinis bendras sisteminis klirensas yra 207 ml/min. Daugiausia dapagliflozino ir su juo susijusių metabolitų eliminuojama išskiriant su šlapimu, nepakitęs dapagliflozinas jame sudaro mažiau kaip 2 %. Pavartojus 50 mg </w:t>
      </w:r>
      <w:r>
        <w:rPr>
          <w:rFonts w:eastAsia="TimesNewRoman"/>
          <w:sz w:val="14"/>
          <w:szCs w:val="14"/>
          <w:lang w:eastAsia="lt-LT"/>
        </w:rPr>
        <w:t>14</w:t>
      </w:r>
      <w:r>
        <w:rPr>
          <w:rFonts w:eastAsia="TimesNewRoman"/>
          <w:szCs w:val="22"/>
          <w:lang w:eastAsia="lt-LT"/>
        </w:rPr>
        <w:t xml:space="preserve">C </w:t>
      </w:r>
      <w:r>
        <w:rPr>
          <w:rFonts w:eastAsia="TimesNewRoman"/>
          <w:szCs w:val="22"/>
          <w:lang w:eastAsia="lt-LT"/>
        </w:rPr>
        <w:lastRenderedPageBreak/>
        <w:t>žymėto dapagliflozino, eliminuoto radioaktyvumo rasta 96 % radioaktyvumo (75 % šlapime ir 21% išmatose). Maždaug 15 % išmatose randamo kiekio sudaro nepakitęs dapagliflozinas.</w:t>
      </w:r>
    </w:p>
    <w:p w14:paraId="7901FD64" w14:textId="77777777" w:rsidR="00E96E12" w:rsidRDefault="00E96E12">
      <w:pPr>
        <w:autoSpaceDE w:val="0"/>
        <w:autoSpaceDN w:val="0"/>
        <w:adjustRightInd w:val="0"/>
        <w:rPr>
          <w:rFonts w:eastAsia="TimesNewRoman"/>
          <w:szCs w:val="22"/>
          <w:lang w:eastAsia="lt-LT"/>
        </w:rPr>
      </w:pPr>
    </w:p>
    <w:p w14:paraId="5C62D246"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Tiesinis pobūdis</w:t>
      </w:r>
    </w:p>
    <w:p w14:paraId="5629B0DA" w14:textId="77777777" w:rsidR="00E96E12" w:rsidRDefault="00E96E12">
      <w:pPr>
        <w:autoSpaceDE w:val="0"/>
        <w:autoSpaceDN w:val="0"/>
        <w:adjustRightInd w:val="0"/>
        <w:rPr>
          <w:rFonts w:eastAsia="TimesNewRoman"/>
          <w:szCs w:val="22"/>
          <w:u w:val="single"/>
          <w:lang w:eastAsia="lt-LT"/>
        </w:rPr>
      </w:pPr>
    </w:p>
    <w:p w14:paraId="18728AD7" w14:textId="77777777" w:rsidR="00E96E12" w:rsidRDefault="00E97765">
      <w:pPr>
        <w:autoSpaceDE w:val="0"/>
        <w:autoSpaceDN w:val="0"/>
        <w:adjustRightInd w:val="0"/>
        <w:rPr>
          <w:rFonts w:eastAsia="TimesNewRoman"/>
          <w:szCs w:val="22"/>
          <w:lang w:eastAsia="lt-LT"/>
        </w:rPr>
      </w:pPr>
      <w:r>
        <w:rPr>
          <w:rFonts w:eastAsia="TimesNewRoman"/>
          <w:szCs w:val="22"/>
          <w:lang w:eastAsia="lt-LT"/>
        </w:rPr>
        <w:t>Dapagliflozino ekspozicija didėja proporcingai jo dozės didinimui diapazone nuo 0,1 iki 500 mg. Kartotinai jo vartojant iki 24 savaičių, farmakokinetika nepakito.</w:t>
      </w:r>
    </w:p>
    <w:p w14:paraId="7D45264E" w14:textId="77777777" w:rsidR="00E96E12" w:rsidRDefault="00E96E12">
      <w:pPr>
        <w:autoSpaceDE w:val="0"/>
        <w:autoSpaceDN w:val="0"/>
        <w:adjustRightInd w:val="0"/>
        <w:rPr>
          <w:rFonts w:eastAsia="TimesNewRoman"/>
          <w:szCs w:val="22"/>
          <w:u w:val="single"/>
          <w:lang w:eastAsia="lt-LT"/>
        </w:rPr>
      </w:pPr>
    </w:p>
    <w:p w14:paraId="60DB741F"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Tam tikros populiacijos</w:t>
      </w:r>
    </w:p>
    <w:p w14:paraId="5E02B7C8" w14:textId="77777777" w:rsidR="00E96E12" w:rsidRDefault="00E96E12">
      <w:pPr>
        <w:autoSpaceDE w:val="0"/>
        <w:autoSpaceDN w:val="0"/>
        <w:adjustRightInd w:val="0"/>
        <w:rPr>
          <w:rFonts w:eastAsia="TimesNewRoman,Italic"/>
          <w:i/>
          <w:iCs/>
          <w:szCs w:val="22"/>
          <w:u w:val="single"/>
          <w:lang w:eastAsia="lt-LT"/>
        </w:rPr>
      </w:pPr>
    </w:p>
    <w:p w14:paraId="29514A6D"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Sutrikusi inkstų funkcija</w:t>
      </w:r>
    </w:p>
    <w:p w14:paraId="2EA0F81D"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Esant </w:t>
      </w:r>
      <w:proofErr w:type="spellStart"/>
      <w:r>
        <w:rPr>
          <w:rFonts w:eastAsia="TimesNewRoman"/>
          <w:szCs w:val="22"/>
          <w:lang w:eastAsia="lt-LT"/>
        </w:rPr>
        <w:t>pusiausvyrinei</w:t>
      </w:r>
      <w:proofErr w:type="spellEnd"/>
      <w:r>
        <w:rPr>
          <w:rFonts w:eastAsia="TimesNewRoman"/>
          <w:szCs w:val="22"/>
          <w:lang w:eastAsia="lt-LT"/>
        </w:rPr>
        <w:t xml:space="preserve"> būklei (7 paras vartojus 20 mg dapagliflozino 1 kartą per parą), 2 tipo cukriniu diabetu sirgusiems asmenims, kurių inkstų funkcija buvo lengvai, vidutiniškai ar sunkiai sutrikusi (pagal </w:t>
      </w:r>
      <w:proofErr w:type="spellStart"/>
      <w:r>
        <w:rPr>
          <w:rFonts w:eastAsia="TimesNewRoman"/>
          <w:szCs w:val="22"/>
          <w:lang w:eastAsia="lt-LT"/>
        </w:rPr>
        <w:t>joheksolio</w:t>
      </w:r>
      <w:proofErr w:type="spellEnd"/>
      <w:r>
        <w:rPr>
          <w:rFonts w:eastAsia="TimesNewRoman"/>
          <w:szCs w:val="22"/>
          <w:lang w:eastAsia="lt-LT"/>
        </w:rPr>
        <w:t xml:space="preserve"> plazmos klirensą) sisteminė dapagliflozino ekspozicija buvo atitinkamai 32 %, 60 % ir 87 % didesnė negu sirgusiems 2 tipo cukriniu diabetu ir turėjusiems normalią inkstų funkciją. Gliukozės kiekis paros šlapime esant </w:t>
      </w:r>
      <w:proofErr w:type="spellStart"/>
      <w:r>
        <w:rPr>
          <w:rFonts w:eastAsia="TimesNewRoman"/>
          <w:szCs w:val="22"/>
          <w:lang w:eastAsia="lt-LT"/>
        </w:rPr>
        <w:t>pusiausvyrinei</w:t>
      </w:r>
      <w:proofErr w:type="spellEnd"/>
      <w:r>
        <w:rPr>
          <w:rFonts w:eastAsia="TimesNewRoman"/>
          <w:szCs w:val="22"/>
          <w:lang w:eastAsia="lt-LT"/>
        </w:rPr>
        <w:t xml:space="preserve"> koncentracijai labai priklausė nuo inkstų funkcijos: 2 tipo cukriniu diabetu sirgusių pacientų, kurių inkstų funkcija buvo lengvai, vidutiniškai ar sunkiai sutrikusi, paros šlapime rasta atitinkamai 85 g, 52 g, 18 g ir 11 g gliukozės. Hemodializės įtaka dapagliflozino ekspozicijai nežinoma. Susilpnėjusios inkstų funkcijos poveikis sisteminei ekspozicijai vertintas naudojant </w:t>
      </w:r>
      <w:proofErr w:type="spellStart"/>
      <w:r>
        <w:rPr>
          <w:rFonts w:eastAsia="TimesNewRoman"/>
          <w:szCs w:val="22"/>
          <w:lang w:eastAsia="lt-LT"/>
        </w:rPr>
        <w:t>populiacinės</w:t>
      </w:r>
      <w:proofErr w:type="spellEnd"/>
      <w:r>
        <w:rPr>
          <w:rFonts w:eastAsia="TimesNewRoman"/>
          <w:szCs w:val="22"/>
          <w:lang w:eastAsia="lt-LT"/>
        </w:rPr>
        <w:t xml:space="preserve"> farmakokinetikos modelį. Kaip ir buvo tikėtasi atsižvelgiant į ankstesnius duomenis, sumodeliuotas AUC lėtine inkstų liga sergantiems pacientams buvo didesnis negu turintiems normalią inkstų funkciją; lėtinę inkstų ligą turintiems pacientams, kurie serga ir neserga 2 tipo cukriniu diabetu, jis reikšmingai nesiskyrė.</w:t>
      </w:r>
    </w:p>
    <w:p w14:paraId="705B3312" w14:textId="77777777" w:rsidR="00E96E12" w:rsidRDefault="00E96E12">
      <w:pPr>
        <w:autoSpaceDE w:val="0"/>
        <w:autoSpaceDN w:val="0"/>
        <w:adjustRightInd w:val="0"/>
        <w:rPr>
          <w:rFonts w:eastAsia="TimesNewRoman,Italic"/>
          <w:i/>
          <w:iCs/>
          <w:szCs w:val="22"/>
          <w:lang w:eastAsia="lt-LT"/>
        </w:rPr>
      </w:pPr>
    </w:p>
    <w:p w14:paraId="75C31EC4"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Sutrikusi kepenų funkcija</w:t>
      </w:r>
    </w:p>
    <w:p w14:paraId="59802E54" w14:textId="77777777" w:rsidR="00E96E12" w:rsidRDefault="00E97765">
      <w:pPr>
        <w:autoSpaceDE w:val="0"/>
        <w:autoSpaceDN w:val="0"/>
        <w:adjustRightInd w:val="0"/>
        <w:rPr>
          <w:rFonts w:eastAsia="TimesNewRoman"/>
          <w:szCs w:val="22"/>
          <w:lang w:eastAsia="lt-LT"/>
        </w:rPr>
      </w:pPr>
      <w:r>
        <w:rPr>
          <w:rFonts w:eastAsia="TimesNewRoman"/>
          <w:szCs w:val="22"/>
          <w:lang w:eastAsia="lt-LT"/>
        </w:rPr>
        <w:t>Asmenų, kurių kepenų funkcija lengvai ar vidutiniškai sutrikusi (</w:t>
      </w:r>
      <w:proofErr w:type="spellStart"/>
      <w:r>
        <w:rPr>
          <w:rFonts w:eastAsia="TimesNewRoman"/>
          <w:szCs w:val="22"/>
          <w:lang w:eastAsia="lt-LT"/>
        </w:rPr>
        <w:t>Child-Pugh</w:t>
      </w:r>
      <w:proofErr w:type="spellEnd"/>
      <w:r>
        <w:rPr>
          <w:rFonts w:eastAsia="TimesNewRoman"/>
          <w:szCs w:val="22"/>
          <w:lang w:eastAsia="lt-LT"/>
        </w:rPr>
        <w:t xml:space="preserve"> A ir B klasių), dapagliflozino vidutinis </w:t>
      </w:r>
      <w:proofErr w:type="spellStart"/>
      <w:r>
        <w:rPr>
          <w:rFonts w:eastAsia="TimesNewRoman"/>
          <w:szCs w:val="22"/>
          <w:lang w:eastAsia="lt-LT"/>
        </w:rPr>
        <w:t>C</w:t>
      </w:r>
      <w:r>
        <w:rPr>
          <w:rFonts w:eastAsia="TimesNewRoman"/>
          <w:sz w:val="14"/>
          <w:szCs w:val="14"/>
          <w:lang w:eastAsia="lt-LT"/>
        </w:rPr>
        <w:t>max</w:t>
      </w:r>
      <w:proofErr w:type="spellEnd"/>
      <w:r>
        <w:rPr>
          <w:rFonts w:eastAsia="TimesNewRoman"/>
          <w:sz w:val="14"/>
          <w:szCs w:val="14"/>
          <w:lang w:eastAsia="lt-LT"/>
        </w:rPr>
        <w:t xml:space="preserve"> </w:t>
      </w:r>
      <w:r>
        <w:rPr>
          <w:rFonts w:eastAsia="TimesNewRoman"/>
          <w:szCs w:val="22"/>
          <w:lang w:eastAsia="lt-LT"/>
        </w:rPr>
        <w:t>yra iki 12 %, o AUC – iki 36% didesnis negu atitinkamiems sveikiems kontrolinės grupės asmenims. Šie skirtumai reikšmingais klinikai nelaikomi. Asmenų, kurių kepenų funkcija sunkiai sutrikusi (</w:t>
      </w:r>
      <w:proofErr w:type="spellStart"/>
      <w:r>
        <w:rPr>
          <w:rFonts w:eastAsia="TimesNewRoman"/>
          <w:szCs w:val="22"/>
          <w:lang w:eastAsia="lt-LT"/>
        </w:rPr>
        <w:t>Child-Pugh</w:t>
      </w:r>
      <w:proofErr w:type="spellEnd"/>
      <w:r>
        <w:rPr>
          <w:rFonts w:eastAsia="TimesNewRoman"/>
          <w:szCs w:val="22"/>
          <w:lang w:eastAsia="lt-LT"/>
        </w:rPr>
        <w:t xml:space="preserve"> C klasės), dapagliflozino vidutinis </w:t>
      </w:r>
      <w:proofErr w:type="spellStart"/>
      <w:r>
        <w:rPr>
          <w:rFonts w:eastAsia="TimesNewRoman"/>
          <w:szCs w:val="22"/>
          <w:lang w:eastAsia="lt-LT"/>
        </w:rPr>
        <w:t>C</w:t>
      </w:r>
      <w:r>
        <w:rPr>
          <w:rFonts w:eastAsia="TimesNewRoman"/>
          <w:sz w:val="14"/>
          <w:szCs w:val="14"/>
          <w:lang w:eastAsia="lt-LT"/>
        </w:rPr>
        <w:t>max</w:t>
      </w:r>
      <w:proofErr w:type="spellEnd"/>
      <w:r>
        <w:rPr>
          <w:rFonts w:eastAsia="TimesNewRoman"/>
          <w:sz w:val="14"/>
          <w:szCs w:val="14"/>
          <w:lang w:eastAsia="lt-LT"/>
        </w:rPr>
        <w:t xml:space="preserve"> </w:t>
      </w:r>
      <w:r>
        <w:rPr>
          <w:rFonts w:eastAsia="TimesNewRoman"/>
          <w:szCs w:val="22"/>
          <w:lang w:eastAsia="lt-LT"/>
        </w:rPr>
        <w:t>yra 40 %, o AUC 67 % didesnis negu atitinkamiems sveikiems kontrolinės grupės asmenims.</w:t>
      </w:r>
    </w:p>
    <w:p w14:paraId="257E205D" w14:textId="77777777" w:rsidR="00E96E12" w:rsidRDefault="00E96E12">
      <w:pPr>
        <w:autoSpaceDE w:val="0"/>
        <w:autoSpaceDN w:val="0"/>
        <w:adjustRightInd w:val="0"/>
        <w:rPr>
          <w:rFonts w:eastAsia="TimesNewRoman,Italic"/>
          <w:i/>
          <w:iCs/>
          <w:szCs w:val="22"/>
          <w:lang w:eastAsia="lt-LT"/>
        </w:rPr>
      </w:pPr>
    </w:p>
    <w:p w14:paraId="72AC4D13"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Senyvi (65 metų ir vyresni) žmonės</w:t>
      </w:r>
    </w:p>
    <w:p w14:paraId="5715C21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Vien dėl amžiaus asmenų iki 70 metų ekspozicija reikšmingai klinikai nepadidėja. Vis dėlto galima tikėtis ekspozicijos padidėjimo dėl su amžiumi susijusio inkstų funkcijos silpnėjimo. Duomenų daryti išvadoms dėl vyresnių kaip 70 metų pacientų ekspozicijos nepakanka.</w:t>
      </w:r>
    </w:p>
    <w:p w14:paraId="78C3033A" w14:textId="77777777" w:rsidR="00E96E12" w:rsidRDefault="00E96E12">
      <w:pPr>
        <w:autoSpaceDE w:val="0"/>
        <w:autoSpaceDN w:val="0"/>
        <w:adjustRightInd w:val="0"/>
        <w:rPr>
          <w:rFonts w:eastAsia="TimesNewRoman,Italic"/>
          <w:i/>
          <w:iCs/>
          <w:szCs w:val="22"/>
          <w:lang w:eastAsia="lt-LT"/>
        </w:rPr>
      </w:pPr>
    </w:p>
    <w:p w14:paraId="6C5FCE57"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Vaikų populiacija</w:t>
      </w:r>
    </w:p>
    <w:p w14:paraId="327BCCA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Farmakokinetika ir farmakodinamika (</w:t>
      </w:r>
      <w:proofErr w:type="spellStart"/>
      <w:r>
        <w:rPr>
          <w:rFonts w:eastAsia="TimesNewRoman"/>
          <w:szCs w:val="22"/>
          <w:lang w:eastAsia="lt-LT"/>
        </w:rPr>
        <w:t>gliukozurija</w:t>
      </w:r>
      <w:proofErr w:type="spellEnd"/>
      <w:r>
        <w:rPr>
          <w:rFonts w:eastAsia="TimesNewRoman"/>
          <w:szCs w:val="22"/>
          <w:lang w:eastAsia="lt-LT"/>
        </w:rPr>
        <w:t>) 2 tipo cukriniu diabetu sirgusiems 10-17 metų vaikams buvo panaši kaip 2 tipo cukriniu diabetu sirgusiems suaugusiesiems.</w:t>
      </w:r>
    </w:p>
    <w:p w14:paraId="5265FB0D" w14:textId="77777777" w:rsidR="00E96E12" w:rsidRDefault="00E96E12">
      <w:pPr>
        <w:autoSpaceDE w:val="0"/>
        <w:autoSpaceDN w:val="0"/>
        <w:adjustRightInd w:val="0"/>
        <w:rPr>
          <w:rFonts w:eastAsia="TimesNewRoman,Italic"/>
          <w:i/>
          <w:iCs/>
          <w:szCs w:val="22"/>
          <w:lang w:eastAsia="lt-LT"/>
        </w:rPr>
      </w:pPr>
    </w:p>
    <w:p w14:paraId="2D5D1543"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Lytis</w:t>
      </w:r>
    </w:p>
    <w:p w14:paraId="670588A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Apskaičiuota, vidutinis dapagliflozino </w:t>
      </w:r>
      <w:proofErr w:type="spellStart"/>
      <w:r>
        <w:rPr>
          <w:rFonts w:eastAsia="TimesNewRoman"/>
          <w:szCs w:val="22"/>
          <w:lang w:eastAsia="lt-LT"/>
        </w:rPr>
        <w:t>AUC</w:t>
      </w:r>
      <w:r>
        <w:rPr>
          <w:rFonts w:eastAsia="TimesNewRoman"/>
          <w:sz w:val="14"/>
          <w:szCs w:val="14"/>
          <w:lang w:eastAsia="lt-LT"/>
        </w:rPr>
        <w:t>ss</w:t>
      </w:r>
      <w:proofErr w:type="spellEnd"/>
      <w:r>
        <w:rPr>
          <w:rFonts w:eastAsia="TimesNewRoman"/>
          <w:sz w:val="14"/>
          <w:szCs w:val="14"/>
          <w:lang w:eastAsia="lt-LT"/>
        </w:rPr>
        <w:t xml:space="preserve"> </w:t>
      </w:r>
      <w:r>
        <w:rPr>
          <w:rFonts w:eastAsia="TimesNewRoman"/>
          <w:szCs w:val="22"/>
          <w:lang w:eastAsia="lt-LT"/>
        </w:rPr>
        <w:t xml:space="preserve">esant </w:t>
      </w:r>
      <w:proofErr w:type="spellStart"/>
      <w:r>
        <w:rPr>
          <w:rFonts w:eastAsia="TimesNewRoman"/>
          <w:szCs w:val="22"/>
          <w:lang w:eastAsia="lt-LT"/>
        </w:rPr>
        <w:t>pusiausvyrinei</w:t>
      </w:r>
      <w:proofErr w:type="spellEnd"/>
      <w:r>
        <w:rPr>
          <w:rFonts w:eastAsia="TimesNewRoman"/>
          <w:szCs w:val="22"/>
          <w:lang w:eastAsia="lt-LT"/>
        </w:rPr>
        <w:t xml:space="preserve"> koncentracijai moterims yra maždaug 22 % didesnis negu vyrams.</w:t>
      </w:r>
    </w:p>
    <w:p w14:paraId="5A57416F" w14:textId="77777777" w:rsidR="00E96E12" w:rsidRDefault="00E96E12">
      <w:pPr>
        <w:autoSpaceDE w:val="0"/>
        <w:autoSpaceDN w:val="0"/>
        <w:adjustRightInd w:val="0"/>
        <w:rPr>
          <w:rFonts w:eastAsia="TimesNewRoman,Italic"/>
          <w:i/>
          <w:iCs/>
          <w:szCs w:val="22"/>
          <w:lang w:eastAsia="lt-LT"/>
        </w:rPr>
      </w:pPr>
    </w:p>
    <w:p w14:paraId="60761AF6"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Rasė</w:t>
      </w:r>
    </w:p>
    <w:p w14:paraId="2DF52ED4" w14:textId="77777777" w:rsidR="00E96E12" w:rsidRDefault="00E97765">
      <w:pPr>
        <w:autoSpaceDE w:val="0"/>
        <w:autoSpaceDN w:val="0"/>
        <w:adjustRightInd w:val="0"/>
        <w:rPr>
          <w:rFonts w:eastAsia="TimesNewRoman"/>
          <w:szCs w:val="22"/>
          <w:lang w:eastAsia="lt-LT"/>
        </w:rPr>
      </w:pPr>
      <w:r>
        <w:rPr>
          <w:rFonts w:eastAsia="TimesNewRoman"/>
          <w:szCs w:val="22"/>
          <w:lang w:eastAsia="lt-LT"/>
        </w:rPr>
        <w:t>Klinikai reikšmingų sisteminės ekspozicijos skirtumų tarp baltųjų, juodųjų ir azijiečių rasių nenustatyta.</w:t>
      </w:r>
    </w:p>
    <w:p w14:paraId="32123E3A" w14:textId="77777777" w:rsidR="00E96E12" w:rsidRDefault="00E96E12">
      <w:pPr>
        <w:autoSpaceDE w:val="0"/>
        <w:autoSpaceDN w:val="0"/>
        <w:adjustRightInd w:val="0"/>
        <w:rPr>
          <w:rFonts w:eastAsia="TimesNewRoman,Italic"/>
          <w:i/>
          <w:iCs/>
          <w:szCs w:val="22"/>
          <w:lang w:eastAsia="lt-LT"/>
        </w:rPr>
      </w:pPr>
    </w:p>
    <w:p w14:paraId="00EA0E4B" w14:textId="77777777" w:rsidR="00E96E12" w:rsidRDefault="00E97765">
      <w:pPr>
        <w:autoSpaceDE w:val="0"/>
        <w:autoSpaceDN w:val="0"/>
        <w:adjustRightInd w:val="0"/>
        <w:rPr>
          <w:rFonts w:eastAsia="TimesNewRoman,Italic"/>
          <w:i/>
          <w:iCs/>
          <w:szCs w:val="22"/>
          <w:lang w:eastAsia="lt-LT"/>
        </w:rPr>
      </w:pPr>
      <w:r>
        <w:rPr>
          <w:rFonts w:eastAsia="TimesNewRoman,Italic"/>
          <w:i/>
          <w:iCs/>
          <w:szCs w:val="22"/>
          <w:lang w:eastAsia="lt-LT"/>
        </w:rPr>
        <w:t>Kūno svoris</w:t>
      </w:r>
    </w:p>
    <w:p w14:paraId="2E32F0D8" w14:textId="77777777" w:rsidR="00E96E12" w:rsidRDefault="00E97765">
      <w:pPr>
        <w:autoSpaceDE w:val="0"/>
        <w:autoSpaceDN w:val="0"/>
        <w:adjustRightInd w:val="0"/>
        <w:rPr>
          <w:rFonts w:eastAsia="TimesNewRoman"/>
          <w:szCs w:val="22"/>
          <w:lang w:eastAsia="lt-LT"/>
        </w:rPr>
      </w:pPr>
      <w:r>
        <w:rPr>
          <w:rFonts w:eastAsia="TimesNewRoman"/>
          <w:szCs w:val="22"/>
          <w:lang w:eastAsia="lt-LT"/>
        </w:rPr>
        <w:t>Nustatyta, kad didėjant svoriui dapagliflozino ekspozicija mažėja, todėl mažo svorio pacientų ekspozicija gali būti šiek tiek didesnė, o didelio – šiek tiek mažesnė. Vis dėlto šie ekspozicijos skirtumai reikšmingais klinikai nelaikomi.</w:t>
      </w:r>
    </w:p>
    <w:p w14:paraId="734E5EA4" w14:textId="77777777" w:rsidR="00E96E12" w:rsidRDefault="00E96E12">
      <w:pPr>
        <w:ind w:left="567" w:hanging="567"/>
      </w:pPr>
    </w:p>
    <w:p w14:paraId="2091AC8F" w14:textId="77777777" w:rsidR="00E96E12" w:rsidRDefault="00E97765">
      <w:pPr>
        <w:ind w:left="567" w:hanging="567"/>
        <w:rPr>
          <w:b/>
        </w:rPr>
      </w:pPr>
      <w:r>
        <w:rPr>
          <w:b/>
        </w:rPr>
        <w:t>5.3</w:t>
      </w:r>
      <w:r>
        <w:rPr>
          <w:b/>
        </w:rPr>
        <w:tab/>
      </w:r>
      <w:proofErr w:type="spellStart"/>
      <w:r>
        <w:rPr>
          <w:b/>
        </w:rPr>
        <w:t>Ikiklinikinių</w:t>
      </w:r>
      <w:proofErr w:type="spellEnd"/>
      <w:r>
        <w:rPr>
          <w:b/>
        </w:rPr>
        <w:t xml:space="preserve"> saugumo tyrimų duomenys</w:t>
      </w:r>
    </w:p>
    <w:p w14:paraId="0F95A645" w14:textId="77777777" w:rsidR="00E96E12" w:rsidRDefault="00E96E12">
      <w:pPr>
        <w:ind w:left="567" w:hanging="567"/>
      </w:pPr>
    </w:p>
    <w:p w14:paraId="7B186101"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Įprastų farmakologinio saugumo, kartotinių dozių toksiškumo, </w:t>
      </w:r>
      <w:proofErr w:type="spellStart"/>
      <w:r>
        <w:rPr>
          <w:rFonts w:eastAsia="TimesNewRoman"/>
          <w:szCs w:val="22"/>
          <w:lang w:eastAsia="lt-LT"/>
        </w:rPr>
        <w:t>genotoksiškumo</w:t>
      </w:r>
      <w:proofErr w:type="spellEnd"/>
      <w:r>
        <w:rPr>
          <w:rFonts w:eastAsia="TimesNewRoman"/>
          <w:szCs w:val="22"/>
          <w:lang w:eastAsia="lt-LT"/>
        </w:rPr>
        <w:t xml:space="preserve">, galimo </w:t>
      </w:r>
      <w:proofErr w:type="spellStart"/>
      <w:r>
        <w:rPr>
          <w:rFonts w:eastAsia="TimesNewRoman"/>
          <w:szCs w:val="22"/>
          <w:lang w:eastAsia="lt-LT"/>
        </w:rPr>
        <w:t>kancerogeniškumo</w:t>
      </w:r>
      <w:proofErr w:type="spellEnd"/>
      <w:r>
        <w:rPr>
          <w:rFonts w:eastAsia="TimesNewRoman"/>
          <w:szCs w:val="22"/>
          <w:lang w:eastAsia="lt-LT"/>
        </w:rPr>
        <w:t xml:space="preserve"> ir poveikio vaisingumui </w:t>
      </w:r>
      <w:proofErr w:type="spellStart"/>
      <w:r>
        <w:rPr>
          <w:rFonts w:eastAsia="TimesNewRoman"/>
          <w:szCs w:val="22"/>
          <w:lang w:eastAsia="lt-LT"/>
        </w:rPr>
        <w:t>ikiklinikinių</w:t>
      </w:r>
      <w:proofErr w:type="spellEnd"/>
      <w:r>
        <w:rPr>
          <w:rFonts w:eastAsia="TimesNewRoman"/>
          <w:szCs w:val="22"/>
          <w:lang w:eastAsia="lt-LT"/>
        </w:rPr>
        <w:t xml:space="preserve"> tyrimų duomenys specifinio pavojaus žmogui </w:t>
      </w:r>
      <w:r>
        <w:rPr>
          <w:rFonts w:eastAsia="TimesNewRoman"/>
          <w:szCs w:val="22"/>
          <w:lang w:eastAsia="lt-LT"/>
        </w:rPr>
        <w:lastRenderedPageBreak/>
        <w:t xml:space="preserve">nerodo. 2 metų trukmės </w:t>
      </w:r>
      <w:proofErr w:type="spellStart"/>
      <w:r>
        <w:rPr>
          <w:rFonts w:eastAsia="TimesNewRoman"/>
          <w:szCs w:val="22"/>
          <w:lang w:eastAsia="lt-LT"/>
        </w:rPr>
        <w:t>kancerogeniškumo</w:t>
      </w:r>
      <w:proofErr w:type="spellEnd"/>
      <w:r>
        <w:rPr>
          <w:rFonts w:eastAsia="TimesNewRoman"/>
          <w:szCs w:val="22"/>
          <w:lang w:eastAsia="lt-LT"/>
        </w:rPr>
        <w:t xml:space="preserve"> tyrimų metu jokia dapagliflozino dozė navikų pelėms ir žiurkėms nesukėlė.</w:t>
      </w:r>
    </w:p>
    <w:p w14:paraId="714E6F8D" w14:textId="77777777" w:rsidR="00E96E12" w:rsidRDefault="00E96E12">
      <w:pPr>
        <w:autoSpaceDE w:val="0"/>
        <w:autoSpaceDN w:val="0"/>
        <w:adjustRightInd w:val="0"/>
        <w:rPr>
          <w:rFonts w:eastAsia="TimesNewRoman"/>
          <w:szCs w:val="22"/>
          <w:lang w:eastAsia="lt-LT"/>
        </w:rPr>
      </w:pPr>
    </w:p>
    <w:p w14:paraId="691A6EBA"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Toksinis poveikis reprodukcijai ir vystymuisi</w:t>
      </w:r>
    </w:p>
    <w:p w14:paraId="3616D52D" w14:textId="77777777" w:rsidR="00E96E12" w:rsidRDefault="00E96E12">
      <w:pPr>
        <w:autoSpaceDE w:val="0"/>
        <w:autoSpaceDN w:val="0"/>
        <w:adjustRightInd w:val="0"/>
        <w:rPr>
          <w:rFonts w:eastAsia="TimesNewRoman"/>
          <w:szCs w:val="22"/>
          <w:lang w:eastAsia="lt-LT"/>
        </w:rPr>
      </w:pPr>
    </w:p>
    <w:p w14:paraId="24FCDFA3"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Tiesioginis dapagliflozino skyrimas nujunkomiems žiurkių jaunikliams, netiesioginė jo ekspozicija vaikingumo laikotarpio pabaigoje (antrąjį ir trečiąjį nėštumo trimestrus pagal žmogaus inkstų vystymąsi atitinkančiu laiku) ir taip pat žindymo laikotarpiu </w:t>
      </w:r>
      <w:proofErr w:type="spellStart"/>
      <w:r>
        <w:rPr>
          <w:rFonts w:eastAsia="TimesNewRoman"/>
          <w:szCs w:val="22"/>
          <w:lang w:eastAsia="lt-LT"/>
        </w:rPr>
        <w:t>palikuonims</w:t>
      </w:r>
      <w:proofErr w:type="spellEnd"/>
      <w:r>
        <w:rPr>
          <w:rFonts w:eastAsia="TimesNewRoman"/>
          <w:szCs w:val="22"/>
          <w:lang w:eastAsia="lt-LT"/>
        </w:rPr>
        <w:t xml:space="preserve"> sukėlė inkstų geldelių ir kanalėlių išsiplėtimo padažnėjimą ir (arba) pasunkėjimą (kiekvienu iš šių atvejų).</w:t>
      </w:r>
    </w:p>
    <w:p w14:paraId="141C4436" w14:textId="77777777" w:rsidR="00E96E12" w:rsidRDefault="00E96E12">
      <w:pPr>
        <w:autoSpaceDE w:val="0"/>
        <w:autoSpaceDN w:val="0"/>
        <w:adjustRightInd w:val="0"/>
        <w:rPr>
          <w:rFonts w:eastAsia="TimesNewRoman"/>
          <w:szCs w:val="22"/>
          <w:lang w:eastAsia="lt-LT"/>
        </w:rPr>
      </w:pPr>
    </w:p>
    <w:p w14:paraId="1B7196D9"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Toksinio poveikio jaunikliams tyrimo metu dapagliflozino skiriant tiesiogiai žiurkių jaunikliams nuo 21-os iki 90-os jų gyvenimo dienos, išsiplėtusios inkstų geldelės ir išsiplėtę inkstų kanalėliai rasti visų dozių grupių gyvūnams. Mažiausios tirtos dozės sukelta ekspozicija jaunikliams 15 ar daugiau kartų viršijo susidarančią žmogui vartojant didžiausią rekomenduojamą dozę. Šie radiniai visų dozių grupėse buvo susiję su nuo dozės priklausomu inkstų svorio padidėjimu ir </w:t>
      </w:r>
      <w:proofErr w:type="spellStart"/>
      <w:r>
        <w:rPr>
          <w:rFonts w:eastAsia="TimesNewRoman"/>
          <w:szCs w:val="22"/>
          <w:lang w:eastAsia="lt-LT"/>
        </w:rPr>
        <w:t>makroskopiniu</w:t>
      </w:r>
      <w:proofErr w:type="spellEnd"/>
      <w:r>
        <w:rPr>
          <w:rFonts w:eastAsia="TimesNewRoman"/>
          <w:szCs w:val="22"/>
          <w:lang w:eastAsia="lt-LT"/>
        </w:rPr>
        <w:t xml:space="preserve"> inkstų padidėjimu. Žiurkių jauniklių inkstų geldelių ir inkstų kanalėlių išsiplėtimas </w:t>
      </w:r>
      <w:proofErr w:type="spellStart"/>
      <w:r>
        <w:rPr>
          <w:rFonts w:eastAsia="TimesNewRoman"/>
          <w:szCs w:val="22"/>
          <w:lang w:eastAsia="lt-LT"/>
        </w:rPr>
        <w:t>pilnutinai</w:t>
      </w:r>
      <w:proofErr w:type="spellEnd"/>
      <w:r>
        <w:rPr>
          <w:rFonts w:eastAsia="TimesNewRoman"/>
          <w:szCs w:val="22"/>
          <w:lang w:eastAsia="lt-LT"/>
        </w:rPr>
        <w:t xml:space="preserve"> nepraėjo vėliau maždaug 1 mėn. vaistinio preparato nedavus.</w:t>
      </w:r>
    </w:p>
    <w:p w14:paraId="6FB4C464" w14:textId="77777777" w:rsidR="00E96E12" w:rsidRDefault="00E96E12">
      <w:pPr>
        <w:autoSpaceDE w:val="0"/>
        <w:autoSpaceDN w:val="0"/>
        <w:adjustRightInd w:val="0"/>
        <w:rPr>
          <w:rFonts w:eastAsia="TimesNewRoman"/>
          <w:szCs w:val="22"/>
          <w:lang w:eastAsia="lt-LT"/>
        </w:rPr>
      </w:pPr>
    </w:p>
    <w:p w14:paraId="04DF2E10"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Poveikio </w:t>
      </w:r>
      <w:proofErr w:type="spellStart"/>
      <w:r>
        <w:rPr>
          <w:rFonts w:eastAsia="TimesNewRoman"/>
          <w:szCs w:val="22"/>
          <w:lang w:eastAsia="lt-LT"/>
        </w:rPr>
        <w:t>prenataliniam</w:t>
      </w:r>
      <w:proofErr w:type="spellEnd"/>
      <w:r>
        <w:rPr>
          <w:rFonts w:eastAsia="TimesNewRoman"/>
          <w:szCs w:val="22"/>
          <w:lang w:eastAsia="lt-LT"/>
        </w:rPr>
        <w:t xml:space="preserve"> ir </w:t>
      </w:r>
      <w:proofErr w:type="spellStart"/>
      <w:r>
        <w:rPr>
          <w:rFonts w:eastAsia="TimesNewRoman"/>
          <w:szCs w:val="22"/>
          <w:lang w:eastAsia="lt-LT"/>
        </w:rPr>
        <w:t>postnataliniam</w:t>
      </w:r>
      <w:proofErr w:type="spellEnd"/>
      <w:r>
        <w:rPr>
          <w:rFonts w:eastAsia="TimesNewRoman"/>
          <w:szCs w:val="22"/>
          <w:lang w:eastAsia="lt-LT"/>
        </w:rPr>
        <w:t xml:space="preserve"> vystymuisi atskiro tyrimo metu vaikingoms žiurkių patelėms duota dapagliflozino nuo 6-os vaikingumo dienos iki 21-os dienos po atsivedimo – tokiu būdu buvo sukelta netiesioginė jo ekspozicija </w:t>
      </w:r>
      <w:proofErr w:type="spellStart"/>
      <w:r>
        <w:rPr>
          <w:rFonts w:eastAsia="TimesNewRoman"/>
          <w:szCs w:val="22"/>
          <w:lang w:eastAsia="lt-LT"/>
        </w:rPr>
        <w:t>palikuonims</w:t>
      </w:r>
      <w:proofErr w:type="spellEnd"/>
      <w:r>
        <w:rPr>
          <w:rFonts w:eastAsia="TimesNewRoman"/>
          <w:szCs w:val="22"/>
          <w:lang w:eastAsia="lt-LT"/>
        </w:rPr>
        <w:t xml:space="preserve"> </w:t>
      </w:r>
      <w:proofErr w:type="spellStart"/>
      <w:r>
        <w:rPr>
          <w:rFonts w:eastAsia="TimesNewRoman,Italic"/>
          <w:i/>
          <w:iCs/>
          <w:szCs w:val="22"/>
          <w:lang w:eastAsia="lt-LT"/>
        </w:rPr>
        <w:t>in</w:t>
      </w:r>
      <w:proofErr w:type="spellEnd"/>
      <w:r>
        <w:rPr>
          <w:rFonts w:eastAsia="TimesNewRoman,Italic"/>
          <w:i/>
          <w:iCs/>
          <w:szCs w:val="22"/>
          <w:lang w:eastAsia="lt-LT"/>
        </w:rPr>
        <w:t xml:space="preserve"> </w:t>
      </w:r>
      <w:proofErr w:type="spellStart"/>
      <w:r>
        <w:rPr>
          <w:rFonts w:eastAsia="TimesNewRoman,Italic"/>
          <w:i/>
          <w:iCs/>
          <w:szCs w:val="22"/>
          <w:lang w:eastAsia="lt-LT"/>
        </w:rPr>
        <w:t>utero</w:t>
      </w:r>
      <w:proofErr w:type="spellEnd"/>
      <w:r>
        <w:rPr>
          <w:rFonts w:eastAsia="TimesNewRoman,Italic"/>
          <w:i/>
          <w:iCs/>
          <w:szCs w:val="22"/>
          <w:lang w:eastAsia="lt-LT"/>
        </w:rPr>
        <w:t xml:space="preserve"> </w:t>
      </w:r>
      <w:r>
        <w:rPr>
          <w:rFonts w:eastAsia="TimesNewRoman"/>
          <w:szCs w:val="22"/>
          <w:lang w:eastAsia="lt-LT"/>
        </w:rPr>
        <w:t xml:space="preserve">ir žindymo laikotarpiu (kartu atliktas satelitinis dapagliflozino ekspozicijos piene ir </w:t>
      </w:r>
      <w:proofErr w:type="spellStart"/>
      <w:r>
        <w:rPr>
          <w:rFonts w:eastAsia="TimesNewRoman"/>
          <w:szCs w:val="22"/>
          <w:lang w:eastAsia="lt-LT"/>
        </w:rPr>
        <w:t>palikuonims</w:t>
      </w:r>
      <w:proofErr w:type="spellEnd"/>
      <w:r>
        <w:rPr>
          <w:rFonts w:eastAsia="TimesNewRoman"/>
          <w:szCs w:val="22"/>
          <w:lang w:eastAsia="lt-LT"/>
        </w:rPr>
        <w:t xml:space="preserve"> tyrimas). Dapagliflozino gavusių patelių suaugusiems </w:t>
      </w:r>
      <w:proofErr w:type="spellStart"/>
      <w:r>
        <w:rPr>
          <w:rFonts w:eastAsia="TimesNewRoman"/>
          <w:szCs w:val="22"/>
          <w:lang w:eastAsia="lt-LT"/>
        </w:rPr>
        <w:t>palikuonims</w:t>
      </w:r>
      <w:proofErr w:type="spellEnd"/>
      <w:r>
        <w:rPr>
          <w:rFonts w:eastAsia="TimesNewRoman"/>
          <w:szCs w:val="22"/>
          <w:lang w:eastAsia="lt-LT"/>
        </w:rPr>
        <w:t xml:space="preserve"> inkstų geldelių išsiplėtimas rastas dažniau ir (ar) sunkesnio laipsnio, tačiau tik didžiausios tirtos dozės grupėje, kai dapagliflozino ekspozicija patelėms 1 415 kartų, o jų </w:t>
      </w:r>
      <w:proofErr w:type="spellStart"/>
      <w:r>
        <w:rPr>
          <w:rFonts w:eastAsia="TimesNewRoman"/>
          <w:szCs w:val="22"/>
          <w:lang w:eastAsia="lt-LT"/>
        </w:rPr>
        <w:t>palikuonims</w:t>
      </w:r>
      <w:proofErr w:type="spellEnd"/>
      <w:r>
        <w:rPr>
          <w:rFonts w:eastAsia="TimesNewRoman"/>
          <w:szCs w:val="22"/>
          <w:lang w:eastAsia="lt-LT"/>
        </w:rPr>
        <w:t xml:space="preserve"> – 137 kartus viršijo susidarančią žmogui vartojant didžiausią rekomenduojamą dozę. Kitoks toksinis poveikis vystymuisi pasireiškė tik su doze susijusiu palikuonių kūno svorio sumažėjimu, pasireiškusiu tik nuo ≥ 15 mg/kg paros dozių (palikuonių ekspozicija tuomet ≥ 29 kartų viršijo susidarančią žmogui vartojant didžiausią rekomenduojamą dozę). Toksinis poveikis vaikingai ar atsivedusiai patelei nustatytas tik tiriant didžiausią dozę ir pasireiškė tik trumpalaikiu kūno svorio ir maisto suvartojimo sumažėjimu. Tiriant toksinį poveikį reprodukcijai mažiausios kenksmingo poveikio nesukėlusios dozės (NOAEL, </w:t>
      </w:r>
      <w:r>
        <w:rPr>
          <w:rFonts w:eastAsia="TimesNewRoman,Italic"/>
          <w:i/>
          <w:iCs/>
          <w:szCs w:val="22"/>
          <w:lang w:eastAsia="lt-LT"/>
        </w:rPr>
        <w:t xml:space="preserve">angl. </w:t>
      </w:r>
      <w:proofErr w:type="spellStart"/>
      <w:r>
        <w:rPr>
          <w:rFonts w:eastAsia="TimesNewRoman,Italic"/>
          <w:i/>
          <w:iCs/>
          <w:szCs w:val="22"/>
          <w:lang w:eastAsia="lt-LT"/>
        </w:rPr>
        <w:t>no</w:t>
      </w:r>
      <w:proofErr w:type="spellEnd"/>
      <w:r>
        <w:rPr>
          <w:rFonts w:eastAsia="TimesNewRoman,Italic"/>
          <w:i/>
          <w:iCs/>
          <w:szCs w:val="22"/>
          <w:lang w:eastAsia="lt-LT"/>
        </w:rPr>
        <w:t xml:space="preserve"> </w:t>
      </w:r>
      <w:proofErr w:type="spellStart"/>
      <w:r>
        <w:rPr>
          <w:rFonts w:eastAsia="TimesNewRoman,Italic"/>
          <w:i/>
          <w:iCs/>
          <w:szCs w:val="22"/>
          <w:lang w:eastAsia="lt-LT"/>
        </w:rPr>
        <w:t>observed</w:t>
      </w:r>
      <w:proofErr w:type="spellEnd"/>
      <w:r>
        <w:rPr>
          <w:rFonts w:eastAsia="TimesNewRoman,Italic"/>
          <w:i/>
          <w:iCs/>
          <w:szCs w:val="22"/>
          <w:lang w:eastAsia="lt-LT"/>
        </w:rPr>
        <w:t xml:space="preserve"> </w:t>
      </w:r>
      <w:proofErr w:type="spellStart"/>
      <w:r>
        <w:rPr>
          <w:rFonts w:eastAsia="TimesNewRoman,Italic"/>
          <w:i/>
          <w:iCs/>
          <w:szCs w:val="22"/>
          <w:lang w:eastAsia="lt-LT"/>
        </w:rPr>
        <w:t>adverse</w:t>
      </w:r>
      <w:proofErr w:type="spellEnd"/>
      <w:r>
        <w:rPr>
          <w:rFonts w:eastAsia="TimesNewRoman,Italic"/>
          <w:i/>
          <w:iCs/>
          <w:szCs w:val="22"/>
          <w:lang w:eastAsia="lt-LT"/>
        </w:rPr>
        <w:t xml:space="preserve"> </w:t>
      </w:r>
      <w:proofErr w:type="spellStart"/>
      <w:r>
        <w:rPr>
          <w:rFonts w:eastAsia="TimesNewRoman,Italic"/>
          <w:i/>
          <w:iCs/>
          <w:szCs w:val="22"/>
          <w:lang w:eastAsia="lt-LT"/>
        </w:rPr>
        <w:t>effect</w:t>
      </w:r>
      <w:proofErr w:type="spellEnd"/>
      <w:r>
        <w:rPr>
          <w:rFonts w:eastAsia="TimesNewRoman,Italic"/>
          <w:i/>
          <w:iCs/>
          <w:szCs w:val="22"/>
          <w:lang w:eastAsia="lt-LT"/>
        </w:rPr>
        <w:t xml:space="preserve"> </w:t>
      </w:r>
      <w:proofErr w:type="spellStart"/>
      <w:r>
        <w:rPr>
          <w:rFonts w:eastAsia="TimesNewRoman,Italic"/>
          <w:i/>
          <w:iCs/>
          <w:szCs w:val="22"/>
          <w:lang w:eastAsia="lt-LT"/>
        </w:rPr>
        <w:t>level</w:t>
      </w:r>
      <w:proofErr w:type="spellEnd"/>
      <w:r>
        <w:rPr>
          <w:rFonts w:eastAsia="TimesNewRoman"/>
          <w:szCs w:val="22"/>
          <w:lang w:eastAsia="lt-LT"/>
        </w:rPr>
        <w:t>) sukelta sisteminė ekspozicija vaikingai ar atsivedusiai patelei maždaug 19 kartų viršijo susidarančią žmogui vartojant didžiausią rekomenduojamą dozę.</w:t>
      </w:r>
    </w:p>
    <w:p w14:paraId="00F6C780" w14:textId="77777777" w:rsidR="00E96E12" w:rsidRDefault="00E96E12">
      <w:pPr>
        <w:autoSpaceDE w:val="0"/>
        <w:autoSpaceDN w:val="0"/>
        <w:adjustRightInd w:val="0"/>
        <w:rPr>
          <w:rFonts w:eastAsia="TimesNewRoman"/>
          <w:szCs w:val="22"/>
          <w:lang w:eastAsia="lt-LT"/>
        </w:rPr>
      </w:pPr>
    </w:p>
    <w:p w14:paraId="16502902" w14:textId="77777777" w:rsidR="00E96E12" w:rsidRDefault="00E97765">
      <w:pPr>
        <w:autoSpaceDE w:val="0"/>
        <w:autoSpaceDN w:val="0"/>
        <w:adjustRightInd w:val="0"/>
        <w:rPr>
          <w:rFonts w:eastAsia="TimesNewRoman"/>
          <w:szCs w:val="22"/>
          <w:lang w:eastAsia="lt-LT"/>
        </w:rPr>
      </w:pPr>
      <w:r>
        <w:rPr>
          <w:rFonts w:eastAsia="TimesNewRoman"/>
          <w:szCs w:val="22"/>
          <w:lang w:eastAsia="lt-LT"/>
        </w:rPr>
        <w:t xml:space="preserve">Papildomų poveikio žiurkių ir triušių embrionų ir vaisių vystymuisi tyrimų metu dapagliflozino buvo duodama intervalais, atitinkančiais pagrindinius kiekvienos rūšies </w:t>
      </w:r>
      <w:proofErr w:type="spellStart"/>
      <w:r>
        <w:rPr>
          <w:rFonts w:eastAsia="TimesNewRoman"/>
          <w:szCs w:val="22"/>
          <w:lang w:eastAsia="lt-LT"/>
        </w:rPr>
        <w:t>organogenezės</w:t>
      </w:r>
      <w:proofErr w:type="spellEnd"/>
      <w:r>
        <w:rPr>
          <w:rFonts w:eastAsia="TimesNewRoman"/>
          <w:szCs w:val="22"/>
          <w:lang w:eastAsia="lt-LT"/>
        </w:rPr>
        <w:t xml:space="preserve"> laikotarpius. Jokios tirtos dozės toksinio poveikio vaikingoms triušių patelėms ar jų atsivestų jauniklių vystymuisi nenustatyta (didžiausios tirtos dozės sukelta sisteminė ekspozicija maždaug 1 191 kartų viršijo susidarančią žmogui vartojant didžiausią rekomenduojamą dozę). Ekspozicijai iki 1 441 karto viršijus susidarančią žmogui vartojant didžiausią rekomenduojamą dozę, embrionų žuvimo ar </w:t>
      </w:r>
      <w:proofErr w:type="spellStart"/>
      <w:r>
        <w:rPr>
          <w:rFonts w:eastAsia="TimesNewRoman"/>
          <w:szCs w:val="22"/>
          <w:lang w:eastAsia="lt-LT"/>
        </w:rPr>
        <w:t>teratogeninio</w:t>
      </w:r>
      <w:proofErr w:type="spellEnd"/>
      <w:r>
        <w:rPr>
          <w:rFonts w:eastAsia="TimesNewRoman"/>
          <w:szCs w:val="22"/>
          <w:lang w:eastAsia="lt-LT"/>
        </w:rPr>
        <w:t xml:space="preserve"> poveikio joms dapagliflozinas nesukėlė.</w:t>
      </w:r>
    </w:p>
    <w:p w14:paraId="1C41EB5A" w14:textId="77777777" w:rsidR="00E96E12" w:rsidRDefault="00E96E12">
      <w:pPr>
        <w:ind w:left="567" w:hanging="567"/>
      </w:pPr>
    </w:p>
    <w:p w14:paraId="27EE8E76" w14:textId="77777777" w:rsidR="00E96E12" w:rsidRDefault="00E96E12">
      <w:pPr>
        <w:ind w:left="567" w:hanging="567"/>
      </w:pPr>
    </w:p>
    <w:p w14:paraId="05DC0DE4" w14:textId="77777777" w:rsidR="00E96E12" w:rsidRDefault="00E97765">
      <w:pPr>
        <w:ind w:left="567" w:hanging="567"/>
        <w:rPr>
          <w:b/>
          <w:caps/>
        </w:rPr>
      </w:pPr>
      <w:r>
        <w:rPr>
          <w:b/>
          <w:caps/>
        </w:rPr>
        <w:t>6.</w:t>
      </w:r>
      <w:r>
        <w:rPr>
          <w:b/>
          <w:caps/>
        </w:rPr>
        <w:tab/>
        <w:t>farmacinė informacija</w:t>
      </w:r>
    </w:p>
    <w:p w14:paraId="660D8475" w14:textId="77777777" w:rsidR="00E96E12" w:rsidRDefault="00E96E12">
      <w:pPr>
        <w:ind w:left="567" w:hanging="567"/>
      </w:pPr>
    </w:p>
    <w:p w14:paraId="2F9F6D89" w14:textId="77777777" w:rsidR="00E96E12" w:rsidRDefault="00E97765">
      <w:pPr>
        <w:ind w:left="567" w:hanging="567"/>
        <w:rPr>
          <w:b/>
        </w:rPr>
      </w:pPr>
      <w:r>
        <w:rPr>
          <w:b/>
        </w:rPr>
        <w:t>6.1</w:t>
      </w:r>
      <w:r>
        <w:rPr>
          <w:b/>
        </w:rPr>
        <w:tab/>
        <w:t>Pagalbinių medžiagų sąrašas</w:t>
      </w:r>
    </w:p>
    <w:p w14:paraId="1239E7A8" w14:textId="77777777" w:rsidR="00E96E12" w:rsidRDefault="00E96E12"/>
    <w:p w14:paraId="5278C510" w14:textId="77777777" w:rsidR="00E96E12" w:rsidRDefault="00E97765">
      <w:pPr>
        <w:autoSpaceDE w:val="0"/>
        <w:autoSpaceDN w:val="0"/>
        <w:adjustRightInd w:val="0"/>
        <w:rPr>
          <w:rFonts w:eastAsia="TimesNewRoman"/>
          <w:szCs w:val="22"/>
          <w:u w:val="single"/>
          <w:lang w:eastAsia="lt-LT"/>
        </w:rPr>
      </w:pPr>
      <w:r>
        <w:rPr>
          <w:rFonts w:eastAsia="TimesNewRoman"/>
          <w:szCs w:val="22"/>
          <w:u w:val="single"/>
          <w:lang w:eastAsia="lt-LT"/>
        </w:rPr>
        <w:t>Tabletės šerdis</w:t>
      </w:r>
    </w:p>
    <w:p w14:paraId="7E2CD704" w14:textId="77777777" w:rsidR="00E96E12" w:rsidRDefault="00E97765">
      <w:pPr>
        <w:rPr>
          <w:rFonts w:eastAsia="TimesNewRoman"/>
          <w:szCs w:val="22"/>
          <w:lang w:eastAsia="lt-LT"/>
        </w:rPr>
      </w:pPr>
      <w:proofErr w:type="spellStart"/>
      <w:r>
        <w:rPr>
          <w:rFonts w:eastAsia="TimesNewRoman"/>
          <w:szCs w:val="22"/>
          <w:lang w:eastAsia="lt-LT"/>
        </w:rPr>
        <w:t>Mikrokristalinė</w:t>
      </w:r>
      <w:proofErr w:type="spellEnd"/>
      <w:r>
        <w:rPr>
          <w:rFonts w:eastAsia="TimesNewRoman"/>
          <w:szCs w:val="22"/>
          <w:lang w:eastAsia="lt-LT"/>
        </w:rPr>
        <w:t xml:space="preserve"> celiuliozė</w:t>
      </w:r>
    </w:p>
    <w:p w14:paraId="1941BD5A" w14:textId="77777777" w:rsidR="00E96E12" w:rsidRDefault="00E97765">
      <w:pPr>
        <w:rPr>
          <w:rFonts w:eastAsia="TimesNewRoman"/>
          <w:szCs w:val="22"/>
          <w:lang w:eastAsia="lt-LT"/>
        </w:rPr>
      </w:pPr>
      <w:r>
        <w:rPr>
          <w:rFonts w:eastAsia="TimesNewRoman"/>
          <w:szCs w:val="22"/>
          <w:lang w:eastAsia="lt-LT"/>
        </w:rPr>
        <w:t xml:space="preserve">Laktozė </w:t>
      </w:r>
      <w:proofErr w:type="spellStart"/>
      <w:r>
        <w:rPr>
          <w:rFonts w:eastAsia="TimesNewRoman"/>
          <w:szCs w:val="22"/>
          <w:lang w:eastAsia="lt-LT"/>
        </w:rPr>
        <w:t>monohidratas</w:t>
      </w:r>
      <w:proofErr w:type="spellEnd"/>
    </w:p>
    <w:p w14:paraId="0A09D3C8" w14:textId="77777777" w:rsidR="00E96E12" w:rsidRDefault="00E97765">
      <w:pPr>
        <w:rPr>
          <w:rFonts w:eastAsia="TimesNewRoman"/>
          <w:szCs w:val="22"/>
          <w:lang w:eastAsia="lt-LT"/>
        </w:rPr>
      </w:pPr>
      <w:proofErr w:type="spellStart"/>
      <w:r>
        <w:rPr>
          <w:rFonts w:eastAsia="TimesNewRoman"/>
          <w:szCs w:val="22"/>
          <w:lang w:eastAsia="lt-LT"/>
        </w:rPr>
        <w:t>Hidroksipropilceliuliozė</w:t>
      </w:r>
      <w:proofErr w:type="spellEnd"/>
    </w:p>
    <w:p w14:paraId="360E47F8" w14:textId="77777777" w:rsidR="00E96E12" w:rsidRDefault="00E97765">
      <w:pPr>
        <w:rPr>
          <w:rFonts w:eastAsia="TimesNewRoman"/>
          <w:szCs w:val="22"/>
          <w:lang w:eastAsia="lt-LT"/>
        </w:rPr>
      </w:pPr>
      <w:proofErr w:type="spellStart"/>
      <w:r>
        <w:rPr>
          <w:rFonts w:eastAsia="TimesNewRoman"/>
          <w:szCs w:val="22"/>
          <w:lang w:eastAsia="lt-LT"/>
        </w:rPr>
        <w:t>Krospovidonas</w:t>
      </w:r>
      <w:proofErr w:type="spellEnd"/>
      <w:r>
        <w:rPr>
          <w:rFonts w:eastAsia="TimesNewRoman"/>
          <w:szCs w:val="22"/>
          <w:lang w:eastAsia="lt-LT"/>
        </w:rPr>
        <w:t xml:space="preserve"> (A tipo)</w:t>
      </w:r>
    </w:p>
    <w:p w14:paraId="5CEBC44B" w14:textId="77777777" w:rsidR="00E96E12" w:rsidRDefault="00E97765">
      <w:pPr>
        <w:rPr>
          <w:rFonts w:eastAsia="TimesNewRoman"/>
          <w:szCs w:val="22"/>
          <w:lang w:eastAsia="lt-LT"/>
        </w:rPr>
      </w:pPr>
      <w:proofErr w:type="spellStart"/>
      <w:r>
        <w:rPr>
          <w:rFonts w:eastAsia="TimesNewRoman"/>
          <w:szCs w:val="22"/>
          <w:lang w:eastAsia="lt-LT"/>
        </w:rPr>
        <w:t>Mikrokristalinė</w:t>
      </w:r>
      <w:proofErr w:type="spellEnd"/>
      <w:r>
        <w:rPr>
          <w:rFonts w:eastAsia="TimesNewRoman"/>
          <w:szCs w:val="22"/>
          <w:lang w:eastAsia="lt-LT"/>
        </w:rPr>
        <w:t xml:space="preserve"> celiuliozė (102 tipo)</w:t>
      </w:r>
    </w:p>
    <w:p w14:paraId="5BD64ADC" w14:textId="77777777" w:rsidR="00E96E12" w:rsidRDefault="00E97765">
      <w:r>
        <w:t xml:space="preserve">Natrio </w:t>
      </w:r>
      <w:proofErr w:type="spellStart"/>
      <w:r>
        <w:t>stearilfumaratas</w:t>
      </w:r>
      <w:proofErr w:type="spellEnd"/>
    </w:p>
    <w:p w14:paraId="4702BD0D" w14:textId="77777777" w:rsidR="00E96E12" w:rsidRDefault="00E96E12"/>
    <w:p w14:paraId="4F1B817A" w14:textId="77777777" w:rsidR="00E96E12" w:rsidRDefault="00E97765">
      <w:pPr>
        <w:rPr>
          <w:u w:val="single"/>
        </w:rPr>
      </w:pPr>
      <w:r>
        <w:rPr>
          <w:u w:val="single"/>
        </w:rPr>
        <w:t>Tabletės plėvelė</w:t>
      </w:r>
    </w:p>
    <w:p w14:paraId="6D42F26B" w14:textId="77777777" w:rsidR="00E96E12" w:rsidRDefault="00E97765">
      <w:r>
        <w:t>Polivinilo alkoholis</w:t>
      </w:r>
    </w:p>
    <w:p w14:paraId="3C5AEF8D" w14:textId="77777777" w:rsidR="00E96E12" w:rsidRDefault="00E97765">
      <w:proofErr w:type="spellStart"/>
      <w:r>
        <w:lastRenderedPageBreak/>
        <w:t>Makrogolis</w:t>
      </w:r>
      <w:proofErr w:type="spellEnd"/>
      <w:r>
        <w:t xml:space="preserve"> 3350</w:t>
      </w:r>
    </w:p>
    <w:p w14:paraId="07A4D7A8" w14:textId="77777777" w:rsidR="00E96E12" w:rsidRDefault="00E97765">
      <w:r>
        <w:t>Titano dioksidas (E171)</w:t>
      </w:r>
    </w:p>
    <w:p w14:paraId="59F1FCEE" w14:textId="77777777" w:rsidR="00E96E12" w:rsidRDefault="00E97765">
      <w:r>
        <w:t>Talkas</w:t>
      </w:r>
    </w:p>
    <w:p w14:paraId="33811971" w14:textId="77777777" w:rsidR="00E96E12" w:rsidRDefault="00E97765">
      <w:r>
        <w:t>Geltonasis geležies oksidas (E172)</w:t>
      </w:r>
    </w:p>
    <w:p w14:paraId="7AB9DBDD" w14:textId="77777777" w:rsidR="00E96E12" w:rsidRDefault="00E96E12">
      <w:pPr>
        <w:ind w:left="567" w:hanging="567"/>
      </w:pPr>
    </w:p>
    <w:p w14:paraId="4734A8FE" w14:textId="77777777" w:rsidR="00E96E12" w:rsidRDefault="00E97765">
      <w:pPr>
        <w:ind w:left="567" w:hanging="567"/>
        <w:rPr>
          <w:b/>
        </w:rPr>
      </w:pPr>
      <w:r>
        <w:rPr>
          <w:b/>
        </w:rPr>
        <w:t>6.2</w:t>
      </w:r>
      <w:r>
        <w:rPr>
          <w:b/>
        </w:rPr>
        <w:tab/>
        <w:t>Nesuderinamumas</w:t>
      </w:r>
    </w:p>
    <w:p w14:paraId="4A43EDEB" w14:textId="77777777" w:rsidR="00E96E12" w:rsidRDefault="00E96E12">
      <w:pPr>
        <w:ind w:left="567" w:hanging="567"/>
      </w:pPr>
    </w:p>
    <w:p w14:paraId="2B0B1B73" w14:textId="77777777" w:rsidR="00E96E12" w:rsidRDefault="00E97765">
      <w:pPr>
        <w:ind w:left="567" w:hanging="567"/>
      </w:pPr>
      <w:r>
        <w:t>Duomenys nebūtini.</w:t>
      </w:r>
    </w:p>
    <w:p w14:paraId="6428E4C4" w14:textId="77777777" w:rsidR="00E96E12" w:rsidRDefault="00E96E12">
      <w:pPr>
        <w:ind w:left="567" w:hanging="567"/>
      </w:pPr>
    </w:p>
    <w:p w14:paraId="0FDD12D1" w14:textId="77777777" w:rsidR="00E96E12" w:rsidRDefault="00E97765">
      <w:pPr>
        <w:ind w:left="567" w:hanging="567"/>
        <w:rPr>
          <w:b/>
        </w:rPr>
      </w:pPr>
      <w:r>
        <w:rPr>
          <w:b/>
        </w:rPr>
        <w:t>6.3</w:t>
      </w:r>
      <w:r>
        <w:rPr>
          <w:b/>
        </w:rPr>
        <w:tab/>
        <w:t>Tinkamumo laikas</w:t>
      </w:r>
    </w:p>
    <w:p w14:paraId="2F2786B6" w14:textId="77777777" w:rsidR="00E96E12" w:rsidRDefault="00E96E12">
      <w:pPr>
        <w:ind w:left="567" w:hanging="567"/>
      </w:pPr>
    </w:p>
    <w:p w14:paraId="1A67C318" w14:textId="4794591E" w:rsidR="00E96E12" w:rsidRDefault="00E97765">
      <w:r>
        <w:t>3 metai</w:t>
      </w:r>
    </w:p>
    <w:p w14:paraId="19B4346E" w14:textId="77777777" w:rsidR="00E96E12" w:rsidRDefault="00E96E12">
      <w:pPr>
        <w:ind w:left="567" w:hanging="567"/>
      </w:pPr>
    </w:p>
    <w:p w14:paraId="314C2918" w14:textId="77777777" w:rsidR="00E96E12" w:rsidRDefault="00E97765">
      <w:pPr>
        <w:ind w:left="567" w:hanging="567"/>
        <w:rPr>
          <w:b/>
        </w:rPr>
      </w:pPr>
      <w:r>
        <w:rPr>
          <w:b/>
        </w:rPr>
        <w:t>6.4</w:t>
      </w:r>
      <w:r>
        <w:rPr>
          <w:b/>
        </w:rPr>
        <w:tab/>
        <w:t>Specialios laikymo sąlygos</w:t>
      </w:r>
    </w:p>
    <w:p w14:paraId="51D13BFC" w14:textId="77777777" w:rsidR="00E96E12" w:rsidRDefault="00E96E12">
      <w:pPr>
        <w:rPr>
          <w:i/>
          <w:iCs/>
        </w:rPr>
      </w:pPr>
    </w:p>
    <w:p w14:paraId="62F70A36" w14:textId="77777777" w:rsidR="00E96E12" w:rsidRDefault="00E97765">
      <w:pPr>
        <w:ind w:left="567" w:hanging="567"/>
        <w:rPr>
          <w:rFonts w:eastAsia="TimesNewRoman"/>
          <w:szCs w:val="22"/>
          <w:lang w:eastAsia="lt-LT"/>
        </w:rPr>
      </w:pPr>
      <w:r>
        <w:rPr>
          <w:rFonts w:eastAsia="TimesNewRoman"/>
          <w:szCs w:val="22"/>
          <w:lang w:eastAsia="lt-LT"/>
        </w:rPr>
        <w:t>Šiam vaistiniam preparatui specialių laikymo sąlygų nereikia.</w:t>
      </w:r>
    </w:p>
    <w:p w14:paraId="3A4FA763" w14:textId="77777777" w:rsidR="00E96E12" w:rsidRDefault="00E96E12">
      <w:pPr>
        <w:ind w:left="567" w:hanging="567"/>
      </w:pPr>
    </w:p>
    <w:p w14:paraId="1CD55EC7" w14:textId="77777777" w:rsidR="00E96E12" w:rsidRDefault="00E97765">
      <w:pPr>
        <w:ind w:left="567" w:hanging="567"/>
        <w:rPr>
          <w:b/>
        </w:rPr>
      </w:pPr>
      <w:r>
        <w:rPr>
          <w:b/>
        </w:rPr>
        <w:t>6.5</w:t>
      </w:r>
      <w:r>
        <w:rPr>
          <w:b/>
        </w:rPr>
        <w:tab/>
      </w:r>
      <w:proofErr w:type="spellStart"/>
      <w:r>
        <w:rPr>
          <w:b/>
        </w:rPr>
        <w:t>Talpyklės</w:t>
      </w:r>
      <w:proofErr w:type="spellEnd"/>
      <w:r>
        <w:rPr>
          <w:b/>
        </w:rPr>
        <w:t xml:space="preserve"> pobūdis ir jos turinys</w:t>
      </w:r>
    </w:p>
    <w:p w14:paraId="40A1BBA7" w14:textId="77777777" w:rsidR="00E96E12" w:rsidRDefault="00E96E12">
      <w:pPr>
        <w:ind w:left="567" w:hanging="567"/>
      </w:pPr>
    </w:p>
    <w:p w14:paraId="17A8DAD3" w14:textId="77777777" w:rsidR="00E96E12" w:rsidRDefault="00E97765">
      <w:pPr>
        <w:widowControl w:val="0"/>
        <w:rPr>
          <w:b/>
          <w:szCs w:val="22"/>
          <w:lang w:eastAsia="sl-SI"/>
        </w:rPr>
      </w:pPr>
      <w:r>
        <w:rPr>
          <w:szCs w:val="22"/>
          <w:lang w:eastAsia="sl-SI"/>
        </w:rPr>
        <w:t xml:space="preserve">Lizdinės plokštelės (OPA/aliuminio/PVC – aliuminio): </w:t>
      </w:r>
      <w:r>
        <w:rPr>
          <w:szCs w:val="22"/>
        </w:rPr>
        <w:t>14, 28, 30, 56, 60, 90, 98 arba 100</w:t>
      </w:r>
      <w:r>
        <w:rPr>
          <w:szCs w:val="22"/>
          <w:lang w:eastAsia="sl-SI"/>
        </w:rPr>
        <w:t> plėvele dengtų tablečių dėžutėje.</w:t>
      </w:r>
    </w:p>
    <w:p w14:paraId="43DF8C5F" w14:textId="77777777" w:rsidR="00E96E12" w:rsidRDefault="00E97765">
      <w:pPr>
        <w:widowControl w:val="0"/>
        <w:rPr>
          <w:b/>
          <w:szCs w:val="22"/>
          <w:lang w:eastAsia="sl-SI"/>
        </w:rPr>
      </w:pPr>
      <w:r>
        <w:rPr>
          <w:szCs w:val="22"/>
          <w:lang w:eastAsia="sl-SI"/>
        </w:rPr>
        <w:t xml:space="preserve">Lizdinės plokštelės (OPA/aliuminio/PVC – aliuminio) kalendorinėje pakuotėje: </w:t>
      </w:r>
      <w:r>
        <w:rPr>
          <w:szCs w:val="22"/>
        </w:rPr>
        <w:t>14, 28, 56, arba 98 </w:t>
      </w:r>
      <w:r>
        <w:rPr>
          <w:szCs w:val="22"/>
          <w:lang w:eastAsia="sl-SI"/>
        </w:rPr>
        <w:t>plėvele dengtos tabletės dėžutėje.</w:t>
      </w:r>
    </w:p>
    <w:p w14:paraId="7218E96E" w14:textId="77777777" w:rsidR="00E96E12" w:rsidRDefault="00E97765">
      <w:pPr>
        <w:widowControl w:val="0"/>
        <w:contextualSpacing/>
      </w:pPr>
      <w:r>
        <w:rPr>
          <w:szCs w:val="22"/>
        </w:rPr>
        <w:t xml:space="preserve">Perforuotos </w:t>
      </w:r>
      <w:proofErr w:type="spellStart"/>
      <w:r>
        <w:rPr>
          <w:szCs w:val="22"/>
        </w:rPr>
        <w:t>dalomosios</w:t>
      </w:r>
      <w:proofErr w:type="spellEnd"/>
      <w:r>
        <w:rPr>
          <w:szCs w:val="22"/>
        </w:rPr>
        <w:t xml:space="preserve"> lizdinės plokštelės</w:t>
      </w:r>
      <w:r>
        <w:rPr>
          <w:szCs w:val="22"/>
          <w:lang w:eastAsia="sl-SI"/>
        </w:rPr>
        <w:t xml:space="preserve"> (OPA/aliuminio/PVC – aliuminio) </w:t>
      </w:r>
      <w:r>
        <w:rPr>
          <w:szCs w:val="22"/>
        </w:rPr>
        <w:t>14 x 1, 28 x 1, 30 x 1, 56 x 1, 60 x 1, 90 x 1, 98 x 1 arba 100 x 1 </w:t>
      </w:r>
      <w:r>
        <w:rPr>
          <w:szCs w:val="22"/>
          <w:lang w:eastAsia="sl-SI"/>
        </w:rPr>
        <w:t>plėvele dengtų tablečių dėžutėje.</w:t>
      </w:r>
    </w:p>
    <w:p w14:paraId="40C027C2" w14:textId="77777777" w:rsidR="00E96E12" w:rsidRDefault="00E97765">
      <w:pPr>
        <w:widowControl w:val="0"/>
        <w:contextualSpacing/>
      </w:pPr>
      <w:r>
        <w:rPr>
          <w:szCs w:val="22"/>
        </w:rPr>
        <w:t xml:space="preserve">Perforuotos </w:t>
      </w:r>
      <w:proofErr w:type="spellStart"/>
      <w:r>
        <w:rPr>
          <w:szCs w:val="22"/>
        </w:rPr>
        <w:t>dalomosios</w:t>
      </w:r>
      <w:proofErr w:type="spellEnd"/>
      <w:r>
        <w:rPr>
          <w:szCs w:val="22"/>
        </w:rPr>
        <w:t xml:space="preserve"> lizdinės plokštelės</w:t>
      </w:r>
      <w:r>
        <w:rPr>
          <w:szCs w:val="22"/>
          <w:lang w:eastAsia="sl-SI"/>
        </w:rPr>
        <w:t xml:space="preserve"> (OPA/aliuminio/PVC – aliuminio) kalendorinėje pakuotėje:</w:t>
      </w:r>
      <w:r>
        <w:rPr>
          <w:szCs w:val="22"/>
        </w:rPr>
        <w:t>14 x 1, 28 x 1, 56 x 1 arba 98 x 1 </w:t>
      </w:r>
      <w:r>
        <w:rPr>
          <w:szCs w:val="22"/>
          <w:lang w:eastAsia="sl-SI"/>
        </w:rPr>
        <w:t>plėvele dengtos tabletės dėžutėje.</w:t>
      </w:r>
    </w:p>
    <w:p w14:paraId="26C20EA0" w14:textId="77777777" w:rsidR="00E96E12" w:rsidRDefault="00E96E12">
      <w:pPr>
        <w:ind w:left="567" w:hanging="567"/>
      </w:pPr>
    </w:p>
    <w:p w14:paraId="7DB7DF19" w14:textId="77777777" w:rsidR="00E96E12" w:rsidRDefault="00E97765">
      <w:pPr>
        <w:ind w:left="567" w:hanging="567"/>
      </w:pPr>
      <w:r>
        <w:t>Gali būti tiekiamos ne visų dydžių pakuotės.</w:t>
      </w:r>
    </w:p>
    <w:p w14:paraId="11F6AD28" w14:textId="77777777" w:rsidR="00E96E12" w:rsidRDefault="00E96E12">
      <w:pPr>
        <w:ind w:left="567" w:hanging="567"/>
      </w:pPr>
    </w:p>
    <w:p w14:paraId="3F5DA0BD" w14:textId="77777777" w:rsidR="00E96E12" w:rsidRDefault="00E97765">
      <w:pPr>
        <w:ind w:left="567" w:hanging="567"/>
        <w:outlineLvl w:val="0"/>
        <w:rPr>
          <w:noProof/>
        </w:rPr>
      </w:pPr>
      <w:r>
        <w:rPr>
          <w:b/>
        </w:rPr>
        <w:t>6.6</w:t>
      </w:r>
      <w:r>
        <w:rPr>
          <w:b/>
        </w:rPr>
        <w:tab/>
      </w:r>
      <w:r>
        <w:rPr>
          <w:rStyle w:val="Grietas"/>
          <w:color w:val="000000"/>
        </w:rPr>
        <w:t>Specialūs reikalavimai atliekoms tvarkyti</w:t>
      </w:r>
    </w:p>
    <w:p w14:paraId="05EC37E6" w14:textId="77777777" w:rsidR="00E96E12" w:rsidRDefault="00E96E12">
      <w:pPr>
        <w:ind w:left="567" w:hanging="567"/>
        <w:rPr>
          <w:b/>
        </w:rPr>
      </w:pPr>
    </w:p>
    <w:p w14:paraId="52291FBC" w14:textId="77777777" w:rsidR="00E96E12" w:rsidRDefault="00E97765">
      <w:pPr>
        <w:ind w:left="567" w:hanging="567"/>
      </w:pPr>
      <w:r>
        <w:t>Specialių reikalavimų atliekoms tvarkyti nėra.</w:t>
      </w:r>
    </w:p>
    <w:p w14:paraId="0EB35D72" w14:textId="77777777" w:rsidR="00E96E12" w:rsidRDefault="00E96E12">
      <w:pPr>
        <w:ind w:left="567" w:hanging="567"/>
      </w:pPr>
    </w:p>
    <w:p w14:paraId="12149258" w14:textId="77777777" w:rsidR="00E96E12" w:rsidRDefault="00E97765">
      <w:pPr>
        <w:ind w:left="567" w:hanging="567"/>
      </w:pPr>
      <w:r>
        <w:rPr>
          <w:noProof/>
        </w:rPr>
        <w:t>Nesuvartotą</w:t>
      </w:r>
      <w:r>
        <w:t xml:space="preserve"> vaistinį preparatą ar atliekas reikia </w:t>
      </w:r>
      <w:r>
        <w:rPr>
          <w:noProof/>
        </w:rPr>
        <w:t>tvarkyti</w:t>
      </w:r>
      <w:r>
        <w:t xml:space="preserve"> laikantis vietinių reikalavimų.</w:t>
      </w:r>
    </w:p>
    <w:p w14:paraId="3A3EE8BA" w14:textId="77777777" w:rsidR="00E96E12" w:rsidRDefault="00E96E12">
      <w:pPr>
        <w:ind w:left="567" w:hanging="567"/>
      </w:pPr>
    </w:p>
    <w:p w14:paraId="1A72E83C" w14:textId="77777777" w:rsidR="00E96E12" w:rsidRDefault="00E96E12">
      <w:pPr>
        <w:ind w:left="567" w:hanging="567"/>
      </w:pPr>
    </w:p>
    <w:p w14:paraId="45441645" w14:textId="77777777" w:rsidR="00E96E12" w:rsidRDefault="00E97765">
      <w:pPr>
        <w:ind w:left="567" w:hanging="567"/>
        <w:rPr>
          <w:b/>
          <w:caps/>
        </w:rPr>
      </w:pPr>
      <w:r>
        <w:rPr>
          <w:b/>
          <w:caps/>
        </w:rPr>
        <w:t>7.</w:t>
      </w:r>
      <w:r>
        <w:rPr>
          <w:b/>
          <w:caps/>
        </w:rPr>
        <w:tab/>
      </w:r>
      <w:r>
        <w:rPr>
          <w:b/>
          <w:caps/>
          <w:noProof/>
        </w:rPr>
        <w:t>REGISTRUOTOJAS</w:t>
      </w:r>
    </w:p>
    <w:p w14:paraId="6017320D" w14:textId="77777777" w:rsidR="00E96E12" w:rsidRDefault="00E96E12"/>
    <w:p w14:paraId="74E80685" w14:textId="77777777" w:rsidR="00E96E12" w:rsidRDefault="00E97765">
      <w:pPr>
        <w:widowControl w:val="0"/>
        <w:tabs>
          <w:tab w:val="left" w:pos="540"/>
        </w:tabs>
        <w:rPr>
          <w:rFonts w:eastAsia="Calibri"/>
          <w:szCs w:val="22"/>
        </w:rPr>
      </w:pPr>
      <w:r>
        <w:rPr>
          <w:rFonts w:eastAsia="Calibri"/>
          <w:szCs w:val="22"/>
        </w:rPr>
        <w:t xml:space="preserve">KRKA </w:t>
      </w:r>
      <w:proofErr w:type="spellStart"/>
      <w:r>
        <w:rPr>
          <w:rFonts w:eastAsia="Calibri"/>
          <w:szCs w:val="22"/>
        </w:rPr>
        <w:t>d.d</w:t>
      </w:r>
      <w:proofErr w:type="spellEnd"/>
      <w:r>
        <w:rPr>
          <w:rFonts w:eastAsia="Calibri"/>
          <w:szCs w:val="22"/>
        </w:rPr>
        <w:t xml:space="preserve">. Novo mesto </w:t>
      </w:r>
    </w:p>
    <w:p w14:paraId="044F0871" w14:textId="77777777" w:rsidR="00E96E12" w:rsidRDefault="00E97765">
      <w:pPr>
        <w:widowControl w:val="0"/>
        <w:tabs>
          <w:tab w:val="left" w:pos="540"/>
        </w:tabs>
        <w:rPr>
          <w:rFonts w:eastAsia="Calibri"/>
          <w:szCs w:val="22"/>
        </w:rPr>
      </w:pPr>
      <w:proofErr w:type="spellStart"/>
      <w:r>
        <w:rPr>
          <w:rFonts w:eastAsia="Calibri"/>
          <w:szCs w:val="22"/>
        </w:rPr>
        <w:t>Šmarješka</w:t>
      </w:r>
      <w:proofErr w:type="spellEnd"/>
      <w:r>
        <w:rPr>
          <w:rFonts w:eastAsia="Calibri"/>
          <w:szCs w:val="22"/>
        </w:rPr>
        <w:t xml:space="preserve"> </w:t>
      </w:r>
      <w:proofErr w:type="spellStart"/>
      <w:r>
        <w:rPr>
          <w:rFonts w:eastAsia="Calibri"/>
          <w:szCs w:val="22"/>
        </w:rPr>
        <w:t>cesta</w:t>
      </w:r>
      <w:proofErr w:type="spellEnd"/>
      <w:r>
        <w:rPr>
          <w:rFonts w:eastAsia="Calibri"/>
          <w:szCs w:val="22"/>
        </w:rPr>
        <w:t xml:space="preserve"> 6</w:t>
      </w:r>
    </w:p>
    <w:p w14:paraId="67038EB8" w14:textId="77777777" w:rsidR="00E96E12" w:rsidRDefault="00E97765">
      <w:pPr>
        <w:widowControl w:val="0"/>
        <w:tabs>
          <w:tab w:val="left" w:pos="540"/>
        </w:tabs>
        <w:rPr>
          <w:rFonts w:eastAsia="Calibri"/>
          <w:szCs w:val="22"/>
        </w:rPr>
      </w:pPr>
      <w:r>
        <w:rPr>
          <w:rFonts w:eastAsia="Calibri"/>
          <w:szCs w:val="22"/>
        </w:rPr>
        <w:t>8501 Novo mesto</w:t>
      </w:r>
    </w:p>
    <w:p w14:paraId="0E87277A" w14:textId="77777777" w:rsidR="00E96E12" w:rsidRDefault="00E97765">
      <w:pPr>
        <w:widowControl w:val="0"/>
        <w:tabs>
          <w:tab w:val="left" w:pos="540"/>
        </w:tabs>
        <w:rPr>
          <w:rFonts w:eastAsia="Calibri"/>
          <w:szCs w:val="22"/>
        </w:rPr>
      </w:pPr>
      <w:r>
        <w:rPr>
          <w:rFonts w:eastAsia="Calibri"/>
          <w:szCs w:val="22"/>
        </w:rPr>
        <w:t>Slovėnija</w:t>
      </w:r>
    </w:p>
    <w:p w14:paraId="720225BF" w14:textId="77777777" w:rsidR="00E96E12" w:rsidRDefault="00E96E12">
      <w:pPr>
        <w:ind w:left="567" w:hanging="567"/>
      </w:pPr>
    </w:p>
    <w:p w14:paraId="576EF397" w14:textId="77777777" w:rsidR="00E96E12" w:rsidRDefault="00E96E12">
      <w:pPr>
        <w:ind w:left="567" w:hanging="567"/>
      </w:pPr>
    </w:p>
    <w:p w14:paraId="5683D493" w14:textId="77777777" w:rsidR="00E96E12" w:rsidRDefault="00E97765">
      <w:pPr>
        <w:ind w:left="567" w:hanging="567"/>
        <w:rPr>
          <w:b/>
          <w:caps/>
        </w:rPr>
      </w:pPr>
      <w:r>
        <w:rPr>
          <w:b/>
          <w:caps/>
        </w:rPr>
        <w:t>8.</w:t>
      </w:r>
      <w:r>
        <w:rPr>
          <w:b/>
          <w:caps/>
        </w:rPr>
        <w:tab/>
      </w:r>
      <w:r>
        <w:rPr>
          <w:b/>
          <w:caps/>
          <w:noProof/>
        </w:rPr>
        <w:t xml:space="preserve">REGISTRACIJOS PAŽYMĖJIMO </w:t>
      </w:r>
      <w:r>
        <w:rPr>
          <w:b/>
          <w:caps/>
        </w:rPr>
        <w:t xml:space="preserve">numeris </w:t>
      </w:r>
      <w:r>
        <w:rPr>
          <w:b/>
          <w:caps/>
          <w:noProof/>
        </w:rPr>
        <w:t>(-IAI)</w:t>
      </w:r>
    </w:p>
    <w:p w14:paraId="1A7EFAC0" w14:textId="77777777" w:rsidR="00E96E12" w:rsidRDefault="00E96E12">
      <w:pPr>
        <w:rPr>
          <w:i/>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E96E12" w14:paraId="0DE19E46" w14:textId="77777777">
        <w:tc>
          <w:tcPr>
            <w:tcW w:w="4530" w:type="dxa"/>
          </w:tcPr>
          <w:p w14:paraId="14664815" w14:textId="77777777" w:rsidR="00E96E12" w:rsidRDefault="00E97765">
            <w:pPr>
              <w:rPr>
                <w:iCs/>
                <w:u w:val="single"/>
              </w:rPr>
            </w:pPr>
            <w:r>
              <w:rPr>
                <w:iCs/>
                <w:u w:val="single"/>
              </w:rPr>
              <w:t>5 mg:</w:t>
            </w:r>
          </w:p>
          <w:p w14:paraId="32E8072D" w14:textId="77777777" w:rsidR="00E96E12" w:rsidRDefault="00E97765">
            <w:pPr>
              <w:rPr>
                <w:iCs/>
              </w:rPr>
            </w:pPr>
            <w:r>
              <w:rPr>
                <w:iCs/>
                <w:u w:val="single"/>
              </w:rPr>
              <w:t>Lizdinė plokštelė</w:t>
            </w:r>
            <w:r>
              <w:rPr>
                <w:iCs/>
              </w:rPr>
              <w:t>:</w:t>
            </w:r>
          </w:p>
          <w:p w14:paraId="0A681002" w14:textId="77777777" w:rsidR="00E96E12" w:rsidRDefault="00E97765">
            <w:pPr>
              <w:rPr>
                <w:iCs/>
              </w:rPr>
            </w:pPr>
            <w:r>
              <w:rPr>
                <w:iCs/>
              </w:rPr>
              <w:t>LT/1/23/5266/001 – N14</w:t>
            </w:r>
          </w:p>
          <w:p w14:paraId="553ADB37" w14:textId="77777777" w:rsidR="00E96E12" w:rsidRDefault="00E97765">
            <w:pPr>
              <w:rPr>
                <w:iCs/>
              </w:rPr>
            </w:pPr>
            <w:r>
              <w:rPr>
                <w:iCs/>
              </w:rPr>
              <w:t>LT/1/23/5266/002 – N28</w:t>
            </w:r>
          </w:p>
          <w:p w14:paraId="4DF8B98D" w14:textId="77777777" w:rsidR="00E96E12" w:rsidRDefault="00E97765">
            <w:pPr>
              <w:ind w:left="-57" w:right="-57"/>
              <w:rPr>
                <w:iCs/>
              </w:rPr>
            </w:pPr>
            <w:r>
              <w:rPr>
                <w:iCs/>
              </w:rPr>
              <w:t>LT/1/23/5266/003 – N30</w:t>
            </w:r>
          </w:p>
          <w:p w14:paraId="59F337A1" w14:textId="77777777" w:rsidR="00E96E12" w:rsidRDefault="00E97765">
            <w:pPr>
              <w:ind w:left="-57" w:right="-57"/>
              <w:rPr>
                <w:iCs/>
              </w:rPr>
            </w:pPr>
            <w:r>
              <w:rPr>
                <w:iCs/>
              </w:rPr>
              <w:t>LT/1/23/5266/004 – N56</w:t>
            </w:r>
          </w:p>
          <w:p w14:paraId="62A9FA6C" w14:textId="77777777" w:rsidR="00E96E12" w:rsidRDefault="00E97765">
            <w:pPr>
              <w:ind w:left="-57" w:right="-57"/>
              <w:rPr>
                <w:iCs/>
              </w:rPr>
            </w:pPr>
            <w:r>
              <w:rPr>
                <w:iCs/>
              </w:rPr>
              <w:t>LT/1/23/5266/005 – N60</w:t>
            </w:r>
          </w:p>
          <w:p w14:paraId="2DF8E065" w14:textId="77777777" w:rsidR="00E96E12" w:rsidRDefault="00E97765">
            <w:pPr>
              <w:ind w:left="-57" w:right="-57"/>
              <w:rPr>
                <w:iCs/>
              </w:rPr>
            </w:pPr>
            <w:r>
              <w:rPr>
                <w:iCs/>
              </w:rPr>
              <w:t>LT/1/23/5266/006 – N90</w:t>
            </w:r>
          </w:p>
          <w:p w14:paraId="3FC55064" w14:textId="77777777" w:rsidR="00E96E12" w:rsidRDefault="00E97765">
            <w:pPr>
              <w:ind w:left="-57" w:right="-57"/>
              <w:rPr>
                <w:iCs/>
              </w:rPr>
            </w:pPr>
            <w:r>
              <w:rPr>
                <w:iCs/>
              </w:rPr>
              <w:t>LT/1/23/5266/007 – N98</w:t>
            </w:r>
          </w:p>
          <w:p w14:paraId="0FA9F408" w14:textId="77777777" w:rsidR="00E96E12" w:rsidRDefault="00E97765">
            <w:pPr>
              <w:spacing w:after="120"/>
              <w:ind w:left="-57" w:right="-57"/>
              <w:rPr>
                <w:iCs/>
              </w:rPr>
            </w:pPr>
            <w:r>
              <w:rPr>
                <w:iCs/>
              </w:rPr>
              <w:t>LT/1/23/5266/008 – N100</w:t>
            </w:r>
          </w:p>
          <w:p w14:paraId="0603995F" w14:textId="77777777" w:rsidR="00E96E12" w:rsidRDefault="00E97765">
            <w:pPr>
              <w:ind w:left="-57" w:right="-57"/>
              <w:rPr>
                <w:iCs/>
                <w:u w:val="single"/>
              </w:rPr>
            </w:pPr>
            <w:r>
              <w:rPr>
                <w:iCs/>
                <w:u w:val="single"/>
              </w:rPr>
              <w:lastRenderedPageBreak/>
              <w:t>Lizdinė plokštelė (kalendorinė pakuotė):</w:t>
            </w:r>
          </w:p>
          <w:p w14:paraId="531F8968" w14:textId="77777777" w:rsidR="00E96E12" w:rsidRDefault="00E97765">
            <w:pPr>
              <w:ind w:left="-57" w:right="-57"/>
              <w:rPr>
                <w:iCs/>
              </w:rPr>
            </w:pPr>
            <w:r>
              <w:rPr>
                <w:iCs/>
              </w:rPr>
              <w:t>LT/1/23/5266/009 – N14</w:t>
            </w:r>
          </w:p>
          <w:p w14:paraId="7BE747F3" w14:textId="77777777" w:rsidR="00E96E12" w:rsidRDefault="00E97765">
            <w:pPr>
              <w:ind w:left="-57" w:right="-57"/>
              <w:rPr>
                <w:iCs/>
              </w:rPr>
            </w:pPr>
            <w:r>
              <w:rPr>
                <w:iCs/>
              </w:rPr>
              <w:t>LT/1/23/5266/010 – N28</w:t>
            </w:r>
          </w:p>
          <w:p w14:paraId="72C02811" w14:textId="77777777" w:rsidR="00E96E12" w:rsidRDefault="00E97765">
            <w:pPr>
              <w:ind w:left="-57" w:right="-57"/>
              <w:rPr>
                <w:iCs/>
              </w:rPr>
            </w:pPr>
            <w:r>
              <w:rPr>
                <w:iCs/>
              </w:rPr>
              <w:t>LT/1/23/5266/011 – N56</w:t>
            </w:r>
          </w:p>
          <w:p w14:paraId="50CDF881" w14:textId="77777777" w:rsidR="00E96E12" w:rsidRDefault="00E97765">
            <w:pPr>
              <w:spacing w:after="120"/>
              <w:ind w:left="-57" w:right="-57"/>
              <w:rPr>
                <w:iCs/>
              </w:rPr>
            </w:pPr>
            <w:r>
              <w:rPr>
                <w:iCs/>
              </w:rPr>
              <w:t>LT/1/23/5266/012 – N98</w:t>
            </w:r>
          </w:p>
          <w:p w14:paraId="08C34F19" w14:textId="77777777" w:rsidR="00E96E12" w:rsidRDefault="00E97765">
            <w:pPr>
              <w:ind w:left="-57" w:right="-57"/>
              <w:rPr>
                <w:iCs/>
              </w:rPr>
            </w:pPr>
            <w:r>
              <w:rPr>
                <w:iCs/>
                <w:u w:val="single"/>
              </w:rPr>
              <w:t>Dalomoji lizdinė plokštelė</w:t>
            </w:r>
            <w:r>
              <w:rPr>
                <w:iCs/>
              </w:rPr>
              <w:t>:</w:t>
            </w:r>
          </w:p>
          <w:p w14:paraId="47BE2A94" w14:textId="77777777" w:rsidR="00E96E12" w:rsidRDefault="00E97765">
            <w:pPr>
              <w:ind w:left="-57" w:right="-57"/>
              <w:rPr>
                <w:iCs/>
              </w:rPr>
            </w:pPr>
            <w:r>
              <w:rPr>
                <w:iCs/>
              </w:rPr>
              <w:t>LT/1/23/5266/013 – N14x1</w:t>
            </w:r>
          </w:p>
          <w:p w14:paraId="657447F4" w14:textId="77777777" w:rsidR="00E96E12" w:rsidRDefault="00E97765">
            <w:pPr>
              <w:ind w:left="-57" w:right="-57"/>
              <w:rPr>
                <w:iCs/>
              </w:rPr>
            </w:pPr>
            <w:r>
              <w:rPr>
                <w:iCs/>
              </w:rPr>
              <w:t>LT/1/23/5266/014 – N28x1</w:t>
            </w:r>
          </w:p>
          <w:p w14:paraId="38F953D4" w14:textId="77777777" w:rsidR="00E96E12" w:rsidRDefault="00E97765">
            <w:pPr>
              <w:ind w:left="-57" w:right="-57"/>
              <w:rPr>
                <w:iCs/>
              </w:rPr>
            </w:pPr>
            <w:r>
              <w:rPr>
                <w:iCs/>
              </w:rPr>
              <w:t>LT/1/23/5266/015 – N30x1</w:t>
            </w:r>
          </w:p>
          <w:p w14:paraId="5011ACFA" w14:textId="77777777" w:rsidR="00E96E12" w:rsidRDefault="00E97765">
            <w:pPr>
              <w:ind w:left="-57" w:right="-57"/>
              <w:rPr>
                <w:iCs/>
              </w:rPr>
            </w:pPr>
            <w:r>
              <w:rPr>
                <w:iCs/>
              </w:rPr>
              <w:t>LT/1/23/5266/016 – N56x1</w:t>
            </w:r>
          </w:p>
          <w:p w14:paraId="5125DF2A" w14:textId="77777777" w:rsidR="00E96E12" w:rsidRDefault="00E97765">
            <w:pPr>
              <w:ind w:left="-57" w:right="-57"/>
              <w:rPr>
                <w:iCs/>
              </w:rPr>
            </w:pPr>
            <w:r>
              <w:rPr>
                <w:iCs/>
              </w:rPr>
              <w:t>LT/1/23/5266/017 – N60x1</w:t>
            </w:r>
          </w:p>
          <w:p w14:paraId="34EF4120" w14:textId="77777777" w:rsidR="00E96E12" w:rsidRDefault="00E97765">
            <w:pPr>
              <w:ind w:left="-57" w:right="-57"/>
              <w:rPr>
                <w:iCs/>
              </w:rPr>
            </w:pPr>
            <w:r>
              <w:rPr>
                <w:iCs/>
              </w:rPr>
              <w:t>LT/1/23/5266/018 – N90x1</w:t>
            </w:r>
          </w:p>
          <w:p w14:paraId="59A22D8F" w14:textId="77777777" w:rsidR="00E96E12" w:rsidRDefault="00E97765">
            <w:pPr>
              <w:ind w:left="-57" w:right="-57"/>
              <w:rPr>
                <w:iCs/>
              </w:rPr>
            </w:pPr>
            <w:r>
              <w:rPr>
                <w:iCs/>
              </w:rPr>
              <w:t>LT/1/23/5266/019 – N98x1</w:t>
            </w:r>
          </w:p>
          <w:p w14:paraId="3DBAA4FC" w14:textId="77777777" w:rsidR="00E96E12" w:rsidRDefault="00E97765">
            <w:pPr>
              <w:spacing w:after="120"/>
              <w:ind w:left="-57" w:right="-57"/>
              <w:rPr>
                <w:iCs/>
              </w:rPr>
            </w:pPr>
            <w:r>
              <w:rPr>
                <w:iCs/>
              </w:rPr>
              <w:t>LT/1/23/5266/020 – N100x1</w:t>
            </w:r>
          </w:p>
          <w:p w14:paraId="3C582FD0" w14:textId="77777777" w:rsidR="00E96E12" w:rsidRDefault="00E97765">
            <w:pPr>
              <w:ind w:left="-57" w:right="-57"/>
              <w:rPr>
                <w:iCs/>
                <w:u w:val="single"/>
              </w:rPr>
            </w:pPr>
            <w:r>
              <w:rPr>
                <w:iCs/>
                <w:u w:val="single"/>
              </w:rPr>
              <w:t>Dalomoji lizdinė plokštelė (kalendorinė pakuotė):</w:t>
            </w:r>
          </w:p>
          <w:p w14:paraId="1E2F175B" w14:textId="77777777" w:rsidR="00E96E12" w:rsidRDefault="00E97765">
            <w:pPr>
              <w:ind w:left="-57" w:right="-57"/>
              <w:rPr>
                <w:iCs/>
              </w:rPr>
            </w:pPr>
            <w:r>
              <w:rPr>
                <w:iCs/>
              </w:rPr>
              <w:t>LT/1/23/5266/021 – N14x1</w:t>
            </w:r>
          </w:p>
          <w:p w14:paraId="0F9FBAE7" w14:textId="77777777" w:rsidR="00E96E12" w:rsidRDefault="00E97765">
            <w:pPr>
              <w:ind w:left="-57" w:right="-57"/>
              <w:rPr>
                <w:iCs/>
              </w:rPr>
            </w:pPr>
            <w:r>
              <w:rPr>
                <w:iCs/>
              </w:rPr>
              <w:t>LT/1/23/5266/022 – N28x1</w:t>
            </w:r>
          </w:p>
          <w:p w14:paraId="7DD1F646" w14:textId="77777777" w:rsidR="00E96E12" w:rsidRDefault="00E97765">
            <w:pPr>
              <w:ind w:left="-57" w:right="-57"/>
              <w:rPr>
                <w:iCs/>
              </w:rPr>
            </w:pPr>
            <w:r>
              <w:rPr>
                <w:iCs/>
              </w:rPr>
              <w:t>LT/1/23/5266/023 – N56x1</w:t>
            </w:r>
          </w:p>
          <w:p w14:paraId="7AE1CAC5" w14:textId="77777777" w:rsidR="00E96E12" w:rsidRDefault="00E97765">
            <w:pPr>
              <w:ind w:left="-57" w:right="-57"/>
              <w:rPr>
                <w:iCs/>
              </w:rPr>
            </w:pPr>
            <w:r>
              <w:rPr>
                <w:iCs/>
              </w:rPr>
              <w:t>LT/1/23/5266/024 – N98x1</w:t>
            </w:r>
          </w:p>
        </w:tc>
        <w:tc>
          <w:tcPr>
            <w:tcW w:w="4530" w:type="dxa"/>
          </w:tcPr>
          <w:p w14:paraId="432CE4C6" w14:textId="77777777" w:rsidR="00E96E12" w:rsidRDefault="00E97765">
            <w:pPr>
              <w:ind w:left="-57" w:right="-57"/>
              <w:rPr>
                <w:iCs/>
                <w:u w:val="single"/>
              </w:rPr>
            </w:pPr>
            <w:r>
              <w:rPr>
                <w:iCs/>
                <w:u w:val="single"/>
              </w:rPr>
              <w:lastRenderedPageBreak/>
              <w:t>10 mg:</w:t>
            </w:r>
          </w:p>
          <w:p w14:paraId="2C51477D" w14:textId="77777777" w:rsidR="00E96E12" w:rsidRDefault="00E97765">
            <w:pPr>
              <w:ind w:left="-57" w:right="-57"/>
              <w:rPr>
                <w:iCs/>
              </w:rPr>
            </w:pPr>
            <w:r>
              <w:rPr>
                <w:iCs/>
                <w:u w:val="single"/>
              </w:rPr>
              <w:t>Lizdinė plokštelė</w:t>
            </w:r>
            <w:r>
              <w:rPr>
                <w:iCs/>
              </w:rPr>
              <w:t>:</w:t>
            </w:r>
          </w:p>
          <w:p w14:paraId="45304BCB" w14:textId="77777777" w:rsidR="00E96E12" w:rsidRDefault="00E97765">
            <w:pPr>
              <w:ind w:left="-57" w:right="-57"/>
              <w:rPr>
                <w:iCs/>
              </w:rPr>
            </w:pPr>
            <w:r>
              <w:rPr>
                <w:iCs/>
              </w:rPr>
              <w:t>LT/1/23/5267/001 – N14</w:t>
            </w:r>
          </w:p>
          <w:p w14:paraId="68D88C3A" w14:textId="77777777" w:rsidR="00E96E12" w:rsidRDefault="00E97765">
            <w:pPr>
              <w:ind w:left="-57" w:right="-57"/>
              <w:rPr>
                <w:iCs/>
              </w:rPr>
            </w:pPr>
            <w:r>
              <w:rPr>
                <w:iCs/>
              </w:rPr>
              <w:t>LT/1/23/5267/002 – N28</w:t>
            </w:r>
          </w:p>
          <w:p w14:paraId="568872F9" w14:textId="77777777" w:rsidR="00E96E12" w:rsidRDefault="00E97765">
            <w:pPr>
              <w:ind w:left="-57" w:right="-57"/>
              <w:rPr>
                <w:iCs/>
              </w:rPr>
            </w:pPr>
            <w:r>
              <w:rPr>
                <w:iCs/>
              </w:rPr>
              <w:t>LT/1/23/5267/003 – N30</w:t>
            </w:r>
          </w:p>
          <w:p w14:paraId="4BAF957F" w14:textId="77777777" w:rsidR="00E96E12" w:rsidRDefault="00E97765">
            <w:pPr>
              <w:ind w:left="-57" w:right="-57"/>
              <w:rPr>
                <w:iCs/>
              </w:rPr>
            </w:pPr>
            <w:r>
              <w:rPr>
                <w:iCs/>
              </w:rPr>
              <w:t>LT/1/23/5267/004 – N56</w:t>
            </w:r>
          </w:p>
          <w:p w14:paraId="2A06F737" w14:textId="77777777" w:rsidR="00E96E12" w:rsidRDefault="00E97765">
            <w:pPr>
              <w:ind w:left="-57" w:right="-57"/>
              <w:rPr>
                <w:iCs/>
              </w:rPr>
            </w:pPr>
            <w:r>
              <w:rPr>
                <w:iCs/>
              </w:rPr>
              <w:t>LT/1/23/5267/005 – N60</w:t>
            </w:r>
          </w:p>
          <w:p w14:paraId="6846B6CB" w14:textId="77777777" w:rsidR="00E96E12" w:rsidRDefault="00E97765">
            <w:pPr>
              <w:ind w:left="-57" w:right="-57"/>
              <w:rPr>
                <w:iCs/>
              </w:rPr>
            </w:pPr>
            <w:r>
              <w:rPr>
                <w:iCs/>
              </w:rPr>
              <w:t>LT/1/23/5267/006 – N90</w:t>
            </w:r>
          </w:p>
          <w:p w14:paraId="7BDF8453" w14:textId="77777777" w:rsidR="00E96E12" w:rsidRDefault="00E97765">
            <w:pPr>
              <w:ind w:left="-57" w:right="-57"/>
              <w:rPr>
                <w:iCs/>
              </w:rPr>
            </w:pPr>
            <w:r>
              <w:rPr>
                <w:iCs/>
              </w:rPr>
              <w:t>LT/1/23/5267/007 – N98</w:t>
            </w:r>
          </w:p>
          <w:p w14:paraId="48E46AA6" w14:textId="77777777" w:rsidR="00E96E12" w:rsidRDefault="00E97765">
            <w:pPr>
              <w:ind w:left="-57" w:right="-57"/>
              <w:rPr>
                <w:iCs/>
              </w:rPr>
            </w:pPr>
            <w:r>
              <w:rPr>
                <w:iCs/>
              </w:rPr>
              <w:t>LT/1/23/5267/008 – N100</w:t>
            </w:r>
          </w:p>
          <w:p w14:paraId="7DDC3DF0" w14:textId="77777777" w:rsidR="00E96E12" w:rsidRDefault="00E97765">
            <w:pPr>
              <w:ind w:left="-57" w:right="-57"/>
              <w:rPr>
                <w:iCs/>
                <w:u w:val="single"/>
              </w:rPr>
            </w:pPr>
            <w:r>
              <w:rPr>
                <w:iCs/>
                <w:u w:val="single"/>
              </w:rPr>
              <w:lastRenderedPageBreak/>
              <w:t>Lizdinė plokštelė (kalendorinė pakuotė):</w:t>
            </w:r>
          </w:p>
          <w:p w14:paraId="05412603" w14:textId="77777777" w:rsidR="00E96E12" w:rsidRDefault="00E97765">
            <w:pPr>
              <w:ind w:left="-57" w:right="-57"/>
              <w:rPr>
                <w:iCs/>
              </w:rPr>
            </w:pPr>
            <w:r>
              <w:rPr>
                <w:iCs/>
              </w:rPr>
              <w:t>LT/1/23/5267/009 – N14</w:t>
            </w:r>
          </w:p>
          <w:p w14:paraId="2F5C0474" w14:textId="77777777" w:rsidR="00E96E12" w:rsidRDefault="00E97765">
            <w:pPr>
              <w:ind w:left="-57" w:right="-57"/>
              <w:rPr>
                <w:iCs/>
              </w:rPr>
            </w:pPr>
            <w:r>
              <w:rPr>
                <w:iCs/>
              </w:rPr>
              <w:t>LT/1/23/5267/010 – N28</w:t>
            </w:r>
          </w:p>
          <w:p w14:paraId="782394ED" w14:textId="77777777" w:rsidR="00E96E12" w:rsidRDefault="00E97765">
            <w:pPr>
              <w:ind w:left="-57" w:right="-57"/>
              <w:rPr>
                <w:iCs/>
              </w:rPr>
            </w:pPr>
            <w:r>
              <w:rPr>
                <w:iCs/>
              </w:rPr>
              <w:t>LT/1/23/5267/011 – N56</w:t>
            </w:r>
          </w:p>
          <w:p w14:paraId="0815508C" w14:textId="77777777" w:rsidR="00E96E12" w:rsidRDefault="00E97765">
            <w:pPr>
              <w:spacing w:after="120"/>
              <w:ind w:left="-57" w:right="-57"/>
              <w:rPr>
                <w:iCs/>
              </w:rPr>
            </w:pPr>
            <w:r>
              <w:rPr>
                <w:iCs/>
              </w:rPr>
              <w:t>LT/1/23/5267/012 – N98</w:t>
            </w:r>
          </w:p>
          <w:p w14:paraId="34BFB57F" w14:textId="77777777" w:rsidR="00E96E12" w:rsidRDefault="00E97765">
            <w:pPr>
              <w:ind w:left="-57" w:right="-57"/>
              <w:rPr>
                <w:iCs/>
              </w:rPr>
            </w:pPr>
            <w:r>
              <w:rPr>
                <w:iCs/>
                <w:u w:val="single"/>
              </w:rPr>
              <w:t>Dalomoji lizdinė plokštelė</w:t>
            </w:r>
            <w:r>
              <w:rPr>
                <w:iCs/>
              </w:rPr>
              <w:t>:</w:t>
            </w:r>
          </w:p>
          <w:p w14:paraId="39A28A2D" w14:textId="77777777" w:rsidR="00E96E12" w:rsidRDefault="00E97765">
            <w:pPr>
              <w:ind w:left="-57" w:right="-57"/>
              <w:rPr>
                <w:iCs/>
              </w:rPr>
            </w:pPr>
            <w:r>
              <w:rPr>
                <w:iCs/>
              </w:rPr>
              <w:t>LT/1/23/5267/013 – N14x1</w:t>
            </w:r>
          </w:p>
          <w:p w14:paraId="2B9BAD4D" w14:textId="77777777" w:rsidR="00E96E12" w:rsidRDefault="00E97765">
            <w:pPr>
              <w:ind w:left="-57" w:right="-57"/>
              <w:rPr>
                <w:iCs/>
              </w:rPr>
            </w:pPr>
            <w:r>
              <w:rPr>
                <w:iCs/>
              </w:rPr>
              <w:t>LT/1/23/5267/014 – N28x1</w:t>
            </w:r>
          </w:p>
          <w:p w14:paraId="0E542B5B" w14:textId="77777777" w:rsidR="00E96E12" w:rsidRDefault="00E97765">
            <w:pPr>
              <w:ind w:left="-57" w:right="-57"/>
              <w:rPr>
                <w:iCs/>
              </w:rPr>
            </w:pPr>
            <w:r>
              <w:rPr>
                <w:iCs/>
              </w:rPr>
              <w:t>LT/1/23/5267/015 – N30x1</w:t>
            </w:r>
          </w:p>
          <w:p w14:paraId="4E10075E" w14:textId="77777777" w:rsidR="00E96E12" w:rsidRDefault="00E97765">
            <w:pPr>
              <w:ind w:left="-57" w:right="-57"/>
              <w:rPr>
                <w:iCs/>
              </w:rPr>
            </w:pPr>
            <w:r>
              <w:rPr>
                <w:iCs/>
              </w:rPr>
              <w:t>LT/1/23/5267/016 – N56x1</w:t>
            </w:r>
          </w:p>
          <w:p w14:paraId="57F77BA9" w14:textId="77777777" w:rsidR="00E96E12" w:rsidRDefault="00E97765">
            <w:pPr>
              <w:ind w:left="-57" w:right="-57"/>
              <w:rPr>
                <w:iCs/>
              </w:rPr>
            </w:pPr>
            <w:r>
              <w:rPr>
                <w:iCs/>
              </w:rPr>
              <w:t>LT/1/23/5267/017 – N60x1</w:t>
            </w:r>
          </w:p>
          <w:p w14:paraId="4C4FEC6B" w14:textId="77777777" w:rsidR="00E96E12" w:rsidRDefault="00E97765">
            <w:pPr>
              <w:ind w:left="-57" w:right="-57"/>
              <w:rPr>
                <w:iCs/>
              </w:rPr>
            </w:pPr>
            <w:r>
              <w:rPr>
                <w:iCs/>
              </w:rPr>
              <w:t>LT/1/23/5267/018 – N90x1</w:t>
            </w:r>
          </w:p>
          <w:p w14:paraId="312D9F89" w14:textId="77777777" w:rsidR="00E96E12" w:rsidRDefault="00E97765">
            <w:pPr>
              <w:ind w:left="-57" w:right="-57"/>
              <w:rPr>
                <w:iCs/>
              </w:rPr>
            </w:pPr>
            <w:r>
              <w:rPr>
                <w:iCs/>
              </w:rPr>
              <w:t>LT/1/23/5267/019 – N98x1</w:t>
            </w:r>
          </w:p>
          <w:p w14:paraId="3E4E1C5E" w14:textId="77777777" w:rsidR="00E96E12" w:rsidRDefault="00E97765">
            <w:pPr>
              <w:spacing w:after="120"/>
              <w:ind w:left="-57" w:right="-57"/>
              <w:rPr>
                <w:iCs/>
              </w:rPr>
            </w:pPr>
            <w:r>
              <w:rPr>
                <w:iCs/>
              </w:rPr>
              <w:t>LT/1/23/5267/020 – N100x1</w:t>
            </w:r>
          </w:p>
          <w:p w14:paraId="55A31492" w14:textId="77777777" w:rsidR="00E96E12" w:rsidRDefault="00E97765">
            <w:pPr>
              <w:ind w:left="-57" w:right="-57"/>
              <w:rPr>
                <w:iCs/>
              </w:rPr>
            </w:pPr>
            <w:r>
              <w:rPr>
                <w:iCs/>
                <w:u w:val="single"/>
              </w:rPr>
              <w:t>Dalomoji lizdinė plokštelė (kalendorinė pakuotė</w:t>
            </w:r>
            <w:r>
              <w:rPr>
                <w:iCs/>
              </w:rPr>
              <w:t>):</w:t>
            </w:r>
          </w:p>
          <w:p w14:paraId="6C58F762" w14:textId="77777777" w:rsidR="00E96E12" w:rsidRDefault="00E97765">
            <w:pPr>
              <w:ind w:left="-57" w:right="-57"/>
              <w:rPr>
                <w:iCs/>
              </w:rPr>
            </w:pPr>
            <w:r>
              <w:rPr>
                <w:iCs/>
              </w:rPr>
              <w:t>LT/1/23/5267/021 – N14x1</w:t>
            </w:r>
          </w:p>
          <w:p w14:paraId="2C175C58" w14:textId="77777777" w:rsidR="00E96E12" w:rsidRDefault="00E97765">
            <w:pPr>
              <w:ind w:left="-57" w:right="-57"/>
              <w:rPr>
                <w:iCs/>
              </w:rPr>
            </w:pPr>
            <w:r>
              <w:rPr>
                <w:iCs/>
              </w:rPr>
              <w:t>LT/1/23/5267/022 – N28x1</w:t>
            </w:r>
          </w:p>
          <w:p w14:paraId="173E6B9F" w14:textId="77777777" w:rsidR="00E96E12" w:rsidRDefault="00E97765">
            <w:pPr>
              <w:ind w:left="-57" w:right="-57"/>
              <w:rPr>
                <w:iCs/>
              </w:rPr>
            </w:pPr>
            <w:r>
              <w:rPr>
                <w:iCs/>
              </w:rPr>
              <w:t>LT/1/23/5267/023 – N56x1</w:t>
            </w:r>
          </w:p>
          <w:p w14:paraId="50B36975" w14:textId="77777777" w:rsidR="00E96E12" w:rsidRDefault="00E97765">
            <w:pPr>
              <w:ind w:left="-57" w:right="-57"/>
              <w:rPr>
                <w:iCs/>
              </w:rPr>
            </w:pPr>
            <w:r>
              <w:rPr>
                <w:iCs/>
              </w:rPr>
              <w:t>LT/1/23/5267/024 – N98x1</w:t>
            </w:r>
          </w:p>
        </w:tc>
      </w:tr>
    </w:tbl>
    <w:p w14:paraId="2381A512" w14:textId="77777777" w:rsidR="00E96E12" w:rsidRDefault="00E96E12">
      <w:pPr>
        <w:rPr>
          <w:i/>
          <w:iCs/>
        </w:rPr>
      </w:pPr>
    </w:p>
    <w:p w14:paraId="3FA65B83" w14:textId="77777777" w:rsidR="00E96E12" w:rsidRDefault="00E96E12">
      <w:pPr>
        <w:ind w:left="567" w:hanging="567"/>
      </w:pPr>
    </w:p>
    <w:p w14:paraId="6C117E5D" w14:textId="77777777" w:rsidR="00E96E12" w:rsidRDefault="00E97765">
      <w:pPr>
        <w:ind w:left="567" w:hanging="567"/>
        <w:rPr>
          <w:b/>
          <w:caps/>
        </w:rPr>
      </w:pPr>
      <w:r>
        <w:rPr>
          <w:b/>
          <w:caps/>
        </w:rPr>
        <w:t>9.</w:t>
      </w:r>
      <w:r>
        <w:rPr>
          <w:b/>
          <w:caps/>
        </w:rPr>
        <w:tab/>
      </w:r>
      <w:r>
        <w:rPr>
          <w:b/>
          <w:caps/>
          <w:noProof/>
        </w:rPr>
        <w:t xml:space="preserve">REGISTRAVIMO / PERREGISTRAVIMO </w:t>
      </w:r>
      <w:r>
        <w:rPr>
          <w:b/>
          <w:caps/>
        </w:rPr>
        <w:t>data</w:t>
      </w:r>
    </w:p>
    <w:p w14:paraId="7629A474" w14:textId="77777777" w:rsidR="00E96E12" w:rsidRDefault="00E96E12">
      <w:pPr>
        <w:ind w:left="567" w:hanging="567"/>
        <w:rPr>
          <w:b/>
          <w:caps/>
        </w:rPr>
      </w:pPr>
    </w:p>
    <w:p w14:paraId="3696DAEC" w14:textId="77777777" w:rsidR="00E96E12" w:rsidRDefault="00E97765">
      <w:pPr>
        <w:rPr>
          <w:szCs w:val="22"/>
        </w:rPr>
      </w:pPr>
      <w:r>
        <w:rPr>
          <w:noProof/>
          <w:snapToGrid w:val="0"/>
        </w:rPr>
        <w:t xml:space="preserve">Registravimo data </w:t>
      </w:r>
      <w:r>
        <w:rPr>
          <w:szCs w:val="22"/>
        </w:rPr>
        <w:t>2023 m. lapkričio 16 d.</w:t>
      </w:r>
    </w:p>
    <w:p w14:paraId="54594F0C" w14:textId="77777777" w:rsidR="00E96E12" w:rsidRDefault="00E96E12">
      <w:pPr>
        <w:ind w:left="567" w:hanging="567"/>
      </w:pPr>
    </w:p>
    <w:p w14:paraId="013A6BDC" w14:textId="77777777" w:rsidR="00E96E12" w:rsidRDefault="00E96E12">
      <w:pPr>
        <w:ind w:left="567" w:hanging="567"/>
      </w:pPr>
    </w:p>
    <w:p w14:paraId="39488AFF" w14:textId="77777777" w:rsidR="00E96E12" w:rsidRDefault="00E97765">
      <w:pPr>
        <w:ind w:left="567" w:hanging="567"/>
        <w:rPr>
          <w:b/>
          <w:caps/>
        </w:rPr>
      </w:pPr>
      <w:r>
        <w:rPr>
          <w:b/>
          <w:caps/>
        </w:rPr>
        <w:t>10.</w:t>
      </w:r>
      <w:r>
        <w:rPr>
          <w:b/>
          <w:caps/>
        </w:rPr>
        <w:tab/>
        <w:t>teksto peržiūros data</w:t>
      </w:r>
    </w:p>
    <w:p w14:paraId="2F093BB2" w14:textId="77777777" w:rsidR="00E96E12" w:rsidRDefault="00E96E12">
      <w:pPr>
        <w:ind w:left="567" w:hanging="567"/>
        <w:rPr>
          <w:b/>
          <w:caps/>
        </w:rPr>
      </w:pPr>
    </w:p>
    <w:p w14:paraId="1043DF8D" w14:textId="25B4A650" w:rsidR="00E96E12" w:rsidRDefault="00E97765">
      <w:pPr>
        <w:ind w:left="567" w:hanging="567"/>
        <w:rPr>
          <w:szCs w:val="22"/>
        </w:rPr>
      </w:pPr>
      <w:r>
        <w:rPr>
          <w:szCs w:val="22"/>
        </w:rPr>
        <w:t>2026 m. gegužės 18 d.</w:t>
      </w:r>
    </w:p>
    <w:p w14:paraId="16E3ED6E" w14:textId="77777777" w:rsidR="00E96E12" w:rsidRDefault="00E96E12">
      <w:pPr>
        <w:ind w:left="567" w:hanging="567"/>
      </w:pPr>
    </w:p>
    <w:p w14:paraId="41185A32" w14:textId="77777777" w:rsidR="00E96E12" w:rsidRDefault="00E97765">
      <w:r>
        <w:rPr>
          <w:rFonts w:eastAsia="Calibri"/>
          <w:noProof/>
          <w:szCs w:val="22"/>
        </w:rPr>
        <w:t xml:space="preserve">Išsami informacija apie šį vaistinį preparatą pateikiama Valstybinės vaistų kontrolės tarnybos prie Lietuvos Respublikos sveikatos apsaugos ministerijos tinklalapyje </w:t>
      </w:r>
      <w:r>
        <w:rPr>
          <w:color w:val="0000EE"/>
          <w:szCs w:val="22"/>
          <w:u w:val="single"/>
          <w:lang w:eastAsia="lt-LT"/>
        </w:rPr>
        <w:t>https://vvkt.lrv.lt/lt/</w:t>
      </w:r>
      <w:r>
        <w:rPr>
          <w:rFonts w:eastAsia="Calibri"/>
          <w:noProof/>
          <w:szCs w:val="22"/>
        </w:rPr>
        <w:t xml:space="preserve"> </w:t>
      </w:r>
    </w:p>
    <w:p w14:paraId="5E4903B5" w14:textId="77777777" w:rsidR="00E96E12" w:rsidRDefault="00E97765">
      <w:pPr>
        <w:rPr>
          <w:noProof/>
        </w:rPr>
      </w:pPr>
      <w:r>
        <w:br w:type="page"/>
      </w:r>
    </w:p>
    <w:p w14:paraId="322024E6" w14:textId="77777777" w:rsidR="00E96E12" w:rsidRDefault="00E96E12">
      <w:pPr>
        <w:widowControl w:val="0"/>
        <w:tabs>
          <w:tab w:val="left" w:pos="567"/>
        </w:tabs>
        <w:ind w:left="567" w:hanging="567"/>
        <w:jc w:val="center"/>
        <w:outlineLvl w:val="0"/>
        <w:rPr>
          <w:b/>
          <w:caps/>
          <w:szCs w:val="22"/>
        </w:rPr>
      </w:pPr>
      <w:bookmarkStart w:id="0" w:name="_Toc129243128"/>
      <w:bookmarkStart w:id="1" w:name="_Toc129243253"/>
    </w:p>
    <w:p w14:paraId="163465D9" w14:textId="77777777" w:rsidR="00E96E12" w:rsidRDefault="00E96E12">
      <w:pPr>
        <w:widowControl w:val="0"/>
        <w:tabs>
          <w:tab w:val="left" w:pos="567"/>
        </w:tabs>
        <w:ind w:left="567" w:hanging="567"/>
        <w:jc w:val="center"/>
        <w:outlineLvl w:val="0"/>
        <w:rPr>
          <w:b/>
          <w:caps/>
          <w:szCs w:val="22"/>
        </w:rPr>
      </w:pPr>
    </w:p>
    <w:p w14:paraId="7333E496" w14:textId="77777777" w:rsidR="00E96E12" w:rsidRDefault="00E96E12">
      <w:pPr>
        <w:widowControl w:val="0"/>
        <w:tabs>
          <w:tab w:val="left" w:pos="567"/>
        </w:tabs>
        <w:ind w:left="567" w:hanging="567"/>
        <w:jc w:val="center"/>
        <w:outlineLvl w:val="0"/>
        <w:rPr>
          <w:b/>
          <w:caps/>
          <w:szCs w:val="22"/>
        </w:rPr>
      </w:pPr>
    </w:p>
    <w:p w14:paraId="28D53585" w14:textId="77777777" w:rsidR="00E96E12" w:rsidRDefault="00E96E12">
      <w:pPr>
        <w:widowControl w:val="0"/>
        <w:tabs>
          <w:tab w:val="left" w:pos="567"/>
        </w:tabs>
        <w:ind w:left="567" w:hanging="567"/>
        <w:jc w:val="center"/>
        <w:outlineLvl w:val="0"/>
        <w:rPr>
          <w:b/>
          <w:caps/>
          <w:szCs w:val="22"/>
        </w:rPr>
      </w:pPr>
    </w:p>
    <w:p w14:paraId="1672FFDE" w14:textId="77777777" w:rsidR="00E96E12" w:rsidRDefault="00E96E12">
      <w:pPr>
        <w:widowControl w:val="0"/>
        <w:tabs>
          <w:tab w:val="left" w:pos="567"/>
        </w:tabs>
        <w:ind w:left="567" w:hanging="567"/>
        <w:jc w:val="center"/>
        <w:outlineLvl w:val="0"/>
        <w:rPr>
          <w:b/>
          <w:caps/>
          <w:szCs w:val="22"/>
        </w:rPr>
      </w:pPr>
    </w:p>
    <w:p w14:paraId="54CEA53D" w14:textId="77777777" w:rsidR="00E96E12" w:rsidRDefault="00E96E12">
      <w:pPr>
        <w:widowControl w:val="0"/>
        <w:tabs>
          <w:tab w:val="left" w:pos="567"/>
        </w:tabs>
        <w:ind w:left="567" w:hanging="567"/>
        <w:jc w:val="center"/>
        <w:outlineLvl w:val="0"/>
        <w:rPr>
          <w:b/>
          <w:caps/>
          <w:szCs w:val="22"/>
        </w:rPr>
      </w:pPr>
    </w:p>
    <w:p w14:paraId="16A5FAD7" w14:textId="77777777" w:rsidR="00E96E12" w:rsidRDefault="00E96E12">
      <w:pPr>
        <w:widowControl w:val="0"/>
        <w:tabs>
          <w:tab w:val="left" w:pos="567"/>
        </w:tabs>
        <w:ind w:left="567" w:hanging="567"/>
        <w:jc w:val="center"/>
        <w:outlineLvl w:val="0"/>
        <w:rPr>
          <w:b/>
          <w:caps/>
          <w:szCs w:val="22"/>
        </w:rPr>
      </w:pPr>
    </w:p>
    <w:p w14:paraId="7894D03C" w14:textId="77777777" w:rsidR="00E96E12" w:rsidRDefault="00E96E12">
      <w:pPr>
        <w:widowControl w:val="0"/>
        <w:tabs>
          <w:tab w:val="left" w:pos="567"/>
        </w:tabs>
        <w:ind w:left="567" w:hanging="567"/>
        <w:jc w:val="center"/>
        <w:outlineLvl w:val="0"/>
        <w:rPr>
          <w:b/>
          <w:caps/>
          <w:szCs w:val="22"/>
        </w:rPr>
      </w:pPr>
    </w:p>
    <w:p w14:paraId="00058E9A" w14:textId="77777777" w:rsidR="00E96E12" w:rsidRDefault="00E96E12">
      <w:pPr>
        <w:widowControl w:val="0"/>
        <w:tabs>
          <w:tab w:val="left" w:pos="567"/>
        </w:tabs>
        <w:ind w:left="567" w:hanging="567"/>
        <w:jc w:val="center"/>
        <w:outlineLvl w:val="0"/>
        <w:rPr>
          <w:b/>
          <w:caps/>
          <w:szCs w:val="22"/>
        </w:rPr>
      </w:pPr>
    </w:p>
    <w:p w14:paraId="703C66B6" w14:textId="77777777" w:rsidR="00E96E12" w:rsidRDefault="00E96E12">
      <w:pPr>
        <w:widowControl w:val="0"/>
        <w:tabs>
          <w:tab w:val="left" w:pos="567"/>
        </w:tabs>
        <w:ind w:left="567" w:hanging="567"/>
        <w:jc w:val="center"/>
        <w:outlineLvl w:val="0"/>
        <w:rPr>
          <w:b/>
          <w:caps/>
          <w:szCs w:val="22"/>
        </w:rPr>
      </w:pPr>
    </w:p>
    <w:p w14:paraId="583D39DF" w14:textId="77777777" w:rsidR="00E96E12" w:rsidRDefault="00E96E12">
      <w:pPr>
        <w:widowControl w:val="0"/>
        <w:tabs>
          <w:tab w:val="left" w:pos="567"/>
        </w:tabs>
        <w:ind w:left="567" w:hanging="567"/>
        <w:jc w:val="center"/>
        <w:outlineLvl w:val="0"/>
        <w:rPr>
          <w:b/>
          <w:caps/>
          <w:szCs w:val="22"/>
        </w:rPr>
      </w:pPr>
    </w:p>
    <w:p w14:paraId="3FE1FB0D" w14:textId="77777777" w:rsidR="00E96E12" w:rsidRDefault="00E96E12">
      <w:pPr>
        <w:widowControl w:val="0"/>
        <w:tabs>
          <w:tab w:val="left" w:pos="567"/>
        </w:tabs>
        <w:ind w:left="567" w:hanging="567"/>
        <w:jc w:val="center"/>
        <w:outlineLvl w:val="0"/>
        <w:rPr>
          <w:b/>
          <w:caps/>
          <w:szCs w:val="22"/>
        </w:rPr>
      </w:pPr>
    </w:p>
    <w:p w14:paraId="5B68EFCC" w14:textId="77777777" w:rsidR="00E96E12" w:rsidRDefault="00E96E12">
      <w:pPr>
        <w:widowControl w:val="0"/>
        <w:tabs>
          <w:tab w:val="left" w:pos="567"/>
        </w:tabs>
        <w:ind w:left="567" w:hanging="567"/>
        <w:jc w:val="center"/>
        <w:outlineLvl w:val="0"/>
        <w:rPr>
          <w:b/>
          <w:caps/>
          <w:szCs w:val="22"/>
        </w:rPr>
      </w:pPr>
    </w:p>
    <w:p w14:paraId="63C44949" w14:textId="77777777" w:rsidR="00E96E12" w:rsidRDefault="00E96E12">
      <w:pPr>
        <w:widowControl w:val="0"/>
        <w:tabs>
          <w:tab w:val="left" w:pos="567"/>
        </w:tabs>
        <w:ind w:left="567" w:hanging="567"/>
        <w:jc w:val="center"/>
        <w:outlineLvl w:val="0"/>
        <w:rPr>
          <w:b/>
          <w:caps/>
          <w:szCs w:val="22"/>
        </w:rPr>
      </w:pPr>
    </w:p>
    <w:p w14:paraId="7C3C7019" w14:textId="77777777" w:rsidR="00E96E12" w:rsidRDefault="00E96E12">
      <w:pPr>
        <w:widowControl w:val="0"/>
        <w:tabs>
          <w:tab w:val="left" w:pos="567"/>
        </w:tabs>
        <w:ind w:left="567" w:hanging="567"/>
        <w:jc w:val="center"/>
        <w:outlineLvl w:val="0"/>
        <w:rPr>
          <w:b/>
          <w:caps/>
          <w:szCs w:val="22"/>
        </w:rPr>
      </w:pPr>
    </w:p>
    <w:p w14:paraId="35A57594" w14:textId="77777777" w:rsidR="00E96E12" w:rsidRDefault="00E96E12">
      <w:pPr>
        <w:widowControl w:val="0"/>
        <w:tabs>
          <w:tab w:val="left" w:pos="567"/>
        </w:tabs>
        <w:ind w:left="567" w:hanging="567"/>
        <w:jc w:val="center"/>
        <w:outlineLvl w:val="0"/>
        <w:rPr>
          <w:b/>
          <w:caps/>
          <w:szCs w:val="22"/>
        </w:rPr>
      </w:pPr>
    </w:p>
    <w:p w14:paraId="279C8A68" w14:textId="77777777" w:rsidR="00E96E12" w:rsidRDefault="00E96E12">
      <w:pPr>
        <w:widowControl w:val="0"/>
        <w:tabs>
          <w:tab w:val="left" w:pos="567"/>
        </w:tabs>
        <w:ind w:left="567" w:hanging="567"/>
        <w:jc w:val="center"/>
        <w:outlineLvl w:val="0"/>
        <w:rPr>
          <w:b/>
          <w:caps/>
          <w:szCs w:val="22"/>
        </w:rPr>
      </w:pPr>
    </w:p>
    <w:p w14:paraId="3B7670E1" w14:textId="77777777" w:rsidR="00E96E12" w:rsidRDefault="00E96E12">
      <w:pPr>
        <w:widowControl w:val="0"/>
        <w:tabs>
          <w:tab w:val="left" w:pos="567"/>
        </w:tabs>
        <w:ind w:left="567" w:hanging="567"/>
        <w:jc w:val="center"/>
        <w:outlineLvl w:val="0"/>
        <w:rPr>
          <w:b/>
          <w:caps/>
          <w:szCs w:val="22"/>
        </w:rPr>
      </w:pPr>
    </w:p>
    <w:p w14:paraId="49D52AF3" w14:textId="77777777" w:rsidR="00E96E12" w:rsidRDefault="00E96E12">
      <w:pPr>
        <w:widowControl w:val="0"/>
        <w:tabs>
          <w:tab w:val="left" w:pos="567"/>
        </w:tabs>
        <w:ind w:left="567" w:hanging="567"/>
        <w:jc w:val="center"/>
        <w:outlineLvl w:val="0"/>
        <w:rPr>
          <w:b/>
          <w:caps/>
          <w:szCs w:val="22"/>
        </w:rPr>
      </w:pPr>
    </w:p>
    <w:p w14:paraId="11DD837F" w14:textId="77777777" w:rsidR="00E96E12" w:rsidRDefault="00E96E12">
      <w:pPr>
        <w:widowControl w:val="0"/>
        <w:tabs>
          <w:tab w:val="left" w:pos="567"/>
        </w:tabs>
        <w:ind w:left="567" w:hanging="567"/>
        <w:jc w:val="center"/>
        <w:outlineLvl w:val="0"/>
        <w:rPr>
          <w:b/>
          <w:caps/>
          <w:szCs w:val="22"/>
        </w:rPr>
      </w:pPr>
    </w:p>
    <w:p w14:paraId="7A0A6318" w14:textId="77777777" w:rsidR="00E96E12" w:rsidRDefault="00E96E12">
      <w:pPr>
        <w:widowControl w:val="0"/>
        <w:tabs>
          <w:tab w:val="left" w:pos="567"/>
        </w:tabs>
        <w:ind w:left="567" w:hanging="567"/>
        <w:jc w:val="center"/>
        <w:outlineLvl w:val="0"/>
        <w:rPr>
          <w:b/>
          <w:caps/>
          <w:szCs w:val="22"/>
        </w:rPr>
      </w:pPr>
    </w:p>
    <w:p w14:paraId="7B888641" w14:textId="77777777" w:rsidR="00E96E12" w:rsidRDefault="00E96E12">
      <w:pPr>
        <w:widowControl w:val="0"/>
        <w:tabs>
          <w:tab w:val="left" w:pos="567"/>
        </w:tabs>
        <w:ind w:left="567" w:hanging="567"/>
        <w:jc w:val="center"/>
        <w:outlineLvl w:val="0"/>
        <w:rPr>
          <w:b/>
          <w:caps/>
          <w:szCs w:val="22"/>
        </w:rPr>
      </w:pPr>
    </w:p>
    <w:p w14:paraId="3F93533D" w14:textId="77777777" w:rsidR="00E96E12" w:rsidRDefault="00E96E12">
      <w:pPr>
        <w:widowControl w:val="0"/>
        <w:tabs>
          <w:tab w:val="left" w:pos="567"/>
        </w:tabs>
        <w:ind w:left="567" w:hanging="567"/>
        <w:jc w:val="center"/>
        <w:outlineLvl w:val="0"/>
        <w:rPr>
          <w:b/>
          <w:caps/>
          <w:szCs w:val="22"/>
        </w:rPr>
      </w:pPr>
    </w:p>
    <w:p w14:paraId="11ED2D18" w14:textId="77777777" w:rsidR="00E96E12" w:rsidRDefault="00E97765">
      <w:pPr>
        <w:widowControl w:val="0"/>
        <w:tabs>
          <w:tab w:val="left" w:pos="567"/>
        </w:tabs>
        <w:ind w:left="567" w:hanging="567"/>
        <w:jc w:val="center"/>
        <w:outlineLvl w:val="0"/>
        <w:rPr>
          <w:b/>
          <w:caps/>
          <w:szCs w:val="22"/>
        </w:rPr>
      </w:pPr>
      <w:r>
        <w:rPr>
          <w:b/>
          <w:caps/>
          <w:szCs w:val="22"/>
        </w:rPr>
        <w:t>II PRIEDAS</w:t>
      </w:r>
      <w:bookmarkEnd w:id="0"/>
      <w:bookmarkEnd w:id="1"/>
    </w:p>
    <w:p w14:paraId="52E7B4B4" w14:textId="77777777" w:rsidR="00E96E12" w:rsidRDefault="00E96E12">
      <w:pPr>
        <w:widowControl w:val="0"/>
        <w:tabs>
          <w:tab w:val="left" w:pos="567"/>
        </w:tabs>
        <w:ind w:left="567" w:hanging="567"/>
        <w:jc w:val="center"/>
        <w:outlineLvl w:val="0"/>
        <w:rPr>
          <w:b/>
          <w:caps/>
          <w:szCs w:val="22"/>
        </w:rPr>
      </w:pPr>
    </w:p>
    <w:p w14:paraId="1E0C4611" w14:textId="77777777" w:rsidR="00E96E12" w:rsidRDefault="00E97765">
      <w:pPr>
        <w:widowControl w:val="0"/>
        <w:tabs>
          <w:tab w:val="left" w:pos="567"/>
        </w:tabs>
        <w:ind w:left="567" w:hanging="567"/>
        <w:jc w:val="center"/>
        <w:outlineLvl w:val="0"/>
        <w:rPr>
          <w:b/>
          <w:caps/>
          <w:szCs w:val="22"/>
        </w:rPr>
      </w:pPr>
      <w:r>
        <w:rPr>
          <w:b/>
          <w:caps/>
          <w:szCs w:val="22"/>
          <w:lang w:eastAsia="sl-SI"/>
        </w:rPr>
        <w:t>REGISTRACIJOS</w:t>
      </w:r>
      <w:r>
        <w:rPr>
          <w:b/>
          <w:caps/>
          <w:szCs w:val="22"/>
        </w:rPr>
        <w:t xml:space="preserve"> SĄLYGOS</w:t>
      </w:r>
    </w:p>
    <w:p w14:paraId="57E8CA7F" w14:textId="77777777" w:rsidR="00E96E12" w:rsidRDefault="00E96E12">
      <w:pPr>
        <w:widowControl w:val="0"/>
        <w:rPr>
          <w:szCs w:val="22"/>
        </w:rPr>
      </w:pPr>
    </w:p>
    <w:p w14:paraId="18AD5F8D" w14:textId="77777777" w:rsidR="00E96E12" w:rsidRDefault="00E97765">
      <w:pPr>
        <w:widowControl w:val="0"/>
        <w:ind w:left="1701" w:hanging="567"/>
        <w:jc w:val="both"/>
        <w:rPr>
          <w:b/>
          <w:szCs w:val="22"/>
        </w:rPr>
      </w:pPr>
      <w:r>
        <w:rPr>
          <w:b/>
          <w:szCs w:val="22"/>
        </w:rPr>
        <w:t>A.</w:t>
      </w:r>
      <w:r>
        <w:rPr>
          <w:b/>
          <w:szCs w:val="22"/>
        </w:rPr>
        <w:tab/>
        <w:t>GAMINTOJAS</w:t>
      </w:r>
      <w:r>
        <w:rPr>
          <w:b/>
          <w:noProof/>
          <w:snapToGrid w:val="0"/>
          <w:szCs w:val="22"/>
          <w:lang w:eastAsia="sl-SI"/>
        </w:rPr>
        <w:t xml:space="preserve"> (-AI),</w:t>
      </w:r>
      <w:r>
        <w:rPr>
          <w:b/>
          <w:szCs w:val="22"/>
        </w:rPr>
        <w:t xml:space="preserve"> ATSAKINGAS</w:t>
      </w:r>
      <w:r>
        <w:rPr>
          <w:szCs w:val="22"/>
          <w:lang w:eastAsia="sl-SI"/>
        </w:rPr>
        <w:t xml:space="preserve"> </w:t>
      </w:r>
      <w:r>
        <w:rPr>
          <w:b/>
          <w:noProof/>
          <w:snapToGrid w:val="0"/>
          <w:szCs w:val="22"/>
          <w:lang w:eastAsia="sl-SI"/>
        </w:rPr>
        <w:t xml:space="preserve">(-I) </w:t>
      </w:r>
      <w:r>
        <w:rPr>
          <w:b/>
          <w:szCs w:val="22"/>
        </w:rPr>
        <w:t>UŽ SERIJŲ IŠLEIDIMĄ</w:t>
      </w:r>
    </w:p>
    <w:p w14:paraId="4E376FE6" w14:textId="77777777" w:rsidR="00E96E12" w:rsidRDefault="00E96E12">
      <w:pPr>
        <w:widowControl w:val="0"/>
        <w:ind w:left="1701" w:hanging="567"/>
        <w:rPr>
          <w:szCs w:val="22"/>
          <w:highlight w:val="yellow"/>
        </w:rPr>
      </w:pPr>
    </w:p>
    <w:p w14:paraId="3FCCB5ED" w14:textId="77777777" w:rsidR="00E96E12" w:rsidRDefault="00E97765">
      <w:pPr>
        <w:widowControl w:val="0"/>
        <w:tabs>
          <w:tab w:val="left" w:pos="567"/>
        </w:tabs>
        <w:ind w:left="1701" w:hanging="567"/>
        <w:outlineLvl w:val="0"/>
        <w:rPr>
          <w:b/>
          <w:caps/>
          <w:szCs w:val="22"/>
        </w:rPr>
      </w:pPr>
      <w:r>
        <w:rPr>
          <w:b/>
          <w:caps/>
          <w:szCs w:val="22"/>
        </w:rPr>
        <w:t>B.</w:t>
      </w:r>
      <w:r>
        <w:rPr>
          <w:b/>
          <w:snapToGrid w:val="0"/>
          <w:szCs w:val="22"/>
          <w:lang w:eastAsia="sl-SI"/>
        </w:rPr>
        <w:tab/>
      </w:r>
      <w:r>
        <w:rPr>
          <w:b/>
          <w:caps/>
          <w:szCs w:val="22"/>
        </w:rPr>
        <w:t>TIEKIMO IR VARTOJIMO SĄLYGOS AR APRIBOJIMAI</w:t>
      </w:r>
    </w:p>
    <w:p w14:paraId="2B6C2A1A" w14:textId="77777777" w:rsidR="00E96E12" w:rsidRDefault="00E97765">
      <w:pPr>
        <w:widowControl w:val="0"/>
        <w:tabs>
          <w:tab w:val="left" w:pos="567"/>
        </w:tabs>
        <w:ind w:left="567" w:hanging="567"/>
        <w:outlineLvl w:val="1"/>
        <w:rPr>
          <w:b/>
          <w:szCs w:val="22"/>
        </w:rPr>
      </w:pPr>
      <w:r>
        <w:rPr>
          <w:b/>
          <w:szCs w:val="22"/>
        </w:rPr>
        <w:br w:type="page"/>
      </w:r>
      <w:r>
        <w:rPr>
          <w:b/>
          <w:szCs w:val="22"/>
          <w:lang w:eastAsia="sl-SI"/>
        </w:rPr>
        <w:lastRenderedPageBreak/>
        <w:t>A</w:t>
      </w:r>
      <w:r>
        <w:rPr>
          <w:b/>
          <w:szCs w:val="22"/>
        </w:rPr>
        <w:t>.</w:t>
      </w:r>
      <w:r>
        <w:rPr>
          <w:b/>
          <w:szCs w:val="22"/>
        </w:rPr>
        <w:tab/>
        <w:t>GAMINTOJAS</w:t>
      </w:r>
      <w:r>
        <w:rPr>
          <w:b/>
          <w:szCs w:val="22"/>
          <w:lang w:eastAsia="sl-SI"/>
        </w:rPr>
        <w:t xml:space="preserve"> (-AI),</w:t>
      </w:r>
      <w:r>
        <w:rPr>
          <w:b/>
          <w:szCs w:val="22"/>
        </w:rPr>
        <w:t xml:space="preserve"> ATSAKINGAS </w:t>
      </w:r>
      <w:r>
        <w:rPr>
          <w:b/>
          <w:szCs w:val="22"/>
          <w:lang w:eastAsia="sl-SI"/>
        </w:rPr>
        <w:t xml:space="preserve">(-I) </w:t>
      </w:r>
      <w:r>
        <w:rPr>
          <w:b/>
          <w:szCs w:val="22"/>
        </w:rPr>
        <w:t>UŽ SERIJŲ IŠLEIDIMĄ</w:t>
      </w:r>
    </w:p>
    <w:p w14:paraId="6F97FB96" w14:textId="77777777" w:rsidR="00E96E12" w:rsidRDefault="00E96E12">
      <w:pPr>
        <w:widowControl w:val="0"/>
        <w:rPr>
          <w:szCs w:val="22"/>
          <w:highlight w:val="yellow"/>
        </w:rPr>
      </w:pPr>
    </w:p>
    <w:p w14:paraId="349BA905" w14:textId="77777777" w:rsidR="00E96E12" w:rsidRDefault="00E97765">
      <w:pPr>
        <w:widowControl w:val="0"/>
        <w:rPr>
          <w:szCs w:val="22"/>
          <w:lang w:eastAsia="sl-SI"/>
        </w:rPr>
      </w:pPr>
      <w:r>
        <w:rPr>
          <w:szCs w:val="22"/>
          <w:u w:val="single"/>
        </w:rPr>
        <w:t>Gamintojo</w:t>
      </w:r>
      <w:r>
        <w:rPr>
          <w:szCs w:val="22"/>
          <w:u w:val="single"/>
          <w:lang w:eastAsia="sl-SI"/>
        </w:rPr>
        <w:t xml:space="preserve"> (-ų),</w:t>
      </w:r>
      <w:r>
        <w:rPr>
          <w:szCs w:val="22"/>
          <w:u w:val="single"/>
        </w:rPr>
        <w:t xml:space="preserve"> atsakingo </w:t>
      </w:r>
      <w:r>
        <w:rPr>
          <w:szCs w:val="22"/>
          <w:u w:val="single"/>
          <w:lang w:eastAsia="sl-SI"/>
        </w:rPr>
        <w:t xml:space="preserve">(-ų) </w:t>
      </w:r>
      <w:r>
        <w:rPr>
          <w:szCs w:val="22"/>
          <w:u w:val="single"/>
        </w:rPr>
        <w:t xml:space="preserve">už serijų išleidimą, pavadinimas </w:t>
      </w:r>
      <w:r>
        <w:rPr>
          <w:szCs w:val="22"/>
          <w:u w:val="single"/>
          <w:lang w:eastAsia="sl-SI"/>
        </w:rPr>
        <w:t xml:space="preserve">(-ai) </w:t>
      </w:r>
      <w:r>
        <w:rPr>
          <w:szCs w:val="22"/>
          <w:u w:val="single"/>
        </w:rPr>
        <w:t>ir adresas</w:t>
      </w:r>
      <w:r>
        <w:rPr>
          <w:szCs w:val="22"/>
          <w:u w:val="single"/>
          <w:lang w:eastAsia="sl-SI"/>
        </w:rPr>
        <w:t xml:space="preserve"> (-ai)</w:t>
      </w:r>
    </w:p>
    <w:p w14:paraId="52B004A6" w14:textId="77777777" w:rsidR="00E96E12" w:rsidRDefault="00E96E12">
      <w:pPr>
        <w:widowControl w:val="0"/>
        <w:rPr>
          <w:szCs w:val="22"/>
          <w:highlight w:val="yellow"/>
        </w:rPr>
      </w:pPr>
    </w:p>
    <w:p w14:paraId="45AF3A5B" w14:textId="77777777" w:rsidR="00E96E12" w:rsidRDefault="00E97765">
      <w:pPr>
        <w:widowControl w:val="0"/>
        <w:rPr>
          <w:szCs w:val="22"/>
          <w:lang w:eastAsia="sl-SI"/>
        </w:rPr>
      </w:pPr>
      <w:r>
        <w:rPr>
          <w:szCs w:val="22"/>
          <w:lang w:eastAsia="sl-SI"/>
        </w:rPr>
        <w:t xml:space="preserve">KRKA, </w:t>
      </w:r>
      <w:proofErr w:type="spellStart"/>
      <w:r>
        <w:rPr>
          <w:szCs w:val="22"/>
          <w:lang w:eastAsia="sl-SI"/>
        </w:rPr>
        <w:t>d.d</w:t>
      </w:r>
      <w:proofErr w:type="spellEnd"/>
      <w:r>
        <w:rPr>
          <w:szCs w:val="22"/>
          <w:lang w:eastAsia="sl-SI"/>
        </w:rPr>
        <w:t>., Novo mesto</w:t>
      </w:r>
    </w:p>
    <w:p w14:paraId="6E5E9E08" w14:textId="77777777" w:rsidR="00E96E12" w:rsidRDefault="00E97765">
      <w:pPr>
        <w:widowControl w:val="0"/>
        <w:rPr>
          <w:szCs w:val="22"/>
          <w:lang w:eastAsia="sl-SI"/>
        </w:rPr>
      </w:pPr>
      <w:proofErr w:type="spellStart"/>
      <w:r>
        <w:rPr>
          <w:szCs w:val="22"/>
          <w:lang w:eastAsia="sl-SI"/>
        </w:rPr>
        <w:t>Šmarješka</w:t>
      </w:r>
      <w:proofErr w:type="spellEnd"/>
      <w:r>
        <w:rPr>
          <w:szCs w:val="22"/>
          <w:lang w:eastAsia="sl-SI"/>
        </w:rPr>
        <w:t xml:space="preserve"> </w:t>
      </w:r>
      <w:proofErr w:type="spellStart"/>
      <w:r>
        <w:rPr>
          <w:szCs w:val="22"/>
          <w:lang w:eastAsia="sl-SI"/>
        </w:rPr>
        <w:t>cesta</w:t>
      </w:r>
      <w:proofErr w:type="spellEnd"/>
      <w:r>
        <w:rPr>
          <w:szCs w:val="22"/>
          <w:lang w:eastAsia="sl-SI"/>
        </w:rPr>
        <w:t xml:space="preserve"> 6</w:t>
      </w:r>
    </w:p>
    <w:p w14:paraId="3EE1851A" w14:textId="77777777" w:rsidR="00E96E12" w:rsidRDefault="00E97765">
      <w:pPr>
        <w:widowControl w:val="0"/>
        <w:rPr>
          <w:szCs w:val="22"/>
          <w:lang w:eastAsia="sl-SI"/>
        </w:rPr>
      </w:pPr>
      <w:r>
        <w:rPr>
          <w:szCs w:val="22"/>
          <w:lang w:eastAsia="sl-SI"/>
        </w:rPr>
        <w:t>8501 Novo mesto</w:t>
      </w:r>
    </w:p>
    <w:p w14:paraId="6CBC1B5F" w14:textId="77777777" w:rsidR="00E96E12" w:rsidRDefault="00E97765">
      <w:pPr>
        <w:widowControl w:val="0"/>
        <w:rPr>
          <w:szCs w:val="22"/>
          <w:lang w:eastAsia="sl-SI"/>
        </w:rPr>
      </w:pPr>
      <w:r>
        <w:rPr>
          <w:szCs w:val="22"/>
          <w:lang w:eastAsia="sl-SI"/>
        </w:rPr>
        <w:t>Slovėnija</w:t>
      </w:r>
    </w:p>
    <w:p w14:paraId="0772FF0E" w14:textId="77777777" w:rsidR="00E96E12" w:rsidRDefault="00E96E12">
      <w:pPr>
        <w:widowControl w:val="0"/>
        <w:rPr>
          <w:szCs w:val="22"/>
          <w:highlight w:val="yellow"/>
        </w:rPr>
      </w:pPr>
    </w:p>
    <w:p w14:paraId="61AF7328" w14:textId="77777777" w:rsidR="00E96E12" w:rsidRDefault="00E96E12">
      <w:pPr>
        <w:widowControl w:val="0"/>
        <w:rPr>
          <w:szCs w:val="22"/>
          <w:highlight w:val="yellow"/>
        </w:rPr>
      </w:pPr>
    </w:p>
    <w:p w14:paraId="22E1B2C7" w14:textId="77777777" w:rsidR="00E96E12" w:rsidRDefault="00E97765">
      <w:pPr>
        <w:widowControl w:val="0"/>
        <w:tabs>
          <w:tab w:val="left" w:pos="567"/>
        </w:tabs>
        <w:ind w:left="567" w:hanging="567"/>
        <w:outlineLvl w:val="2"/>
        <w:rPr>
          <w:b/>
          <w:kern w:val="28"/>
          <w:szCs w:val="22"/>
        </w:rPr>
      </w:pPr>
      <w:bookmarkStart w:id="2" w:name="_Toc129243129"/>
      <w:bookmarkStart w:id="3" w:name="_Toc129243254"/>
      <w:r>
        <w:rPr>
          <w:b/>
          <w:noProof/>
          <w:snapToGrid w:val="0"/>
          <w:szCs w:val="22"/>
          <w:lang w:eastAsia="sl-SI"/>
        </w:rPr>
        <w:t>B</w:t>
      </w:r>
      <w:r>
        <w:rPr>
          <w:b/>
          <w:szCs w:val="22"/>
        </w:rPr>
        <w:t>.</w:t>
      </w:r>
      <w:r>
        <w:rPr>
          <w:b/>
          <w:szCs w:val="22"/>
        </w:rPr>
        <w:tab/>
      </w:r>
      <w:bookmarkStart w:id="4" w:name="_Toc129243130"/>
      <w:bookmarkStart w:id="5" w:name="_Toc129243255"/>
      <w:bookmarkEnd w:id="2"/>
      <w:bookmarkEnd w:id="3"/>
      <w:r>
        <w:rPr>
          <w:b/>
          <w:kern w:val="28"/>
          <w:szCs w:val="22"/>
        </w:rPr>
        <w:t>TIEKIMO IR VARTOJIMO SĄLYGOS AR APRIBOJIMAI</w:t>
      </w:r>
      <w:bookmarkEnd w:id="4"/>
      <w:bookmarkEnd w:id="5"/>
    </w:p>
    <w:p w14:paraId="47944FB0" w14:textId="77777777" w:rsidR="00E96E12" w:rsidRDefault="00E96E12">
      <w:pPr>
        <w:widowControl w:val="0"/>
        <w:rPr>
          <w:szCs w:val="22"/>
        </w:rPr>
      </w:pPr>
    </w:p>
    <w:p w14:paraId="1FC1F326" w14:textId="77777777" w:rsidR="00E96E12" w:rsidRDefault="00E97765">
      <w:pPr>
        <w:widowControl w:val="0"/>
        <w:rPr>
          <w:szCs w:val="22"/>
        </w:rPr>
      </w:pPr>
      <w:r>
        <w:rPr>
          <w:szCs w:val="22"/>
        </w:rPr>
        <w:t>Receptinis vaistinis preparatas</w:t>
      </w:r>
      <w:r>
        <w:rPr>
          <w:szCs w:val="22"/>
          <w:lang w:eastAsia="sl-SI"/>
        </w:rPr>
        <w:t>.</w:t>
      </w:r>
    </w:p>
    <w:p w14:paraId="6E99B4F8" w14:textId="77777777" w:rsidR="00E96E12" w:rsidRDefault="00E96E12">
      <w:pPr>
        <w:widowControl w:val="0"/>
        <w:rPr>
          <w:szCs w:val="22"/>
          <w:highlight w:val="yellow"/>
        </w:rPr>
      </w:pPr>
    </w:p>
    <w:p w14:paraId="19C088D4" w14:textId="77777777" w:rsidR="00E96E12" w:rsidRDefault="00E96E12">
      <w:pPr>
        <w:widowControl w:val="0"/>
        <w:tabs>
          <w:tab w:val="left" w:pos="567"/>
        </w:tabs>
        <w:ind w:left="567" w:hanging="567"/>
        <w:outlineLvl w:val="2"/>
        <w:rPr>
          <w:b/>
          <w:kern w:val="28"/>
          <w:szCs w:val="22"/>
        </w:rPr>
      </w:pPr>
    </w:p>
    <w:p w14:paraId="0A4DF4E0" w14:textId="77777777" w:rsidR="00E96E12" w:rsidRDefault="00E97765">
      <w:pPr>
        <w:widowControl w:val="0"/>
        <w:rPr>
          <w:szCs w:val="22"/>
        </w:rPr>
      </w:pPr>
      <w:r>
        <w:rPr>
          <w:szCs w:val="22"/>
        </w:rPr>
        <w:br w:type="page"/>
      </w:r>
    </w:p>
    <w:p w14:paraId="6BB7F044" w14:textId="77777777" w:rsidR="00E96E12" w:rsidRDefault="00E96E12">
      <w:pPr>
        <w:rPr>
          <w:noProof/>
        </w:rPr>
      </w:pPr>
    </w:p>
    <w:p w14:paraId="0A895811" w14:textId="77777777" w:rsidR="00E96E12" w:rsidRDefault="00E96E12">
      <w:pPr>
        <w:rPr>
          <w:noProof/>
        </w:rPr>
      </w:pPr>
    </w:p>
    <w:p w14:paraId="5204454A" w14:textId="77777777" w:rsidR="00E96E12" w:rsidRDefault="00E96E12">
      <w:pPr>
        <w:rPr>
          <w:noProof/>
        </w:rPr>
      </w:pPr>
    </w:p>
    <w:p w14:paraId="08E2FBCE" w14:textId="77777777" w:rsidR="00E96E12" w:rsidRDefault="00E96E12">
      <w:pPr>
        <w:rPr>
          <w:noProof/>
        </w:rPr>
      </w:pPr>
    </w:p>
    <w:p w14:paraId="06E2D219" w14:textId="77777777" w:rsidR="00E96E12" w:rsidRDefault="00E96E12">
      <w:pPr>
        <w:rPr>
          <w:noProof/>
        </w:rPr>
      </w:pPr>
    </w:p>
    <w:p w14:paraId="46A2CEC4" w14:textId="77777777" w:rsidR="00E96E12" w:rsidRDefault="00E96E12">
      <w:pPr>
        <w:rPr>
          <w:noProof/>
        </w:rPr>
      </w:pPr>
    </w:p>
    <w:p w14:paraId="6EE30C31" w14:textId="77777777" w:rsidR="00E96E12" w:rsidRDefault="00E96E12">
      <w:pPr>
        <w:rPr>
          <w:noProof/>
        </w:rPr>
      </w:pPr>
    </w:p>
    <w:p w14:paraId="1757AF96" w14:textId="77777777" w:rsidR="00E96E12" w:rsidRDefault="00E96E12">
      <w:pPr>
        <w:rPr>
          <w:noProof/>
        </w:rPr>
      </w:pPr>
    </w:p>
    <w:p w14:paraId="19F7C3AB" w14:textId="77777777" w:rsidR="00E96E12" w:rsidRDefault="00E96E12">
      <w:pPr>
        <w:rPr>
          <w:noProof/>
        </w:rPr>
      </w:pPr>
    </w:p>
    <w:p w14:paraId="511A371C" w14:textId="77777777" w:rsidR="00E96E12" w:rsidRDefault="00E96E12">
      <w:pPr>
        <w:rPr>
          <w:noProof/>
        </w:rPr>
      </w:pPr>
    </w:p>
    <w:p w14:paraId="75C10BA7" w14:textId="77777777" w:rsidR="00E96E12" w:rsidRDefault="00E96E12">
      <w:pPr>
        <w:rPr>
          <w:noProof/>
        </w:rPr>
      </w:pPr>
    </w:p>
    <w:p w14:paraId="09E907BF" w14:textId="77777777" w:rsidR="00E96E12" w:rsidRDefault="00E96E12">
      <w:pPr>
        <w:rPr>
          <w:noProof/>
        </w:rPr>
      </w:pPr>
    </w:p>
    <w:p w14:paraId="4BDAEA73" w14:textId="77777777" w:rsidR="00E96E12" w:rsidRDefault="00E96E12">
      <w:pPr>
        <w:rPr>
          <w:noProof/>
        </w:rPr>
      </w:pPr>
    </w:p>
    <w:p w14:paraId="2861233B" w14:textId="77777777" w:rsidR="00E96E12" w:rsidRDefault="00E96E12">
      <w:pPr>
        <w:rPr>
          <w:noProof/>
        </w:rPr>
      </w:pPr>
    </w:p>
    <w:p w14:paraId="31916607" w14:textId="77777777" w:rsidR="00E96E12" w:rsidRDefault="00E96E12">
      <w:pPr>
        <w:rPr>
          <w:noProof/>
        </w:rPr>
      </w:pPr>
    </w:p>
    <w:p w14:paraId="3203DAFC" w14:textId="77777777" w:rsidR="00E96E12" w:rsidRDefault="00E96E12">
      <w:pPr>
        <w:rPr>
          <w:noProof/>
        </w:rPr>
      </w:pPr>
    </w:p>
    <w:p w14:paraId="58F4B11D" w14:textId="77777777" w:rsidR="00E96E12" w:rsidRDefault="00E96E12">
      <w:pPr>
        <w:rPr>
          <w:noProof/>
        </w:rPr>
      </w:pPr>
    </w:p>
    <w:p w14:paraId="3E3B8EE3" w14:textId="77777777" w:rsidR="00E96E12" w:rsidRDefault="00E96E12">
      <w:pPr>
        <w:rPr>
          <w:noProof/>
        </w:rPr>
      </w:pPr>
    </w:p>
    <w:p w14:paraId="0DE55CC8" w14:textId="77777777" w:rsidR="00E96E12" w:rsidRDefault="00E96E12">
      <w:pPr>
        <w:rPr>
          <w:noProof/>
        </w:rPr>
      </w:pPr>
    </w:p>
    <w:p w14:paraId="33250E9E" w14:textId="77777777" w:rsidR="00E96E12" w:rsidRDefault="00E96E12">
      <w:pPr>
        <w:rPr>
          <w:noProof/>
        </w:rPr>
      </w:pPr>
    </w:p>
    <w:p w14:paraId="2FAE9273" w14:textId="77777777" w:rsidR="00E96E12" w:rsidRDefault="00E96E12">
      <w:pPr>
        <w:widowControl w:val="0"/>
        <w:tabs>
          <w:tab w:val="left" w:pos="567"/>
        </w:tabs>
        <w:ind w:left="567" w:hanging="567"/>
        <w:jc w:val="center"/>
        <w:outlineLvl w:val="0"/>
        <w:rPr>
          <w:b/>
          <w:caps/>
          <w:szCs w:val="22"/>
        </w:rPr>
      </w:pPr>
    </w:p>
    <w:p w14:paraId="57351174" w14:textId="77777777" w:rsidR="00E96E12" w:rsidRDefault="00E96E12">
      <w:pPr>
        <w:widowControl w:val="0"/>
        <w:tabs>
          <w:tab w:val="left" w:pos="567"/>
        </w:tabs>
        <w:ind w:left="567" w:hanging="567"/>
        <w:jc w:val="center"/>
        <w:outlineLvl w:val="0"/>
        <w:rPr>
          <w:b/>
          <w:caps/>
          <w:szCs w:val="22"/>
        </w:rPr>
      </w:pPr>
    </w:p>
    <w:p w14:paraId="29EB7A84" w14:textId="77777777" w:rsidR="00E96E12" w:rsidRDefault="00E96E12">
      <w:pPr>
        <w:widowControl w:val="0"/>
        <w:tabs>
          <w:tab w:val="left" w:pos="567"/>
        </w:tabs>
        <w:ind w:left="567" w:hanging="567"/>
        <w:jc w:val="center"/>
        <w:outlineLvl w:val="0"/>
        <w:rPr>
          <w:b/>
          <w:caps/>
          <w:szCs w:val="22"/>
        </w:rPr>
      </w:pPr>
    </w:p>
    <w:p w14:paraId="49C7D898" w14:textId="77777777" w:rsidR="00E96E12" w:rsidRDefault="00E97765">
      <w:pPr>
        <w:widowControl w:val="0"/>
        <w:tabs>
          <w:tab w:val="left" w:pos="567"/>
        </w:tabs>
        <w:ind w:left="567" w:hanging="567"/>
        <w:jc w:val="center"/>
        <w:outlineLvl w:val="0"/>
        <w:rPr>
          <w:b/>
          <w:caps/>
          <w:szCs w:val="22"/>
        </w:rPr>
      </w:pPr>
      <w:r>
        <w:rPr>
          <w:b/>
          <w:caps/>
          <w:szCs w:val="22"/>
        </w:rPr>
        <w:t>III PRIEDAS</w:t>
      </w:r>
    </w:p>
    <w:p w14:paraId="12CD135E" w14:textId="77777777" w:rsidR="00E96E12" w:rsidRDefault="00E96E12">
      <w:pPr>
        <w:widowControl w:val="0"/>
        <w:tabs>
          <w:tab w:val="left" w:pos="567"/>
        </w:tabs>
        <w:ind w:left="567" w:hanging="567"/>
        <w:jc w:val="center"/>
        <w:outlineLvl w:val="0"/>
        <w:rPr>
          <w:b/>
          <w:caps/>
          <w:szCs w:val="22"/>
        </w:rPr>
      </w:pPr>
    </w:p>
    <w:p w14:paraId="606CAFF3" w14:textId="77777777" w:rsidR="00E96E12" w:rsidRDefault="00E97765">
      <w:pPr>
        <w:widowControl w:val="0"/>
        <w:jc w:val="center"/>
        <w:rPr>
          <w:b/>
          <w:szCs w:val="22"/>
          <w:lang w:eastAsia="sl-SI"/>
        </w:rPr>
      </w:pPr>
      <w:bookmarkStart w:id="6" w:name="_Toc129243135"/>
      <w:bookmarkStart w:id="7" w:name="_Toc129243260"/>
      <w:r>
        <w:rPr>
          <w:b/>
          <w:szCs w:val="22"/>
          <w:lang w:eastAsia="sl-SI"/>
        </w:rPr>
        <w:t>ŽENKLINIMAS IR PAKUOTĖS LAPELIS</w:t>
      </w:r>
      <w:bookmarkEnd w:id="6"/>
      <w:bookmarkEnd w:id="7"/>
    </w:p>
    <w:p w14:paraId="44A6DCF6" w14:textId="77777777" w:rsidR="00E96E12" w:rsidRDefault="00E97765">
      <w:pPr>
        <w:tabs>
          <w:tab w:val="left" w:pos="567"/>
        </w:tabs>
        <w:spacing w:line="260" w:lineRule="exact"/>
        <w:rPr>
          <w:snapToGrid w:val="0"/>
        </w:rPr>
      </w:pPr>
      <w:r>
        <w:rPr>
          <w:noProof/>
        </w:rPr>
        <w:br w:type="page"/>
      </w:r>
    </w:p>
    <w:p w14:paraId="5077A17B" w14:textId="77777777" w:rsidR="00E96E12" w:rsidRDefault="00E96E12">
      <w:pPr>
        <w:tabs>
          <w:tab w:val="left" w:pos="567"/>
        </w:tabs>
        <w:spacing w:line="260" w:lineRule="exact"/>
        <w:rPr>
          <w:snapToGrid w:val="0"/>
        </w:rPr>
      </w:pPr>
    </w:p>
    <w:p w14:paraId="187ADCE7" w14:textId="77777777" w:rsidR="00E96E12" w:rsidRDefault="00E96E12">
      <w:pPr>
        <w:tabs>
          <w:tab w:val="left" w:pos="567"/>
        </w:tabs>
        <w:spacing w:line="260" w:lineRule="exact"/>
        <w:rPr>
          <w:snapToGrid w:val="0"/>
        </w:rPr>
      </w:pPr>
    </w:p>
    <w:p w14:paraId="3C794F01" w14:textId="77777777" w:rsidR="00E96E12" w:rsidRDefault="00E96E12">
      <w:pPr>
        <w:tabs>
          <w:tab w:val="left" w:pos="567"/>
        </w:tabs>
        <w:spacing w:line="260" w:lineRule="exact"/>
        <w:rPr>
          <w:snapToGrid w:val="0"/>
        </w:rPr>
      </w:pPr>
    </w:p>
    <w:p w14:paraId="14D89EFA" w14:textId="77777777" w:rsidR="00E96E12" w:rsidRDefault="00E96E12">
      <w:pPr>
        <w:tabs>
          <w:tab w:val="left" w:pos="567"/>
        </w:tabs>
        <w:spacing w:line="260" w:lineRule="exact"/>
        <w:rPr>
          <w:snapToGrid w:val="0"/>
        </w:rPr>
      </w:pPr>
    </w:p>
    <w:p w14:paraId="5557867B" w14:textId="77777777" w:rsidR="00E96E12" w:rsidRDefault="00E96E12">
      <w:pPr>
        <w:tabs>
          <w:tab w:val="left" w:pos="567"/>
        </w:tabs>
        <w:spacing w:line="260" w:lineRule="exact"/>
        <w:rPr>
          <w:snapToGrid w:val="0"/>
        </w:rPr>
      </w:pPr>
    </w:p>
    <w:p w14:paraId="19CEF63A" w14:textId="77777777" w:rsidR="00E96E12" w:rsidRDefault="00E96E12">
      <w:pPr>
        <w:tabs>
          <w:tab w:val="left" w:pos="567"/>
        </w:tabs>
        <w:spacing w:line="260" w:lineRule="exact"/>
        <w:rPr>
          <w:snapToGrid w:val="0"/>
        </w:rPr>
      </w:pPr>
    </w:p>
    <w:p w14:paraId="33C8C4DF" w14:textId="77777777" w:rsidR="00E96E12" w:rsidRDefault="00E96E12">
      <w:pPr>
        <w:tabs>
          <w:tab w:val="left" w:pos="567"/>
        </w:tabs>
        <w:spacing w:line="260" w:lineRule="exact"/>
        <w:rPr>
          <w:snapToGrid w:val="0"/>
        </w:rPr>
      </w:pPr>
    </w:p>
    <w:p w14:paraId="38356286" w14:textId="77777777" w:rsidR="00E96E12" w:rsidRDefault="00E96E12">
      <w:pPr>
        <w:tabs>
          <w:tab w:val="left" w:pos="567"/>
        </w:tabs>
        <w:spacing w:line="260" w:lineRule="exact"/>
        <w:rPr>
          <w:snapToGrid w:val="0"/>
        </w:rPr>
      </w:pPr>
    </w:p>
    <w:p w14:paraId="73117B67" w14:textId="77777777" w:rsidR="00E96E12" w:rsidRDefault="00E96E12">
      <w:pPr>
        <w:tabs>
          <w:tab w:val="left" w:pos="567"/>
        </w:tabs>
        <w:spacing w:line="260" w:lineRule="exact"/>
        <w:rPr>
          <w:snapToGrid w:val="0"/>
        </w:rPr>
      </w:pPr>
    </w:p>
    <w:p w14:paraId="00B81EA0" w14:textId="77777777" w:rsidR="00E96E12" w:rsidRDefault="00E96E12">
      <w:pPr>
        <w:tabs>
          <w:tab w:val="left" w:pos="567"/>
        </w:tabs>
        <w:spacing w:line="260" w:lineRule="exact"/>
        <w:rPr>
          <w:snapToGrid w:val="0"/>
        </w:rPr>
      </w:pPr>
    </w:p>
    <w:p w14:paraId="327B8B82" w14:textId="77777777" w:rsidR="00E96E12" w:rsidRDefault="00E96E12">
      <w:pPr>
        <w:tabs>
          <w:tab w:val="left" w:pos="567"/>
        </w:tabs>
        <w:spacing w:line="260" w:lineRule="exact"/>
        <w:rPr>
          <w:snapToGrid w:val="0"/>
        </w:rPr>
      </w:pPr>
    </w:p>
    <w:p w14:paraId="48A3DA96" w14:textId="77777777" w:rsidR="00E96E12" w:rsidRDefault="00E96E12">
      <w:pPr>
        <w:tabs>
          <w:tab w:val="left" w:pos="567"/>
        </w:tabs>
        <w:spacing w:line="260" w:lineRule="exact"/>
        <w:rPr>
          <w:snapToGrid w:val="0"/>
        </w:rPr>
      </w:pPr>
    </w:p>
    <w:p w14:paraId="51058219" w14:textId="77777777" w:rsidR="00E96E12" w:rsidRDefault="00E96E12">
      <w:pPr>
        <w:tabs>
          <w:tab w:val="left" w:pos="567"/>
        </w:tabs>
        <w:spacing w:line="260" w:lineRule="exact"/>
        <w:rPr>
          <w:snapToGrid w:val="0"/>
        </w:rPr>
      </w:pPr>
    </w:p>
    <w:p w14:paraId="5B5CD3E5" w14:textId="77777777" w:rsidR="00E96E12" w:rsidRDefault="00E96E12">
      <w:pPr>
        <w:tabs>
          <w:tab w:val="left" w:pos="567"/>
        </w:tabs>
        <w:spacing w:line="260" w:lineRule="exact"/>
        <w:rPr>
          <w:snapToGrid w:val="0"/>
        </w:rPr>
      </w:pPr>
    </w:p>
    <w:p w14:paraId="1339D7BA" w14:textId="77777777" w:rsidR="00E96E12" w:rsidRDefault="00E96E12">
      <w:pPr>
        <w:tabs>
          <w:tab w:val="left" w:pos="567"/>
        </w:tabs>
        <w:spacing w:line="260" w:lineRule="exact"/>
        <w:rPr>
          <w:snapToGrid w:val="0"/>
        </w:rPr>
      </w:pPr>
    </w:p>
    <w:p w14:paraId="2D15C4C0" w14:textId="77777777" w:rsidR="00E96E12" w:rsidRDefault="00E96E12">
      <w:pPr>
        <w:tabs>
          <w:tab w:val="left" w:pos="567"/>
        </w:tabs>
        <w:spacing w:line="260" w:lineRule="exact"/>
        <w:rPr>
          <w:snapToGrid w:val="0"/>
        </w:rPr>
      </w:pPr>
    </w:p>
    <w:p w14:paraId="3729CCD9" w14:textId="77777777" w:rsidR="00E96E12" w:rsidRDefault="00E96E12">
      <w:pPr>
        <w:tabs>
          <w:tab w:val="left" w:pos="567"/>
        </w:tabs>
        <w:spacing w:line="260" w:lineRule="exact"/>
        <w:rPr>
          <w:snapToGrid w:val="0"/>
        </w:rPr>
      </w:pPr>
    </w:p>
    <w:p w14:paraId="59A4652A" w14:textId="77777777" w:rsidR="00E96E12" w:rsidRDefault="00E96E12">
      <w:pPr>
        <w:tabs>
          <w:tab w:val="left" w:pos="567"/>
        </w:tabs>
        <w:spacing w:line="260" w:lineRule="exact"/>
        <w:rPr>
          <w:snapToGrid w:val="0"/>
        </w:rPr>
      </w:pPr>
    </w:p>
    <w:p w14:paraId="12C9EF47" w14:textId="77777777" w:rsidR="00E96E12" w:rsidRDefault="00E96E12">
      <w:pPr>
        <w:tabs>
          <w:tab w:val="left" w:pos="567"/>
        </w:tabs>
        <w:spacing w:line="260" w:lineRule="exact"/>
        <w:rPr>
          <w:snapToGrid w:val="0"/>
        </w:rPr>
      </w:pPr>
    </w:p>
    <w:p w14:paraId="67ED234C" w14:textId="77777777" w:rsidR="00E96E12" w:rsidRDefault="00E96E12">
      <w:pPr>
        <w:tabs>
          <w:tab w:val="left" w:pos="567"/>
        </w:tabs>
        <w:spacing w:line="260" w:lineRule="exact"/>
        <w:rPr>
          <w:snapToGrid w:val="0"/>
        </w:rPr>
      </w:pPr>
    </w:p>
    <w:p w14:paraId="0F7016C5" w14:textId="77777777" w:rsidR="00E96E12" w:rsidRDefault="00E96E12">
      <w:pPr>
        <w:tabs>
          <w:tab w:val="left" w:pos="567"/>
        </w:tabs>
        <w:spacing w:line="260" w:lineRule="exact"/>
        <w:rPr>
          <w:snapToGrid w:val="0"/>
        </w:rPr>
      </w:pPr>
    </w:p>
    <w:p w14:paraId="5A263637" w14:textId="77777777" w:rsidR="00E96E12" w:rsidRDefault="00E96E12">
      <w:pPr>
        <w:keepNext/>
        <w:tabs>
          <w:tab w:val="left" w:pos="567"/>
        </w:tabs>
        <w:jc w:val="center"/>
        <w:outlineLvl w:val="1"/>
        <w:rPr>
          <w:b/>
          <w:bCs/>
          <w:iCs/>
          <w:snapToGrid w:val="0"/>
          <w:szCs w:val="28"/>
          <w:lang w:eastAsia="x-none"/>
        </w:rPr>
      </w:pPr>
    </w:p>
    <w:p w14:paraId="06FAD418" w14:textId="77777777" w:rsidR="00E96E12" w:rsidRDefault="00E96E12">
      <w:pPr>
        <w:keepNext/>
        <w:tabs>
          <w:tab w:val="left" w:pos="567"/>
        </w:tabs>
        <w:jc w:val="center"/>
        <w:outlineLvl w:val="1"/>
        <w:rPr>
          <w:b/>
          <w:bCs/>
          <w:iCs/>
          <w:snapToGrid w:val="0"/>
          <w:szCs w:val="28"/>
          <w:lang w:eastAsia="x-none"/>
        </w:rPr>
      </w:pPr>
    </w:p>
    <w:p w14:paraId="5FA756B6" w14:textId="77777777" w:rsidR="00E96E12" w:rsidRDefault="00E97765">
      <w:pPr>
        <w:keepNext/>
        <w:tabs>
          <w:tab w:val="left" w:pos="567"/>
        </w:tabs>
        <w:jc w:val="center"/>
        <w:outlineLvl w:val="1"/>
        <w:rPr>
          <w:b/>
          <w:snapToGrid w:val="0"/>
          <w:lang w:eastAsia="x-none"/>
        </w:rPr>
      </w:pPr>
      <w:r>
        <w:rPr>
          <w:b/>
          <w:bCs/>
          <w:iCs/>
          <w:snapToGrid w:val="0"/>
          <w:szCs w:val="28"/>
          <w:lang w:eastAsia="x-none"/>
        </w:rPr>
        <w:t>A. ŽENKLINIMAS</w:t>
      </w:r>
    </w:p>
    <w:p w14:paraId="31B67496" w14:textId="77777777" w:rsidR="00E96E12" w:rsidRDefault="00E97765">
      <w:pPr>
        <w:tabs>
          <w:tab w:val="left" w:pos="567"/>
        </w:tabs>
        <w:spacing w:line="260" w:lineRule="exact"/>
        <w:rPr>
          <w:snapToGrid w:val="0"/>
        </w:rPr>
      </w:pPr>
      <w:r>
        <w:rPr>
          <w:snapToGrid w:val="0"/>
        </w:rPr>
        <w:br w:type="page"/>
      </w:r>
    </w:p>
    <w:p w14:paraId="3FA36A9F" w14:textId="77777777" w:rsidR="00E96E12" w:rsidRDefault="00E97765">
      <w:pPr>
        <w:pBdr>
          <w:top w:val="single" w:sz="4" w:space="1" w:color="auto"/>
          <w:left w:val="single" w:sz="4" w:space="4" w:color="auto"/>
          <w:bottom w:val="single" w:sz="4" w:space="1" w:color="auto"/>
          <w:right w:val="single" w:sz="4" w:space="4" w:color="auto"/>
        </w:pBdr>
        <w:rPr>
          <w:b/>
          <w:noProof/>
        </w:rPr>
      </w:pPr>
      <w:r>
        <w:rPr>
          <w:b/>
          <w:noProof/>
        </w:rPr>
        <w:lastRenderedPageBreak/>
        <w:t>INFORMACIJA ANT IŠORINĖS PAKUOTĖS</w:t>
      </w:r>
    </w:p>
    <w:p w14:paraId="7B3E1E37" w14:textId="77777777" w:rsidR="00E96E12" w:rsidRDefault="00E96E12">
      <w:pPr>
        <w:pBdr>
          <w:top w:val="single" w:sz="4" w:space="1" w:color="auto"/>
          <w:left w:val="single" w:sz="4" w:space="4" w:color="auto"/>
          <w:bottom w:val="single" w:sz="4" w:space="1" w:color="auto"/>
          <w:right w:val="single" w:sz="4" w:space="4" w:color="auto"/>
        </w:pBdr>
        <w:ind w:left="567" w:hanging="567"/>
        <w:rPr>
          <w:bCs/>
          <w:noProof/>
        </w:rPr>
      </w:pPr>
    </w:p>
    <w:p w14:paraId="191A16A0" w14:textId="77777777" w:rsidR="00E96E12" w:rsidRDefault="00E97765">
      <w:pPr>
        <w:pBdr>
          <w:top w:val="single" w:sz="4" w:space="1" w:color="auto"/>
          <w:left w:val="single" w:sz="4" w:space="4" w:color="auto"/>
          <w:bottom w:val="single" w:sz="4" w:space="1" w:color="auto"/>
          <w:right w:val="single" w:sz="4" w:space="4" w:color="auto"/>
        </w:pBdr>
        <w:rPr>
          <w:bCs/>
          <w:noProof/>
        </w:rPr>
      </w:pPr>
      <w:r>
        <w:rPr>
          <w:b/>
          <w:noProof/>
        </w:rPr>
        <w:t>DĖŽUTĖ</w:t>
      </w:r>
    </w:p>
    <w:p w14:paraId="18E2A84E" w14:textId="77777777" w:rsidR="00E96E12" w:rsidRDefault="00E96E12">
      <w:pPr>
        <w:rPr>
          <w:noProof/>
        </w:rPr>
      </w:pPr>
    </w:p>
    <w:p w14:paraId="4A5F8A4F" w14:textId="77777777" w:rsidR="00E96E12" w:rsidRDefault="00E96E12">
      <w:pPr>
        <w:rPr>
          <w:noProof/>
        </w:rPr>
      </w:pPr>
    </w:p>
    <w:p w14:paraId="4E49C799"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noProof/>
        </w:rPr>
      </w:pPr>
      <w:r>
        <w:rPr>
          <w:b/>
          <w:noProof/>
        </w:rPr>
        <w:t>1.</w:t>
      </w:r>
      <w:r>
        <w:rPr>
          <w:b/>
          <w:noProof/>
        </w:rPr>
        <w:tab/>
        <w:t>VAISTINIO PREPARATO PAVADINIMAS</w:t>
      </w:r>
    </w:p>
    <w:p w14:paraId="7F7B1CAF" w14:textId="77777777" w:rsidR="00E96E12" w:rsidRDefault="00E96E12">
      <w:pPr>
        <w:rPr>
          <w:noProof/>
        </w:rPr>
      </w:pPr>
    </w:p>
    <w:p w14:paraId="31085931" w14:textId="77777777" w:rsidR="00E96E12" w:rsidRDefault="00E97765">
      <w:pPr>
        <w:spacing w:after="21" w:line="248" w:lineRule="auto"/>
        <w:ind w:left="-5" w:right="14" w:hanging="10"/>
        <w:rPr>
          <w:color w:val="000000"/>
          <w:kern w:val="2"/>
          <w:szCs w:val="22"/>
          <w:lang w:val="pt-PT" w:eastAsia="en-GB"/>
          <w14:ligatures w14:val="standardContextual"/>
        </w:rPr>
      </w:pPr>
      <w:r>
        <w:rPr>
          <w:color w:val="000000"/>
          <w:kern w:val="2"/>
          <w:szCs w:val="22"/>
          <w:lang w:val="pt-PT" w:eastAsia="en-GB"/>
          <w14:ligatures w14:val="standardContextual"/>
        </w:rPr>
        <w:t>Dagrafors 5 mg plėvele dengtos tabletės</w:t>
      </w:r>
    </w:p>
    <w:p w14:paraId="28526AC5" w14:textId="77777777" w:rsidR="00E96E12" w:rsidRDefault="00E97765">
      <w:pPr>
        <w:spacing w:after="21" w:line="248" w:lineRule="auto"/>
        <w:ind w:left="-5" w:right="14" w:hanging="10"/>
        <w:rPr>
          <w:color w:val="000000"/>
          <w:kern w:val="2"/>
          <w:szCs w:val="22"/>
          <w:lang w:val="pt-PT" w:eastAsia="en-GB"/>
          <w14:ligatures w14:val="standardContextual"/>
        </w:rPr>
      </w:pPr>
      <w:r>
        <w:rPr>
          <w:color w:val="000000"/>
          <w:kern w:val="2"/>
          <w:szCs w:val="22"/>
          <w:highlight w:val="lightGray"/>
          <w:lang w:val="pt-PT" w:eastAsia="en-GB"/>
          <w14:ligatures w14:val="standardContextual"/>
        </w:rPr>
        <w:t>Dagrafors 10 mg plėvele dengtos tabletės</w:t>
      </w:r>
    </w:p>
    <w:p w14:paraId="7CD6C35B" w14:textId="77777777" w:rsidR="00E96E12" w:rsidRDefault="00E96E12">
      <w:pPr>
        <w:rPr>
          <w:noProof/>
        </w:rPr>
      </w:pPr>
    </w:p>
    <w:p w14:paraId="56117850" w14:textId="77777777" w:rsidR="00E96E12" w:rsidRDefault="00E97765">
      <w:pPr>
        <w:rPr>
          <w:noProof/>
        </w:rPr>
      </w:pPr>
      <w:r>
        <w:rPr>
          <w:noProof/>
        </w:rPr>
        <w:t>dapagliflozinas</w:t>
      </w:r>
    </w:p>
    <w:p w14:paraId="77417172" w14:textId="77777777" w:rsidR="00E96E12" w:rsidRDefault="00E96E12">
      <w:pPr>
        <w:rPr>
          <w:noProof/>
        </w:rPr>
      </w:pPr>
    </w:p>
    <w:p w14:paraId="24AA2132" w14:textId="77777777" w:rsidR="00E96E12" w:rsidRDefault="00E96E12">
      <w:pPr>
        <w:rPr>
          <w:noProof/>
        </w:rPr>
      </w:pPr>
    </w:p>
    <w:p w14:paraId="2DC83B87"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2.</w:t>
      </w:r>
      <w:r>
        <w:rPr>
          <w:b/>
          <w:noProof/>
        </w:rPr>
        <w:tab/>
        <w:t>VEIKLIOJI (-IOS) MEDŽIAGA (-OS) IR JOS (-Ų) KIEKIS (-IAI)</w:t>
      </w:r>
    </w:p>
    <w:p w14:paraId="75A08501" w14:textId="77777777" w:rsidR="00E96E12" w:rsidRDefault="00E96E12">
      <w:pPr>
        <w:rPr>
          <w:noProof/>
        </w:rPr>
      </w:pPr>
    </w:p>
    <w:p w14:paraId="2A1B64D6" w14:textId="77777777" w:rsidR="00E96E12" w:rsidRDefault="00E97765">
      <w:pPr>
        <w:pStyle w:val="EMEAEnBodyText"/>
        <w:autoSpaceDE w:val="0"/>
        <w:autoSpaceDN w:val="0"/>
        <w:adjustRightInd w:val="0"/>
        <w:spacing w:before="0" w:after="0"/>
        <w:jc w:val="left"/>
        <w:rPr>
          <w:lang w:val="lt-LT"/>
        </w:rPr>
      </w:pPr>
      <w:r>
        <w:rPr>
          <w:lang w:val="lt-LT"/>
        </w:rPr>
        <w:t xml:space="preserve">Kiekvienoje plėvele dengtoje tabletėje yra 5 mg dapagliflozino (iš dapagliflozino </w:t>
      </w:r>
      <w:proofErr w:type="spellStart"/>
      <w:r>
        <w:rPr>
          <w:lang w:val="lt-LT"/>
        </w:rPr>
        <w:t>propandiolio</w:t>
      </w:r>
      <w:proofErr w:type="spellEnd"/>
      <w:r>
        <w:rPr>
          <w:lang w:val="lt-LT"/>
        </w:rPr>
        <w:t xml:space="preserve"> </w:t>
      </w:r>
      <w:proofErr w:type="spellStart"/>
      <w:r>
        <w:rPr>
          <w:lang w:val="lt-LT"/>
        </w:rPr>
        <w:t>monohidrato</w:t>
      </w:r>
      <w:proofErr w:type="spellEnd"/>
      <w:r>
        <w:rPr>
          <w:lang w:val="lt-LT"/>
        </w:rPr>
        <w:t xml:space="preserve"> formos).</w:t>
      </w:r>
    </w:p>
    <w:p w14:paraId="77F827C0" w14:textId="77777777" w:rsidR="00E96E12" w:rsidRDefault="00E97765">
      <w:pPr>
        <w:pStyle w:val="EMEAEnBodyText"/>
        <w:autoSpaceDE w:val="0"/>
        <w:autoSpaceDN w:val="0"/>
        <w:adjustRightInd w:val="0"/>
        <w:spacing w:before="0" w:after="0"/>
        <w:jc w:val="left"/>
        <w:rPr>
          <w:lang w:val="lt-LT"/>
        </w:rPr>
      </w:pPr>
      <w:r>
        <w:rPr>
          <w:highlight w:val="lightGray"/>
          <w:lang w:val="lt-LT"/>
        </w:rPr>
        <w:t xml:space="preserve">Kiekvienoje plėvele dengtoje tabletėje yra 10 mg dapagliflozino (iš dapagliflozino </w:t>
      </w:r>
      <w:proofErr w:type="spellStart"/>
      <w:r>
        <w:rPr>
          <w:highlight w:val="lightGray"/>
          <w:lang w:val="lt-LT"/>
        </w:rPr>
        <w:t>propandiolio</w:t>
      </w:r>
      <w:proofErr w:type="spellEnd"/>
      <w:r>
        <w:rPr>
          <w:highlight w:val="lightGray"/>
          <w:lang w:val="lt-LT"/>
        </w:rPr>
        <w:t xml:space="preserve"> </w:t>
      </w:r>
      <w:proofErr w:type="spellStart"/>
      <w:r>
        <w:rPr>
          <w:highlight w:val="lightGray"/>
          <w:lang w:val="lt-LT"/>
        </w:rPr>
        <w:t>monohidrato</w:t>
      </w:r>
      <w:proofErr w:type="spellEnd"/>
      <w:r>
        <w:rPr>
          <w:highlight w:val="lightGray"/>
          <w:lang w:val="lt-LT"/>
        </w:rPr>
        <w:t xml:space="preserve"> formos).</w:t>
      </w:r>
    </w:p>
    <w:p w14:paraId="0619F1EE" w14:textId="77777777" w:rsidR="00E96E12" w:rsidRDefault="00E96E12">
      <w:pPr>
        <w:rPr>
          <w:noProof/>
        </w:rPr>
      </w:pPr>
    </w:p>
    <w:p w14:paraId="2C62F0A2" w14:textId="77777777" w:rsidR="00E96E12" w:rsidRDefault="00E96E12">
      <w:pPr>
        <w:rPr>
          <w:noProof/>
        </w:rPr>
      </w:pPr>
    </w:p>
    <w:p w14:paraId="6AB64107"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3.</w:t>
      </w:r>
      <w:r>
        <w:rPr>
          <w:b/>
          <w:noProof/>
        </w:rPr>
        <w:tab/>
        <w:t>PAGALBINIŲ MEDŽIAGŲ SĄRAŠAS</w:t>
      </w:r>
    </w:p>
    <w:p w14:paraId="6CE9A300" w14:textId="77777777" w:rsidR="00E96E12" w:rsidRDefault="00E96E12">
      <w:pPr>
        <w:rPr>
          <w:noProof/>
        </w:rPr>
      </w:pPr>
    </w:p>
    <w:p w14:paraId="5A1F21B2" w14:textId="77777777" w:rsidR="00E96E12" w:rsidRDefault="00E97765">
      <w:pPr>
        <w:rPr>
          <w:rFonts w:eastAsia="TimesNewRoman"/>
          <w:szCs w:val="22"/>
          <w:lang w:eastAsia="lt-LT"/>
        </w:rPr>
      </w:pPr>
      <w:r>
        <w:rPr>
          <w:rFonts w:eastAsia="TimesNewRoman"/>
          <w:szCs w:val="22"/>
          <w:lang w:eastAsia="lt-LT"/>
        </w:rPr>
        <w:t>Sudėtyje yra laktozės.</w:t>
      </w:r>
    </w:p>
    <w:p w14:paraId="775C9CAD" w14:textId="77777777" w:rsidR="00E96E12" w:rsidRDefault="00E97765">
      <w:pPr>
        <w:rPr>
          <w:noProof/>
        </w:rPr>
      </w:pPr>
      <w:r>
        <w:rPr>
          <w:rFonts w:eastAsia="TimesNewRoman"/>
          <w:szCs w:val="22"/>
          <w:lang w:eastAsia="lt-LT"/>
        </w:rPr>
        <w:t>Daugiau informacijos pateikiama pakuotės lapelyje.</w:t>
      </w:r>
    </w:p>
    <w:p w14:paraId="36F39215" w14:textId="77777777" w:rsidR="00E96E12" w:rsidRDefault="00E96E12">
      <w:pPr>
        <w:rPr>
          <w:noProof/>
        </w:rPr>
      </w:pPr>
    </w:p>
    <w:p w14:paraId="39380593" w14:textId="77777777" w:rsidR="00E96E12" w:rsidRDefault="00E96E12">
      <w:pPr>
        <w:rPr>
          <w:noProof/>
        </w:rPr>
      </w:pPr>
    </w:p>
    <w:p w14:paraId="353A98FE"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noProof/>
        </w:rPr>
      </w:pPr>
      <w:r>
        <w:rPr>
          <w:b/>
          <w:noProof/>
        </w:rPr>
        <w:t>4.</w:t>
      </w:r>
      <w:r>
        <w:rPr>
          <w:b/>
          <w:noProof/>
        </w:rPr>
        <w:tab/>
        <w:t>FARMACINĖ FORMA IR KIEKIS PAKUOTĖJE</w:t>
      </w:r>
    </w:p>
    <w:p w14:paraId="240C11C8" w14:textId="77777777" w:rsidR="00E96E12" w:rsidRDefault="00E96E12">
      <w:pPr>
        <w:rPr>
          <w:noProof/>
        </w:rPr>
      </w:pPr>
    </w:p>
    <w:p w14:paraId="7E12E066" w14:textId="77777777" w:rsidR="00E96E12" w:rsidRDefault="00E97765">
      <w:pPr>
        <w:autoSpaceDE w:val="0"/>
        <w:autoSpaceDN w:val="0"/>
        <w:adjustRightInd w:val="0"/>
        <w:rPr>
          <w:rFonts w:eastAsia="TimesNewRoman"/>
          <w:szCs w:val="22"/>
          <w:lang w:eastAsia="lt-LT"/>
        </w:rPr>
      </w:pPr>
      <w:r>
        <w:rPr>
          <w:rFonts w:eastAsia="TimesNewRoman"/>
          <w:szCs w:val="22"/>
          <w:highlight w:val="lightGray"/>
          <w:lang w:eastAsia="lt-LT"/>
        </w:rPr>
        <w:t>plėvele dengtos tabletės</w:t>
      </w:r>
    </w:p>
    <w:p w14:paraId="3537927B" w14:textId="77777777" w:rsidR="00E96E12" w:rsidRDefault="00E96E12">
      <w:pPr>
        <w:autoSpaceDE w:val="0"/>
        <w:autoSpaceDN w:val="0"/>
        <w:adjustRightInd w:val="0"/>
        <w:rPr>
          <w:rFonts w:eastAsia="TimesNewRoman"/>
          <w:szCs w:val="22"/>
          <w:lang w:eastAsia="lt-LT"/>
        </w:rPr>
      </w:pPr>
    </w:p>
    <w:p w14:paraId="2FFB420A" w14:textId="77777777" w:rsidR="00E96E12" w:rsidRDefault="00E97765">
      <w:pPr>
        <w:autoSpaceDE w:val="0"/>
        <w:autoSpaceDN w:val="0"/>
        <w:adjustRightInd w:val="0"/>
        <w:rPr>
          <w:rFonts w:eastAsia="TimesNewRoman"/>
          <w:szCs w:val="22"/>
          <w:lang w:eastAsia="lt-LT"/>
        </w:rPr>
      </w:pPr>
      <w:r>
        <w:rPr>
          <w:rFonts w:eastAsia="TimesNewRoman"/>
          <w:szCs w:val="22"/>
          <w:lang w:eastAsia="lt-LT"/>
        </w:rPr>
        <w:t>14 plėvele dengtų tablečių</w:t>
      </w:r>
    </w:p>
    <w:p w14:paraId="55214CCD" w14:textId="77777777" w:rsidR="00E96E12" w:rsidRDefault="00E97765">
      <w:pPr>
        <w:autoSpaceDE w:val="0"/>
        <w:autoSpaceDN w:val="0"/>
        <w:adjustRightInd w:val="0"/>
        <w:rPr>
          <w:rFonts w:eastAsia="TimesNewRoman"/>
          <w:szCs w:val="22"/>
          <w:highlight w:val="lightGray"/>
          <w:lang w:eastAsia="lt-LT"/>
        </w:rPr>
      </w:pPr>
      <w:r>
        <w:rPr>
          <w:rFonts w:eastAsia="TimesNewRoman"/>
          <w:szCs w:val="22"/>
          <w:highlight w:val="lightGray"/>
          <w:lang w:eastAsia="lt-LT"/>
        </w:rPr>
        <w:t>28 plėvele dengtos tabletės</w:t>
      </w:r>
    </w:p>
    <w:p w14:paraId="798C4623" w14:textId="77777777" w:rsidR="00E96E12" w:rsidRDefault="00E97765">
      <w:pPr>
        <w:autoSpaceDE w:val="0"/>
        <w:autoSpaceDN w:val="0"/>
        <w:adjustRightInd w:val="0"/>
        <w:rPr>
          <w:rFonts w:eastAsia="TimesNewRoman"/>
          <w:szCs w:val="22"/>
          <w:highlight w:val="lightGray"/>
          <w:lang w:eastAsia="lt-LT"/>
        </w:rPr>
      </w:pPr>
      <w:r>
        <w:rPr>
          <w:rFonts w:eastAsia="TimesNewRoman"/>
          <w:szCs w:val="22"/>
          <w:highlight w:val="lightGray"/>
          <w:lang w:eastAsia="lt-LT"/>
        </w:rPr>
        <w:t>30 plėvele dengtų tablečių</w:t>
      </w:r>
    </w:p>
    <w:p w14:paraId="156B9B9D" w14:textId="77777777" w:rsidR="00E96E12" w:rsidRDefault="00E97765">
      <w:pPr>
        <w:autoSpaceDE w:val="0"/>
        <w:autoSpaceDN w:val="0"/>
        <w:adjustRightInd w:val="0"/>
        <w:rPr>
          <w:rFonts w:eastAsia="TimesNewRoman"/>
          <w:szCs w:val="22"/>
          <w:highlight w:val="lightGray"/>
          <w:lang w:eastAsia="lt-LT"/>
        </w:rPr>
      </w:pPr>
      <w:r>
        <w:rPr>
          <w:rFonts w:eastAsia="TimesNewRoman"/>
          <w:szCs w:val="22"/>
          <w:highlight w:val="lightGray"/>
          <w:lang w:eastAsia="lt-LT"/>
        </w:rPr>
        <w:t>56 plėvele dengtos tabletės</w:t>
      </w:r>
    </w:p>
    <w:p w14:paraId="5C3D82EA" w14:textId="77777777" w:rsidR="00E96E12" w:rsidRDefault="00E97765">
      <w:pPr>
        <w:rPr>
          <w:rFonts w:eastAsia="TimesNewRoman"/>
          <w:szCs w:val="22"/>
          <w:highlight w:val="lightGray"/>
          <w:lang w:eastAsia="lt-LT"/>
        </w:rPr>
      </w:pPr>
      <w:r>
        <w:rPr>
          <w:rFonts w:eastAsia="TimesNewRoman"/>
          <w:szCs w:val="22"/>
          <w:highlight w:val="lightGray"/>
          <w:lang w:eastAsia="lt-LT"/>
        </w:rPr>
        <w:t>60 plėvele dengtų tablečių</w:t>
      </w:r>
    </w:p>
    <w:p w14:paraId="3ED443A5" w14:textId="77777777" w:rsidR="00E96E12" w:rsidRDefault="00E97765">
      <w:pPr>
        <w:rPr>
          <w:rFonts w:eastAsia="TimesNewRoman"/>
          <w:szCs w:val="22"/>
          <w:highlight w:val="lightGray"/>
          <w:lang w:eastAsia="lt-LT"/>
        </w:rPr>
      </w:pPr>
      <w:r>
        <w:rPr>
          <w:rFonts w:eastAsia="TimesNewRoman"/>
          <w:szCs w:val="22"/>
          <w:highlight w:val="lightGray"/>
          <w:lang w:eastAsia="lt-LT"/>
        </w:rPr>
        <w:t>90 plėvele dengtų tablečių</w:t>
      </w:r>
    </w:p>
    <w:p w14:paraId="7033D559" w14:textId="77777777" w:rsidR="00E96E12" w:rsidRDefault="00E97765">
      <w:pPr>
        <w:autoSpaceDE w:val="0"/>
        <w:autoSpaceDN w:val="0"/>
        <w:adjustRightInd w:val="0"/>
        <w:rPr>
          <w:rFonts w:eastAsia="TimesNewRoman"/>
          <w:szCs w:val="22"/>
          <w:highlight w:val="lightGray"/>
          <w:lang w:eastAsia="lt-LT"/>
        </w:rPr>
      </w:pPr>
      <w:r>
        <w:rPr>
          <w:rFonts w:eastAsia="TimesNewRoman"/>
          <w:szCs w:val="22"/>
          <w:highlight w:val="lightGray"/>
          <w:lang w:eastAsia="lt-LT"/>
        </w:rPr>
        <w:t>98 plėvele dengtos tabletės</w:t>
      </w:r>
    </w:p>
    <w:p w14:paraId="0F8CB152" w14:textId="77777777" w:rsidR="00E96E12" w:rsidRDefault="00E97765">
      <w:pPr>
        <w:rPr>
          <w:rFonts w:eastAsia="TimesNewRoman"/>
          <w:szCs w:val="22"/>
          <w:highlight w:val="lightGray"/>
          <w:lang w:eastAsia="lt-LT"/>
        </w:rPr>
      </w:pPr>
      <w:r>
        <w:rPr>
          <w:rFonts w:eastAsia="TimesNewRoman"/>
          <w:szCs w:val="22"/>
          <w:highlight w:val="lightGray"/>
          <w:lang w:eastAsia="lt-LT"/>
        </w:rPr>
        <w:t>100 plėvele dengtų tablečių</w:t>
      </w:r>
    </w:p>
    <w:p w14:paraId="237B3F2D" w14:textId="77777777" w:rsidR="00E96E12" w:rsidRDefault="00E97765">
      <w:pPr>
        <w:rPr>
          <w:noProof/>
          <w:highlight w:val="lightGray"/>
        </w:rPr>
      </w:pPr>
      <w:r>
        <w:rPr>
          <w:rFonts w:eastAsia="TimesNewRoman"/>
          <w:szCs w:val="22"/>
          <w:highlight w:val="lightGray"/>
          <w:lang w:eastAsia="lt-LT"/>
        </w:rPr>
        <w:t>14x1 plėvele dengtų tablečių</w:t>
      </w:r>
    </w:p>
    <w:p w14:paraId="4A337784" w14:textId="77777777" w:rsidR="00E96E12" w:rsidRDefault="00E97765">
      <w:pPr>
        <w:rPr>
          <w:noProof/>
          <w:highlight w:val="lightGray"/>
        </w:rPr>
      </w:pPr>
      <w:r>
        <w:rPr>
          <w:rFonts w:eastAsia="TimesNewRoman"/>
          <w:szCs w:val="22"/>
          <w:highlight w:val="lightGray"/>
          <w:lang w:eastAsia="lt-LT"/>
        </w:rPr>
        <w:t>28x1 plėvele dengtos tabletės</w:t>
      </w:r>
    </w:p>
    <w:p w14:paraId="337CD873" w14:textId="77777777" w:rsidR="00E96E12" w:rsidRDefault="00E97765">
      <w:pPr>
        <w:rPr>
          <w:noProof/>
          <w:highlight w:val="lightGray"/>
        </w:rPr>
      </w:pPr>
      <w:r>
        <w:rPr>
          <w:rFonts w:eastAsia="TimesNewRoman"/>
          <w:szCs w:val="22"/>
          <w:highlight w:val="lightGray"/>
          <w:lang w:eastAsia="lt-LT"/>
        </w:rPr>
        <w:t>30x1 plėvele dengtų tablečių</w:t>
      </w:r>
    </w:p>
    <w:p w14:paraId="578870EB" w14:textId="77777777" w:rsidR="00E96E12" w:rsidRDefault="00E97765">
      <w:pPr>
        <w:rPr>
          <w:noProof/>
          <w:highlight w:val="lightGray"/>
        </w:rPr>
      </w:pPr>
      <w:r>
        <w:rPr>
          <w:rFonts w:eastAsia="TimesNewRoman"/>
          <w:szCs w:val="22"/>
          <w:highlight w:val="lightGray"/>
          <w:lang w:eastAsia="lt-LT"/>
        </w:rPr>
        <w:t>56x1 plėvele dengtos tabletės</w:t>
      </w:r>
    </w:p>
    <w:p w14:paraId="2860C99B" w14:textId="77777777" w:rsidR="00E96E12" w:rsidRDefault="00E97765">
      <w:pPr>
        <w:rPr>
          <w:noProof/>
          <w:highlight w:val="lightGray"/>
        </w:rPr>
      </w:pPr>
      <w:r>
        <w:rPr>
          <w:rFonts w:eastAsia="TimesNewRoman"/>
          <w:szCs w:val="22"/>
          <w:highlight w:val="lightGray"/>
          <w:lang w:eastAsia="lt-LT"/>
        </w:rPr>
        <w:t>60x1 plėvele dengtų tablečių</w:t>
      </w:r>
    </w:p>
    <w:p w14:paraId="2422F7CE" w14:textId="77777777" w:rsidR="00E96E12" w:rsidRDefault="00E97765">
      <w:pPr>
        <w:rPr>
          <w:noProof/>
          <w:highlight w:val="lightGray"/>
        </w:rPr>
      </w:pPr>
      <w:r>
        <w:rPr>
          <w:rFonts w:eastAsia="TimesNewRoman"/>
          <w:szCs w:val="22"/>
          <w:highlight w:val="lightGray"/>
          <w:lang w:eastAsia="lt-LT"/>
        </w:rPr>
        <w:t>90x1 plėvele dengtų tablečių</w:t>
      </w:r>
    </w:p>
    <w:p w14:paraId="6C897206" w14:textId="77777777" w:rsidR="00E96E12" w:rsidRDefault="00E97765">
      <w:pPr>
        <w:rPr>
          <w:noProof/>
          <w:highlight w:val="lightGray"/>
        </w:rPr>
      </w:pPr>
      <w:r>
        <w:rPr>
          <w:rFonts w:eastAsia="TimesNewRoman"/>
          <w:szCs w:val="22"/>
          <w:highlight w:val="lightGray"/>
          <w:lang w:eastAsia="lt-LT"/>
        </w:rPr>
        <w:t>98x1 plėvele dengtos tabletės</w:t>
      </w:r>
    </w:p>
    <w:p w14:paraId="6FE8485D" w14:textId="77777777" w:rsidR="00E96E12" w:rsidRDefault="00E97765">
      <w:pPr>
        <w:rPr>
          <w:noProof/>
        </w:rPr>
      </w:pPr>
      <w:r>
        <w:rPr>
          <w:rFonts w:eastAsia="TimesNewRoman"/>
          <w:szCs w:val="22"/>
          <w:highlight w:val="lightGray"/>
          <w:lang w:eastAsia="lt-LT"/>
        </w:rPr>
        <w:t>100x1 plėvele dengtų tablečių</w:t>
      </w:r>
    </w:p>
    <w:p w14:paraId="3D2CFF1D" w14:textId="77777777" w:rsidR="00E96E12" w:rsidRDefault="00E96E12">
      <w:pPr>
        <w:rPr>
          <w:noProof/>
        </w:rPr>
      </w:pPr>
    </w:p>
    <w:p w14:paraId="0243C199" w14:textId="77777777" w:rsidR="00E96E12" w:rsidRDefault="00E96E12">
      <w:pPr>
        <w:rPr>
          <w:noProof/>
        </w:rPr>
      </w:pPr>
    </w:p>
    <w:p w14:paraId="7C66B7AF"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5.</w:t>
      </w:r>
      <w:r>
        <w:rPr>
          <w:b/>
          <w:noProof/>
        </w:rPr>
        <w:tab/>
        <w:t>VARTOJIMO METODAS IR BŪDAS (-AI)</w:t>
      </w:r>
    </w:p>
    <w:p w14:paraId="0BA1C21F" w14:textId="77777777" w:rsidR="00E96E12" w:rsidRDefault="00E96E12">
      <w:pPr>
        <w:rPr>
          <w:i/>
          <w:noProof/>
        </w:rPr>
      </w:pPr>
    </w:p>
    <w:p w14:paraId="57A0C7F2" w14:textId="77777777" w:rsidR="00E96E12" w:rsidRDefault="00E97765">
      <w:pPr>
        <w:rPr>
          <w:noProof/>
        </w:rPr>
      </w:pPr>
      <w:r>
        <w:rPr>
          <w:noProof/>
        </w:rPr>
        <w:t>Prieš vartojimą perskaitykite pakuotės lapelį.</w:t>
      </w:r>
    </w:p>
    <w:p w14:paraId="4E2380F4" w14:textId="77777777" w:rsidR="00E96E12" w:rsidRDefault="00E97765">
      <w:pPr>
        <w:rPr>
          <w:noProof/>
        </w:rPr>
      </w:pPr>
      <w:r>
        <w:rPr>
          <w:noProof/>
        </w:rPr>
        <w:t>Vartoti per burną</w:t>
      </w:r>
    </w:p>
    <w:p w14:paraId="4316FC03" w14:textId="77777777" w:rsidR="00E96E12" w:rsidRDefault="00E96E12">
      <w:pPr>
        <w:rPr>
          <w:noProof/>
        </w:rPr>
      </w:pPr>
    </w:p>
    <w:p w14:paraId="63CEE417" w14:textId="77777777" w:rsidR="00E96E12" w:rsidRDefault="00E96E12">
      <w:pPr>
        <w:rPr>
          <w:noProof/>
        </w:rPr>
      </w:pPr>
    </w:p>
    <w:p w14:paraId="131140DE" w14:textId="77777777" w:rsidR="00E96E12" w:rsidRDefault="00E97765">
      <w:pPr>
        <w:pBdr>
          <w:top w:val="single" w:sz="4" w:space="0" w:color="auto"/>
          <w:left w:val="single" w:sz="4" w:space="4" w:color="auto"/>
          <w:bottom w:val="single" w:sz="4" w:space="1" w:color="auto"/>
          <w:right w:val="single" w:sz="4" w:space="4" w:color="auto"/>
        </w:pBdr>
        <w:ind w:left="567" w:hanging="567"/>
        <w:outlineLvl w:val="0"/>
        <w:rPr>
          <w:noProof/>
        </w:rPr>
      </w:pPr>
      <w:r>
        <w:rPr>
          <w:b/>
          <w:noProof/>
        </w:rPr>
        <w:lastRenderedPageBreak/>
        <w:t>6.</w:t>
      </w:r>
      <w:r>
        <w:rPr>
          <w:b/>
          <w:noProof/>
        </w:rPr>
        <w:tab/>
      </w:r>
      <w:r>
        <w:rPr>
          <w:b/>
          <w:bCs/>
          <w:noProof/>
        </w:rPr>
        <w:t>SPECIALUS ĮSPĖJIMAS, KAD VAISTINĮ PREPARATĄ BŪTINA LAIKYTI VAIKAMS NEPASTEBIMOJE IR NEPASIEKIAMOJE VIETOJE</w:t>
      </w:r>
    </w:p>
    <w:p w14:paraId="17F23774" w14:textId="77777777" w:rsidR="00E96E12" w:rsidRDefault="00E96E12">
      <w:pPr>
        <w:rPr>
          <w:noProof/>
        </w:rPr>
      </w:pPr>
    </w:p>
    <w:p w14:paraId="42461676" w14:textId="77777777" w:rsidR="00E96E12" w:rsidRDefault="00E97765">
      <w:pPr>
        <w:pStyle w:val="Pagrindinistekstas"/>
        <w:rPr>
          <w:i w:val="0"/>
          <w:iCs/>
          <w:noProof/>
          <w:color w:val="auto"/>
          <w:lang w:val="lt-LT"/>
        </w:rPr>
      </w:pPr>
      <w:r>
        <w:rPr>
          <w:i w:val="0"/>
          <w:iCs/>
          <w:noProof/>
          <w:color w:val="auto"/>
          <w:lang w:val="lt-LT"/>
        </w:rPr>
        <w:t>Laikyti vaikams nepastebimoje ir nepasiekiamoje vietoje.</w:t>
      </w:r>
    </w:p>
    <w:p w14:paraId="15D884FC" w14:textId="77777777" w:rsidR="00E96E12" w:rsidRDefault="00E96E12">
      <w:pPr>
        <w:rPr>
          <w:noProof/>
        </w:rPr>
      </w:pPr>
    </w:p>
    <w:p w14:paraId="2E728267" w14:textId="77777777" w:rsidR="00E96E12" w:rsidRDefault="00E96E12">
      <w:pPr>
        <w:rPr>
          <w:noProof/>
        </w:rPr>
      </w:pPr>
    </w:p>
    <w:p w14:paraId="7A016E80"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7.</w:t>
      </w:r>
      <w:r>
        <w:rPr>
          <w:b/>
          <w:noProof/>
        </w:rPr>
        <w:tab/>
      </w:r>
      <w:r>
        <w:rPr>
          <w:b/>
          <w:bCs/>
          <w:noProof/>
        </w:rPr>
        <w:t>KITAS (-I) SPECIALUS (-ŪS) ĮSPĖJIMAS (-AI) (JEI REIKIA)</w:t>
      </w:r>
    </w:p>
    <w:p w14:paraId="23F91079" w14:textId="77777777" w:rsidR="00E96E12" w:rsidRDefault="00E96E12">
      <w:pPr>
        <w:rPr>
          <w:noProof/>
        </w:rPr>
      </w:pPr>
    </w:p>
    <w:p w14:paraId="24F9C20F" w14:textId="77777777" w:rsidR="00E96E12" w:rsidRDefault="00E96E12">
      <w:pPr>
        <w:rPr>
          <w:noProof/>
        </w:rPr>
      </w:pPr>
    </w:p>
    <w:p w14:paraId="1C967399"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noProof/>
          <w:highlight w:val="lightGray"/>
        </w:rPr>
      </w:pPr>
      <w:r>
        <w:rPr>
          <w:b/>
          <w:noProof/>
        </w:rPr>
        <w:t>8.</w:t>
      </w:r>
      <w:r>
        <w:rPr>
          <w:b/>
          <w:noProof/>
        </w:rPr>
        <w:tab/>
      </w:r>
      <w:r>
        <w:rPr>
          <w:b/>
          <w:bCs/>
          <w:noProof/>
        </w:rPr>
        <w:t>TINKAMUMO LAIKAS</w:t>
      </w:r>
    </w:p>
    <w:p w14:paraId="52DD6642" w14:textId="77777777" w:rsidR="00E96E12" w:rsidRDefault="00E96E12">
      <w:pPr>
        <w:rPr>
          <w:i/>
          <w:noProof/>
        </w:rPr>
      </w:pPr>
    </w:p>
    <w:p w14:paraId="12A8DC3A" w14:textId="77777777" w:rsidR="00E96E12" w:rsidRDefault="00E97765">
      <w:pPr>
        <w:rPr>
          <w:noProof/>
        </w:rPr>
      </w:pPr>
      <w:r>
        <w:rPr>
          <w:noProof/>
        </w:rPr>
        <w:t xml:space="preserve">EXP </w:t>
      </w:r>
      <w:r>
        <w:rPr>
          <w:snapToGrid w:val="0"/>
        </w:rPr>
        <w:t>(mm/MMMM)</w:t>
      </w:r>
    </w:p>
    <w:p w14:paraId="73156646" w14:textId="77777777" w:rsidR="00E96E12" w:rsidRDefault="00E96E12">
      <w:pPr>
        <w:rPr>
          <w:noProof/>
        </w:rPr>
      </w:pPr>
    </w:p>
    <w:p w14:paraId="17017708" w14:textId="77777777" w:rsidR="00E96E12" w:rsidRDefault="00E96E12">
      <w:pPr>
        <w:rPr>
          <w:noProof/>
        </w:rPr>
      </w:pPr>
    </w:p>
    <w:p w14:paraId="2E401B17"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noProof/>
        </w:rPr>
      </w:pPr>
      <w:r>
        <w:rPr>
          <w:b/>
          <w:noProof/>
        </w:rPr>
        <w:t>9.</w:t>
      </w:r>
      <w:r>
        <w:rPr>
          <w:b/>
          <w:noProof/>
        </w:rPr>
        <w:tab/>
      </w:r>
      <w:r>
        <w:rPr>
          <w:b/>
          <w:caps/>
          <w:noProof/>
        </w:rPr>
        <w:t>SPECIALIOS laikymo sąlygos</w:t>
      </w:r>
    </w:p>
    <w:p w14:paraId="6C5C0922" w14:textId="77777777" w:rsidR="00E96E12" w:rsidRDefault="00E96E12">
      <w:pPr>
        <w:rPr>
          <w:i/>
          <w:noProof/>
        </w:rPr>
      </w:pPr>
    </w:p>
    <w:p w14:paraId="21D75E01" w14:textId="77777777" w:rsidR="00E96E12" w:rsidRDefault="00E96E12">
      <w:pPr>
        <w:ind w:left="567" w:hanging="567"/>
        <w:rPr>
          <w:noProof/>
        </w:rPr>
      </w:pPr>
    </w:p>
    <w:p w14:paraId="5E3E218E" w14:textId="77777777" w:rsidR="00E96E12" w:rsidRDefault="00E97765">
      <w:pPr>
        <w:pBdr>
          <w:top w:val="single" w:sz="4" w:space="1" w:color="auto"/>
          <w:left w:val="single" w:sz="4" w:space="4" w:color="auto"/>
          <w:bottom w:val="single" w:sz="4" w:space="1" w:color="auto"/>
          <w:right w:val="single" w:sz="4" w:space="4" w:color="auto"/>
        </w:pBdr>
        <w:ind w:left="567" w:hanging="567"/>
        <w:outlineLvl w:val="0"/>
        <w:rPr>
          <w:b/>
          <w:noProof/>
        </w:rPr>
      </w:pPr>
      <w:r>
        <w:rPr>
          <w:b/>
          <w:noProof/>
        </w:rPr>
        <w:t>10.</w:t>
      </w:r>
      <w:r>
        <w:rPr>
          <w:b/>
          <w:noProof/>
        </w:rPr>
        <w:tab/>
      </w:r>
      <w:r>
        <w:rPr>
          <w:b/>
          <w:caps/>
          <w:noProof/>
        </w:rPr>
        <w:t>specialios atsargumo priemonės DĖL NESUVARTOTO</w:t>
      </w:r>
      <w:r>
        <w:rPr>
          <w:b/>
          <w:bCs/>
          <w:noProof/>
        </w:rPr>
        <w:t xml:space="preserve"> </w:t>
      </w:r>
      <w:r>
        <w:rPr>
          <w:b/>
          <w:bCs/>
          <w:caps/>
          <w:noProof/>
        </w:rPr>
        <w:t>VAISTINIO PREPARATO AR JO ATLIEKU</w:t>
      </w:r>
      <w:r>
        <w:rPr>
          <w:caps/>
          <w:noProof/>
        </w:rPr>
        <w:t xml:space="preserve"> </w:t>
      </w:r>
      <w:r>
        <w:rPr>
          <w:b/>
          <w:bCs/>
          <w:caps/>
          <w:noProof/>
        </w:rPr>
        <w:t>TVARKYMO</w:t>
      </w:r>
      <w:r>
        <w:rPr>
          <w:b/>
          <w:caps/>
          <w:noProof/>
        </w:rPr>
        <w:t xml:space="preserve"> (jei reikia)</w:t>
      </w:r>
    </w:p>
    <w:p w14:paraId="109A3295" w14:textId="77777777" w:rsidR="00E96E12" w:rsidRDefault="00E96E12">
      <w:pPr>
        <w:rPr>
          <w:noProof/>
        </w:rPr>
      </w:pPr>
    </w:p>
    <w:p w14:paraId="06934A7C" w14:textId="77777777" w:rsidR="00E96E12" w:rsidRDefault="00E96E12">
      <w:pPr>
        <w:rPr>
          <w:noProof/>
        </w:rPr>
      </w:pPr>
    </w:p>
    <w:p w14:paraId="5B9D2E0B" w14:textId="77777777" w:rsidR="00E96E12" w:rsidRDefault="00E97765">
      <w:pPr>
        <w:pBdr>
          <w:top w:val="single" w:sz="4" w:space="1" w:color="auto"/>
          <w:left w:val="single" w:sz="4" w:space="4" w:color="auto"/>
          <w:bottom w:val="single" w:sz="4" w:space="1" w:color="auto"/>
          <w:right w:val="single" w:sz="4" w:space="4" w:color="auto"/>
        </w:pBdr>
        <w:outlineLvl w:val="0"/>
        <w:rPr>
          <w:b/>
          <w:noProof/>
        </w:rPr>
      </w:pPr>
      <w:r>
        <w:rPr>
          <w:b/>
          <w:noProof/>
        </w:rPr>
        <w:t>11.</w:t>
      </w:r>
      <w:r>
        <w:rPr>
          <w:b/>
          <w:noProof/>
        </w:rPr>
        <w:tab/>
      </w:r>
      <w:r>
        <w:rPr>
          <w:b/>
          <w:caps/>
          <w:noProof/>
          <w:snapToGrid w:val="0"/>
        </w:rPr>
        <w:t xml:space="preserve">REGISTRUOTOJO </w:t>
      </w:r>
      <w:r>
        <w:rPr>
          <w:b/>
          <w:caps/>
          <w:noProof/>
        </w:rPr>
        <w:t>pavadinimas ir adresas</w:t>
      </w:r>
    </w:p>
    <w:p w14:paraId="37FC4246" w14:textId="77777777" w:rsidR="00E96E12" w:rsidRDefault="00E96E12"/>
    <w:p w14:paraId="63874EF2" w14:textId="77777777" w:rsidR="00E96E12" w:rsidRDefault="00E97765">
      <w:pPr>
        <w:widowControl w:val="0"/>
        <w:tabs>
          <w:tab w:val="left" w:pos="1296"/>
        </w:tabs>
        <w:snapToGrid w:val="0"/>
        <w:jc w:val="both"/>
        <w:rPr>
          <w:szCs w:val="22"/>
        </w:rPr>
      </w:pPr>
      <w:r>
        <w:rPr>
          <w:szCs w:val="22"/>
        </w:rPr>
        <w:t xml:space="preserve">KRKA, </w:t>
      </w:r>
      <w:proofErr w:type="spellStart"/>
      <w:r>
        <w:rPr>
          <w:szCs w:val="22"/>
        </w:rPr>
        <w:t>d.d</w:t>
      </w:r>
      <w:proofErr w:type="spellEnd"/>
      <w:r>
        <w:rPr>
          <w:szCs w:val="22"/>
        </w:rPr>
        <w:t>. Novo mesto</w:t>
      </w:r>
    </w:p>
    <w:p w14:paraId="58EC79BF" w14:textId="77777777" w:rsidR="00E96E12" w:rsidRDefault="00E97765">
      <w:pPr>
        <w:widowControl w:val="0"/>
        <w:tabs>
          <w:tab w:val="left" w:pos="1296"/>
        </w:tabs>
        <w:snapToGrid w:val="0"/>
        <w:jc w:val="both"/>
        <w:rPr>
          <w:szCs w:val="22"/>
        </w:rPr>
      </w:pPr>
      <w:proofErr w:type="spellStart"/>
      <w:r>
        <w:rPr>
          <w:szCs w:val="22"/>
        </w:rPr>
        <w:t>Šmarješka</w:t>
      </w:r>
      <w:proofErr w:type="spellEnd"/>
      <w:r>
        <w:rPr>
          <w:szCs w:val="22"/>
        </w:rPr>
        <w:t xml:space="preserve"> </w:t>
      </w:r>
      <w:proofErr w:type="spellStart"/>
      <w:r>
        <w:rPr>
          <w:szCs w:val="22"/>
        </w:rPr>
        <w:t>cesta</w:t>
      </w:r>
      <w:proofErr w:type="spellEnd"/>
      <w:r>
        <w:rPr>
          <w:szCs w:val="22"/>
        </w:rPr>
        <w:t xml:space="preserve"> 6</w:t>
      </w:r>
    </w:p>
    <w:p w14:paraId="03077A71" w14:textId="77777777" w:rsidR="00E96E12" w:rsidRDefault="00E97765">
      <w:pPr>
        <w:widowControl w:val="0"/>
        <w:tabs>
          <w:tab w:val="left" w:pos="1296"/>
        </w:tabs>
        <w:snapToGrid w:val="0"/>
        <w:jc w:val="both"/>
        <w:rPr>
          <w:szCs w:val="22"/>
        </w:rPr>
      </w:pPr>
      <w:r>
        <w:rPr>
          <w:szCs w:val="22"/>
        </w:rPr>
        <w:t>8501 Novo mesto</w:t>
      </w:r>
    </w:p>
    <w:p w14:paraId="50F103A9" w14:textId="77777777" w:rsidR="00E96E12" w:rsidRDefault="00E97765">
      <w:pPr>
        <w:widowControl w:val="0"/>
        <w:tabs>
          <w:tab w:val="left" w:pos="1296"/>
        </w:tabs>
        <w:snapToGrid w:val="0"/>
        <w:jc w:val="both"/>
        <w:rPr>
          <w:szCs w:val="22"/>
        </w:rPr>
      </w:pPr>
      <w:r>
        <w:rPr>
          <w:szCs w:val="22"/>
        </w:rPr>
        <w:t>Slovėnija</w:t>
      </w:r>
    </w:p>
    <w:p w14:paraId="49265698" w14:textId="77777777" w:rsidR="00E96E12" w:rsidRDefault="00E96E12">
      <w:pPr>
        <w:rPr>
          <w:noProof/>
        </w:rPr>
      </w:pPr>
    </w:p>
    <w:p w14:paraId="5ED4DAC9" w14:textId="77777777" w:rsidR="00E96E12" w:rsidRDefault="00E96E12">
      <w:pPr>
        <w:rPr>
          <w:noProof/>
        </w:rPr>
      </w:pPr>
    </w:p>
    <w:p w14:paraId="26DA3B7F" w14:textId="77777777" w:rsidR="00E96E12" w:rsidRDefault="00E97765">
      <w:pPr>
        <w:pBdr>
          <w:top w:val="single" w:sz="4" w:space="1" w:color="auto"/>
          <w:left w:val="single" w:sz="4" w:space="4" w:color="auto"/>
          <w:bottom w:val="single" w:sz="4" w:space="1" w:color="auto"/>
          <w:right w:val="single" w:sz="4" w:space="4" w:color="auto"/>
        </w:pBdr>
        <w:outlineLvl w:val="0"/>
        <w:rPr>
          <w:noProof/>
        </w:rPr>
      </w:pPr>
      <w:r>
        <w:rPr>
          <w:b/>
          <w:noProof/>
        </w:rPr>
        <w:t>12.</w:t>
      </w:r>
      <w:r>
        <w:rPr>
          <w:b/>
          <w:noProof/>
        </w:rPr>
        <w:tab/>
      </w:r>
      <w:r>
        <w:rPr>
          <w:b/>
          <w:noProof/>
          <w:snapToGrid w:val="0"/>
        </w:rPr>
        <w:t xml:space="preserve">REGISTRACIJOS PAŽYMĖJIMO </w:t>
      </w:r>
      <w:r>
        <w:rPr>
          <w:b/>
          <w:caps/>
          <w:noProof/>
        </w:rPr>
        <w:t>numeris</w:t>
      </w:r>
      <w:r>
        <w:rPr>
          <w:b/>
          <w:noProof/>
        </w:rPr>
        <w:t xml:space="preserve"> </w:t>
      </w:r>
      <w:r>
        <w:rPr>
          <w:b/>
        </w:rPr>
        <w:t>(-IAI)</w:t>
      </w:r>
    </w:p>
    <w:p w14:paraId="1D292EE3" w14:textId="77777777" w:rsidR="00E96E12" w:rsidRDefault="00E96E12">
      <w:pPr>
        <w:rPr>
          <w:noProof/>
        </w:rPr>
      </w:pPr>
    </w:p>
    <w:p w14:paraId="4FF87356" w14:textId="77777777" w:rsidR="00E96E12" w:rsidRDefault="00E97765">
      <w:pPr>
        <w:rPr>
          <w:u w:val="single"/>
          <w:shd w:val="clear" w:color="auto" w:fill="F2F2F2" w:themeFill="background1" w:themeFillShade="F2"/>
        </w:rPr>
      </w:pPr>
      <w:r>
        <w:rPr>
          <w:u w:val="single"/>
          <w:shd w:val="clear" w:color="auto" w:fill="F2F2F2" w:themeFill="background1" w:themeFillShade="F2"/>
        </w:rPr>
        <w:t>5 mg:</w:t>
      </w:r>
    </w:p>
    <w:p w14:paraId="096D7EEA" w14:textId="77777777" w:rsidR="00E96E12" w:rsidRDefault="00E97765">
      <w:r>
        <w:rPr>
          <w:u w:val="single"/>
          <w:shd w:val="clear" w:color="auto" w:fill="F2F2F2" w:themeFill="background1" w:themeFillShade="F2"/>
        </w:rPr>
        <w:t>Lizdinė plokštelė</w:t>
      </w:r>
      <w:r>
        <w:t>:</w:t>
      </w:r>
    </w:p>
    <w:p w14:paraId="48AA9439" w14:textId="77777777" w:rsidR="00E96E12" w:rsidRDefault="00E97765">
      <w:pPr>
        <w:rPr>
          <w:shd w:val="clear" w:color="auto" w:fill="F2F2F2" w:themeFill="background1" w:themeFillShade="F2"/>
        </w:rPr>
      </w:pPr>
      <w:r>
        <w:t xml:space="preserve">LT/1/23/5266/001 </w:t>
      </w:r>
      <w:r>
        <w:rPr>
          <w:shd w:val="clear" w:color="auto" w:fill="F2F2F2" w:themeFill="background1" w:themeFillShade="F2"/>
        </w:rPr>
        <w:t>– N14</w:t>
      </w:r>
    </w:p>
    <w:p w14:paraId="530537E8" w14:textId="77777777" w:rsidR="00E96E12" w:rsidRDefault="00E97765">
      <w:pPr>
        <w:rPr>
          <w:shd w:val="clear" w:color="auto" w:fill="F2F2F2" w:themeFill="background1" w:themeFillShade="F2"/>
        </w:rPr>
      </w:pPr>
      <w:r>
        <w:rPr>
          <w:shd w:val="clear" w:color="auto" w:fill="F2F2F2" w:themeFill="background1" w:themeFillShade="F2"/>
        </w:rPr>
        <w:t>LT/1/23/5266/002 – N28</w:t>
      </w:r>
    </w:p>
    <w:p w14:paraId="0A3E9A06" w14:textId="77777777" w:rsidR="00E96E12" w:rsidRDefault="00E97765">
      <w:pPr>
        <w:rPr>
          <w:shd w:val="clear" w:color="auto" w:fill="F2F2F2" w:themeFill="background1" w:themeFillShade="F2"/>
        </w:rPr>
      </w:pPr>
      <w:r>
        <w:rPr>
          <w:shd w:val="clear" w:color="auto" w:fill="F2F2F2" w:themeFill="background1" w:themeFillShade="F2"/>
        </w:rPr>
        <w:t>LT/1/23/5266/003 – N30</w:t>
      </w:r>
    </w:p>
    <w:p w14:paraId="1EA78A62" w14:textId="77777777" w:rsidR="00E96E12" w:rsidRDefault="00E97765">
      <w:pPr>
        <w:rPr>
          <w:shd w:val="clear" w:color="auto" w:fill="F2F2F2" w:themeFill="background1" w:themeFillShade="F2"/>
        </w:rPr>
      </w:pPr>
      <w:r>
        <w:rPr>
          <w:shd w:val="clear" w:color="auto" w:fill="F2F2F2" w:themeFill="background1" w:themeFillShade="F2"/>
        </w:rPr>
        <w:t>LT/1/23/5266/004 – N56</w:t>
      </w:r>
    </w:p>
    <w:p w14:paraId="1C749FE7" w14:textId="77777777" w:rsidR="00E96E12" w:rsidRDefault="00E97765">
      <w:pPr>
        <w:rPr>
          <w:shd w:val="clear" w:color="auto" w:fill="F2F2F2" w:themeFill="background1" w:themeFillShade="F2"/>
        </w:rPr>
      </w:pPr>
      <w:r>
        <w:rPr>
          <w:shd w:val="clear" w:color="auto" w:fill="F2F2F2" w:themeFill="background1" w:themeFillShade="F2"/>
        </w:rPr>
        <w:t>LT/1/23/5266/005 – N60</w:t>
      </w:r>
    </w:p>
    <w:p w14:paraId="412733A4" w14:textId="77777777" w:rsidR="00E96E12" w:rsidRDefault="00E97765">
      <w:pPr>
        <w:rPr>
          <w:shd w:val="clear" w:color="auto" w:fill="F2F2F2" w:themeFill="background1" w:themeFillShade="F2"/>
        </w:rPr>
      </w:pPr>
      <w:r>
        <w:rPr>
          <w:shd w:val="clear" w:color="auto" w:fill="F2F2F2" w:themeFill="background1" w:themeFillShade="F2"/>
        </w:rPr>
        <w:t>LT/1/23/5266/006 – N90</w:t>
      </w:r>
    </w:p>
    <w:p w14:paraId="17F4E270" w14:textId="77777777" w:rsidR="00E96E12" w:rsidRDefault="00E97765">
      <w:pPr>
        <w:rPr>
          <w:shd w:val="clear" w:color="auto" w:fill="F2F2F2" w:themeFill="background1" w:themeFillShade="F2"/>
        </w:rPr>
      </w:pPr>
      <w:r>
        <w:rPr>
          <w:shd w:val="clear" w:color="auto" w:fill="F2F2F2" w:themeFill="background1" w:themeFillShade="F2"/>
        </w:rPr>
        <w:t>LT/1/23/5266/007 – N98</w:t>
      </w:r>
    </w:p>
    <w:p w14:paraId="289F9D95" w14:textId="77777777" w:rsidR="00E96E12" w:rsidRDefault="00E97765">
      <w:pPr>
        <w:rPr>
          <w:shd w:val="clear" w:color="auto" w:fill="F2F2F2" w:themeFill="background1" w:themeFillShade="F2"/>
        </w:rPr>
      </w:pPr>
      <w:r>
        <w:rPr>
          <w:shd w:val="clear" w:color="auto" w:fill="F2F2F2" w:themeFill="background1" w:themeFillShade="F2"/>
        </w:rPr>
        <w:t>LT/1/23/5266/008 – N100</w:t>
      </w:r>
    </w:p>
    <w:p w14:paraId="0E6D2E21" w14:textId="77777777" w:rsidR="00E96E12" w:rsidRDefault="00E97765">
      <w:pPr>
        <w:rPr>
          <w:shd w:val="clear" w:color="auto" w:fill="F2F2F2" w:themeFill="background1" w:themeFillShade="F2"/>
        </w:rPr>
      </w:pPr>
      <w:r>
        <w:rPr>
          <w:u w:val="single"/>
          <w:shd w:val="clear" w:color="auto" w:fill="F2F2F2" w:themeFill="background1" w:themeFillShade="F2"/>
        </w:rPr>
        <w:t>Lizdinė plokštelė (kalendorinė pakuotė</w:t>
      </w:r>
      <w:r>
        <w:rPr>
          <w:shd w:val="clear" w:color="auto" w:fill="F2F2F2" w:themeFill="background1" w:themeFillShade="F2"/>
        </w:rPr>
        <w:t>):</w:t>
      </w:r>
    </w:p>
    <w:p w14:paraId="0D8F6908" w14:textId="77777777" w:rsidR="00E96E12" w:rsidRDefault="00E97765">
      <w:pPr>
        <w:rPr>
          <w:shd w:val="clear" w:color="auto" w:fill="F2F2F2" w:themeFill="background1" w:themeFillShade="F2"/>
        </w:rPr>
      </w:pPr>
      <w:r>
        <w:rPr>
          <w:shd w:val="clear" w:color="auto" w:fill="F2F2F2" w:themeFill="background1" w:themeFillShade="F2"/>
        </w:rPr>
        <w:t>LT/1/23/5266/009 – N14</w:t>
      </w:r>
    </w:p>
    <w:p w14:paraId="51BCFE7E" w14:textId="77777777" w:rsidR="00E96E12" w:rsidRDefault="00E97765">
      <w:pPr>
        <w:rPr>
          <w:shd w:val="clear" w:color="auto" w:fill="F2F2F2" w:themeFill="background1" w:themeFillShade="F2"/>
        </w:rPr>
      </w:pPr>
      <w:r>
        <w:rPr>
          <w:shd w:val="clear" w:color="auto" w:fill="F2F2F2" w:themeFill="background1" w:themeFillShade="F2"/>
        </w:rPr>
        <w:t>LT/1/23/5266/010 – N28</w:t>
      </w:r>
    </w:p>
    <w:p w14:paraId="5A7C1684" w14:textId="77777777" w:rsidR="00E96E12" w:rsidRDefault="00E97765">
      <w:pPr>
        <w:rPr>
          <w:shd w:val="clear" w:color="auto" w:fill="F2F2F2" w:themeFill="background1" w:themeFillShade="F2"/>
        </w:rPr>
      </w:pPr>
      <w:r>
        <w:rPr>
          <w:shd w:val="clear" w:color="auto" w:fill="F2F2F2" w:themeFill="background1" w:themeFillShade="F2"/>
        </w:rPr>
        <w:t>LT/1/23/5266/011 – N56</w:t>
      </w:r>
    </w:p>
    <w:p w14:paraId="6578B1A0" w14:textId="77777777" w:rsidR="00E96E12" w:rsidRDefault="00E97765">
      <w:pPr>
        <w:rPr>
          <w:shd w:val="clear" w:color="auto" w:fill="F2F2F2" w:themeFill="background1" w:themeFillShade="F2"/>
        </w:rPr>
      </w:pPr>
      <w:r>
        <w:rPr>
          <w:shd w:val="clear" w:color="auto" w:fill="F2F2F2" w:themeFill="background1" w:themeFillShade="F2"/>
        </w:rPr>
        <w:t>LT/1/23/5266/012 – N98</w:t>
      </w:r>
    </w:p>
    <w:p w14:paraId="624321A3" w14:textId="77777777" w:rsidR="00E96E12" w:rsidRDefault="00E97765">
      <w:pPr>
        <w:rPr>
          <w:shd w:val="clear" w:color="auto" w:fill="F2F2F2" w:themeFill="background1" w:themeFillShade="F2"/>
        </w:rPr>
      </w:pPr>
      <w:proofErr w:type="spellStart"/>
      <w:r>
        <w:rPr>
          <w:u w:val="single"/>
          <w:shd w:val="clear" w:color="auto" w:fill="F2F2F2" w:themeFill="background1" w:themeFillShade="F2"/>
        </w:rPr>
        <w:t>Dalomoji</w:t>
      </w:r>
      <w:proofErr w:type="spellEnd"/>
      <w:r>
        <w:rPr>
          <w:u w:val="single"/>
          <w:shd w:val="clear" w:color="auto" w:fill="F2F2F2" w:themeFill="background1" w:themeFillShade="F2"/>
        </w:rPr>
        <w:t xml:space="preserve"> lizdinė plokštelė</w:t>
      </w:r>
      <w:r>
        <w:rPr>
          <w:shd w:val="clear" w:color="auto" w:fill="F2F2F2" w:themeFill="background1" w:themeFillShade="F2"/>
        </w:rPr>
        <w:t>:</w:t>
      </w:r>
    </w:p>
    <w:p w14:paraId="446E543D" w14:textId="77777777" w:rsidR="00E96E12" w:rsidRDefault="00E97765">
      <w:pPr>
        <w:rPr>
          <w:shd w:val="clear" w:color="auto" w:fill="F2F2F2" w:themeFill="background1" w:themeFillShade="F2"/>
        </w:rPr>
      </w:pPr>
      <w:r>
        <w:rPr>
          <w:shd w:val="clear" w:color="auto" w:fill="F2F2F2" w:themeFill="background1" w:themeFillShade="F2"/>
        </w:rPr>
        <w:t>LT/1/23/5266/013 – N14x1</w:t>
      </w:r>
    </w:p>
    <w:p w14:paraId="57A282D3" w14:textId="77777777" w:rsidR="00E96E12" w:rsidRDefault="00E97765">
      <w:pPr>
        <w:rPr>
          <w:shd w:val="clear" w:color="auto" w:fill="F2F2F2" w:themeFill="background1" w:themeFillShade="F2"/>
        </w:rPr>
      </w:pPr>
      <w:r>
        <w:rPr>
          <w:shd w:val="clear" w:color="auto" w:fill="F2F2F2" w:themeFill="background1" w:themeFillShade="F2"/>
        </w:rPr>
        <w:t>LT/1/23/5266/014 – N28x1</w:t>
      </w:r>
    </w:p>
    <w:p w14:paraId="1081AA41" w14:textId="77777777" w:rsidR="00E96E12" w:rsidRDefault="00E97765">
      <w:pPr>
        <w:rPr>
          <w:shd w:val="clear" w:color="auto" w:fill="F2F2F2" w:themeFill="background1" w:themeFillShade="F2"/>
        </w:rPr>
      </w:pPr>
      <w:r>
        <w:rPr>
          <w:shd w:val="clear" w:color="auto" w:fill="F2F2F2" w:themeFill="background1" w:themeFillShade="F2"/>
        </w:rPr>
        <w:t>LT/1/23/5266/015 – N30x1</w:t>
      </w:r>
    </w:p>
    <w:p w14:paraId="596D2BAB" w14:textId="77777777" w:rsidR="00E96E12" w:rsidRDefault="00E97765">
      <w:pPr>
        <w:rPr>
          <w:shd w:val="clear" w:color="auto" w:fill="F2F2F2" w:themeFill="background1" w:themeFillShade="F2"/>
        </w:rPr>
      </w:pPr>
      <w:r>
        <w:rPr>
          <w:shd w:val="clear" w:color="auto" w:fill="F2F2F2" w:themeFill="background1" w:themeFillShade="F2"/>
        </w:rPr>
        <w:t>LT/1/23/5266/016 – N56x1</w:t>
      </w:r>
    </w:p>
    <w:p w14:paraId="4C3137D5" w14:textId="77777777" w:rsidR="00E96E12" w:rsidRDefault="00E97765">
      <w:pPr>
        <w:rPr>
          <w:shd w:val="clear" w:color="auto" w:fill="F2F2F2" w:themeFill="background1" w:themeFillShade="F2"/>
        </w:rPr>
      </w:pPr>
      <w:r>
        <w:rPr>
          <w:shd w:val="clear" w:color="auto" w:fill="F2F2F2" w:themeFill="background1" w:themeFillShade="F2"/>
        </w:rPr>
        <w:t>LT/1/23/5266/017 – N60x1</w:t>
      </w:r>
    </w:p>
    <w:p w14:paraId="1737B1C2" w14:textId="77777777" w:rsidR="00E96E12" w:rsidRDefault="00E97765">
      <w:pPr>
        <w:rPr>
          <w:shd w:val="clear" w:color="auto" w:fill="F2F2F2" w:themeFill="background1" w:themeFillShade="F2"/>
        </w:rPr>
      </w:pPr>
      <w:r>
        <w:rPr>
          <w:shd w:val="clear" w:color="auto" w:fill="F2F2F2" w:themeFill="background1" w:themeFillShade="F2"/>
        </w:rPr>
        <w:t>LT/1/23/5266/018 – N90x1</w:t>
      </w:r>
    </w:p>
    <w:p w14:paraId="4EAB2EFA" w14:textId="77777777" w:rsidR="00E96E12" w:rsidRDefault="00E97765">
      <w:pPr>
        <w:rPr>
          <w:shd w:val="clear" w:color="auto" w:fill="F2F2F2" w:themeFill="background1" w:themeFillShade="F2"/>
        </w:rPr>
      </w:pPr>
      <w:r>
        <w:rPr>
          <w:shd w:val="clear" w:color="auto" w:fill="F2F2F2" w:themeFill="background1" w:themeFillShade="F2"/>
        </w:rPr>
        <w:t>LT/1/23/5266/019 – N98x1</w:t>
      </w:r>
    </w:p>
    <w:p w14:paraId="1835FBF3" w14:textId="77777777" w:rsidR="00E96E12" w:rsidRDefault="00E97765">
      <w:pPr>
        <w:rPr>
          <w:shd w:val="clear" w:color="auto" w:fill="F2F2F2" w:themeFill="background1" w:themeFillShade="F2"/>
        </w:rPr>
      </w:pPr>
      <w:r>
        <w:rPr>
          <w:shd w:val="clear" w:color="auto" w:fill="F2F2F2" w:themeFill="background1" w:themeFillShade="F2"/>
        </w:rPr>
        <w:t>LT/1/23/5266/020 – N100x1</w:t>
      </w:r>
    </w:p>
    <w:p w14:paraId="6A0F458F" w14:textId="77777777" w:rsidR="00E96E12" w:rsidRDefault="00E97765">
      <w:pPr>
        <w:keepNext/>
        <w:rPr>
          <w:shd w:val="clear" w:color="auto" w:fill="F2F2F2" w:themeFill="background1" w:themeFillShade="F2"/>
        </w:rPr>
      </w:pPr>
      <w:proofErr w:type="spellStart"/>
      <w:r>
        <w:rPr>
          <w:u w:val="single"/>
          <w:shd w:val="clear" w:color="auto" w:fill="F2F2F2" w:themeFill="background1" w:themeFillShade="F2"/>
        </w:rPr>
        <w:lastRenderedPageBreak/>
        <w:t>Dalomoji</w:t>
      </w:r>
      <w:proofErr w:type="spellEnd"/>
      <w:r>
        <w:rPr>
          <w:u w:val="single"/>
          <w:shd w:val="clear" w:color="auto" w:fill="F2F2F2" w:themeFill="background1" w:themeFillShade="F2"/>
        </w:rPr>
        <w:t xml:space="preserve"> lizdinė plokštelė (kalendorinė pakuotė</w:t>
      </w:r>
      <w:r>
        <w:rPr>
          <w:shd w:val="clear" w:color="auto" w:fill="F2F2F2" w:themeFill="background1" w:themeFillShade="F2"/>
        </w:rPr>
        <w:t>):</w:t>
      </w:r>
    </w:p>
    <w:p w14:paraId="66EC6633" w14:textId="77777777" w:rsidR="00E96E12" w:rsidRDefault="00E97765">
      <w:pPr>
        <w:keepNext/>
        <w:rPr>
          <w:shd w:val="clear" w:color="auto" w:fill="F2F2F2" w:themeFill="background1" w:themeFillShade="F2"/>
        </w:rPr>
      </w:pPr>
      <w:r>
        <w:rPr>
          <w:shd w:val="clear" w:color="auto" w:fill="F2F2F2" w:themeFill="background1" w:themeFillShade="F2"/>
        </w:rPr>
        <w:t>LT/1/23/5266/021 – N14x1</w:t>
      </w:r>
    </w:p>
    <w:p w14:paraId="161997E9" w14:textId="77777777" w:rsidR="00E96E12" w:rsidRDefault="00E97765">
      <w:pPr>
        <w:rPr>
          <w:shd w:val="clear" w:color="auto" w:fill="F2F2F2" w:themeFill="background1" w:themeFillShade="F2"/>
        </w:rPr>
      </w:pPr>
      <w:r>
        <w:rPr>
          <w:shd w:val="clear" w:color="auto" w:fill="F2F2F2" w:themeFill="background1" w:themeFillShade="F2"/>
        </w:rPr>
        <w:t>LT/1/23/5266/022 – N28x1</w:t>
      </w:r>
    </w:p>
    <w:p w14:paraId="6EE56FE7" w14:textId="77777777" w:rsidR="00E96E12" w:rsidRDefault="00E97765">
      <w:pPr>
        <w:rPr>
          <w:shd w:val="clear" w:color="auto" w:fill="F2F2F2" w:themeFill="background1" w:themeFillShade="F2"/>
        </w:rPr>
      </w:pPr>
      <w:r>
        <w:rPr>
          <w:shd w:val="clear" w:color="auto" w:fill="F2F2F2" w:themeFill="background1" w:themeFillShade="F2"/>
        </w:rPr>
        <w:t>LT/1/23/5266/023 – N56x1</w:t>
      </w:r>
    </w:p>
    <w:p w14:paraId="7302DBD6" w14:textId="77777777" w:rsidR="00E96E12" w:rsidRDefault="00E97765">
      <w:r>
        <w:rPr>
          <w:shd w:val="clear" w:color="auto" w:fill="F2F2F2" w:themeFill="background1" w:themeFillShade="F2"/>
        </w:rPr>
        <w:t>LT/1/23/5266/024 – N98x1</w:t>
      </w:r>
      <w:r>
        <w:tab/>
      </w:r>
    </w:p>
    <w:p w14:paraId="4FB8A8BD" w14:textId="77777777" w:rsidR="00E96E12" w:rsidRDefault="00E96E12"/>
    <w:p w14:paraId="7A2E2835" w14:textId="77777777" w:rsidR="00E96E12" w:rsidRDefault="00E97765">
      <w:pPr>
        <w:rPr>
          <w:shd w:val="clear" w:color="auto" w:fill="F2F2F2" w:themeFill="background1" w:themeFillShade="F2"/>
        </w:rPr>
      </w:pPr>
      <w:r>
        <w:rPr>
          <w:u w:val="single"/>
          <w:shd w:val="clear" w:color="auto" w:fill="F2F2F2" w:themeFill="background1" w:themeFillShade="F2"/>
        </w:rPr>
        <w:t>10 mg</w:t>
      </w:r>
      <w:r>
        <w:rPr>
          <w:shd w:val="clear" w:color="auto" w:fill="F2F2F2" w:themeFill="background1" w:themeFillShade="F2"/>
        </w:rPr>
        <w:t>:</w:t>
      </w:r>
    </w:p>
    <w:p w14:paraId="57C97961" w14:textId="77777777" w:rsidR="00E96E12" w:rsidRDefault="00E97765">
      <w:pPr>
        <w:rPr>
          <w:shd w:val="clear" w:color="auto" w:fill="F2F2F2" w:themeFill="background1" w:themeFillShade="F2"/>
        </w:rPr>
      </w:pPr>
      <w:r>
        <w:rPr>
          <w:u w:val="single"/>
          <w:shd w:val="clear" w:color="auto" w:fill="F2F2F2" w:themeFill="background1" w:themeFillShade="F2"/>
        </w:rPr>
        <w:t>Lizdinė plokštelė</w:t>
      </w:r>
      <w:r>
        <w:rPr>
          <w:shd w:val="clear" w:color="auto" w:fill="F2F2F2" w:themeFill="background1" w:themeFillShade="F2"/>
        </w:rPr>
        <w:t>:</w:t>
      </w:r>
    </w:p>
    <w:p w14:paraId="67426F74" w14:textId="77777777" w:rsidR="00E96E12" w:rsidRDefault="00E97765">
      <w:pPr>
        <w:rPr>
          <w:shd w:val="clear" w:color="auto" w:fill="F2F2F2" w:themeFill="background1" w:themeFillShade="F2"/>
        </w:rPr>
      </w:pPr>
      <w:r>
        <w:rPr>
          <w:shd w:val="clear" w:color="auto" w:fill="F2F2F2" w:themeFill="background1" w:themeFillShade="F2"/>
        </w:rPr>
        <w:t>LT/1/23/5267/001 – N14</w:t>
      </w:r>
    </w:p>
    <w:p w14:paraId="7ABAA096" w14:textId="77777777" w:rsidR="00E96E12" w:rsidRDefault="00E97765">
      <w:pPr>
        <w:rPr>
          <w:shd w:val="clear" w:color="auto" w:fill="F2F2F2" w:themeFill="background1" w:themeFillShade="F2"/>
        </w:rPr>
      </w:pPr>
      <w:r>
        <w:rPr>
          <w:shd w:val="clear" w:color="auto" w:fill="F2F2F2" w:themeFill="background1" w:themeFillShade="F2"/>
        </w:rPr>
        <w:t>LT/1/23/5267/002 – N28</w:t>
      </w:r>
    </w:p>
    <w:p w14:paraId="64AF8676" w14:textId="77777777" w:rsidR="00E96E12" w:rsidRDefault="00E97765">
      <w:pPr>
        <w:rPr>
          <w:shd w:val="clear" w:color="auto" w:fill="F2F2F2" w:themeFill="background1" w:themeFillShade="F2"/>
        </w:rPr>
      </w:pPr>
      <w:r>
        <w:rPr>
          <w:shd w:val="clear" w:color="auto" w:fill="F2F2F2" w:themeFill="background1" w:themeFillShade="F2"/>
        </w:rPr>
        <w:t>LT/1/23/5267/003 – N30</w:t>
      </w:r>
    </w:p>
    <w:p w14:paraId="3CC65354" w14:textId="77777777" w:rsidR="00E96E12" w:rsidRDefault="00E97765">
      <w:pPr>
        <w:rPr>
          <w:shd w:val="clear" w:color="auto" w:fill="F2F2F2" w:themeFill="background1" w:themeFillShade="F2"/>
        </w:rPr>
      </w:pPr>
      <w:r>
        <w:rPr>
          <w:shd w:val="clear" w:color="auto" w:fill="F2F2F2" w:themeFill="background1" w:themeFillShade="F2"/>
        </w:rPr>
        <w:t>LT/1/23/5267/004 – N56</w:t>
      </w:r>
    </w:p>
    <w:p w14:paraId="1F779E07" w14:textId="77777777" w:rsidR="00E96E12" w:rsidRDefault="00E97765">
      <w:pPr>
        <w:rPr>
          <w:shd w:val="clear" w:color="auto" w:fill="F2F2F2" w:themeFill="background1" w:themeFillShade="F2"/>
        </w:rPr>
      </w:pPr>
      <w:r>
        <w:rPr>
          <w:shd w:val="clear" w:color="auto" w:fill="F2F2F2" w:themeFill="background1" w:themeFillShade="F2"/>
        </w:rPr>
        <w:t>LT/1/23/5267/005 – N60</w:t>
      </w:r>
    </w:p>
    <w:p w14:paraId="4AF62438" w14:textId="77777777" w:rsidR="00E96E12" w:rsidRDefault="00E97765">
      <w:pPr>
        <w:rPr>
          <w:shd w:val="clear" w:color="auto" w:fill="F2F2F2" w:themeFill="background1" w:themeFillShade="F2"/>
        </w:rPr>
      </w:pPr>
      <w:r>
        <w:rPr>
          <w:shd w:val="clear" w:color="auto" w:fill="F2F2F2" w:themeFill="background1" w:themeFillShade="F2"/>
        </w:rPr>
        <w:t>LT/1/23/5267/006 – N90</w:t>
      </w:r>
    </w:p>
    <w:p w14:paraId="5FD86297" w14:textId="77777777" w:rsidR="00E96E12" w:rsidRDefault="00E97765">
      <w:pPr>
        <w:rPr>
          <w:shd w:val="clear" w:color="auto" w:fill="F2F2F2" w:themeFill="background1" w:themeFillShade="F2"/>
        </w:rPr>
      </w:pPr>
      <w:r>
        <w:rPr>
          <w:shd w:val="clear" w:color="auto" w:fill="F2F2F2" w:themeFill="background1" w:themeFillShade="F2"/>
        </w:rPr>
        <w:t>LT/1/23/5267/007 – N98</w:t>
      </w:r>
    </w:p>
    <w:p w14:paraId="0B4B2A6D" w14:textId="77777777" w:rsidR="00E96E12" w:rsidRDefault="00E97765">
      <w:pPr>
        <w:rPr>
          <w:shd w:val="clear" w:color="auto" w:fill="F2F2F2" w:themeFill="background1" w:themeFillShade="F2"/>
        </w:rPr>
      </w:pPr>
      <w:r>
        <w:rPr>
          <w:shd w:val="clear" w:color="auto" w:fill="F2F2F2" w:themeFill="background1" w:themeFillShade="F2"/>
        </w:rPr>
        <w:t>LT/1/23/5267/008 – N100</w:t>
      </w:r>
    </w:p>
    <w:p w14:paraId="5DA75CD4" w14:textId="77777777" w:rsidR="00E96E12" w:rsidRDefault="00E97765">
      <w:pPr>
        <w:rPr>
          <w:shd w:val="clear" w:color="auto" w:fill="F2F2F2" w:themeFill="background1" w:themeFillShade="F2"/>
        </w:rPr>
      </w:pPr>
      <w:r>
        <w:rPr>
          <w:u w:val="single"/>
          <w:shd w:val="clear" w:color="auto" w:fill="F2F2F2" w:themeFill="background1" w:themeFillShade="F2"/>
        </w:rPr>
        <w:t>Lizdinė plokštelė (kalendorinė pakuotė</w:t>
      </w:r>
      <w:r>
        <w:rPr>
          <w:shd w:val="clear" w:color="auto" w:fill="F2F2F2" w:themeFill="background1" w:themeFillShade="F2"/>
        </w:rPr>
        <w:t>):</w:t>
      </w:r>
    </w:p>
    <w:p w14:paraId="78A12AEC" w14:textId="77777777" w:rsidR="00E96E12" w:rsidRDefault="00E97765">
      <w:pPr>
        <w:rPr>
          <w:shd w:val="clear" w:color="auto" w:fill="F2F2F2" w:themeFill="background1" w:themeFillShade="F2"/>
        </w:rPr>
      </w:pPr>
      <w:r>
        <w:rPr>
          <w:shd w:val="clear" w:color="auto" w:fill="F2F2F2" w:themeFill="background1" w:themeFillShade="F2"/>
        </w:rPr>
        <w:t>LT/1/23/5267/009 – N14</w:t>
      </w:r>
    </w:p>
    <w:p w14:paraId="59F88DE1" w14:textId="77777777" w:rsidR="00E96E12" w:rsidRDefault="00E97765">
      <w:pPr>
        <w:rPr>
          <w:shd w:val="clear" w:color="auto" w:fill="F2F2F2" w:themeFill="background1" w:themeFillShade="F2"/>
        </w:rPr>
      </w:pPr>
      <w:r>
        <w:rPr>
          <w:shd w:val="clear" w:color="auto" w:fill="F2F2F2" w:themeFill="background1" w:themeFillShade="F2"/>
        </w:rPr>
        <w:t>LT/1/23/5267/010 – N28</w:t>
      </w:r>
    </w:p>
    <w:p w14:paraId="2F67CB2E" w14:textId="77777777" w:rsidR="00E96E12" w:rsidRDefault="00E97765">
      <w:pPr>
        <w:rPr>
          <w:shd w:val="clear" w:color="auto" w:fill="F2F2F2" w:themeFill="background1" w:themeFillShade="F2"/>
        </w:rPr>
      </w:pPr>
      <w:r>
        <w:rPr>
          <w:shd w:val="clear" w:color="auto" w:fill="F2F2F2" w:themeFill="background1" w:themeFillShade="F2"/>
        </w:rPr>
        <w:t>LT/1/23/5267/011 – N56</w:t>
      </w:r>
    </w:p>
    <w:p w14:paraId="3BEA6067" w14:textId="77777777" w:rsidR="00E96E12" w:rsidRDefault="00E97765">
      <w:pPr>
        <w:rPr>
          <w:shd w:val="clear" w:color="auto" w:fill="F2F2F2" w:themeFill="background1" w:themeFillShade="F2"/>
        </w:rPr>
      </w:pPr>
      <w:r>
        <w:rPr>
          <w:shd w:val="clear" w:color="auto" w:fill="F2F2F2" w:themeFill="background1" w:themeFillShade="F2"/>
        </w:rPr>
        <w:t>LT/1/23/5267/012 – N98</w:t>
      </w:r>
    </w:p>
    <w:p w14:paraId="29812E34" w14:textId="77777777" w:rsidR="00E96E12" w:rsidRDefault="00E97765">
      <w:pPr>
        <w:rPr>
          <w:shd w:val="clear" w:color="auto" w:fill="F2F2F2" w:themeFill="background1" w:themeFillShade="F2"/>
        </w:rPr>
      </w:pPr>
      <w:proofErr w:type="spellStart"/>
      <w:r>
        <w:rPr>
          <w:u w:val="single"/>
          <w:shd w:val="clear" w:color="auto" w:fill="F2F2F2" w:themeFill="background1" w:themeFillShade="F2"/>
        </w:rPr>
        <w:t>Dalomoji</w:t>
      </w:r>
      <w:proofErr w:type="spellEnd"/>
      <w:r>
        <w:rPr>
          <w:u w:val="single"/>
          <w:shd w:val="clear" w:color="auto" w:fill="F2F2F2" w:themeFill="background1" w:themeFillShade="F2"/>
        </w:rPr>
        <w:t xml:space="preserve"> lizdinė plokštelė</w:t>
      </w:r>
      <w:r>
        <w:rPr>
          <w:shd w:val="clear" w:color="auto" w:fill="F2F2F2" w:themeFill="background1" w:themeFillShade="F2"/>
        </w:rPr>
        <w:t>:</w:t>
      </w:r>
    </w:p>
    <w:p w14:paraId="5BD6521D" w14:textId="77777777" w:rsidR="00E96E12" w:rsidRDefault="00E97765">
      <w:pPr>
        <w:rPr>
          <w:shd w:val="clear" w:color="auto" w:fill="F2F2F2" w:themeFill="background1" w:themeFillShade="F2"/>
        </w:rPr>
      </w:pPr>
      <w:r>
        <w:rPr>
          <w:shd w:val="clear" w:color="auto" w:fill="F2F2F2" w:themeFill="background1" w:themeFillShade="F2"/>
        </w:rPr>
        <w:t>LT/1/23/5267/013 – N14x1</w:t>
      </w:r>
    </w:p>
    <w:p w14:paraId="4818F87A" w14:textId="77777777" w:rsidR="00E96E12" w:rsidRDefault="00E97765">
      <w:pPr>
        <w:rPr>
          <w:shd w:val="clear" w:color="auto" w:fill="F2F2F2" w:themeFill="background1" w:themeFillShade="F2"/>
        </w:rPr>
      </w:pPr>
      <w:r>
        <w:rPr>
          <w:shd w:val="clear" w:color="auto" w:fill="F2F2F2" w:themeFill="background1" w:themeFillShade="F2"/>
        </w:rPr>
        <w:t>LT/1/23/5267/014 – N28x1</w:t>
      </w:r>
    </w:p>
    <w:p w14:paraId="01014747" w14:textId="77777777" w:rsidR="00E96E12" w:rsidRDefault="00E97765">
      <w:pPr>
        <w:rPr>
          <w:shd w:val="clear" w:color="auto" w:fill="F2F2F2" w:themeFill="background1" w:themeFillShade="F2"/>
        </w:rPr>
      </w:pPr>
      <w:r>
        <w:rPr>
          <w:shd w:val="clear" w:color="auto" w:fill="F2F2F2" w:themeFill="background1" w:themeFillShade="F2"/>
        </w:rPr>
        <w:t>LT/1/23/5267/015 – N30x1</w:t>
      </w:r>
    </w:p>
    <w:p w14:paraId="291811F0" w14:textId="77777777" w:rsidR="00E96E12" w:rsidRDefault="00E97765">
      <w:pPr>
        <w:rPr>
          <w:shd w:val="clear" w:color="auto" w:fill="F2F2F2" w:themeFill="background1" w:themeFillShade="F2"/>
        </w:rPr>
      </w:pPr>
      <w:r>
        <w:rPr>
          <w:shd w:val="clear" w:color="auto" w:fill="F2F2F2" w:themeFill="background1" w:themeFillShade="F2"/>
        </w:rPr>
        <w:t>LT/1/23/5267/016 – N56x1</w:t>
      </w:r>
    </w:p>
    <w:p w14:paraId="1B74DEEF" w14:textId="77777777" w:rsidR="00E96E12" w:rsidRDefault="00E97765">
      <w:pPr>
        <w:rPr>
          <w:shd w:val="clear" w:color="auto" w:fill="F2F2F2" w:themeFill="background1" w:themeFillShade="F2"/>
        </w:rPr>
      </w:pPr>
      <w:r>
        <w:rPr>
          <w:shd w:val="clear" w:color="auto" w:fill="F2F2F2" w:themeFill="background1" w:themeFillShade="F2"/>
        </w:rPr>
        <w:t>LT/1/23/5267/017 – N60x1</w:t>
      </w:r>
    </w:p>
    <w:p w14:paraId="6D994562" w14:textId="77777777" w:rsidR="00E96E12" w:rsidRDefault="00E97765">
      <w:pPr>
        <w:rPr>
          <w:shd w:val="clear" w:color="auto" w:fill="F2F2F2" w:themeFill="background1" w:themeFillShade="F2"/>
        </w:rPr>
      </w:pPr>
      <w:r>
        <w:rPr>
          <w:shd w:val="clear" w:color="auto" w:fill="F2F2F2" w:themeFill="background1" w:themeFillShade="F2"/>
        </w:rPr>
        <w:t>LT/1/23/5267/018 – N90x1</w:t>
      </w:r>
    </w:p>
    <w:p w14:paraId="2C07BEE5" w14:textId="77777777" w:rsidR="00E96E12" w:rsidRDefault="00E97765">
      <w:pPr>
        <w:rPr>
          <w:shd w:val="clear" w:color="auto" w:fill="F2F2F2" w:themeFill="background1" w:themeFillShade="F2"/>
        </w:rPr>
      </w:pPr>
      <w:r>
        <w:rPr>
          <w:shd w:val="clear" w:color="auto" w:fill="F2F2F2" w:themeFill="background1" w:themeFillShade="F2"/>
        </w:rPr>
        <w:t>LT/1/23/5267/019 – N98x1</w:t>
      </w:r>
    </w:p>
    <w:p w14:paraId="403323D8" w14:textId="77777777" w:rsidR="00E96E12" w:rsidRDefault="00E97765">
      <w:pPr>
        <w:rPr>
          <w:shd w:val="clear" w:color="auto" w:fill="F2F2F2" w:themeFill="background1" w:themeFillShade="F2"/>
        </w:rPr>
      </w:pPr>
      <w:r>
        <w:rPr>
          <w:shd w:val="clear" w:color="auto" w:fill="F2F2F2" w:themeFill="background1" w:themeFillShade="F2"/>
        </w:rPr>
        <w:t>LT/1/23/5267/020 – N100x1</w:t>
      </w:r>
    </w:p>
    <w:p w14:paraId="04F2E858" w14:textId="77777777" w:rsidR="00E96E12" w:rsidRDefault="00E97765">
      <w:pPr>
        <w:rPr>
          <w:shd w:val="clear" w:color="auto" w:fill="F2F2F2" w:themeFill="background1" w:themeFillShade="F2"/>
        </w:rPr>
      </w:pPr>
      <w:proofErr w:type="spellStart"/>
      <w:r>
        <w:rPr>
          <w:u w:val="single"/>
          <w:shd w:val="clear" w:color="auto" w:fill="F2F2F2" w:themeFill="background1" w:themeFillShade="F2"/>
        </w:rPr>
        <w:t>Dalomoji</w:t>
      </w:r>
      <w:proofErr w:type="spellEnd"/>
      <w:r>
        <w:rPr>
          <w:u w:val="single"/>
          <w:shd w:val="clear" w:color="auto" w:fill="F2F2F2" w:themeFill="background1" w:themeFillShade="F2"/>
        </w:rPr>
        <w:t xml:space="preserve"> lizdinė plokštelė (kalendorinė pakuotė</w:t>
      </w:r>
      <w:r>
        <w:rPr>
          <w:shd w:val="clear" w:color="auto" w:fill="F2F2F2" w:themeFill="background1" w:themeFillShade="F2"/>
        </w:rPr>
        <w:t>):</w:t>
      </w:r>
    </w:p>
    <w:p w14:paraId="75C82765" w14:textId="77777777" w:rsidR="00E96E12" w:rsidRDefault="00E97765">
      <w:pPr>
        <w:rPr>
          <w:shd w:val="clear" w:color="auto" w:fill="F2F2F2" w:themeFill="background1" w:themeFillShade="F2"/>
        </w:rPr>
      </w:pPr>
      <w:r>
        <w:rPr>
          <w:shd w:val="clear" w:color="auto" w:fill="F2F2F2" w:themeFill="background1" w:themeFillShade="F2"/>
        </w:rPr>
        <w:t>LT/1/23/5267/021 – N14x1</w:t>
      </w:r>
    </w:p>
    <w:p w14:paraId="1A9C4D12" w14:textId="77777777" w:rsidR="00E96E12" w:rsidRDefault="00E97765">
      <w:pPr>
        <w:rPr>
          <w:shd w:val="clear" w:color="auto" w:fill="F2F2F2" w:themeFill="background1" w:themeFillShade="F2"/>
        </w:rPr>
      </w:pPr>
      <w:r>
        <w:rPr>
          <w:shd w:val="clear" w:color="auto" w:fill="F2F2F2" w:themeFill="background1" w:themeFillShade="F2"/>
        </w:rPr>
        <w:t>LT/1/23/5267/022 – N28x1</w:t>
      </w:r>
    </w:p>
    <w:p w14:paraId="79457D48" w14:textId="77777777" w:rsidR="00E96E12" w:rsidRDefault="00E97765">
      <w:pPr>
        <w:rPr>
          <w:shd w:val="clear" w:color="auto" w:fill="F2F2F2" w:themeFill="background1" w:themeFillShade="F2"/>
        </w:rPr>
      </w:pPr>
      <w:r>
        <w:rPr>
          <w:shd w:val="clear" w:color="auto" w:fill="F2F2F2" w:themeFill="background1" w:themeFillShade="F2"/>
        </w:rPr>
        <w:t>LT/1/23/5267/023 – N56x1</w:t>
      </w:r>
    </w:p>
    <w:p w14:paraId="79E439E0" w14:textId="77777777" w:rsidR="00E96E12" w:rsidRDefault="00E97765">
      <w:pPr>
        <w:rPr>
          <w:shd w:val="clear" w:color="auto" w:fill="F2F2F2" w:themeFill="background1" w:themeFillShade="F2"/>
        </w:rPr>
      </w:pPr>
      <w:r>
        <w:rPr>
          <w:shd w:val="clear" w:color="auto" w:fill="F2F2F2" w:themeFill="background1" w:themeFillShade="F2"/>
        </w:rPr>
        <w:t>LT/1/23/5267/024 – N98x1</w:t>
      </w:r>
    </w:p>
    <w:p w14:paraId="438D36FE" w14:textId="77777777" w:rsidR="00E96E12" w:rsidRDefault="00E96E12"/>
    <w:p w14:paraId="1B83886A" w14:textId="77777777" w:rsidR="00E96E12" w:rsidRDefault="00E96E12">
      <w:pPr>
        <w:rPr>
          <w:noProof/>
        </w:rPr>
      </w:pPr>
    </w:p>
    <w:p w14:paraId="201511B1" w14:textId="77777777" w:rsidR="00E96E12" w:rsidRDefault="00E97765">
      <w:pPr>
        <w:pBdr>
          <w:top w:val="single" w:sz="4" w:space="1" w:color="auto"/>
          <w:left w:val="single" w:sz="4" w:space="4" w:color="auto"/>
          <w:bottom w:val="single" w:sz="4" w:space="1" w:color="auto"/>
          <w:right w:val="single" w:sz="4" w:space="4" w:color="auto"/>
        </w:pBdr>
        <w:outlineLvl w:val="0"/>
        <w:rPr>
          <w:noProof/>
        </w:rPr>
      </w:pPr>
      <w:r>
        <w:rPr>
          <w:b/>
          <w:noProof/>
        </w:rPr>
        <w:t>13.</w:t>
      </w:r>
      <w:r>
        <w:rPr>
          <w:b/>
          <w:noProof/>
        </w:rPr>
        <w:tab/>
        <w:t>SERIJOS NUMERIS</w:t>
      </w:r>
    </w:p>
    <w:p w14:paraId="63547C34" w14:textId="77777777" w:rsidR="00E96E12" w:rsidRDefault="00E96E12">
      <w:pPr>
        <w:rPr>
          <w:i/>
          <w:noProof/>
        </w:rPr>
      </w:pPr>
    </w:p>
    <w:p w14:paraId="3B2DCCFA" w14:textId="77777777" w:rsidR="00E96E12" w:rsidRDefault="00E97765">
      <w:pPr>
        <w:rPr>
          <w:noProof/>
        </w:rPr>
      </w:pPr>
      <w:r>
        <w:rPr>
          <w:noProof/>
        </w:rPr>
        <w:t>Lot</w:t>
      </w:r>
    </w:p>
    <w:p w14:paraId="671D76D9" w14:textId="77777777" w:rsidR="00E96E12" w:rsidRDefault="00E96E12">
      <w:pPr>
        <w:rPr>
          <w:noProof/>
        </w:rPr>
      </w:pPr>
    </w:p>
    <w:p w14:paraId="70654F7A" w14:textId="77777777" w:rsidR="00E96E12" w:rsidRDefault="00E96E12">
      <w:pPr>
        <w:rPr>
          <w:noProof/>
        </w:rPr>
      </w:pPr>
    </w:p>
    <w:p w14:paraId="79A6E3B1" w14:textId="77777777" w:rsidR="00E96E12" w:rsidRDefault="00E97765">
      <w:pPr>
        <w:pBdr>
          <w:top w:val="single" w:sz="4" w:space="1" w:color="auto"/>
          <w:left w:val="single" w:sz="4" w:space="4" w:color="auto"/>
          <w:bottom w:val="single" w:sz="4" w:space="1" w:color="auto"/>
          <w:right w:val="single" w:sz="4" w:space="4" w:color="auto"/>
        </w:pBdr>
        <w:outlineLvl w:val="0"/>
        <w:rPr>
          <w:noProof/>
        </w:rPr>
      </w:pPr>
      <w:r>
        <w:rPr>
          <w:b/>
          <w:noProof/>
        </w:rPr>
        <w:t>14.</w:t>
      </w:r>
      <w:r>
        <w:rPr>
          <w:b/>
          <w:noProof/>
        </w:rPr>
        <w:tab/>
        <w:t>PARDAVIMO (IŠDAVIMO)</w:t>
      </w:r>
      <w:r>
        <w:rPr>
          <w:b/>
          <w:caps/>
          <w:noProof/>
        </w:rPr>
        <w:t xml:space="preserve"> tvarka</w:t>
      </w:r>
    </w:p>
    <w:p w14:paraId="1279FE8E" w14:textId="77777777" w:rsidR="00E96E12" w:rsidRDefault="00E96E12">
      <w:pPr>
        <w:rPr>
          <w:noProof/>
        </w:rPr>
      </w:pPr>
    </w:p>
    <w:p w14:paraId="6D274DCC" w14:textId="77777777" w:rsidR="00E96E12" w:rsidRDefault="00E97765">
      <w:pPr>
        <w:rPr>
          <w:noProof/>
        </w:rPr>
      </w:pPr>
      <w:r>
        <w:rPr>
          <w:noProof/>
        </w:rPr>
        <w:t>Receptinis vaistas.</w:t>
      </w:r>
    </w:p>
    <w:p w14:paraId="17E07E80" w14:textId="77777777" w:rsidR="00E96E12" w:rsidRDefault="00E96E12">
      <w:pPr>
        <w:rPr>
          <w:noProof/>
        </w:rPr>
      </w:pPr>
    </w:p>
    <w:p w14:paraId="1A61C3DA" w14:textId="77777777" w:rsidR="00E96E12" w:rsidRDefault="00E96E12">
      <w:pPr>
        <w:rPr>
          <w:noProof/>
        </w:rPr>
      </w:pPr>
    </w:p>
    <w:p w14:paraId="33A34362" w14:textId="77777777" w:rsidR="00E96E12" w:rsidRDefault="00E97765">
      <w:pPr>
        <w:pBdr>
          <w:top w:val="single" w:sz="4" w:space="1" w:color="auto"/>
          <w:left w:val="single" w:sz="4" w:space="4" w:color="auto"/>
          <w:bottom w:val="single" w:sz="4" w:space="1" w:color="auto"/>
          <w:right w:val="single" w:sz="4" w:space="4" w:color="auto"/>
        </w:pBdr>
        <w:outlineLvl w:val="0"/>
        <w:rPr>
          <w:noProof/>
        </w:rPr>
      </w:pPr>
      <w:r>
        <w:rPr>
          <w:b/>
          <w:noProof/>
        </w:rPr>
        <w:t>15.</w:t>
      </w:r>
      <w:r>
        <w:rPr>
          <w:b/>
          <w:noProof/>
        </w:rPr>
        <w:tab/>
      </w:r>
      <w:r>
        <w:rPr>
          <w:b/>
          <w:caps/>
          <w:noProof/>
        </w:rPr>
        <w:t>vartojimo instrukcijA</w:t>
      </w:r>
    </w:p>
    <w:p w14:paraId="195CE17E" w14:textId="77777777" w:rsidR="00E96E12" w:rsidRDefault="00E96E12">
      <w:pPr>
        <w:rPr>
          <w:noProof/>
        </w:rPr>
      </w:pPr>
    </w:p>
    <w:p w14:paraId="1B435EEA" w14:textId="77777777" w:rsidR="00E96E12" w:rsidRDefault="00E96E12">
      <w:pPr>
        <w:rPr>
          <w:noProof/>
        </w:rPr>
      </w:pPr>
    </w:p>
    <w:p w14:paraId="029CFD12" w14:textId="77777777" w:rsidR="00E96E12" w:rsidRDefault="00E97765">
      <w:pPr>
        <w:pBdr>
          <w:top w:val="single" w:sz="4" w:space="1" w:color="auto"/>
          <w:left w:val="single" w:sz="4" w:space="4" w:color="auto"/>
          <w:bottom w:val="single" w:sz="4" w:space="1" w:color="auto"/>
          <w:right w:val="single" w:sz="4" w:space="4" w:color="auto"/>
        </w:pBdr>
        <w:outlineLvl w:val="0"/>
        <w:rPr>
          <w:noProof/>
        </w:rPr>
      </w:pPr>
      <w:r>
        <w:rPr>
          <w:b/>
          <w:noProof/>
        </w:rPr>
        <w:t>16.</w:t>
      </w:r>
      <w:r>
        <w:rPr>
          <w:b/>
          <w:noProof/>
        </w:rPr>
        <w:tab/>
        <w:t>INFORMACIJA BRAILIO RAŠTU</w:t>
      </w:r>
    </w:p>
    <w:p w14:paraId="5BA548A5" w14:textId="77777777" w:rsidR="00E96E12" w:rsidRDefault="00E96E12">
      <w:pPr>
        <w:rPr>
          <w:noProof/>
        </w:rPr>
      </w:pPr>
    </w:p>
    <w:p w14:paraId="6EE0C91E" w14:textId="77777777" w:rsidR="00E96E12" w:rsidRDefault="00E97765">
      <w:pPr>
        <w:spacing w:after="21" w:line="248" w:lineRule="auto"/>
        <w:ind w:left="-5" w:right="14" w:hanging="10"/>
        <w:rPr>
          <w:color w:val="000000"/>
          <w:kern w:val="2"/>
          <w:szCs w:val="22"/>
          <w:lang w:eastAsia="en-GB"/>
          <w14:ligatures w14:val="standardContextual"/>
        </w:rPr>
      </w:pPr>
      <w:proofErr w:type="spellStart"/>
      <w:r>
        <w:rPr>
          <w:color w:val="000000"/>
          <w:kern w:val="2"/>
          <w:szCs w:val="22"/>
          <w:lang w:eastAsia="en-GB"/>
          <w14:ligatures w14:val="standardContextual"/>
        </w:rPr>
        <w:t>Dagrafors</w:t>
      </w:r>
      <w:proofErr w:type="spellEnd"/>
      <w:r>
        <w:rPr>
          <w:color w:val="000000"/>
          <w:kern w:val="2"/>
          <w:szCs w:val="22"/>
          <w:lang w:eastAsia="en-GB"/>
          <w14:ligatures w14:val="standardContextual"/>
        </w:rPr>
        <w:t xml:space="preserve"> 5 mg</w:t>
      </w:r>
    </w:p>
    <w:p w14:paraId="40907950" w14:textId="77777777" w:rsidR="00E96E12" w:rsidRDefault="00E97765">
      <w:pPr>
        <w:spacing w:after="21" w:line="248" w:lineRule="auto"/>
        <w:ind w:left="-5" w:right="14" w:hanging="10"/>
        <w:rPr>
          <w:color w:val="000000"/>
          <w:kern w:val="2"/>
          <w:szCs w:val="22"/>
          <w:lang w:eastAsia="en-GB"/>
          <w14:ligatures w14:val="standardContextual"/>
        </w:rPr>
      </w:pPr>
      <w:proofErr w:type="spellStart"/>
      <w:r>
        <w:rPr>
          <w:color w:val="000000"/>
          <w:kern w:val="2"/>
          <w:szCs w:val="22"/>
          <w:highlight w:val="lightGray"/>
          <w:lang w:eastAsia="en-GB"/>
          <w14:ligatures w14:val="standardContextual"/>
        </w:rPr>
        <w:t>Dagrafors</w:t>
      </w:r>
      <w:proofErr w:type="spellEnd"/>
      <w:r>
        <w:rPr>
          <w:color w:val="000000"/>
          <w:kern w:val="2"/>
          <w:szCs w:val="22"/>
          <w:highlight w:val="lightGray"/>
          <w:lang w:eastAsia="en-GB"/>
          <w14:ligatures w14:val="standardContextual"/>
        </w:rPr>
        <w:t xml:space="preserve"> 10 mg</w:t>
      </w:r>
    </w:p>
    <w:p w14:paraId="018ABDD2" w14:textId="77777777" w:rsidR="00E96E12" w:rsidRDefault="00E96E12">
      <w:pPr>
        <w:rPr>
          <w:noProof/>
          <w:szCs w:val="22"/>
          <w:shd w:val="clear" w:color="auto" w:fill="CCCCCC"/>
        </w:rPr>
      </w:pPr>
    </w:p>
    <w:p w14:paraId="42A0C6E7" w14:textId="77777777" w:rsidR="00E96E12" w:rsidRDefault="00E96E12">
      <w:pPr>
        <w:rPr>
          <w:noProof/>
          <w:szCs w:val="22"/>
          <w:shd w:val="clear" w:color="auto" w:fill="CCCCCC"/>
        </w:rPr>
      </w:pPr>
    </w:p>
    <w:p w14:paraId="2CFB6CCE" w14:textId="77777777" w:rsidR="00E96E12" w:rsidRDefault="00E97765">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lastRenderedPageBreak/>
        <w:t>17.</w:t>
      </w:r>
      <w:r>
        <w:rPr>
          <w:b/>
          <w:noProof/>
        </w:rPr>
        <w:tab/>
        <w:t>UNIKALUS IDENTIFIKATORIUS – 2D BRŪKŠNINIS KODAS</w:t>
      </w:r>
    </w:p>
    <w:p w14:paraId="4489D475" w14:textId="77777777" w:rsidR="00E96E12" w:rsidRDefault="00E96E12">
      <w:pPr>
        <w:keepNext/>
        <w:rPr>
          <w:noProof/>
        </w:rPr>
      </w:pPr>
    </w:p>
    <w:p w14:paraId="76A85A20" w14:textId="77777777" w:rsidR="00E96E12" w:rsidRDefault="00E97765">
      <w:pPr>
        <w:rPr>
          <w:noProof/>
          <w:szCs w:val="22"/>
          <w:shd w:val="clear" w:color="auto" w:fill="CCCCCC"/>
        </w:rPr>
      </w:pPr>
      <w:r>
        <w:rPr>
          <w:noProof/>
          <w:highlight w:val="lightGray"/>
        </w:rPr>
        <w:t>2D brūkšninis kodas su nurodytu unikaliu identifikatoriumi.</w:t>
      </w:r>
    </w:p>
    <w:p w14:paraId="339684B9" w14:textId="77777777" w:rsidR="00E96E12" w:rsidRDefault="00E96E12">
      <w:pPr>
        <w:rPr>
          <w:noProof/>
        </w:rPr>
      </w:pPr>
    </w:p>
    <w:p w14:paraId="306E73DE" w14:textId="77777777" w:rsidR="00E96E12" w:rsidRDefault="00E96E12">
      <w:pPr>
        <w:rPr>
          <w:noProof/>
        </w:rPr>
      </w:pPr>
    </w:p>
    <w:p w14:paraId="185FCA24" w14:textId="77777777" w:rsidR="00E96E12" w:rsidRDefault="00E97765">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2DDA8D4A" w14:textId="77777777" w:rsidR="00E96E12" w:rsidRDefault="00E96E12">
      <w:pPr>
        <w:rPr>
          <w:noProof/>
        </w:rPr>
      </w:pPr>
    </w:p>
    <w:p w14:paraId="346B0AED" w14:textId="77777777" w:rsidR="00E96E12" w:rsidRDefault="00E97765">
      <w:pPr>
        <w:widowControl w:val="0"/>
        <w:tabs>
          <w:tab w:val="left" w:pos="567"/>
        </w:tabs>
        <w:rPr>
          <w:szCs w:val="22"/>
          <w:lang w:val="en-GB"/>
        </w:rPr>
      </w:pPr>
      <w:r>
        <w:rPr>
          <w:szCs w:val="22"/>
          <w:lang w:val="en-GB"/>
        </w:rPr>
        <w:t>PC</w:t>
      </w:r>
    </w:p>
    <w:p w14:paraId="098F0509" w14:textId="77777777" w:rsidR="00E96E12" w:rsidRDefault="00E97765">
      <w:pPr>
        <w:widowControl w:val="0"/>
        <w:tabs>
          <w:tab w:val="left" w:pos="567"/>
        </w:tabs>
        <w:rPr>
          <w:szCs w:val="22"/>
          <w:lang w:val="en-GB"/>
        </w:rPr>
      </w:pPr>
      <w:r>
        <w:rPr>
          <w:szCs w:val="22"/>
          <w:lang w:val="en-GB"/>
        </w:rPr>
        <w:t>SN</w:t>
      </w:r>
    </w:p>
    <w:p w14:paraId="4EC0E311" w14:textId="77777777" w:rsidR="00E96E12" w:rsidRDefault="00E97765">
      <w:pPr>
        <w:widowControl w:val="0"/>
        <w:tabs>
          <w:tab w:val="left" w:pos="567"/>
        </w:tabs>
        <w:rPr>
          <w:szCs w:val="22"/>
          <w:lang w:val="en-GB"/>
        </w:rPr>
      </w:pPr>
      <w:r>
        <w:rPr>
          <w:szCs w:val="22"/>
          <w:highlight w:val="lightGray"/>
          <w:lang w:val="en-GB"/>
        </w:rPr>
        <w:t>NN</w:t>
      </w:r>
    </w:p>
    <w:p w14:paraId="58D3D0E0" w14:textId="77777777" w:rsidR="00E96E12" w:rsidRDefault="00E96E12">
      <w:pPr>
        <w:ind w:left="-198"/>
        <w:rPr>
          <w:szCs w:val="22"/>
        </w:rPr>
      </w:pPr>
    </w:p>
    <w:p w14:paraId="51010913" w14:textId="77777777" w:rsidR="00E96E12" w:rsidRDefault="00E97765">
      <w:pPr>
        <w:rPr>
          <w:noProof/>
          <w:szCs w:val="22"/>
        </w:rPr>
      </w:pPr>
      <w:r>
        <w:rPr>
          <w:b/>
          <w:noProof/>
          <w:color w:val="FF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6E12" w14:paraId="1BD02ADE" w14:textId="77777777">
        <w:trPr>
          <w:trHeight w:val="785"/>
        </w:trPr>
        <w:tc>
          <w:tcPr>
            <w:tcW w:w="9287" w:type="dxa"/>
            <w:tcBorders>
              <w:bottom w:val="single" w:sz="4" w:space="0" w:color="auto"/>
            </w:tcBorders>
          </w:tcPr>
          <w:p w14:paraId="2FC606BA" w14:textId="77777777" w:rsidR="00E96E12" w:rsidRDefault="00E97765">
            <w:pPr>
              <w:rPr>
                <w:b/>
                <w:noProof/>
              </w:rPr>
            </w:pPr>
            <w:r>
              <w:rPr>
                <w:b/>
                <w:noProof/>
              </w:rPr>
              <w:lastRenderedPageBreak/>
              <w:t xml:space="preserve">MINIMALI </w:t>
            </w:r>
            <w:r>
              <w:rPr>
                <w:b/>
                <w:caps/>
                <w:noProof/>
              </w:rPr>
              <w:t xml:space="preserve">informacija ant </w:t>
            </w:r>
            <w:r>
              <w:rPr>
                <w:b/>
                <w:noProof/>
              </w:rPr>
              <w:t>LIZDINIŲ PLOKŠTELIŲ ARBA DVISLUOKSNIŲ JUOSTELIŲ</w:t>
            </w:r>
          </w:p>
          <w:p w14:paraId="5AFCEBD4" w14:textId="77777777" w:rsidR="00E96E12" w:rsidRDefault="00E96E12">
            <w:pPr>
              <w:rPr>
                <w:b/>
                <w:noProof/>
              </w:rPr>
            </w:pPr>
          </w:p>
          <w:p w14:paraId="33F01130" w14:textId="77777777" w:rsidR="00E96E12" w:rsidRDefault="00E97765">
            <w:pPr>
              <w:rPr>
                <w:b/>
                <w:noProof/>
              </w:rPr>
            </w:pPr>
            <w:r>
              <w:rPr>
                <w:b/>
                <w:noProof/>
              </w:rPr>
              <w:t>LIZDINĖ PLOKŠTELĖ</w:t>
            </w:r>
          </w:p>
        </w:tc>
      </w:tr>
    </w:tbl>
    <w:p w14:paraId="1C09449E" w14:textId="77777777" w:rsidR="00E96E12" w:rsidRDefault="00E96E12">
      <w:pPr>
        <w:rPr>
          <w:b/>
          <w:noProof/>
        </w:rPr>
      </w:pPr>
    </w:p>
    <w:p w14:paraId="2A9A1D31" w14:textId="77777777" w:rsidR="00E96E12" w:rsidRDefault="00E96E12">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6E12" w14:paraId="4DE03A9D" w14:textId="77777777">
        <w:tc>
          <w:tcPr>
            <w:tcW w:w="9287" w:type="dxa"/>
          </w:tcPr>
          <w:p w14:paraId="755EB8B0" w14:textId="77777777" w:rsidR="00E96E12" w:rsidRDefault="00E97765">
            <w:pPr>
              <w:tabs>
                <w:tab w:val="left" w:pos="142"/>
              </w:tabs>
              <w:ind w:left="567" w:hanging="567"/>
              <w:rPr>
                <w:b/>
                <w:noProof/>
              </w:rPr>
            </w:pPr>
            <w:r>
              <w:rPr>
                <w:b/>
                <w:noProof/>
              </w:rPr>
              <w:t>1.</w:t>
            </w:r>
            <w:r>
              <w:rPr>
                <w:b/>
                <w:noProof/>
              </w:rPr>
              <w:tab/>
            </w:r>
            <w:r>
              <w:rPr>
                <w:b/>
                <w:caps/>
                <w:noProof/>
              </w:rPr>
              <w:t>Vaistinio preparato pavadinimas</w:t>
            </w:r>
          </w:p>
        </w:tc>
      </w:tr>
    </w:tbl>
    <w:p w14:paraId="2E356A7C" w14:textId="77777777" w:rsidR="00E96E12" w:rsidRDefault="00E96E12">
      <w:pPr>
        <w:ind w:left="567" w:hanging="567"/>
        <w:rPr>
          <w:noProof/>
        </w:rPr>
      </w:pPr>
    </w:p>
    <w:p w14:paraId="5242DB88" w14:textId="77777777" w:rsidR="00E96E12" w:rsidRDefault="00E97765">
      <w:pPr>
        <w:spacing w:after="21" w:line="248" w:lineRule="auto"/>
        <w:ind w:left="-5" w:right="14" w:hanging="10"/>
        <w:rPr>
          <w:color w:val="000000"/>
          <w:kern w:val="2"/>
          <w:szCs w:val="22"/>
          <w:lang w:val="en-GB" w:eastAsia="en-GB"/>
          <w14:ligatures w14:val="standardContextual"/>
        </w:rPr>
      </w:pPr>
      <w:proofErr w:type="spellStart"/>
      <w:r>
        <w:rPr>
          <w:color w:val="000000"/>
          <w:kern w:val="2"/>
          <w:szCs w:val="22"/>
          <w:lang w:val="en-GB" w:eastAsia="en-GB"/>
          <w14:ligatures w14:val="standardContextual"/>
        </w:rPr>
        <w:t>Dagrafors</w:t>
      </w:r>
      <w:proofErr w:type="spellEnd"/>
      <w:r>
        <w:rPr>
          <w:color w:val="000000"/>
          <w:kern w:val="2"/>
          <w:szCs w:val="22"/>
          <w:lang w:val="en-GB" w:eastAsia="en-GB"/>
          <w14:ligatures w14:val="standardContextual"/>
        </w:rPr>
        <w:t xml:space="preserve"> 5 mg </w:t>
      </w:r>
      <w:proofErr w:type="spellStart"/>
      <w:r>
        <w:rPr>
          <w:color w:val="000000"/>
          <w:kern w:val="2"/>
          <w:szCs w:val="22"/>
          <w:highlight w:val="lightGray"/>
          <w:lang w:val="en-GB" w:eastAsia="en-GB"/>
          <w14:ligatures w14:val="standardContextual"/>
        </w:rPr>
        <w:t>plėvele</w:t>
      </w:r>
      <w:proofErr w:type="spellEnd"/>
      <w:r>
        <w:rPr>
          <w:color w:val="000000"/>
          <w:kern w:val="2"/>
          <w:szCs w:val="22"/>
          <w:highlight w:val="lightGray"/>
          <w:lang w:val="en-GB" w:eastAsia="en-GB"/>
          <w14:ligatures w14:val="standardContextual"/>
        </w:rPr>
        <w:t xml:space="preserve"> </w:t>
      </w:r>
      <w:proofErr w:type="spellStart"/>
      <w:r>
        <w:rPr>
          <w:color w:val="000000"/>
          <w:kern w:val="2"/>
          <w:szCs w:val="22"/>
          <w:highlight w:val="lightGray"/>
          <w:lang w:val="en-GB" w:eastAsia="en-GB"/>
          <w14:ligatures w14:val="standardContextual"/>
        </w:rPr>
        <w:t>dengtos</w:t>
      </w:r>
      <w:proofErr w:type="spellEnd"/>
      <w:r>
        <w:rPr>
          <w:color w:val="000000"/>
          <w:kern w:val="2"/>
          <w:szCs w:val="22"/>
          <w:lang w:val="en-GB" w:eastAsia="en-GB"/>
          <w14:ligatures w14:val="standardContextual"/>
        </w:rPr>
        <w:t xml:space="preserve"> </w:t>
      </w:r>
      <w:proofErr w:type="spellStart"/>
      <w:r>
        <w:rPr>
          <w:color w:val="000000"/>
          <w:kern w:val="2"/>
          <w:szCs w:val="22"/>
          <w:lang w:val="en-GB" w:eastAsia="en-GB"/>
          <w14:ligatures w14:val="standardContextual"/>
        </w:rPr>
        <w:t>tabletės</w:t>
      </w:r>
      <w:proofErr w:type="spellEnd"/>
    </w:p>
    <w:p w14:paraId="69ECCAFE" w14:textId="77777777" w:rsidR="00E96E12" w:rsidRDefault="00E97765">
      <w:pPr>
        <w:spacing w:after="21" w:line="248" w:lineRule="auto"/>
        <w:ind w:left="-5" w:right="14" w:hanging="10"/>
        <w:rPr>
          <w:color w:val="000000"/>
          <w:kern w:val="2"/>
          <w:szCs w:val="22"/>
          <w:lang w:val="en-GB" w:eastAsia="en-GB"/>
          <w14:ligatures w14:val="standardContextual"/>
        </w:rPr>
      </w:pPr>
      <w:proofErr w:type="spellStart"/>
      <w:r>
        <w:rPr>
          <w:color w:val="000000"/>
          <w:kern w:val="2"/>
          <w:szCs w:val="22"/>
          <w:highlight w:val="lightGray"/>
          <w:lang w:val="en-GB" w:eastAsia="en-GB"/>
          <w14:ligatures w14:val="standardContextual"/>
        </w:rPr>
        <w:t>Dagrafors</w:t>
      </w:r>
      <w:proofErr w:type="spellEnd"/>
      <w:r>
        <w:rPr>
          <w:color w:val="000000"/>
          <w:kern w:val="2"/>
          <w:szCs w:val="22"/>
          <w:highlight w:val="lightGray"/>
          <w:lang w:val="en-GB" w:eastAsia="en-GB"/>
          <w14:ligatures w14:val="standardContextual"/>
        </w:rPr>
        <w:t xml:space="preserve"> 10 mg </w:t>
      </w:r>
      <w:proofErr w:type="spellStart"/>
      <w:r>
        <w:rPr>
          <w:color w:val="000000"/>
          <w:kern w:val="2"/>
          <w:szCs w:val="22"/>
          <w:highlight w:val="lightGray"/>
          <w:lang w:val="en-GB" w:eastAsia="en-GB"/>
          <w14:ligatures w14:val="standardContextual"/>
        </w:rPr>
        <w:t>plėvele</w:t>
      </w:r>
      <w:proofErr w:type="spellEnd"/>
      <w:r>
        <w:rPr>
          <w:color w:val="000000"/>
          <w:kern w:val="2"/>
          <w:szCs w:val="22"/>
          <w:highlight w:val="lightGray"/>
          <w:lang w:val="en-GB" w:eastAsia="en-GB"/>
          <w14:ligatures w14:val="standardContextual"/>
        </w:rPr>
        <w:t xml:space="preserve"> </w:t>
      </w:r>
      <w:proofErr w:type="spellStart"/>
      <w:r>
        <w:rPr>
          <w:color w:val="000000"/>
          <w:kern w:val="2"/>
          <w:szCs w:val="22"/>
          <w:highlight w:val="lightGray"/>
          <w:lang w:val="en-GB" w:eastAsia="en-GB"/>
          <w14:ligatures w14:val="standardContextual"/>
        </w:rPr>
        <w:t>dengtos</w:t>
      </w:r>
      <w:proofErr w:type="spellEnd"/>
      <w:r>
        <w:rPr>
          <w:color w:val="000000"/>
          <w:kern w:val="2"/>
          <w:szCs w:val="22"/>
          <w:highlight w:val="lightGray"/>
          <w:lang w:val="en-GB" w:eastAsia="en-GB"/>
          <w14:ligatures w14:val="standardContextual"/>
        </w:rPr>
        <w:t xml:space="preserve"> </w:t>
      </w:r>
      <w:proofErr w:type="spellStart"/>
      <w:r>
        <w:rPr>
          <w:color w:val="000000"/>
          <w:kern w:val="2"/>
          <w:szCs w:val="22"/>
          <w:highlight w:val="lightGray"/>
          <w:lang w:val="en-GB" w:eastAsia="en-GB"/>
          <w14:ligatures w14:val="standardContextual"/>
        </w:rPr>
        <w:t>tabletės</w:t>
      </w:r>
      <w:proofErr w:type="spellEnd"/>
    </w:p>
    <w:p w14:paraId="3C346344" w14:textId="77777777" w:rsidR="00E96E12" w:rsidRDefault="00E96E12">
      <w:pPr>
        <w:widowControl w:val="0"/>
        <w:rPr>
          <w:noProof/>
          <w:szCs w:val="22"/>
          <w:lang w:val="en-GB"/>
        </w:rPr>
      </w:pPr>
    </w:p>
    <w:p w14:paraId="40D0FE3F" w14:textId="77777777" w:rsidR="00E96E12" w:rsidRDefault="00E97765">
      <w:pPr>
        <w:rPr>
          <w:noProof/>
          <w:szCs w:val="22"/>
          <w:lang w:val="en-GB"/>
        </w:rPr>
      </w:pPr>
      <w:r>
        <w:rPr>
          <w:noProof/>
          <w:szCs w:val="22"/>
          <w:lang w:val="en-GB"/>
        </w:rPr>
        <w:t>dapagliflozinas</w:t>
      </w:r>
    </w:p>
    <w:p w14:paraId="2CB688DC" w14:textId="77777777" w:rsidR="00E96E12" w:rsidRDefault="00E96E12">
      <w:pPr>
        <w:rPr>
          <w:b/>
          <w:noProof/>
        </w:rPr>
      </w:pPr>
    </w:p>
    <w:p w14:paraId="71AD2ED2" w14:textId="77777777" w:rsidR="00E96E12" w:rsidRDefault="00E96E12">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6E12" w14:paraId="7DD079F0" w14:textId="77777777">
        <w:tc>
          <w:tcPr>
            <w:tcW w:w="9287" w:type="dxa"/>
          </w:tcPr>
          <w:p w14:paraId="1BEA1265" w14:textId="77777777" w:rsidR="00E96E12" w:rsidRDefault="00E97765">
            <w:pPr>
              <w:tabs>
                <w:tab w:val="left" w:pos="142"/>
              </w:tabs>
              <w:ind w:left="567" w:hanging="567"/>
              <w:rPr>
                <w:b/>
                <w:noProof/>
              </w:rPr>
            </w:pPr>
            <w:r>
              <w:rPr>
                <w:b/>
                <w:noProof/>
              </w:rPr>
              <w:t>2.</w:t>
            </w:r>
            <w:r>
              <w:rPr>
                <w:b/>
                <w:noProof/>
              </w:rPr>
              <w:tab/>
            </w:r>
            <w:r>
              <w:rPr>
                <w:b/>
                <w:caps/>
                <w:noProof/>
                <w:snapToGrid w:val="0"/>
              </w:rPr>
              <w:t>REGISTRUOTOJO</w:t>
            </w:r>
            <w:r>
              <w:rPr>
                <w:b/>
                <w:caps/>
                <w:noProof/>
              </w:rPr>
              <w:t xml:space="preserve"> pavadinimas</w:t>
            </w:r>
          </w:p>
        </w:tc>
      </w:tr>
    </w:tbl>
    <w:p w14:paraId="41E2F6CE" w14:textId="77777777" w:rsidR="00E96E12" w:rsidRDefault="00E96E12">
      <w:pPr>
        <w:rPr>
          <w:b/>
          <w:noProof/>
        </w:rPr>
      </w:pPr>
    </w:p>
    <w:p w14:paraId="3B23182D" w14:textId="77777777" w:rsidR="00E96E12" w:rsidRDefault="00E97765">
      <w:r>
        <w:rPr>
          <w:bCs/>
          <w:noProof/>
        </w:rPr>
        <w:t>KRKA</w:t>
      </w:r>
    </w:p>
    <w:p w14:paraId="4C6339EF" w14:textId="77777777" w:rsidR="00E96E12" w:rsidRDefault="00E96E12">
      <w:pPr>
        <w:rPr>
          <w:b/>
          <w:noProof/>
        </w:rPr>
      </w:pPr>
    </w:p>
    <w:p w14:paraId="15B25986" w14:textId="77777777" w:rsidR="00E96E12" w:rsidRDefault="00E96E12">
      <w:pPr>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6E12" w14:paraId="6ECA4050" w14:textId="77777777">
        <w:tc>
          <w:tcPr>
            <w:tcW w:w="9287" w:type="dxa"/>
          </w:tcPr>
          <w:p w14:paraId="76211908" w14:textId="77777777" w:rsidR="00E96E12" w:rsidRDefault="00E97765">
            <w:pPr>
              <w:tabs>
                <w:tab w:val="left" w:pos="142"/>
              </w:tabs>
              <w:ind w:left="567" w:hanging="567"/>
              <w:rPr>
                <w:b/>
                <w:noProof/>
              </w:rPr>
            </w:pPr>
            <w:r>
              <w:rPr>
                <w:b/>
                <w:noProof/>
              </w:rPr>
              <w:t>3.</w:t>
            </w:r>
            <w:r>
              <w:rPr>
                <w:b/>
                <w:noProof/>
              </w:rPr>
              <w:tab/>
            </w:r>
            <w:r>
              <w:rPr>
                <w:b/>
                <w:caps/>
                <w:noProof/>
              </w:rPr>
              <w:t>tinkamumo laikas</w:t>
            </w:r>
          </w:p>
        </w:tc>
      </w:tr>
    </w:tbl>
    <w:p w14:paraId="6012395E" w14:textId="77777777" w:rsidR="00E96E12" w:rsidRDefault="00E96E12">
      <w:pPr>
        <w:rPr>
          <w:b/>
          <w:noProof/>
        </w:rPr>
      </w:pPr>
    </w:p>
    <w:p w14:paraId="362FB22D" w14:textId="77777777" w:rsidR="00E96E12" w:rsidRDefault="00E97765">
      <w:pPr>
        <w:rPr>
          <w:noProof/>
        </w:rPr>
      </w:pPr>
      <w:r>
        <w:rPr>
          <w:noProof/>
        </w:rPr>
        <w:t xml:space="preserve">EXP </w:t>
      </w:r>
      <w:r>
        <w:rPr>
          <w:snapToGrid w:val="0"/>
        </w:rPr>
        <w:t>(mm/MMMM)</w:t>
      </w:r>
    </w:p>
    <w:p w14:paraId="5ED338D2" w14:textId="77777777" w:rsidR="00E96E12" w:rsidRDefault="00E96E12">
      <w:pPr>
        <w:rPr>
          <w:noProof/>
        </w:rPr>
      </w:pPr>
    </w:p>
    <w:p w14:paraId="6837AD46" w14:textId="77777777" w:rsidR="00E96E12" w:rsidRDefault="00E96E12">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6E12" w14:paraId="6D4FDD30" w14:textId="77777777">
        <w:tc>
          <w:tcPr>
            <w:tcW w:w="9287" w:type="dxa"/>
          </w:tcPr>
          <w:p w14:paraId="3AFF403B" w14:textId="77777777" w:rsidR="00E96E12" w:rsidRDefault="00E97765">
            <w:pPr>
              <w:tabs>
                <w:tab w:val="left" w:pos="142"/>
              </w:tabs>
              <w:ind w:left="567" w:hanging="567"/>
              <w:rPr>
                <w:b/>
                <w:noProof/>
              </w:rPr>
            </w:pPr>
            <w:r>
              <w:rPr>
                <w:b/>
                <w:noProof/>
              </w:rPr>
              <w:t>4.</w:t>
            </w:r>
            <w:r>
              <w:rPr>
                <w:b/>
                <w:noProof/>
              </w:rPr>
              <w:tab/>
            </w:r>
            <w:r>
              <w:rPr>
                <w:b/>
                <w:caps/>
                <w:noProof/>
              </w:rPr>
              <w:t>serijos numeris</w:t>
            </w:r>
          </w:p>
        </w:tc>
      </w:tr>
    </w:tbl>
    <w:p w14:paraId="2BE57EC3" w14:textId="77777777" w:rsidR="00E96E12" w:rsidRDefault="00E96E12">
      <w:pPr>
        <w:ind w:right="113"/>
        <w:rPr>
          <w:i/>
          <w:noProof/>
          <w:highlight w:val="yellow"/>
        </w:rPr>
      </w:pPr>
    </w:p>
    <w:p w14:paraId="1E3CD04A" w14:textId="77777777" w:rsidR="00E96E12" w:rsidRDefault="00E97765">
      <w:pPr>
        <w:ind w:right="113"/>
        <w:rPr>
          <w:noProof/>
        </w:rPr>
      </w:pPr>
      <w:r>
        <w:rPr>
          <w:noProof/>
        </w:rPr>
        <w:t>Lot</w:t>
      </w:r>
    </w:p>
    <w:p w14:paraId="1E0F6B5F" w14:textId="77777777" w:rsidR="00E96E12" w:rsidRDefault="00E96E12">
      <w:pPr>
        <w:ind w:right="113"/>
        <w:rPr>
          <w:noProof/>
        </w:rPr>
      </w:pPr>
    </w:p>
    <w:p w14:paraId="5096CFBC" w14:textId="77777777" w:rsidR="00E96E12" w:rsidRDefault="00E96E12">
      <w:pPr>
        <w:ind w:right="113"/>
        <w:rPr>
          <w:noProof/>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96E12" w14:paraId="2190FD6D" w14:textId="77777777">
        <w:tc>
          <w:tcPr>
            <w:tcW w:w="9287" w:type="dxa"/>
          </w:tcPr>
          <w:p w14:paraId="44AC504A" w14:textId="77777777" w:rsidR="00E96E12" w:rsidRDefault="00E97765">
            <w:pPr>
              <w:tabs>
                <w:tab w:val="left" w:pos="142"/>
              </w:tabs>
              <w:ind w:left="567" w:hanging="567"/>
              <w:rPr>
                <w:b/>
                <w:noProof/>
              </w:rPr>
            </w:pPr>
            <w:r>
              <w:rPr>
                <w:b/>
                <w:noProof/>
              </w:rPr>
              <w:t>5.</w:t>
            </w:r>
            <w:r>
              <w:rPr>
                <w:b/>
                <w:noProof/>
              </w:rPr>
              <w:tab/>
              <w:t>KITA</w:t>
            </w:r>
          </w:p>
        </w:tc>
      </w:tr>
    </w:tbl>
    <w:p w14:paraId="52571092" w14:textId="77777777" w:rsidR="00E96E12" w:rsidRDefault="00E96E12">
      <w:pPr>
        <w:widowControl w:val="0"/>
        <w:rPr>
          <w:iCs/>
          <w:szCs w:val="22"/>
          <w:highlight w:val="lightGray"/>
          <w:lang w:val="en-GB" w:eastAsia="sl-SI"/>
        </w:rPr>
      </w:pPr>
    </w:p>
    <w:p w14:paraId="71237FF0" w14:textId="77777777" w:rsidR="00E96E12" w:rsidRDefault="00E97765">
      <w:pPr>
        <w:widowControl w:val="0"/>
        <w:rPr>
          <w:iCs/>
          <w:szCs w:val="22"/>
          <w:highlight w:val="lightGray"/>
          <w:lang w:val="en-GB" w:eastAsia="sl-SI"/>
        </w:rPr>
      </w:pPr>
      <w:proofErr w:type="spellStart"/>
      <w:r>
        <w:rPr>
          <w:iCs/>
          <w:szCs w:val="22"/>
          <w:highlight w:val="lightGray"/>
          <w:lang w:val="en-GB" w:eastAsia="sl-SI"/>
        </w:rPr>
        <w:t>Kalendorinė</w:t>
      </w:r>
      <w:proofErr w:type="spellEnd"/>
      <w:r>
        <w:rPr>
          <w:iCs/>
          <w:szCs w:val="22"/>
          <w:highlight w:val="lightGray"/>
          <w:lang w:val="en-GB" w:eastAsia="sl-SI"/>
        </w:rPr>
        <w:t xml:space="preserve"> </w:t>
      </w:r>
      <w:proofErr w:type="spellStart"/>
      <w:r>
        <w:rPr>
          <w:iCs/>
          <w:szCs w:val="22"/>
          <w:highlight w:val="lightGray"/>
          <w:lang w:val="en-GB" w:eastAsia="sl-SI"/>
        </w:rPr>
        <w:t>pakuotė</w:t>
      </w:r>
      <w:proofErr w:type="spellEnd"/>
    </w:p>
    <w:p w14:paraId="79EFFE4A" w14:textId="77777777" w:rsidR="00E96E12" w:rsidRDefault="00E97765">
      <w:pPr>
        <w:tabs>
          <w:tab w:val="left" w:pos="567"/>
        </w:tabs>
        <w:snapToGrid w:val="0"/>
        <w:spacing w:line="260" w:lineRule="exact"/>
        <w:rPr>
          <w:szCs w:val="20"/>
          <w:highlight w:val="lightGray"/>
        </w:rPr>
      </w:pPr>
      <w:r>
        <w:rPr>
          <w:szCs w:val="20"/>
          <w:highlight w:val="lightGray"/>
        </w:rPr>
        <w:t>P.</w:t>
      </w:r>
    </w:p>
    <w:p w14:paraId="06FB5080" w14:textId="77777777" w:rsidR="00E96E12" w:rsidRDefault="00E97765">
      <w:pPr>
        <w:tabs>
          <w:tab w:val="left" w:pos="567"/>
        </w:tabs>
        <w:snapToGrid w:val="0"/>
        <w:spacing w:line="260" w:lineRule="exact"/>
        <w:rPr>
          <w:szCs w:val="20"/>
          <w:highlight w:val="lightGray"/>
        </w:rPr>
      </w:pPr>
      <w:r>
        <w:rPr>
          <w:szCs w:val="20"/>
          <w:highlight w:val="lightGray"/>
        </w:rPr>
        <w:t>A.</w:t>
      </w:r>
    </w:p>
    <w:p w14:paraId="724BFC77" w14:textId="77777777" w:rsidR="00E96E12" w:rsidRDefault="00E97765">
      <w:pPr>
        <w:tabs>
          <w:tab w:val="left" w:pos="567"/>
        </w:tabs>
        <w:snapToGrid w:val="0"/>
        <w:spacing w:line="260" w:lineRule="exact"/>
        <w:rPr>
          <w:szCs w:val="20"/>
          <w:highlight w:val="lightGray"/>
        </w:rPr>
      </w:pPr>
      <w:r>
        <w:rPr>
          <w:szCs w:val="20"/>
          <w:highlight w:val="lightGray"/>
        </w:rPr>
        <w:t>T.</w:t>
      </w:r>
    </w:p>
    <w:p w14:paraId="68214362" w14:textId="77777777" w:rsidR="00E96E12" w:rsidRDefault="00E97765">
      <w:pPr>
        <w:tabs>
          <w:tab w:val="left" w:pos="567"/>
        </w:tabs>
        <w:snapToGrid w:val="0"/>
        <w:spacing w:line="260" w:lineRule="exact"/>
        <w:rPr>
          <w:szCs w:val="20"/>
          <w:highlight w:val="lightGray"/>
        </w:rPr>
      </w:pPr>
      <w:r>
        <w:rPr>
          <w:szCs w:val="20"/>
          <w:highlight w:val="lightGray"/>
        </w:rPr>
        <w:t>K.</w:t>
      </w:r>
    </w:p>
    <w:p w14:paraId="5F230501" w14:textId="77777777" w:rsidR="00E96E12" w:rsidRDefault="00E97765">
      <w:pPr>
        <w:tabs>
          <w:tab w:val="left" w:pos="567"/>
        </w:tabs>
        <w:snapToGrid w:val="0"/>
        <w:spacing w:line="260" w:lineRule="exact"/>
        <w:rPr>
          <w:szCs w:val="20"/>
          <w:highlight w:val="lightGray"/>
        </w:rPr>
      </w:pPr>
      <w:proofErr w:type="spellStart"/>
      <w:r>
        <w:rPr>
          <w:szCs w:val="20"/>
          <w:highlight w:val="lightGray"/>
        </w:rPr>
        <w:t>Pn</w:t>
      </w:r>
      <w:proofErr w:type="spellEnd"/>
      <w:r>
        <w:rPr>
          <w:szCs w:val="20"/>
          <w:highlight w:val="lightGray"/>
        </w:rPr>
        <w:t>.</w:t>
      </w:r>
    </w:p>
    <w:p w14:paraId="5D83E19C" w14:textId="77777777" w:rsidR="00E96E12" w:rsidRDefault="00E97765">
      <w:pPr>
        <w:tabs>
          <w:tab w:val="left" w:pos="567"/>
        </w:tabs>
        <w:snapToGrid w:val="0"/>
        <w:spacing w:line="260" w:lineRule="exact"/>
        <w:rPr>
          <w:szCs w:val="20"/>
          <w:highlight w:val="lightGray"/>
        </w:rPr>
      </w:pPr>
      <w:r>
        <w:rPr>
          <w:szCs w:val="20"/>
          <w:highlight w:val="lightGray"/>
        </w:rPr>
        <w:t>Š.</w:t>
      </w:r>
    </w:p>
    <w:p w14:paraId="27730D3E" w14:textId="77777777" w:rsidR="00E96E12" w:rsidRDefault="00E97765">
      <w:pPr>
        <w:tabs>
          <w:tab w:val="left" w:pos="567"/>
        </w:tabs>
        <w:snapToGrid w:val="0"/>
        <w:spacing w:line="260" w:lineRule="exact"/>
        <w:rPr>
          <w:szCs w:val="20"/>
          <w:highlight w:val="lightGray"/>
        </w:rPr>
      </w:pPr>
      <w:r>
        <w:rPr>
          <w:szCs w:val="20"/>
          <w:highlight w:val="lightGray"/>
        </w:rPr>
        <w:t>S.</w:t>
      </w:r>
    </w:p>
    <w:p w14:paraId="03CFC8C3" w14:textId="77777777" w:rsidR="00E96E12" w:rsidRDefault="00E97765">
      <w:pPr>
        <w:pBdr>
          <w:top w:val="single" w:sz="4" w:space="1" w:color="auto"/>
          <w:left w:val="single" w:sz="4" w:space="4" w:color="auto"/>
          <w:bottom w:val="single" w:sz="4" w:space="1" w:color="auto"/>
          <w:right w:val="single" w:sz="4" w:space="4" w:color="auto"/>
        </w:pBdr>
        <w:rPr>
          <w:noProof/>
        </w:rPr>
      </w:pPr>
      <w:r>
        <w:rPr>
          <w:noProof/>
        </w:rPr>
        <w:br w:type="page"/>
      </w:r>
    </w:p>
    <w:p w14:paraId="55558E05" w14:textId="77777777" w:rsidR="00E96E12" w:rsidRDefault="00E96E12">
      <w:pPr>
        <w:rPr>
          <w:noProof/>
        </w:rPr>
      </w:pPr>
    </w:p>
    <w:p w14:paraId="4E3643F6" w14:textId="77777777" w:rsidR="00E96E12" w:rsidRDefault="00E96E12">
      <w:pPr>
        <w:rPr>
          <w:noProof/>
        </w:rPr>
      </w:pPr>
    </w:p>
    <w:p w14:paraId="12DA0EA9" w14:textId="77777777" w:rsidR="00E96E12" w:rsidRDefault="00E96E12">
      <w:pPr>
        <w:rPr>
          <w:noProof/>
        </w:rPr>
      </w:pPr>
    </w:p>
    <w:p w14:paraId="52711826" w14:textId="77777777" w:rsidR="00E96E12" w:rsidRDefault="00E96E12">
      <w:pPr>
        <w:rPr>
          <w:noProof/>
        </w:rPr>
      </w:pPr>
    </w:p>
    <w:p w14:paraId="57B850D4" w14:textId="77777777" w:rsidR="00E96E12" w:rsidRDefault="00E96E12">
      <w:pPr>
        <w:rPr>
          <w:noProof/>
        </w:rPr>
      </w:pPr>
    </w:p>
    <w:p w14:paraId="5501CBDA" w14:textId="77777777" w:rsidR="00E96E12" w:rsidRDefault="00E96E12">
      <w:pPr>
        <w:rPr>
          <w:noProof/>
        </w:rPr>
      </w:pPr>
    </w:p>
    <w:p w14:paraId="40F6472E" w14:textId="77777777" w:rsidR="00E96E12" w:rsidRDefault="00E96E12">
      <w:pPr>
        <w:rPr>
          <w:noProof/>
        </w:rPr>
      </w:pPr>
    </w:p>
    <w:p w14:paraId="43159983" w14:textId="77777777" w:rsidR="00E96E12" w:rsidRDefault="00E96E12">
      <w:pPr>
        <w:rPr>
          <w:noProof/>
        </w:rPr>
      </w:pPr>
    </w:p>
    <w:p w14:paraId="2EAEFC59" w14:textId="77777777" w:rsidR="00E96E12" w:rsidRDefault="00E96E12">
      <w:pPr>
        <w:rPr>
          <w:noProof/>
        </w:rPr>
      </w:pPr>
    </w:p>
    <w:p w14:paraId="0A13C04C" w14:textId="77777777" w:rsidR="00E96E12" w:rsidRDefault="00E96E12">
      <w:pPr>
        <w:rPr>
          <w:noProof/>
        </w:rPr>
      </w:pPr>
    </w:p>
    <w:p w14:paraId="32C4CE8B" w14:textId="77777777" w:rsidR="00E96E12" w:rsidRDefault="00E96E12">
      <w:pPr>
        <w:rPr>
          <w:noProof/>
        </w:rPr>
      </w:pPr>
    </w:p>
    <w:p w14:paraId="43348768" w14:textId="77777777" w:rsidR="00E96E12" w:rsidRDefault="00E96E12">
      <w:pPr>
        <w:rPr>
          <w:noProof/>
        </w:rPr>
      </w:pPr>
    </w:p>
    <w:p w14:paraId="513B839C" w14:textId="77777777" w:rsidR="00E96E12" w:rsidRDefault="00E96E12">
      <w:pPr>
        <w:rPr>
          <w:noProof/>
        </w:rPr>
      </w:pPr>
    </w:p>
    <w:p w14:paraId="7334E7E9" w14:textId="77777777" w:rsidR="00E96E12" w:rsidRDefault="00E96E12">
      <w:pPr>
        <w:rPr>
          <w:noProof/>
        </w:rPr>
      </w:pPr>
    </w:p>
    <w:p w14:paraId="4FB1D998" w14:textId="77777777" w:rsidR="00E96E12" w:rsidRDefault="00E96E12">
      <w:pPr>
        <w:rPr>
          <w:noProof/>
        </w:rPr>
      </w:pPr>
    </w:p>
    <w:p w14:paraId="74F5711C" w14:textId="77777777" w:rsidR="00E96E12" w:rsidRDefault="00E96E12">
      <w:pPr>
        <w:rPr>
          <w:noProof/>
        </w:rPr>
      </w:pPr>
    </w:p>
    <w:p w14:paraId="070137A9" w14:textId="77777777" w:rsidR="00E96E12" w:rsidRDefault="00E96E12">
      <w:pPr>
        <w:rPr>
          <w:noProof/>
        </w:rPr>
      </w:pPr>
    </w:p>
    <w:p w14:paraId="54C104DE" w14:textId="77777777" w:rsidR="00E96E12" w:rsidRDefault="00E96E12">
      <w:pPr>
        <w:rPr>
          <w:noProof/>
        </w:rPr>
      </w:pPr>
    </w:p>
    <w:p w14:paraId="0BE49484" w14:textId="77777777" w:rsidR="00E96E12" w:rsidRDefault="00E96E12">
      <w:pPr>
        <w:rPr>
          <w:noProof/>
        </w:rPr>
      </w:pPr>
    </w:p>
    <w:p w14:paraId="5B223397" w14:textId="77777777" w:rsidR="00E96E12" w:rsidRDefault="00E96E12">
      <w:pPr>
        <w:rPr>
          <w:noProof/>
        </w:rPr>
      </w:pPr>
    </w:p>
    <w:p w14:paraId="4A220511" w14:textId="77777777" w:rsidR="00E96E12" w:rsidRDefault="00E96E12">
      <w:pPr>
        <w:rPr>
          <w:noProof/>
        </w:rPr>
      </w:pPr>
    </w:p>
    <w:p w14:paraId="16293585" w14:textId="77777777" w:rsidR="00E96E12" w:rsidRDefault="00E96E12">
      <w:pPr>
        <w:tabs>
          <w:tab w:val="left" w:pos="567"/>
        </w:tabs>
        <w:spacing w:line="260" w:lineRule="exact"/>
        <w:jc w:val="center"/>
        <w:outlineLvl w:val="0"/>
        <w:rPr>
          <w:b/>
          <w:snapToGrid w:val="0"/>
          <w:szCs w:val="20"/>
        </w:rPr>
      </w:pPr>
    </w:p>
    <w:p w14:paraId="45F6E8B6" w14:textId="77777777" w:rsidR="00E96E12" w:rsidRDefault="00E96E12">
      <w:pPr>
        <w:tabs>
          <w:tab w:val="left" w:pos="567"/>
        </w:tabs>
        <w:spacing w:line="260" w:lineRule="exact"/>
        <w:jc w:val="center"/>
        <w:outlineLvl w:val="0"/>
        <w:rPr>
          <w:b/>
          <w:snapToGrid w:val="0"/>
          <w:szCs w:val="20"/>
        </w:rPr>
      </w:pPr>
    </w:p>
    <w:p w14:paraId="2C4A6D34" w14:textId="77777777" w:rsidR="00E96E12" w:rsidRDefault="00E97765">
      <w:pPr>
        <w:tabs>
          <w:tab w:val="left" w:pos="567"/>
        </w:tabs>
        <w:spacing w:line="260" w:lineRule="exact"/>
        <w:jc w:val="center"/>
        <w:outlineLvl w:val="0"/>
        <w:rPr>
          <w:b/>
          <w:snapToGrid w:val="0"/>
          <w:szCs w:val="20"/>
        </w:rPr>
      </w:pPr>
      <w:r>
        <w:rPr>
          <w:b/>
          <w:snapToGrid w:val="0"/>
          <w:szCs w:val="20"/>
        </w:rPr>
        <w:t>B. PAKUOTĖS LAPELIS</w:t>
      </w:r>
    </w:p>
    <w:p w14:paraId="3E4C2AA0" w14:textId="77777777" w:rsidR="00E96E12" w:rsidRDefault="00E97765">
      <w:pPr>
        <w:jc w:val="center"/>
        <w:outlineLvl w:val="0"/>
        <w:rPr>
          <w:b/>
          <w:noProof/>
        </w:rPr>
      </w:pPr>
      <w:r>
        <w:rPr>
          <w:b/>
          <w:noProof/>
        </w:rPr>
        <w:br w:type="page"/>
      </w:r>
      <w:r>
        <w:rPr>
          <w:b/>
        </w:rPr>
        <w:lastRenderedPageBreak/>
        <w:t>Pakuotės lapelis:</w:t>
      </w:r>
      <w:r>
        <w:rPr>
          <w:b/>
          <w:noProof/>
        </w:rPr>
        <w:t xml:space="preserve"> </w:t>
      </w:r>
      <w:r>
        <w:rPr>
          <w:b/>
        </w:rPr>
        <w:t>informacija vartotojui</w:t>
      </w:r>
    </w:p>
    <w:p w14:paraId="0B0C0196" w14:textId="77777777" w:rsidR="00E96E12" w:rsidRDefault="00E96E12">
      <w:pPr>
        <w:jc w:val="center"/>
        <w:outlineLvl w:val="0"/>
        <w:rPr>
          <w:b/>
          <w:noProof/>
        </w:rPr>
      </w:pPr>
    </w:p>
    <w:p w14:paraId="66A59994" w14:textId="77777777" w:rsidR="00E96E12" w:rsidRDefault="00E97765">
      <w:pPr>
        <w:spacing w:after="21" w:line="248" w:lineRule="auto"/>
        <w:ind w:left="-5" w:right="14" w:hanging="10"/>
        <w:jc w:val="center"/>
        <w:rPr>
          <w:b/>
          <w:color w:val="000000"/>
          <w:kern w:val="2"/>
          <w:szCs w:val="22"/>
          <w:lang w:eastAsia="en-GB"/>
          <w14:ligatures w14:val="standardContextual"/>
        </w:rPr>
      </w:pPr>
      <w:proofErr w:type="spellStart"/>
      <w:r>
        <w:rPr>
          <w:b/>
          <w:color w:val="000000"/>
          <w:kern w:val="2"/>
          <w:szCs w:val="22"/>
          <w:lang w:eastAsia="en-GB"/>
          <w14:ligatures w14:val="standardContextual"/>
        </w:rPr>
        <w:t>Dagrafors</w:t>
      </w:r>
      <w:proofErr w:type="spellEnd"/>
      <w:r>
        <w:rPr>
          <w:b/>
          <w:color w:val="000000"/>
          <w:kern w:val="2"/>
          <w:szCs w:val="22"/>
          <w:lang w:eastAsia="en-GB"/>
          <w14:ligatures w14:val="standardContextual"/>
        </w:rPr>
        <w:t xml:space="preserve"> 5 mg plėvele dengtos tabletės</w:t>
      </w:r>
    </w:p>
    <w:p w14:paraId="7A01A48B" w14:textId="77777777" w:rsidR="00E96E12" w:rsidRDefault="00E97765">
      <w:pPr>
        <w:spacing w:after="21" w:line="248" w:lineRule="auto"/>
        <w:ind w:left="-5" w:right="14" w:hanging="10"/>
        <w:jc w:val="center"/>
        <w:rPr>
          <w:b/>
          <w:color w:val="000000"/>
          <w:kern w:val="2"/>
          <w:szCs w:val="22"/>
          <w:lang w:eastAsia="en-GB"/>
          <w14:ligatures w14:val="standardContextual"/>
        </w:rPr>
      </w:pPr>
      <w:proofErr w:type="spellStart"/>
      <w:r>
        <w:rPr>
          <w:b/>
          <w:color w:val="000000"/>
          <w:kern w:val="2"/>
          <w:szCs w:val="22"/>
          <w:lang w:eastAsia="en-GB"/>
          <w14:ligatures w14:val="standardContextual"/>
        </w:rPr>
        <w:t>Dagrafors</w:t>
      </w:r>
      <w:proofErr w:type="spellEnd"/>
      <w:r>
        <w:rPr>
          <w:b/>
          <w:color w:val="000000"/>
          <w:kern w:val="2"/>
          <w:szCs w:val="22"/>
          <w:lang w:eastAsia="en-GB"/>
          <w14:ligatures w14:val="standardContextual"/>
        </w:rPr>
        <w:t xml:space="preserve"> 10 mg plėvele dengtos tabletės</w:t>
      </w:r>
    </w:p>
    <w:p w14:paraId="2C126A46" w14:textId="77777777" w:rsidR="00E96E12" w:rsidRDefault="00E97765">
      <w:pPr>
        <w:widowControl w:val="0"/>
        <w:jc w:val="center"/>
        <w:rPr>
          <w:noProof/>
          <w:szCs w:val="22"/>
        </w:rPr>
      </w:pPr>
      <w:r>
        <w:rPr>
          <w:noProof/>
          <w:szCs w:val="22"/>
        </w:rPr>
        <w:t>dapagliflozinas</w:t>
      </w:r>
    </w:p>
    <w:p w14:paraId="5983C9FB" w14:textId="77777777" w:rsidR="00E96E12" w:rsidRDefault="00E96E12">
      <w:pPr>
        <w:jc w:val="center"/>
        <w:rPr>
          <w:noProof/>
        </w:rPr>
      </w:pPr>
    </w:p>
    <w:p w14:paraId="2FE8981F" w14:textId="77777777" w:rsidR="00E96E12" w:rsidRDefault="00E97765">
      <w:pPr>
        <w:suppressAutoHyphens/>
        <w:ind w:left="142" w:hanging="142"/>
      </w:pPr>
      <w:r>
        <w:rPr>
          <w:b/>
          <w:noProof/>
        </w:rPr>
        <w:t>Atidžiai perskaitykite visą šį lapelį, prieš pradėdami vartoti vaistą,</w:t>
      </w:r>
      <w:r>
        <w:rPr>
          <w:b/>
        </w:rPr>
        <w:t xml:space="preserve"> nes jame pateikiama Jums svarbi informacija.</w:t>
      </w:r>
    </w:p>
    <w:p w14:paraId="0920B35C" w14:textId="77777777" w:rsidR="00E96E12" w:rsidRDefault="00E97765">
      <w:pPr>
        <w:ind w:left="567" w:hanging="567"/>
        <w:rPr>
          <w:noProof/>
        </w:rPr>
      </w:pPr>
      <w:r>
        <w:rPr>
          <w:noProof/>
        </w:rPr>
        <w:t>-</w:t>
      </w:r>
      <w:r>
        <w:rPr>
          <w:noProof/>
        </w:rPr>
        <w:tab/>
        <w:t>Neišmeskite šio lapelio, nes vėl gali prireikti jį perskaityti.</w:t>
      </w:r>
    </w:p>
    <w:p w14:paraId="468D7895" w14:textId="77777777" w:rsidR="00E96E12" w:rsidRDefault="00E97765">
      <w:pPr>
        <w:ind w:left="567" w:hanging="567"/>
        <w:rPr>
          <w:noProof/>
        </w:rPr>
      </w:pPr>
      <w:r>
        <w:rPr>
          <w:noProof/>
        </w:rPr>
        <w:t>-</w:t>
      </w:r>
      <w:r>
        <w:rPr>
          <w:noProof/>
        </w:rPr>
        <w:tab/>
        <w:t>Jeigu kiltų daugiau klausimų, kreipkitės į gydytoją arba vaistininką</w:t>
      </w:r>
      <w:r>
        <w:t>.</w:t>
      </w:r>
    </w:p>
    <w:p w14:paraId="3C57D3C1" w14:textId="77777777" w:rsidR="00E96E12" w:rsidRDefault="00E97765">
      <w:pPr>
        <w:tabs>
          <w:tab w:val="left" w:pos="567"/>
        </w:tabs>
        <w:ind w:left="567" w:hanging="567"/>
        <w:rPr>
          <w:noProof/>
        </w:rPr>
      </w:pPr>
      <w:r>
        <w:rPr>
          <w:noProof/>
        </w:rPr>
        <w:t>-</w:t>
      </w:r>
      <w:r>
        <w:rPr>
          <w:noProof/>
        </w:rPr>
        <w:tab/>
        <w:t>Šis vaistas skirtas tik Jums, todėl kitiems žmonėms jo duoti negalima. Vaistas gali jiems pakenkti (net tiems, kurių ligos požymiai yra tokie patys kaip Jūsų).</w:t>
      </w:r>
    </w:p>
    <w:p w14:paraId="106374F9" w14:textId="77777777" w:rsidR="00E96E12" w:rsidRDefault="00E97765">
      <w:pPr>
        <w:numPr>
          <w:ilvl w:val="0"/>
          <w:numId w:val="1"/>
        </w:numPr>
        <w:tabs>
          <w:tab w:val="left" w:pos="567"/>
        </w:tabs>
        <w:ind w:left="540" w:hanging="540"/>
        <w:rPr>
          <w:szCs w:val="22"/>
        </w:rPr>
      </w:pPr>
      <w:r>
        <w:rPr>
          <w:noProof/>
        </w:rPr>
        <w:t xml:space="preserve">Jeigu pasireiškė šalutinis poveikis </w:t>
      </w:r>
      <w:r>
        <w:rPr>
          <w:szCs w:val="22"/>
        </w:rPr>
        <w:t xml:space="preserve">(net jeigu jis šiame lapelyje nenurodytas), kreipkitės į gydytoją arba vaistininką. </w:t>
      </w:r>
      <w:r>
        <w:rPr>
          <w:noProof/>
        </w:rPr>
        <w:t>Žr. 4 skyrių.</w:t>
      </w:r>
    </w:p>
    <w:p w14:paraId="528B3079" w14:textId="77777777" w:rsidR="00E96E12" w:rsidRDefault="00E96E12">
      <w:pPr>
        <w:numPr>
          <w:ilvl w:val="12"/>
          <w:numId w:val="0"/>
        </w:numPr>
        <w:ind w:right="-2"/>
        <w:outlineLvl w:val="0"/>
        <w:rPr>
          <w:b/>
          <w:noProof/>
        </w:rPr>
      </w:pPr>
    </w:p>
    <w:p w14:paraId="40CF7EC1" w14:textId="77777777" w:rsidR="00E96E12" w:rsidRDefault="00E97765">
      <w:pPr>
        <w:ind w:left="567" w:hanging="567"/>
        <w:rPr>
          <w:b/>
          <w:szCs w:val="22"/>
        </w:rPr>
      </w:pPr>
      <w:r>
        <w:rPr>
          <w:b/>
          <w:szCs w:val="22"/>
        </w:rPr>
        <w:t>Apie ką rašoma šiame lapelyje?</w:t>
      </w:r>
    </w:p>
    <w:p w14:paraId="733E820F" w14:textId="77777777" w:rsidR="00E96E12" w:rsidRDefault="00E96E12">
      <w:pPr>
        <w:rPr>
          <w:b/>
          <w:noProof/>
        </w:rPr>
      </w:pPr>
    </w:p>
    <w:p w14:paraId="40107262" w14:textId="77777777" w:rsidR="00E96E12" w:rsidRDefault="00E97765">
      <w:pPr>
        <w:ind w:left="567" w:hanging="567"/>
        <w:rPr>
          <w:noProof/>
        </w:rPr>
      </w:pPr>
      <w:r>
        <w:rPr>
          <w:noProof/>
        </w:rPr>
        <w:t>1.</w:t>
      </w:r>
      <w:r>
        <w:rPr>
          <w:noProof/>
        </w:rPr>
        <w:tab/>
        <w:t>Kas yra Dagrafors ir kam jis vartojamas</w:t>
      </w:r>
    </w:p>
    <w:p w14:paraId="5200FA09" w14:textId="77777777" w:rsidR="00E96E12" w:rsidRDefault="00E97765">
      <w:pPr>
        <w:ind w:left="567" w:hanging="567"/>
        <w:rPr>
          <w:noProof/>
        </w:rPr>
      </w:pPr>
      <w:r>
        <w:rPr>
          <w:noProof/>
        </w:rPr>
        <w:t>2.</w:t>
      </w:r>
      <w:r>
        <w:rPr>
          <w:noProof/>
        </w:rPr>
        <w:tab/>
        <w:t>Kas žinotina prieš vartojant Dagrafors</w:t>
      </w:r>
    </w:p>
    <w:p w14:paraId="0A84FC58" w14:textId="77777777" w:rsidR="00E96E12" w:rsidRDefault="00E97765">
      <w:pPr>
        <w:ind w:left="567" w:hanging="567"/>
        <w:rPr>
          <w:noProof/>
        </w:rPr>
      </w:pPr>
      <w:r>
        <w:rPr>
          <w:noProof/>
        </w:rPr>
        <w:t>3.</w:t>
      </w:r>
      <w:r>
        <w:rPr>
          <w:noProof/>
        </w:rPr>
        <w:tab/>
        <w:t>Kaip vartoti Dagrafors</w:t>
      </w:r>
    </w:p>
    <w:p w14:paraId="2AD183FA" w14:textId="77777777" w:rsidR="00E96E12" w:rsidRDefault="00E97765">
      <w:pPr>
        <w:ind w:left="567" w:hanging="567"/>
        <w:rPr>
          <w:noProof/>
        </w:rPr>
      </w:pPr>
      <w:r>
        <w:rPr>
          <w:noProof/>
        </w:rPr>
        <w:t>4.</w:t>
      </w:r>
      <w:r>
        <w:rPr>
          <w:noProof/>
        </w:rPr>
        <w:tab/>
        <w:t>Galimas šalutinis poveikis</w:t>
      </w:r>
    </w:p>
    <w:p w14:paraId="42C0D6A7" w14:textId="77777777" w:rsidR="00E96E12" w:rsidRDefault="00E97765">
      <w:pPr>
        <w:ind w:left="567" w:hanging="567"/>
        <w:rPr>
          <w:noProof/>
        </w:rPr>
      </w:pPr>
      <w:r>
        <w:rPr>
          <w:noProof/>
        </w:rPr>
        <w:t>5.</w:t>
      </w:r>
      <w:r>
        <w:rPr>
          <w:noProof/>
        </w:rPr>
        <w:tab/>
        <w:t>Kaip laikyti Dagrafors</w:t>
      </w:r>
    </w:p>
    <w:p w14:paraId="7AF78D6C" w14:textId="77777777" w:rsidR="00E96E12" w:rsidRDefault="00E97765">
      <w:pPr>
        <w:ind w:left="567" w:hanging="567"/>
        <w:rPr>
          <w:noProof/>
        </w:rPr>
      </w:pPr>
      <w:r>
        <w:rPr>
          <w:noProof/>
        </w:rPr>
        <w:t>6.</w:t>
      </w:r>
      <w:r>
        <w:rPr>
          <w:noProof/>
        </w:rPr>
        <w:tab/>
      </w:r>
      <w:r>
        <w:t>Pakuotės turinys ir kita</w:t>
      </w:r>
      <w:r>
        <w:rPr>
          <w:noProof/>
        </w:rPr>
        <w:t xml:space="preserve"> informacija</w:t>
      </w:r>
    </w:p>
    <w:p w14:paraId="05F95063" w14:textId="77777777" w:rsidR="00E96E12" w:rsidRDefault="00E96E12">
      <w:pPr>
        <w:numPr>
          <w:ilvl w:val="12"/>
          <w:numId w:val="0"/>
        </w:numPr>
        <w:rPr>
          <w:noProof/>
        </w:rPr>
      </w:pPr>
    </w:p>
    <w:p w14:paraId="488DAC06" w14:textId="77777777" w:rsidR="00E96E12" w:rsidRDefault="00E96E12">
      <w:pPr>
        <w:numPr>
          <w:ilvl w:val="12"/>
          <w:numId w:val="0"/>
        </w:numPr>
        <w:rPr>
          <w:noProof/>
        </w:rPr>
      </w:pPr>
    </w:p>
    <w:p w14:paraId="7E0D35A5" w14:textId="77777777" w:rsidR="00E96E12" w:rsidRDefault="00E97765">
      <w:pPr>
        <w:numPr>
          <w:ilvl w:val="12"/>
          <w:numId w:val="0"/>
        </w:numPr>
        <w:ind w:left="567" w:hanging="567"/>
        <w:outlineLvl w:val="0"/>
        <w:rPr>
          <w:b/>
          <w:caps/>
          <w:noProof/>
        </w:rPr>
      </w:pPr>
      <w:r>
        <w:rPr>
          <w:b/>
          <w:noProof/>
        </w:rPr>
        <w:t>1.</w:t>
      </w:r>
      <w:r>
        <w:rPr>
          <w:b/>
          <w:noProof/>
        </w:rPr>
        <w:tab/>
      </w:r>
      <w:r>
        <w:rPr>
          <w:b/>
        </w:rPr>
        <w:t xml:space="preserve">Kas yra </w:t>
      </w:r>
      <w:proofErr w:type="spellStart"/>
      <w:r>
        <w:rPr>
          <w:b/>
        </w:rPr>
        <w:t>Dagrafors</w:t>
      </w:r>
      <w:proofErr w:type="spellEnd"/>
      <w:r>
        <w:rPr>
          <w:b/>
        </w:rPr>
        <w:t xml:space="preserve"> ir kam jis vartojamas</w:t>
      </w:r>
    </w:p>
    <w:p w14:paraId="5BD0087B" w14:textId="77777777" w:rsidR="00E96E12" w:rsidRDefault="00E96E12">
      <w:pPr>
        <w:ind w:left="567" w:hanging="567"/>
        <w:rPr>
          <w:noProof/>
        </w:rPr>
      </w:pPr>
    </w:p>
    <w:p w14:paraId="56E2352B" w14:textId="77777777" w:rsidR="00E96E12" w:rsidRDefault="00E97765">
      <w:pPr>
        <w:autoSpaceDE w:val="0"/>
        <w:autoSpaceDN w:val="0"/>
        <w:adjustRightInd w:val="0"/>
        <w:rPr>
          <w:szCs w:val="22"/>
          <w:lang w:eastAsia="lt-LT"/>
        </w:rPr>
      </w:pPr>
      <w:proofErr w:type="spellStart"/>
      <w:r>
        <w:rPr>
          <w:szCs w:val="22"/>
          <w:lang w:eastAsia="lt-LT"/>
        </w:rPr>
        <w:t>Dagrafors</w:t>
      </w:r>
      <w:proofErr w:type="spellEnd"/>
      <w:r>
        <w:rPr>
          <w:szCs w:val="22"/>
          <w:lang w:eastAsia="lt-LT"/>
        </w:rPr>
        <w:t xml:space="preserve"> sudėtyje yra veikliosios medžiagos – dapagliflozino. Ji priklauso vaistų, vadinamų natrio ir gliukozės vienos krypties nešiklio (angl. </w:t>
      </w:r>
      <w:proofErr w:type="spellStart"/>
      <w:r>
        <w:rPr>
          <w:rFonts w:eastAsia="TimesNewRoman,Italic"/>
          <w:i/>
          <w:iCs/>
          <w:szCs w:val="22"/>
          <w:lang w:eastAsia="lt-LT"/>
        </w:rPr>
        <w:t>sodium</w:t>
      </w:r>
      <w:proofErr w:type="spellEnd"/>
      <w:r>
        <w:rPr>
          <w:rFonts w:eastAsia="TimesNewRoman,Italic"/>
          <w:i/>
          <w:iCs/>
          <w:szCs w:val="22"/>
          <w:lang w:eastAsia="lt-LT"/>
        </w:rPr>
        <w:t xml:space="preserve"> </w:t>
      </w:r>
      <w:proofErr w:type="spellStart"/>
      <w:r>
        <w:rPr>
          <w:rFonts w:eastAsia="TimesNewRoman,Italic"/>
          <w:i/>
          <w:iCs/>
          <w:szCs w:val="22"/>
          <w:lang w:eastAsia="lt-LT"/>
        </w:rPr>
        <w:t>glucose</w:t>
      </w:r>
      <w:proofErr w:type="spellEnd"/>
      <w:r>
        <w:rPr>
          <w:rFonts w:eastAsia="TimesNewRoman,Italic"/>
          <w:i/>
          <w:iCs/>
          <w:szCs w:val="22"/>
          <w:lang w:eastAsia="lt-LT"/>
        </w:rPr>
        <w:t xml:space="preserve"> co-transporter-2, SGLT2</w:t>
      </w:r>
      <w:r>
        <w:rPr>
          <w:szCs w:val="22"/>
          <w:lang w:eastAsia="lt-LT"/>
        </w:rPr>
        <w:t>) inhibitoriais, grupei. Šie vaistai blokuoja SGLT2 baltymą inkstuose. Jį užblokavus, iš kraujo su šlapimu pašalinami cukrus (gliukozė), druska (natris) ir vanduo.</w:t>
      </w:r>
    </w:p>
    <w:p w14:paraId="3F1E8E55" w14:textId="77777777" w:rsidR="00E96E12" w:rsidRDefault="00E96E12">
      <w:pPr>
        <w:autoSpaceDE w:val="0"/>
        <w:autoSpaceDN w:val="0"/>
        <w:adjustRightInd w:val="0"/>
        <w:rPr>
          <w:b/>
          <w:bCs/>
          <w:szCs w:val="22"/>
          <w:lang w:eastAsia="lt-LT"/>
        </w:rPr>
      </w:pPr>
    </w:p>
    <w:p w14:paraId="1247394F" w14:textId="77777777" w:rsidR="00E96E12" w:rsidRDefault="00E97765">
      <w:pPr>
        <w:autoSpaceDE w:val="0"/>
        <w:autoSpaceDN w:val="0"/>
        <w:adjustRightInd w:val="0"/>
        <w:rPr>
          <w:b/>
          <w:bCs/>
          <w:szCs w:val="22"/>
          <w:lang w:eastAsia="lt-LT"/>
        </w:rPr>
      </w:pPr>
      <w:r>
        <w:rPr>
          <w:b/>
          <w:bCs/>
          <w:szCs w:val="22"/>
          <w:lang w:eastAsia="lt-LT"/>
        </w:rPr>
        <w:t xml:space="preserve">Kam vartojama </w:t>
      </w:r>
      <w:proofErr w:type="spellStart"/>
      <w:r>
        <w:rPr>
          <w:b/>
          <w:bCs/>
          <w:szCs w:val="22"/>
          <w:lang w:eastAsia="lt-LT"/>
        </w:rPr>
        <w:t>Dagrafors</w:t>
      </w:r>
      <w:proofErr w:type="spellEnd"/>
      <w:r>
        <w:rPr>
          <w:b/>
          <w:bCs/>
          <w:szCs w:val="22"/>
          <w:lang w:eastAsia="lt-LT"/>
        </w:rPr>
        <w:t>?</w:t>
      </w:r>
    </w:p>
    <w:p w14:paraId="516E4ACA" w14:textId="77777777" w:rsidR="00E96E12" w:rsidRDefault="00E97765">
      <w:pPr>
        <w:autoSpaceDE w:val="0"/>
        <w:autoSpaceDN w:val="0"/>
        <w:adjustRightInd w:val="0"/>
        <w:rPr>
          <w:szCs w:val="22"/>
          <w:lang w:eastAsia="lt-LT"/>
        </w:rPr>
      </w:pPr>
      <w:proofErr w:type="spellStart"/>
      <w:r>
        <w:rPr>
          <w:szCs w:val="22"/>
          <w:lang w:eastAsia="lt-LT"/>
        </w:rPr>
        <w:t>Dagrafors</w:t>
      </w:r>
      <w:proofErr w:type="spellEnd"/>
      <w:r>
        <w:rPr>
          <w:szCs w:val="22"/>
          <w:lang w:eastAsia="lt-LT"/>
        </w:rPr>
        <w:t xml:space="preserve"> yra skirta:</w:t>
      </w:r>
    </w:p>
    <w:p w14:paraId="0F37FEFA" w14:textId="77777777" w:rsidR="00E96E12" w:rsidRDefault="00E96E12">
      <w:pPr>
        <w:autoSpaceDE w:val="0"/>
        <w:autoSpaceDN w:val="0"/>
        <w:adjustRightInd w:val="0"/>
        <w:rPr>
          <w:szCs w:val="22"/>
          <w:lang w:eastAsia="lt-LT"/>
        </w:rPr>
      </w:pPr>
    </w:p>
    <w:p w14:paraId="723D7D42" w14:textId="77777777" w:rsidR="00E96E12" w:rsidRDefault="00E97765">
      <w:pPr>
        <w:widowControl w:val="0"/>
        <w:numPr>
          <w:ilvl w:val="0"/>
          <w:numId w:val="7"/>
        </w:numPr>
        <w:ind w:left="567"/>
        <w:rPr>
          <w:b/>
          <w:bCs/>
          <w:noProof/>
          <w:szCs w:val="22"/>
          <w:lang w:val="en-US"/>
        </w:rPr>
      </w:pPr>
      <w:r>
        <w:rPr>
          <w:b/>
          <w:bCs/>
          <w:szCs w:val="22"/>
          <w:lang w:eastAsia="lt-LT"/>
        </w:rPr>
        <w:t>2 tipo cukriniam diabetui gydyti</w:t>
      </w:r>
    </w:p>
    <w:p w14:paraId="3BFB2EE9" w14:textId="77777777" w:rsidR="00E96E12" w:rsidRDefault="00E97765">
      <w:pPr>
        <w:widowControl w:val="0"/>
        <w:numPr>
          <w:ilvl w:val="1"/>
          <w:numId w:val="7"/>
        </w:numPr>
        <w:ind w:left="1134"/>
        <w:rPr>
          <w:noProof/>
          <w:szCs w:val="22"/>
          <w:lang w:val="pt-PT"/>
        </w:rPr>
      </w:pPr>
      <w:r>
        <w:rPr>
          <w:szCs w:val="22"/>
          <w:lang w:eastAsia="lt-LT"/>
        </w:rPr>
        <w:t>suaugusiesiems ir vaikams nuo 10 metų</w:t>
      </w:r>
      <w:r>
        <w:rPr>
          <w:noProof/>
          <w:szCs w:val="22"/>
          <w:lang w:val="pt-PT"/>
        </w:rPr>
        <w:t>.</w:t>
      </w:r>
    </w:p>
    <w:p w14:paraId="2E4363B5" w14:textId="77777777" w:rsidR="00E96E12" w:rsidRDefault="00E97765">
      <w:pPr>
        <w:widowControl w:val="0"/>
        <w:numPr>
          <w:ilvl w:val="1"/>
          <w:numId w:val="7"/>
        </w:numPr>
        <w:ind w:left="1134"/>
        <w:rPr>
          <w:noProof/>
          <w:szCs w:val="22"/>
          <w:lang w:val="pt-PT"/>
        </w:rPr>
      </w:pPr>
      <w:r>
        <w:rPr>
          <w:szCs w:val="22"/>
          <w:lang w:eastAsia="lt-LT"/>
        </w:rPr>
        <w:t>kai 2 tipo cukriniam diabetui kontroliuoti nepakanka dietos ir fizinio krūvio</w:t>
      </w:r>
      <w:r>
        <w:rPr>
          <w:noProof/>
          <w:szCs w:val="22"/>
          <w:lang w:val="pt-PT"/>
        </w:rPr>
        <w:t>.</w:t>
      </w:r>
    </w:p>
    <w:p w14:paraId="6A54E008" w14:textId="77777777" w:rsidR="00E96E12" w:rsidRDefault="00E97765">
      <w:pPr>
        <w:widowControl w:val="0"/>
        <w:numPr>
          <w:ilvl w:val="1"/>
          <w:numId w:val="7"/>
        </w:numPr>
        <w:ind w:left="1134"/>
        <w:rPr>
          <w:noProof/>
          <w:szCs w:val="22"/>
          <w:lang w:val="pt-PT"/>
        </w:rPr>
      </w:pPr>
      <w:proofErr w:type="spellStart"/>
      <w:r>
        <w:rPr>
          <w:szCs w:val="22"/>
          <w:lang w:eastAsia="lt-LT"/>
        </w:rPr>
        <w:t>Dagrafors</w:t>
      </w:r>
      <w:proofErr w:type="spellEnd"/>
      <w:r>
        <w:rPr>
          <w:szCs w:val="22"/>
          <w:lang w:eastAsia="lt-LT"/>
        </w:rPr>
        <w:t xml:space="preserve"> gali būti vartojama atskirai arba kartu su kitais vaistais nuo cukrinio diabeto</w:t>
      </w:r>
      <w:r>
        <w:rPr>
          <w:noProof/>
          <w:szCs w:val="22"/>
          <w:lang w:val="pt-PT"/>
        </w:rPr>
        <w:t>.</w:t>
      </w:r>
    </w:p>
    <w:p w14:paraId="55238578" w14:textId="77777777" w:rsidR="00E96E12" w:rsidRDefault="00E97765">
      <w:pPr>
        <w:widowControl w:val="0"/>
        <w:numPr>
          <w:ilvl w:val="1"/>
          <w:numId w:val="7"/>
        </w:numPr>
        <w:ind w:left="1134"/>
        <w:rPr>
          <w:noProof/>
          <w:szCs w:val="22"/>
          <w:lang w:val="pt-PT"/>
        </w:rPr>
      </w:pPr>
      <w:r>
        <w:rPr>
          <w:noProof/>
          <w:szCs w:val="22"/>
          <w:lang w:val="pt-PT"/>
        </w:rPr>
        <w:t xml:space="preserve">Vartojant </w:t>
      </w:r>
      <w:r>
        <w:rPr>
          <w:noProof/>
          <w:szCs w:val="22"/>
        </w:rPr>
        <w:t>šį vaistą, svarbu toliau laikytis gydytojo, vaistininko arba slaugytojo nurodymų dėl dietos ir fizinio krūvio</w:t>
      </w:r>
      <w:r>
        <w:rPr>
          <w:noProof/>
          <w:szCs w:val="22"/>
          <w:lang w:val="pt-PT"/>
        </w:rPr>
        <w:t>.</w:t>
      </w:r>
    </w:p>
    <w:p w14:paraId="4EC44261" w14:textId="77777777" w:rsidR="00E96E12" w:rsidRDefault="00E96E12">
      <w:pPr>
        <w:widowControl w:val="0"/>
        <w:rPr>
          <w:noProof/>
          <w:szCs w:val="22"/>
          <w:lang w:val="pt-PT"/>
        </w:rPr>
      </w:pPr>
    </w:p>
    <w:p w14:paraId="5A3371C2" w14:textId="77777777" w:rsidR="00E96E12" w:rsidRDefault="00E97765">
      <w:pPr>
        <w:widowControl w:val="0"/>
        <w:numPr>
          <w:ilvl w:val="0"/>
          <w:numId w:val="7"/>
        </w:numPr>
        <w:ind w:left="567"/>
        <w:rPr>
          <w:b/>
          <w:bCs/>
          <w:noProof/>
          <w:szCs w:val="22"/>
          <w:lang w:val="en-US"/>
        </w:rPr>
      </w:pPr>
      <w:r>
        <w:rPr>
          <w:b/>
          <w:bCs/>
          <w:szCs w:val="22"/>
          <w:lang w:eastAsia="lt-LT"/>
        </w:rPr>
        <w:t>Širdies nepakankamumui gydyti</w:t>
      </w:r>
    </w:p>
    <w:p w14:paraId="029FF63F" w14:textId="77777777" w:rsidR="00E96E12" w:rsidRDefault="00E97765">
      <w:pPr>
        <w:widowControl w:val="0"/>
        <w:numPr>
          <w:ilvl w:val="1"/>
          <w:numId w:val="7"/>
        </w:numPr>
        <w:ind w:left="1134"/>
        <w:rPr>
          <w:noProof/>
          <w:szCs w:val="22"/>
          <w:lang w:val="en-US"/>
        </w:rPr>
      </w:pPr>
      <w:r>
        <w:rPr>
          <w:szCs w:val="22"/>
          <w:lang w:eastAsia="lt-LT"/>
        </w:rPr>
        <w:t>suaugusiems (nuo 18 metų), kurių širdis nepumpuoja kraujo taip gerai kaip turėtų</w:t>
      </w:r>
      <w:r>
        <w:rPr>
          <w:noProof/>
          <w:szCs w:val="22"/>
          <w:lang w:val="en-US"/>
        </w:rPr>
        <w:t>.</w:t>
      </w:r>
    </w:p>
    <w:p w14:paraId="4DB68F66" w14:textId="77777777" w:rsidR="00E96E12" w:rsidRDefault="00E96E12">
      <w:pPr>
        <w:autoSpaceDE w:val="0"/>
        <w:autoSpaceDN w:val="0"/>
        <w:adjustRightInd w:val="0"/>
        <w:rPr>
          <w:szCs w:val="22"/>
          <w:lang w:eastAsia="lt-LT"/>
        </w:rPr>
      </w:pPr>
    </w:p>
    <w:p w14:paraId="6FA824F4" w14:textId="77777777" w:rsidR="00E96E12" w:rsidRDefault="00E97765">
      <w:pPr>
        <w:widowControl w:val="0"/>
        <w:numPr>
          <w:ilvl w:val="0"/>
          <w:numId w:val="7"/>
        </w:numPr>
        <w:ind w:left="567"/>
        <w:rPr>
          <w:b/>
          <w:bCs/>
          <w:noProof/>
          <w:szCs w:val="22"/>
          <w:lang w:val="en-US"/>
        </w:rPr>
      </w:pPr>
      <w:r>
        <w:rPr>
          <w:b/>
          <w:bCs/>
          <w:szCs w:val="22"/>
          <w:lang w:eastAsia="lt-LT"/>
        </w:rPr>
        <w:t>Lėtinė inkstų liga</w:t>
      </w:r>
    </w:p>
    <w:p w14:paraId="209EA0E0" w14:textId="77777777" w:rsidR="00E96E12" w:rsidRDefault="00E97765">
      <w:pPr>
        <w:widowControl w:val="0"/>
        <w:numPr>
          <w:ilvl w:val="1"/>
          <w:numId w:val="7"/>
        </w:numPr>
        <w:ind w:left="1134"/>
        <w:rPr>
          <w:noProof/>
          <w:szCs w:val="22"/>
          <w:lang w:val="en-US"/>
        </w:rPr>
      </w:pPr>
      <w:r>
        <w:rPr>
          <w:szCs w:val="22"/>
          <w:lang w:eastAsia="lt-LT"/>
        </w:rPr>
        <w:t>suaugusiesiems, kurių inkstų funkcija susilpnėjusi</w:t>
      </w:r>
      <w:r>
        <w:rPr>
          <w:noProof/>
          <w:szCs w:val="22"/>
          <w:lang w:val="en-US"/>
        </w:rPr>
        <w:t>.</w:t>
      </w:r>
    </w:p>
    <w:p w14:paraId="008E6B26" w14:textId="77777777" w:rsidR="00E96E12" w:rsidRDefault="00E96E12">
      <w:pPr>
        <w:autoSpaceDE w:val="0"/>
        <w:autoSpaceDN w:val="0"/>
        <w:adjustRightInd w:val="0"/>
        <w:rPr>
          <w:szCs w:val="22"/>
          <w:lang w:eastAsia="lt-LT"/>
        </w:rPr>
      </w:pPr>
    </w:p>
    <w:p w14:paraId="72B14600" w14:textId="77777777" w:rsidR="00E96E12" w:rsidRDefault="00E97765">
      <w:pPr>
        <w:autoSpaceDE w:val="0"/>
        <w:autoSpaceDN w:val="0"/>
        <w:adjustRightInd w:val="0"/>
        <w:rPr>
          <w:b/>
          <w:bCs/>
          <w:szCs w:val="22"/>
          <w:lang w:eastAsia="lt-LT"/>
        </w:rPr>
      </w:pPr>
      <w:r>
        <w:rPr>
          <w:b/>
          <w:bCs/>
          <w:szCs w:val="22"/>
          <w:lang w:eastAsia="lt-LT"/>
        </w:rPr>
        <w:t xml:space="preserve">Kas yra 2 tipo cukrinis diabetas ir kaip padeda </w:t>
      </w:r>
      <w:proofErr w:type="spellStart"/>
      <w:r>
        <w:rPr>
          <w:b/>
          <w:bCs/>
          <w:szCs w:val="22"/>
          <w:lang w:eastAsia="lt-LT"/>
        </w:rPr>
        <w:t>Dagrafors</w:t>
      </w:r>
      <w:proofErr w:type="spellEnd"/>
      <w:r>
        <w:rPr>
          <w:b/>
          <w:bCs/>
          <w:szCs w:val="22"/>
          <w:lang w:eastAsia="lt-LT"/>
        </w:rPr>
        <w:t>?</w:t>
      </w:r>
    </w:p>
    <w:p w14:paraId="15D76CDC" w14:textId="77777777" w:rsidR="00E96E12" w:rsidRDefault="00E97765">
      <w:pPr>
        <w:widowControl w:val="0"/>
        <w:numPr>
          <w:ilvl w:val="0"/>
          <w:numId w:val="7"/>
        </w:numPr>
        <w:ind w:left="567"/>
        <w:rPr>
          <w:noProof/>
          <w:szCs w:val="22"/>
        </w:rPr>
      </w:pPr>
      <w:r>
        <w:rPr>
          <w:noProof/>
          <w:szCs w:val="22"/>
          <w:lang w:val="pt-PT"/>
        </w:rPr>
        <w:t xml:space="preserve">Sergant </w:t>
      </w:r>
      <w:r>
        <w:rPr>
          <w:szCs w:val="22"/>
          <w:lang w:eastAsia="lt-LT"/>
        </w:rPr>
        <w:t>2 tipo cukriniu diabetu, organizmas gamina per mažai insulino arba nesugeba jo tinkamai panaudoti. Dėl to padidėja cukraus kiekis kraujyje ir gali pasireikšti sunkių komplikacijų – širdies arba inkstų liga, aklumas, rankų ir kojų kraujotakos pablogėjimas.</w:t>
      </w:r>
    </w:p>
    <w:p w14:paraId="0477E082" w14:textId="77777777" w:rsidR="00E96E12" w:rsidRDefault="00E97765">
      <w:pPr>
        <w:widowControl w:val="0"/>
        <w:numPr>
          <w:ilvl w:val="0"/>
          <w:numId w:val="7"/>
        </w:numPr>
        <w:ind w:left="567"/>
        <w:rPr>
          <w:noProof/>
          <w:szCs w:val="22"/>
          <w:lang w:val="en-US"/>
        </w:rPr>
      </w:pPr>
      <w:r>
        <w:rPr>
          <w:noProof/>
          <w:szCs w:val="22"/>
          <w:lang w:val="pt-PT"/>
        </w:rPr>
        <w:t xml:space="preserve">Dagrafors šalina cukraus perteklių iš organizmo. </w:t>
      </w:r>
      <w:r>
        <w:rPr>
          <w:noProof/>
          <w:szCs w:val="22"/>
          <w:lang w:val="en-US"/>
        </w:rPr>
        <w:t>Be to, šis vaistas gali padėti išvengti širdies ligos.</w:t>
      </w:r>
    </w:p>
    <w:p w14:paraId="05EC91A1" w14:textId="77777777" w:rsidR="00E96E12" w:rsidRDefault="00E96E12">
      <w:pPr>
        <w:widowControl w:val="0"/>
        <w:rPr>
          <w:noProof/>
          <w:szCs w:val="22"/>
          <w:lang w:val="en-US"/>
        </w:rPr>
      </w:pPr>
    </w:p>
    <w:p w14:paraId="5F9B7C04" w14:textId="77777777" w:rsidR="00E96E12" w:rsidRDefault="00E97765">
      <w:pPr>
        <w:autoSpaceDE w:val="0"/>
        <w:autoSpaceDN w:val="0"/>
        <w:adjustRightInd w:val="0"/>
        <w:rPr>
          <w:b/>
          <w:bCs/>
          <w:szCs w:val="22"/>
          <w:lang w:eastAsia="lt-LT"/>
        </w:rPr>
      </w:pPr>
      <w:r>
        <w:rPr>
          <w:b/>
          <w:bCs/>
          <w:szCs w:val="22"/>
          <w:lang w:eastAsia="lt-LT"/>
        </w:rPr>
        <w:t xml:space="preserve">Kas yra širdies nepakankamumas ir kaip juo sergant padeda </w:t>
      </w:r>
      <w:proofErr w:type="spellStart"/>
      <w:r>
        <w:rPr>
          <w:b/>
          <w:bCs/>
          <w:szCs w:val="22"/>
          <w:lang w:eastAsia="lt-LT"/>
        </w:rPr>
        <w:t>Dagrafors</w:t>
      </w:r>
      <w:proofErr w:type="spellEnd"/>
      <w:r>
        <w:rPr>
          <w:b/>
          <w:bCs/>
          <w:szCs w:val="22"/>
          <w:lang w:eastAsia="lt-LT"/>
        </w:rPr>
        <w:t>?</w:t>
      </w:r>
    </w:p>
    <w:p w14:paraId="6AF19DEF" w14:textId="77777777" w:rsidR="00E96E12" w:rsidRDefault="00E97765">
      <w:pPr>
        <w:widowControl w:val="0"/>
        <w:numPr>
          <w:ilvl w:val="0"/>
          <w:numId w:val="7"/>
        </w:numPr>
        <w:ind w:left="567"/>
        <w:rPr>
          <w:noProof/>
          <w:szCs w:val="22"/>
        </w:rPr>
      </w:pPr>
      <w:r>
        <w:rPr>
          <w:noProof/>
          <w:szCs w:val="22"/>
        </w:rPr>
        <w:t xml:space="preserve">Šios rūšies širdies nepakankamumas pasireiškia tuomet, kai širdies nepumpuoja kraujo į </w:t>
      </w:r>
      <w:r>
        <w:rPr>
          <w:noProof/>
          <w:szCs w:val="22"/>
        </w:rPr>
        <w:lastRenderedPageBreak/>
        <w:t>plaučius ir kitas organizmo dalis taip gerai kaip turėtų. Dėl to gali pasireikšti sunkių sutrukimų ir prireikti gydymo ligoninėje.</w:t>
      </w:r>
    </w:p>
    <w:p w14:paraId="5244DD06" w14:textId="77777777" w:rsidR="00E96E12" w:rsidRDefault="00E97765">
      <w:pPr>
        <w:widowControl w:val="0"/>
        <w:numPr>
          <w:ilvl w:val="0"/>
          <w:numId w:val="7"/>
        </w:numPr>
        <w:ind w:left="567"/>
        <w:rPr>
          <w:noProof/>
          <w:szCs w:val="22"/>
        </w:rPr>
      </w:pPr>
      <w:r>
        <w:rPr>
          <w:noProof/>
          <w:szCs w:val="22"/>
        </w:rPr>
        <w:t>Dažniausiai širdies nepakankamumo simptomai yra dusulys, nuolatinis nuovargis arba didelis nuovargis ir kulkšnių patinimas.</w:t>
      </w:r>
    </w:p>
    <w:p w14:paraId="36E00B1E" w14:textId="77777777" w:rsidR="00E96E12" w:rsidRDefault="00E97765">
      <w:pPr>
        <w:widowControl w:val="0"/>
        <w:numPr>
          <w:ilvl w:val="0"/>
          <w:numId w:val="7"/>
        </w:numPr>
        <w:ind w:left="567"/>
        <w:rPr>
          <w:noProof/>
          <w:szCs w:val="22"/>
        </w:rPr>
      </w:pPr>
      <w:r>
        <w:rPr>
          <w:noProof/>
          <w:szCs w:val="22"/>
          <w:lang w:val="pt-PT"/>
        </w:rPr>
        <w:t>Dagrafors padeda</w:t>
      </w:r>
      <w:r>
        <w:rPr>
          <w:szCs w:val="22"/>
          <w:lang w:eastAsia="lt-LT"/>
        </w:rPr>
        <w:t>padeda išvengti širdies nepakankamumo pasunkėjimo ir palengvina simptomus. Šis</w:t>
      </w:r>
      <w:r>
        <w:rPr>
          <w:noProof/>
          <w:szCs w:val="22"/>
        </w:rPr>
        <w:t xml:space="preserve"> </w:t>
      </w:r>
      <w:r>
        <w:rPr>
          <w:szCs w:val="22"/>
          <w:lang w:eastAsia="lt-LT"/>
        </w:rPr>
        <w:t>vaistas gali sumažinti poreikį vykti į ligoninę ir padėti kai kuriems pacientams išgyventi ilgiau.</w:t>
      </w:r>
    </w:p>
    <w:p w14:paraId="4C1752DE" w14:textId="77777777" w:rsidR="00E96E12" w:rsidRDefault="00E96E12">
      <w:pPr>
        <w:autoSpaceDE w:val="0"/>
        <w:autoSpaceDN w:val="0"/>
        <w:adjustRightInd w:val="0"/>
        <w:rPr>
          <w:szCs w:val="22"/>
          <w:lang w:eastAsia="lt-LT"/>
        </w:rPr>
      </w:pPr>
    </w:p>
    <w:p w14:paraId="35D2E7BD" w14:textId="77777777" w:rsidR="00E96E12" w:rsidRDefault="00E97765">
      <w:pPr>
        <w:autoSpaceDE w:val="0"/>
        <w:autoSpaceDN w:val="0"/>
        <w:adjustRightInd w:val="0"/>
        <w:rPr>
          <w:b/>
          <w:szCs w:val="22"/>
          <w:lang w:eastAsia="lt-LT"/>
        </w:rPr>
      </w:pPr>
      <w:r>
        <w:rPr>
          <w:b/>
          <w:szCs w:val="22"/>
          <w:lang w:eastAsia="lt-LT"/>
        </w:rPr>
        <w:t xml:space="preserve">Kas yra lėtinė inkstų liga ir kaip ja sergant padeda </w:t>
      </w:r>
      <w:proofErr w:type="spellStart"/>
      <w:r>
        <w:rPr>
          <w:b/>
          <w:szCs w:val="22"/>
          <w:lang w:eastAsia="lt-LT"/>
        </w:rPr>
        <w:t>Dagrafors</w:t>
      </w:r>
      <w:proofErr w:type="spellEnd"/>
      <w:r>
        <w:rPr>
          <w:b/>
          <w:szCs w:val="22"/>
          <w:lang w:eastAsia="lt-LT"/>
        </w:rPr>
        <w:t>?</w:t>
      </w:r>
    </w:p>
    <w:p w14:paraId="7711165F" w14:textId="77777777" w:rsidR="00E96E12" w:rsidRDefault="00E97765">
      <w:pPr>
        <w:widowControl w:val="0"/>
        <w:numPr>
          <w:ilvl w:val="0"/>
          <w:numId w:val="7"/>
        </w:numPr>
        <w:ind w:left="567"/>
        <w:rPr>
          <w:noProof/>
          <w:szCs w:val="22"/>
        </w:rPr>
      </w:pPr>
      <w:r>
        <w:rPr>
          <w:szCs w:val="22"/>
          <w:lang w:eastAsia="lt-LT"/>
        </w:rPr>
        <w:t>Sergant lėtine inkstų liga, palaipsniui silpnėja inkstų funkcija, todėl jie nebegali valyti ir filtruoti</w:t>
      </w:r>
      <w:r>
        <w:rPr>
          <w:noProof/>
          <w:szCs w:val="22"/>
        </w:rPr>
        <w:t xml:space="preserve"> </w:t>
      </w:r>
      <w:r>
        <w:rPr>
          <w:szCs w:val="22"/>
          <w:lang w:eastAsia="lt-LT"/>
        </w:rPr>
        <w:t>kraujo kaip turėtų. Dėl inkstų funkcijos silpnėjimo gali sunkiai sutrikti sveikata ir tekti gydytis</w:t>
      </w:r>
      <w:r>
        <w:rPr>
          <w:noProof/>
          <w:szCs w:val="22"/>
        </w:rPr>
        <w:t xml:space="preserve"> </w:t>
      </w:r>
      <w:r>
        <w:rPr>
          <w:szCs w:val="22"/>
          <w:lang w:eastAsia="lt-LT"/>
        </w:rPr>
        <w:t>ligoninėje.</w:t>
      </w:r>
    </w:p>
    <w:p w14:paraId="65943D1C" w14:textId="77777777" w:rsidR="00E96E12" w:rsidRDefault="00E97765">
      <w:pPr>
        <w:widowControl w:val="0"/>
        <w:numPr>
          <w:ilvl w:val="0"/>
          <w:numId w:val="7"/>
        </w:numPr>
        <w:ind w:left="567"/>
        <w:rPr>
          <w:noProof/>
          <w:szCs w:val="22"/>
          <w:lang w:val="pt-PT"/>
        </w:rPr>
      </w:pPr>
      <w:proofErr w:type="spellStart"/>
      <w:r>
        <w:rPr>
          <w:szCs w:val="22"/>
          <w:lang w:eastAsia="lt-LT"/>
        </w:rPr>
        <w:t>Dagrafors</w:t>
      </w:r>
      <w:proofErr w:type="spellEnd"/>
      <w:r>
        <w:rPr>
          <w:szCs w:val="22"/>
          <w:lang w:eastAsia="lt-LT"/>
        </w:rPr>
        <w:t xml:space="preserve"> padeda apsaugoti inkstus, kad jų funkcija nesilpnėtų. Tai gali padėti prailginti kai kurių pacientų gyvenimą.</w:t>
      </w:r>
    </w:p>
    <w:p w14:paraId="02F94C18" w14:textId="77777777" w:rsidR="00E96E12" w:rsidRDefault="00E96E12">
      <w:pPr>
        <w:autoSpaceDE w:val="0"/>
        <w:autoSpaceDN w:val="0"/>
        <w:adjustRightInd w:val="0"/>
        <w:rPr>
          <w:szCs w:val="22"/>
          <w:lang w:eastAsia="lt-LT"/>
        </w:rPr>
      </w:pPr>
    </w:p>
    <w:p w14:paraId="30E8DDEE" w14:textId="77777777" w:rsidR="00E96E12" w:rsidRDefault="00E96E12">
      <w:pPr>
        <w:autoSpaceDE w:val="0"/>
        <w:autoSpaceDN w:val="0"/>
        <w:adjustRightInd w:val="0"/>
        <w:rPr>
          <w:szCs w:val="22"/>
          <w:lang w:eastAsia="lt-LT"/>
        </w:rPr>
      </w:pPr>
    </w:p>
    <w:p w14:paraId="7096C98E" w14:textId="77777777" w:rsidR="00E96E12" w:rsidRDefault="00E97765">
      <w:pPr>
        <w:numPr>
          <w:ilvl w:val="12"/>
          <w:numId w:val="0"/>
        </w:numPr>
        <w:ind w:left="567" w:hanging="567"/>
        <w:outlineLvl w:val="0"/>
        <w:rPr>
          <w:b/>
          <w:caps/>
          <w:noProof/>
        </w:rPr>
      </w:pPr>
      <w:r>
        <w:rPr>
          <w:b/>
          <w:noProof/>
        </w:rPr>
        <w:t>2.</w:t>
      </w:r>
      <w:r>
        <w:rPr>
          <w:b/>
          <w:noProof/>
        </w:rPr>
        <w:tab/>
      </w:r>
      <w:r>
        <w:rPr>
          <w:b/>
        </w:rPr>
        <w:t xml:space="preserve">Kas žinotina prieš vartojant </w:t>
      </w:r>
      <w:r>
        <w:rPr>
          <w:b/>
          <w:noProof/>
        </w:rPr>
        <w:t>Dagrafors</w:t>
      </w:r>
    </w:p>
    <w:p w14:paraId="63BF321D" w14:textId="77777777" w:rsidR="00E96E12" w:rsidRDefault="00E96E12">
      <w:pPr>
        <w:ind w:left="567" w:hanging="567"/>
        <w:rPr>
          <w:noProof/>
        </w:rPr>
      </w:pPr>
    </w:p>
    <w:p w14:paraId="38F2612C" w14:textId="77777777" w:rsidR="00E96E12" w:rsidRDefault="00E97765">
      <w:pPr>
        <w:ind w:left="567" w:hanging="567"/>
        <w:rPr>
          <w:b/>
          <w:caps/>
          <w:noProof/>
        </w:rPr>
      </w:pPr>
      <w:r>
        <w:rPr>
          <w:b/>
          <w:bCs/>
          <w:noProof/>
        </w:rPr>
        <w:t>Dagrafors vartoti draudžiama</w:t>
      </w:r>
    </w:p>
    <w:p w14:paraId="45869845" w14:textId="77777777" w:rsidR="00E96E12" w:rsidRDefault="00E97765">
      <w:pPr>
        <w:numPr>
          <w:ilvl w:val="12"/>
          <w:numId w:val="0"/>
        </w:numPr>
        <w:tabs>
          <w:tab w:val="left" w:pos="567"/>
        </w:tabs>
        <w:ind w:left="567" w:hanging="567"/>
        <w:rPr>
          <w:snapToGrid w:val="0"/>
        </w:rPr>
      </w:pPr>
      <w:r>
        <w:rPr>
          <w:snapToGrid w:val="0"/>
        </w:rPr>
        <w:t>-</w:t>
      </w:r>
      <w:r>
        <w:rPr>
          <w:snapToGrid w:val="0"/>
        </w:rPr>
        <w:tab/>
      </w:r>
      <w:r>
        <w:rPr>
          <w:noProof/>
          <w:snapToGrid w:val="0"/>
        </w:rPr>
        <w:t>jeigu yra alergija dapagliflozinui arba bet kuriai pagalbinei šio vaisto medžiagai (jos išvardytos 6 skyriuje).</w:t>
      </w:r>
    </w:p>
    <w:p w14:paraId="578C6D40" w14:textId="77777777" w:rsidR="00E96E12" w:rsidRDefault="00E96E12">
      <w:pPr>
        <w:numPr>
          <w:ilvl w:val="12"/>
          <w:numId w:val="0"/>
        </w:numPr>
        <w:ind w:right="-2"/>
        <w:rPr>
          <w:snapToGrid w:val="0"/>
        </w:rPr>
      </w:pPr>
    </w:p>
    <w:p w14:paraId="41481674" w14:textId="77777777" w:rsidR="00E96E12" w:rsidRDefault="00E97765">
      <w:pPr>
        <w:numPr>
          <w:ilvl w:val="12"/>
          <w:numId w:val="0"/>
        </w:numPr>
        <w:ind w:right="-2"/>
        <w:rPr>
          <w:b/>
          <w:bCs/>
          <w:snapToGrid w:val="0"/>
          <w:szCs w:val="28"/>
          <w:lang w:eastAsia="x-none"/>
        </w:rPr>
      </w:pPr>
      <w:r>
        <w:rPr>
          <w:b/>
          <w:bCs/>
          <w:snapToGrid w:val="0"/>
          <w:szCs w:val="28"/>
          <w:lang w:eastAsia="x-none"/>
        </w:rPr>
        <w:t>Įspėjimai ir atsargumo priemonės</w:t>
      </w:r>
    </w:p>
    <w:p w14:paraId="059230B1" w14:textId="77777777" w:rsidR="00E96E12" w:rsidRDefault="00E97765">
      <w:pPr>
        <w:numPr>
          <w:ilvl w:val="12"/>
          <w:numId w:val="0"/>
        </w:numPr>
        <w:ind w:right="-2"/>
        <w:rPr>
          <w:b/>
          <w:bCs/>
          <w:snapToGrid w:val="0"/>
          <w:szCs w:val="28"/>
          <w:lang w:eastAsia="x-none"/>
        </w:rPr>
      </w:pPr>
      <w:r>
        <w:rPr>
          <w:b/>
          <w:bCs/>
          <w:snapToGrid w:val="0"/>
          <w:szCs w:val="28"/>
          <w:lang w:eastAsia="x-none"/>
        </w:rPr>
        <w:t>Nedelsdami kreipkitės į gydytoją arba artimiausią ligoninę:</w:t>
      </w:r>
    </w:p>
    <w:p w14:paraId="5462B3E4" w14:textId="77777777" w:rsidR="00E96E12" w:rsidRDefault="00E96E12">
      <w:pPr>
        <w:numPr>
          <w:ilvl w:val="12"/>
          <w:numId w:val="0"/>
        </w:numPr>
        <w:ind w:right="-2"/>
        <w:rPr>
          <w:b/>
          <w:bCs/>
          <w:snapToGrid w:val="0"/>
          <w:szCs w:val="28"/>
          <w:lang w:eastAsia="x-none"/>
        </w:rPr>
      </w:pPr>
    </w:p>
    <w:p w14:paraId="699C1781" w14:textId="77777777" w:rsidR="00E96E12" w:rsidRDefault="00E97765">
      <w:pPr>
        <w:numPr>
          <w:ilvl w:val="12"/>
          <w:numId w:val="0"/>
        </w:numPr>
        <w:ind w:right="-2"/>
        <w:rPr>
          <w:bCs/>
          <w:snapToGrid w:val="0"/>
          <w:szCs w:val="28"/>
          <w:lang w:eastAsia="x-none"/>
        </w:rPr>
      </w:pPr>
      <w:r>
        <w:rPr>
          <w:bCs/>
          <w:snapToGrid w:val="0"/>
          <w:szCs w:val="28"/>
          <w:lang w:eastAsia="x-none"/>
        </w:rPr>
        <w:t xml:space="preserve">Diabetinė </w:t>
      </w:r>
      <w:proofErr w:type="spellStart"/>
      <w:r>
        <w:rPr>
          <w:bCs/>
          <w:snapToGrid w:val="0"/>
          <w:szCs w:val="28"/>
          <w:lang w:eastAsia="x-none"/>
        </w:rPr>
        <w:t>ketoacidozė</w:t>
      </w:r>
      <w:proofErr w:type="spellEnd"/>
      <w:r>
        <w:rPr>
          <w:bCs/>
          <w:snapToGrid w:val="0"/>
          <w:szCs w:val="28"/>
          <w:lang w:eastAsia="x-none"/>
        </w:rPr>
        <w:t>:</w:t>
      </w:r>
    </w:p>
    <w:p w14:paraId="243E9C5D" w14:textId="77777777" w:rsidR="00E96E12" w:rsidRDefault="00E97765">
      <w:pPr>
        <w:widowControl w:val="0"/>
        <w:numPr>
          <w:ilvl w:val="0"/>
          <w:numId w:val="7"/>
        </w:numPr>
        <w:tabs>
          <w:tab w:val="left" w:pos="567"/>
        </w:tabs>
        <w:ind w:left="567"/>
        <w:rPr>
          <w:noProof/>
          <w:szCs w:val="22"/>
        </w:rPr>
      </w:pPr>
      <w:r>
        <w:rPr>
          <w:snapToGrid w:val="0"/>
        </w:rPr>
        <w:t>Jeigu sergate cukriniu diabetu ir Jums pasireiškė pykinimas ar vėmimas, pilvo skausmas, didelis troškulys, dažnas ir gilus kvėpavimas, sutriktų orientacija, atsirastų neįprastas mieguistumas ar silpnumas, saldus kvapas iš burnos, saldus ar metalo skonis, pakistų šlapimo ar prakaito kvapas arba pradėtų greitai mažėti Jūsų svoris.</w:t>
      </w:r>
    </w:p>
    <w:p w14:paraId="11014FDD" w14:textId="77777777" w:rsidR="00E96E12" w:rsidRDefault="00E97765">
      <w:pPr>
        <w:widowControl w:val="0"/>
        <w:numPr>
          <w:ilvl w:val="0"/>
          <w:numId w:val="7"/>
        </w:numPr>
        <w:tabs>
          <w:tab w:val="left" w:pos="567"/>
        </w:tabs>
        <w:ind w:left="567"/>
        <w:rPr>
          <w:noProof/>
          <w:szCs w:val="22"/>
        </w:rPr>
      </w:pPr>
      <w:r>
        <w:rPr>
          <w:snapToGrid w:val="0"/>
        </w:rPr>
        <w:t xml:space="preserve">Šie simptomai gali rodyti diabetinę </w:t>
      </w:r>
      <w:proofErr w:type="spellStart"/>
      <w:r>
        <w:rPr>
          <w:snapToGrid w:val="0"/>
        </w:rPr>
        <w:t>ketoacidozę</w:t>
      </w:r>
      <w:proofErr w:type="spellEnd"/>
      <w:r>
        <w:rPr>
          <w:snapToGrid w:val="0"/>
        </w:rPr>
        <w:t xml:space="preserve"> – retą, bet sunkią ir kartais pavojingą gyvybei būklę, kuri gali pasireikšti sergant cukriniu diabetu, kai padidėja </w:t>
      </w:r>
      <w:proofErr w:type="spellStart"/>
      <w:r>
        <w:rPr>
          <w:snapToGrid w:val="0"/>
        </w:rPr>
        <w:t>ketoninių</w:t>
      </w:r>
      <w:proofErr w:type="spellEnd"/>
      <w:r>
        <w:rPr>
          <w:snapToGrid w:val="0"/>
        </w:rPr>
        <w:t xml:space="preserve"> kūnų kiekis kraujyje ir šlapime (tai nustatoma tiriant kraują.</w:t>
      </w:r>
    </w:p>
    <w:p w14:paraId="7A618DF9" w14:textId="77777777" w:rsidR="00E96E12" w:rsidRDefault="00E97765">
      <w:pPr>
        <w:widowControl w:val="0"/>
        <w:numPr>
          <w:ilvl w:val="0"/>
          <w:numId w:val="7"/>
        </w:numPr>
        <w:tabs>
          <w:tab w:val="left" w:pos="567"/>
        </w:tabs>
        <w:ind w:left="567"/>
        <w:rPr>
          <w:noProof/>
          <w:szCs w:val="22"/>
        </w:rPr>
      </w:pPr>
      <w:r>
        <w:rPr>
          <w:snapToGrid w:val="0"/>
        </w:rPr>
        <w:t xml:space="preserve">Diabetinės </w:t>
      </w:r>
      <w:proofErr w:type="spellStart"/>
      <w:r>
        <w:rPr>
          <w:snapToGrid w:val="0"/>
        </w:rPr>
        <w:t>ketoacidozės</w:t>
      </w:r>
      <w:proofErr w:type="spellEnd"/>
      <w:r>
        <w:rPr>
          <w:snapToGrid w:val="0"/>
        </w:rPr>
        <w:t xml:space="preserve"> rizika gali padidėti ilgai badaujant, piktnaudžiaujant alkoholiniais</w:t>
      </w:r>
      <w:r>
        <w:rPr>
          <w:noProof/>
          <w:szCs w:val="22"/>
        </w:rPr>
        <w:t xml:space="preserve"> </w:t>
      </w:r>
      <w:r>
        <w:rPr>
          <w:snapToGrid w:val="0"/>
        </w:rPr>
        <w:t>gėrimais, netekus daug skysčių, greitai sumažinus insulino dozę arba padidėjus jo poreikiui dėl</w:t>
      </w:r>
      <w:r>
        <w:rPr>
          <w:noProof/>
          <w:szCs w:val="22"/>
        </w:rPr>
        <w:t xml:space="preserve"> </w:t>
      </w:r>
      <w:r>
        <w:rPr>
          <w:snapToGrid w:val="0"/>
        </w:rPr>
        <w:t>didelės apimties operacijos arba sunkios ligos).</w:t>
      </w:r>
    </w:p>
    <w:p w14:paraId="0B908E9C" w14:textId="77777777" w:rsidR="00E96E12" w:rsidRDefault="00E97765">
      <w:pPr>
        <w:widowControl w:val="0"/>
        <w:numPr>
          <w:ilvl w:val="0"/>
          <w:numId w:val="7"/>
        </w:numPr>
        <w:tabs>
          <w:tab w:val="left" w:pos="567"/>
        </w:tabs>
        <w:ind w:left="567"/>
        <w:rPr>
          <w:noProof/>
          <w:szCs w:val="22"/>
        </w:rPr>
      </w:pPr>
      <w:r>
        <w:rPr>
          <w:snapToGrid w:val="0"/>
        </w:rPr>
        <w:t xml:space="preserve">Vartojant </w:t>
      </w:r>
      <w:proofErr w:type="spellStart"/>
      <w:r>
        <w:rPr>
          <w:snapToGrid w:val="0"/>
        </w:rPr>
        <w:t>Dagrafors</w:t>
      </w:r>
      <w:proofErr w:type="spellEnd"/>
      <w:r>
        <w:rPr>
          <w:snapToGrid w:val="0"/>
        </w:rPr>
        <w:t xml:space="preserve">, diabetinė </w:t>
      </w:r>
      <w:proofErr w:type="spellStart"/>
      <w:r>
        <w:rPr>
          <w:snapToGrid w:val="0"/>
        </w:rPr>
        <w:t>ketoacidozė</w:t>
      </w:r>
      <w:proofErr w:type="spellEnd"/>
      <w:r>
        <w:rPr>
          <w:snapToGrid w:val="0"/>
        </w:rPr>
        <w:t xml:space="preserve"> gali pasireikšti net kai cukraus kiekis kraujyje yra normalus.</w:t>
      </w:r>
    </w:p>
    <w:p w14:paraId="43BBA19B" w14:textId="77777777" w:rsidR="00E96E12" w:rsidRDefault="00E97765">
      <w:pPr>
        <w:numPr>
          <w:ilvl w:val="12"/>
          <w:numId w:val="0"/>
        </w:numPr>
        <w:ind w:right="-2"/>
        <w:rPr>
          <w:snapToGrid w:val="0"/>
        </w:rPr>
      </w:pPr>
      <w:r>
        <w:rPr>
          <w:snapToGrid w:val="0"/>
        </w:rPr>
        <w:t xml:space="preserve">Įtarę, kad Jums pasireiškė diabetinė </w:t>
      </w:r>
      <w:proofErr w:type="spellStart"/>
      <w:r>
        <w:rPr>
          <w:snapToGrid w:val="0"/>
        </w:rPr>
        <w:t>ketoacidozė</w:t>
      </w:r>
      <w:proofErr w:type="spellEnd"/>
      <w:r>
        <w:rPr>
          <w:snapToGrid w:val="0"/>
        </w:rPr>
        <w:t>, nedelsdami kreipkitės į gydytoją arba artimiausią ligoninę, o šio vaisto daugiau nevartokite.</w:t>
      </w:r>
    </w:p>
    <w:p w14:paraId="10339439" w14:textId="77777777" w:rsidR="00E96E12" w:rsidRDefault="00E96E12">
      <w:pPr>
        <w:numPr>
          <w:ilvl w:val="12"/>
          <w:numId w:val="0"/>
        </w:numPr>
        <w:ind w:right="-2"/>
        <w:rPr>
          <w:snapToGrid w:val="0"/>
        </w:rPr>
      </w:pPr>
    </w:p>
    <w:p w14:paraId="25CA0B2D" w14:textId="77777777" w:rsidR="00E96E12" w:rsidRDefault="00E97765">
      <w:pPr>
        <w:numPr>
          <w:ilvl w:val="12"/>
          <w:numId w:val="0"/>
        </w:numPr>
        <w:ind w:right="-2"/>
        <w:rPr>
          <w:snapToGrid w:val="0"/>
        </w:rPr>
      </w:pPr>
      <w:proofErr w:type="spellStart"/>
      <w:r>
        <w:rPr>
          <w:snapToGrid w:val="0"/>
        </w:rPr>
        <w:t>Tarpvietės</w:t>
      </w:r>
      <w:proofErr w:type="spellEnd"/>
      <w:r>
        <w:rPr>
          <w:snapToGrid w:val="0"/>
        </w:rPr>
        <w:t xml:space="preserve"> </w:t>
      </w:r>
      <w:proofErr w:type="spellStart"/>
      <w:r>
        <w:rPr>
          <w:snapToGrid w:val="0"/>
        </w:rPr>
        <w:t>nekrozinis</w:t>
      </w:r>
      <w:proofErr w:type="spellEnd"/>
      <w:r>
        <w:rPr>
          <w:snapToGrid w:val="0"/>
        </w:rPr>
        <w:t xml:space="preserve"> </w:t>
      </w:r>
      <w:proofErr w:type="spellStart"/>
      <w:r>
        <w:rPr>
          <w:snapToGrid w:val="0"/>
        </w:rPr>
        <w:t>fascitas</w:t>
      </w:r>
      <w:proofErr w:type="spellEnd"/>
      <w:r>
        <w:rPr>
          <w:snapToGrid w:val="0"/>
        </w:rPr>
        <w:t>:</w:t>
      </w:r>
    </w:p>
    <w:p w14:paraId="531B873A" w14:textId="77777777" w:rsidR="00E96E12" w:rsidRDefault="00E97765">
      <w:pPr>
        <w:widowControl w:val="0"/>
        <w:numPr>
          <w:ilvl w:val="0"/>
          <w:numId w:val="7"/>
        </w:numPr>
        <w:tabs>
          <w:tab w:val="left" w:pos="567"/>
        </w:tabs>
        <w:ind w:left="567"/>
        <w:rPr>
          <w:noProof/>
          <w:szCs w:val="22"/>
          <w:lang w:val="en-US"/>
        </w:rPr>
      </w:pPr>
      <w:r>
        <w:rPr>
          <w:snapToGrid w:val="0"/>
        </w:rPr>
        <w:t>Nedelsdami pasikonsultuokite su gydytoju, jeigu pasireikštų simptomų derinys, kurį sudaro</w:t>
      </w:r>
      <w:r>
        <w:rPr>
          <w:noProof/>
          <w:szCs w:val="22"/>
        </w:rPr>
        <w:t xml:space="preserve"> </w:t>
      </w:r>
      <w:r>
        <w:rPr>
          <w:snapToGrid w:val="0"/>
        </w:rPr>
        <w:t>skausmas, skausmingumas, paraudimas ar patinimas lytinių organų srityje arba tarp jų ir</w:t>
      </w:r>
      <w:r>
        <w:rPr>
          <w:noProof/>
          <w:szCs w:val="22"/>
        </w:rPr>
        <w:t xml:space="preserve"> </w:t>
      </w:r>
      <w:r>
        <w:rPr>
          <w:snapToGrid w:val="0"/>
        </w:rPr>
        <w:t>išeinamosios angos kartu su karščiavimu ar bendru negalavimu. Šie simptomai gali rodyti retą,</w:t>
      </w:r>
      <w:r>
        <w:rPr>
          <w:noProof/>
          <w:szCs w:val="22"/>
        </w:rPr>
        <w:t xml:space="preserve"> </w:t>
      </w:r>
      <w:r>
        <w:rPr>
          <w:snapToGrid w:val="0"/>
        </w:rPr>
        <w:t xml:space="preserve">bet sunkią ir net galinčią sukelti pavojų gyvybei infekciją, vadinamą </w:t>
      </w:r>
      <w:proofErr w:type="spellStart"/>
      <w:r>
        <w:rPr>
          <w:snapToGrid w:val="0"/>
        </w:rPr>
        <w:t>tarpvietės</w:t>
      </w:r>
      <w:proofErr w:type="spellEnd"/>
      <w:r>
        <w:rPr>
          <w:snapToGrid w:val="0"/>
        </w:rPr>
        <w:t xml:space="preserve"> </w:t>
      </w:r>
      <w:proofErr w:type="spellStart"/>
      <w:r>
        <w:rPr>
          <w:snapToGrid w:val="0"/>
        </w:rPr>
        <w:t>nekrozuojančiu</w:t>
      </w:r>
      <w:proofErr w:type="spellEnd"/>
      <w:r>
        <w:rPr>
          <w:noProof/>
          <w:szCs w:val="22"/>
        </w:rPr>
        <w:t xml:space="preserve"> </w:t>
      </w:r>
      <w:proofErr w:type="spellStart"/>
      <w:r>
        <w:rPr>
          <w:snapToGrid w:val="0"/>
        </w:rPr>
        <w:t>fascitu</w:t>
      </w:r>
      <w:proofErr w:type="spellEnd"/>
      <w:r>
        <w:rPr>
          <w:snapToGrid w:val="0"/>
        </w:rPr>
        <w:t xml:space="preserve"> (</w:t>
      </w:r>
      <w:proofErr w:type="spellStart"/>
      <w:r>
        <w:rPr>
          <w:snapToGrid w:val="0"/>
        </w:rPr>
        <w:t>Fournier</w:t>
      </w:r>
      <w:proofErr w:type="spellEnd"/>
      <w:r>
        <w:rPr>
          <w:snapToGrid w:val="0"/>
        </w:rPr>
        <w:t xml:space="preserve"> gangrena), dėl kurios suyra poodinis audinys. </w:t>
      </w:r>
      <w:proofErr w:type="spellStart"/>
      <w:r>
        <w:rPr>
          <w:snapToGrid w:val="0"/>
        </w:rPr>
        <w:t>Fournier</w:t>
      </w:r>
      <w:proofErr w:type="spellEnd"/>
      <w:r>
        <w:rPr>
          <w:snapToGrid w:val="0"/>
        </w:rPr>
        <w:t xml:space="preserve"> gangreną reikia</w:t>
      </w:r>
      <w:r>
        <w:rPr>
          <w:noProof/>
          <w:szCs w:val="22"/>
          <w:lang w:val="en-US"/>
        </w:rPr>
        <w:t xml:space="preserve"> </w:t>
      </w:r>
      <w:r>
        <w:rPr>
          <w:snapToGrid w:val="0"/>
        </w:rPr>
        <w:t>skubiai gydyti.</w:t>
      </w:r>
    </w:p>
    <w:p w14:paraId="621F99A7" w14:textId="77777777" w:rsidR="00E96E12" w:rsidRDefault="00E96E12">
      <w:pPr>
        <w:widowControl w:val="0"/>
        <w:tabs>
          <w:tab w:val="left" w:pos="567"/>
        </w:tabs>
        <w:rPr>
          <w:noProof/>
          <w:szCs w:val="22"/>
          <w:lang w:val="en-US"/>
        </w:rPr>
      </w:pPr>
    </w:p>
    <w:p w14:paraId="715696D9" w14:textId="77777777" w:rsidR="00E96E12" w:rsidRDefault="00E97765">
      <w:pPr>
        <w:numPr>
          <w:ilvl w:val="12"/>
          <w:numId w:val="0"/>
        </w:numPr>
        <w:ind w:right="-2"/>
        <w:rPr>
          <w:b/>
          <w:snapToGrid w:val="0"/>
        </w:rPr>
      </w:pPr>
      <w:r>
        <w:rPr>
          <w:b/>
          <w:snapToGrid w:val="0"/>
        </w:rPr>
        <w:t xml:space="preserve">Prieš pradėdami vartoti </w:t>
      </w:r>
      <w:proofErr w:type="spellStart"/>
      <w:r>
        <w:rPr>
          <w:b/>
          <w:snapToGrid w:val="0"/>
        </w:rPr>
        <w:t>Dagrafors</w:t>
      </w:r>
      <w:proofErr w:type="spellEnd"/>
      <w:r>
        <w:rPr>
          <w:b/>
          <w:snapToGrid w:val="0"/>
        </w:rPr>
        <w:t>, pasikonsultuokite su gydytoju, vaistininku arba slaugytoju:</w:t>
      </w:r>
    </w:p>
    <w:p w14:paraId="21E5F45A" w14:textId="77777777" w:rsidR="00E96E12" w:rsidRDefault="00E97765">
      <w:pPr>
        <w:widowControl w:val="0"/>
        <w:numPr>
          <w:ilvl w:val="0"/>
          <w:numId w:val="7"/>
        </w:numPr>
        <w:tabs>
          <w:tab w:val="left" w:pos="567"/>
        </w:tabs>
        <w:ind w:left="567"/>
        <w:rPr>
          <w:noProof/>
          <w:szCs w:val="22"/>
        </w:rPr>
      </w:pPr>
      <w:r>
        <w:rPr>
          <w:snapToGrid w:val="0"/>
        </w:rPr>
        <w:t xml:space="preserve">jeigu Jūs sergate 1 tipo diabetu (juo dažniausiai susergama jaunystėje, kai organizmas visai negamina insulino) – šiai ligai gydyti </w:t>
      </w:r>
      <w:proofErr w:type="spellStart"/>
      <w:r>
        <w:rPr>
          <w:snapToGrid w:val="0"/>
        </w:rPr>
        <w:t>Dagrafors</w:t>
      </w:r>
      <w:proofErr w:type="spellEnd"/>
      <w:r>
        <w:rPr>
          <w:snapToGrid w:val="0"/>
        </w:rPr>
        <w:t xml:space="preserve"> vartoti negalima;</w:t>
      </w:r>
    </w:p>
    <w:p w14:paraId="0DDBDB5E" w14:textId="77777777" w:rsidR="00E96E12" w:rsidRDefault="00E97765">
      <w:pPr>
        <w:widowControl w:val="0"/>
        <w:numPr>
          <w:ilvl w:val="0"/>
          <w:numId w:val="7"/>
        </w:numPr>
        <w:tabs>
          <w:tab w:val="left" w:pos="567"/>
        </w:tabs>
        <w:ind w:left="567"/>
        <w:rPr>
          <w:noProof/>
          <w:szCs w:val="22"/>
        </w:rPr>
      </w:pPr>
      <w:r>
        <w:rPr>
          <w:snapToGrid w:val="0"/>
        </w:rPr>
        <w:t>jeigu sergate cukriniu diabetu ir nesveiki Jūsų inkstai – tuomet Jūsų gydytojas gali patarti Jums</w:t>
      </w:r>
      <w:r>
        <w:rPr>
          <w:noProof/>
          <w:szCs w:val="22"/>
        </w:rPr>
        <w:t xml:space="preserve"> </w:t>
      </w:r>
      <w:r>
        <w:rPr>
          <w:snapToGrid w:val="0"/>
        </w:rPr>
        <w:t>vartoti papildomą arba kitą vaistą cukraus kiekiui kraujyje reguliuoti;</w:t>
      </w:r>
    </w:p>
    <w:p w14:paraId="467B613E" w14:textId="77777777" w:rsidR="00E96E12" w:rsidRDefault="00E97765">
      <w:pPr>
        <w:widowControl w:val="0"/>
        <w:numPr>
          <w:ilvl w:val="0"/>
          <w:numId w:val="7"/>
        </w:numPr>
        <w:tabs>
          <w:tab w:val="left" w:pos="567"/>
        </w:tabs>
        <w:ind w:left="567"/>
        <w:rPr>
          <w:noProof/>
          <w:szCs w:val="22"/>
        </w:rPr>
      </w:pPr>
      <w:r>
        <w:rPr>
          <w:noProof/>
          <w:szCs w:val="22"/>
        </w:rPr>
        <w:t>jeigu nesveikos Jūsų kepenys – tuomet Jūsų gydytojas gali skirti mažesnę pradinę šio vaisto dozę;</w:t>
      </w:r>
    </w:p>
    <w:p w14:paraId="064E54EE" w14:textId="77777777" w:rsidR="00E96E12" w:rsidRDefault="00E97765">
      <w:pPr>
        <w:widowControl w:val="0"/>
        <w:numPr>
          <w:ilvl w:val="0"/>
          <w:numId w:val="7"/>
        </w:numPr>
        <w:tabs>
          <w:tab w:val="left" w:pos="567"/>
        </w:tabs>
        <w:ind w:left="567"/>
        <w:rPr>
          <w:noProof/>
          <w:szCs w:val="22"/>
          <w:lang w:val="pt-PT"/>
        </w:rPr>
      </w:pPr>
      <w:r>
        <w:rPr>
          <w:noProof/>
          <w:szCs w:val="22"/>
        </w:rPr>
        <w:t xml:space="preserve">jeigu vartojate kraujospūdį mažinančių (antihipertenzinių) vaistų arba Jūsų kraujospūdis buvo ar </w:t>
      </w:r>
      <w:r>
        <w:rPr>
          <w:noProof/>
          <w:szCs w:val="22"/>
        </w:rPr>
        <w:lastRenderedPageBreak/>
        <w:t xml:space="preserve">yra sumažėjęs (ši būklė vadinama hipotenzija). </w:t>
      </w:r>
      <w:r>
        <w:rPr>
          <w:noProof/>
          <w:szCs w:val="22"/>
          <w:lang w:val="pt-PT"/>
        </w:rPr>
        <w:t>Daugiau informacijos apie tai pateikiama žemiau, skyriuje „Kiti vaistai ir Dagrafors“;</w:t>
      </w:r>
    </w:p>
    <w:p w14:paraId="061CD3EE" w14:textId="77777777" w:rsidR="00E96E12" w:rsidRDefault="00E97765">
      <w:pPr>
        <w:widowControl w:val="0"/>
        <w:numPr>
          <w:ilvl w:val="0"/>
          <w:numId w:val="7"/>
        </w:numPr>
        <w:tabs>
          <w:tab w:val="left" w:pos="567"/>
        </w:tabs>
        <w:ind w:left="567"/>
        <w:rPr>
          <w:noProof/>
          <w:szCs w:val="22"/>
          <w:lang w:val="pt-PT"/>
        </w:rPr>
      </w:pPr>
      <w:r>
        <w:rPr>
          <w:noProof/>
          <w:szCs w:val="22"/>
          <w:lang w:val="pt-PT"/>
        </w:rPr>
        <w:t>jeigu cukraus kiekis Jūsų kraujyje yra labai didelis (dėl jo gali pasireikšti dehidratacija – per didelio skysčio kiekio netekimas). Galimi dehidratacijos požymiai išvardyti 4 skyriuje. Jeigu jaučiate bent vieną iš ten išvardytų sutrikimų, apie tai pasakykite gydytojui, prieš pradėdami vartoti Dagrafors;</w:t>
      </w:r>
    </w:p>
    <w:p w14:paraId="1AFAFE0C" w14:textId="77777777" w:rsidR="00E96E12" w:rsidRDefault="00E97765">
      <w:pPr>
        <w:widowControl w:val="0"/>
        <w:numPr>
          <w:ilvl w:val="0"/>
          <w:numId w:val="7"/>
        </w:numPr>
        <w:tabs>
          <w:tab w:val="left" w:pos="567"/>
        </w:tabs>
        <w:ind w:left="567"/>
        <w:rPr>
          <w:noProof/>
          <w:szCs w:val="22"/>
          <w:lang w:val="pt-PT"/>
        </w:rPr>
      </w:pPr>
      <w:r>
        <w:rPr>
          <w:noProof/>
          <w:szCs w:val="22"/>
          <w:lang w:val="pt-PT"/>
        </w:rPr>
        <w:t>jeigu pykina, vemiate arba pradėjote karščiuoti arba negalite valgyti ar gerti. Šios būklės gali sukelti dehidrataciją (skysčių netekimą). Tokiu atveju gydytojas gali patarti Jums laikinai (kol šie sutrikimai praeis) nutraukti Dagrafors vartojimą, kad organizmas neprarastų per daug skysčio;</w:t>
      </w:r>
    </w:p>
    <w:p w14:paraId="29F0C8C2" w14:textId="77777777" w:rsidR="00E96E12" w:rsidRDefault="00E97765">
      <w:pPr>
        <w:widowControl w:val="0"/>
        <w:numPr>
          <w:ilvl w:val="0"/>
          <w:numId w:val="7"/>
        </w:numPr>
        <w:tabs>
          <w:tab w:val="left" w:pos="567"/>
        </w:tabs>
        <w:ind w:left="567"/>
        <w:rPr>
          <w:noProof/>
          <w:szCs w:val="22"/>
          <w:lang w:val="pt-PT"/>
        </w:rPr>
      </w:pPr>
      <w:r>
        <w:rPr>
          <w:noProof/>
          <w:szCs w:val="22"/>
          <w:lang w:val="pt-PT"/>
        </w:rPr>
        <w:t>jeigu Jums dažnai kartojasi šlapimo takų infekcijos.</w:t>
      </w:r>
    </w:p>
    <w:p w14:paraId="15528F60" w14:textId="77777777" w:rsidR="00E96E12" w:rsidRDefault="00E96E12">
      <w:pPr>
        <w:widowControl w:val="0"/>
        <w:tabs>
          <w:tab w:val="left" w:pos="567"/>
        </w:tabs>
        <w:rPr>
          <w:noProof/>
          <w:szCs w:val="22"/>
          <w:lang w:val="pt-PT"/>
        </w:rPr>
      </w:pPr>
    </w:p>
    <w:p w14:paraId="1B5301A3" w14:textId="77777777" w:rsidR="00E96E12" w:rsidRDefault="00E97765">
      <w:pPr>
        <w:widowControl w:val="0"/>
        <w:tabs>
          <w:tab w:val="left" w:pos="567"/>
        </w:tabs>
        <w:rPr>
          <w:noProof/>
          <w:szCs w:val="22"/>
          <w:lang w:val="pt-PT"/>
        </w:rPr>
      </w:pPr>
      <w:r>
        <w:rPr>
          <w:noProof/>
          <w:szCs w:val="22"/>
          <w:lang w:val="pt-PT"/>
        </w:rPr>
        <w:t>Jeigu turite kurią nors iš aukščiau išvardytų problemų arba dėl to abejojate, tai papildomai pasitarkite su gydytoju, vaistininku arba slaugytoja, prieš pradėdami vartoti Dagrafors.</w:t>
      </w:r>
    </w:p>
    <w:p w14:paraId="5A7280B0" w14:textId="77777777" w:rsidR="00E96E12" w:rsidRDefault="00E96E12">
      <w:pPr>
        <w:widowControl w:val="0"/>
        <w:tabs>
          <w:tab w:val="left" w:pos="567"/>
        </w:tabs>
        <w:rPr>
          <w:b/>
          <w:noProof/>
          <w:szCs w:val="22"/>
          <w:lang w:val="pt-PT"/>
        </w:rPr>
      </w:pPr>
    </w:p>
    <w:p w14:paraId="75BFBBCC" w14:textId="77777777" w:rsidR="00E96E12" w:rsidRDefault="00E97765">
      <w:pPr>
        <w:widowControl w:val="0"/>
        <w:tabs>
          <w:tab w:val="left" w:pos="567"/>
        </w:tabs>
        <w:rPr>
          <w:b/>
          <w:noProof/>
          <w:szCs w:val="22"/>
          <w:lang w:val="pt-PT"/>
        </w:rPr>
      </w:pPr>
      <w:r>
        <w:rPr>
          <w:b/>
          <w:noProof/>
          <w:szCs w:val="22"/>
          <w:lang w:val="pt-PT"/>
        </w:rPr>
        <w:t>Cukrinis diabetas ir pėdų priežiūra</w:t>
      </w:r>
    </w:p>
    <w:p w14:paraId="57947579" w14:textId="77777777" w:rsidR="00E96E12" w:rsidRDefault="00E97765">
      <w:pPr>
        <w:widowControl w:val="0"/>
        <w:tabs>
          <w:tab w:val="left" w:pos="567"/>
        </w:tabs>
        <w:rPr>
          <w:noProof/>
          <w:szCs w:val="22"/>
          <w:lang w:val="pt-PT"/>
        </w:rPr>
      </w:pPr>
      <w:r>
        <w:rPr>
          <w:noProof/>
          <w:szCs w:val="22"/>
          <w:lang w:val="pt-PT"/>
        </w:rPr>
        <w:t>Jeigu Jūs sergate cukriniu diabetu, tai svarbu reguliariai tikrinti pėdas ir laikytis visų kitų sveikatos priežiūros specialistų patarimų dėl jų priežiūros.</w:t>
      </w:r>
    </w:p>
    <w:p w14:paraId="756B803D" w14:textId="77777777" w:rsidR="00E96E12" w:rsidRDefault="00E96E12">
      <w:pPr>
        <w:widowControl w:val="0"/>
        <w:tabs>
          <w:tab w:val="left" w:pos="567"/>
        </w:tabs>
        <w:rPr>
          <w:noProof/>
          <w:szCs w:val="22"/>
          <w:lang w:val="pt-PT"/>
        </w:rPr>
      </w:pPr>
    </w:p>
    <w:p w14:paraId="3823A9D5" w14:textId="77777777" w:rsidR="00E96E12" w:rsidRDefault="00E97765">
      <w:pPr>
        <w:widowControl w:val="0"/>
        <w:tabs>
          <w:tab w:val="left" w:pos="567"/>
        </w:tabs>
        <w:rPr>
          <w:b/>
          <w:noProof/>
          <w:szCs w:val="22"/>
          <w:lang w:val="pt-PT"/>
        </w:rPr>
      </w:pPr>
      <w:r>
        <w:rPr>
          <w:b/>
          <w:noProof/>
          <w:szCs w:val="22"/>
          <w:lang w:val="pt-PT"/>
        </w:rPr>
        <w:t>Gliukozė šlapime</w:t>
      </w:r>
    </w:p>
    <w:p w14:paraId="4B372C04" w14:textId="77777777" w:rsidR="00E96E12" w:rsidRDefault="00E97765">
      <w:pPr>
        <w:widowControl w:val="0"/>
        <w:tabs>
          <w:tab w:val="left" w:pos="567"/>
        </w:tabs>
        <w:rPr>
          <w:noProof/>
          <w:szCs w:val="22"/>
          <w:lang w:val="pt-PT"/>
        </w:rPr>
      </w:pPr>
      <w:r>
        <w:rPr>
          <w:noProof/>
          <w:szCs w:val="22"/>
          <w:lang w:val="pt-PT"/>
        </w:rPr>
        <w:t>Vartojant Dagrafors dėl jos poveikio bus teigiamas cukraus (gliukozės) šlapime mėginys.</w:t>
      </w:r>
    </w:p>
    <w:p w14:paraId="1EA074EA" w14:textId="77777777" w:rsidR="00E96E12" w:rsidRDefault="00E96E12">
      <w:pPr>
        <w:widowControl w:val="0"/>
        <w:tabs>
          <w:tab w:val="left" w:pos="567"/>
        </w:tabs>
        <w:rPr>
          <w:noProof/>
          <w:szCs w:val="22"/>
          <w:lang w:val="pt-PT"/>
        </w:rPr>
      </w:pPr>
    </w:p>
    <w:p w14:paraId="0CB1F839" w14:textId="77777777" w:rsidR="00E96E12" w:rsidRDefault="00E97765">
      <w:pPr>
        <w:widowControl w:val="0"/>
        <w:tabs>
          <w:tab w:val="left" w:pos="567"/>
        </w:tabs>
        <w:rPr>
          <w:b/>
          <w:noProof/>
          <w:szCs w:val="22"/>
          <w:lang w:val="pt-PT"/>
        </w:rPr>
      </w:pPr>
      <w:r>
        <w:rPr>
          <w:b/>
          <w:noProof/>
          <w:szCs w:val="22"/>
          <w:lang w:val="pt-PT"/>
        </w:rPr>
        <w:t>Vaikams ir paaugliams</w:t>
      </w:r>
    </w:p>
    <w:p w14:paraId="228C5390" w14:textId="77777777" w:rsidR="00E96E12" w:rsidRDefault="00E97765">
      <w:pPr>
        <w:widowControl w:val="0"/>
        <w:tabs>
          <w:tab w:val="left" w:pos="567"/>
        </w:tabs>
        <w:rPr>
          <w:noProof/>
          <w:szCs w:val="22"/>
          <w:lang w:val="pt-PT"/>
        </w:rPr>
      </w:pPr>
      <w:r>
        <w:rPr>
          <w:noProof/>
          <w:szCs w:val="22"/>
          <w:lang w:val="pt-PT"/>
        </w:rPr>
        <w:t>Dagrafors galima vartoti 10 metų ir vyresniems vaikams 2 tipo cukriniam diabetui gydyti. Jaunesniems kaip 10 metų vaikams duomenų nėra.</w:t>
      </w:r>
    </w:p>
    <w:p w14:paraId="7C6E7F45" w14:textId="77777777" w:rsidR="00E96E12" w:rsidRDefault="00E96E12">
      <w:pPr>
        <w:widowControl w:val="0"/>
        <w:tabs>
          <w:tab w:val="left" w:pos="567"/>
        </w:tabs>
        <w:rPr>
          <w:noProof/>
          <w:szCs w:val="22"/>
          <w:lang w:val="pt-PT"/>
        </w:rPr>
      </w:pPr>
    </w:p>
    <w:p w14:paraId="3615709B" w14:textId="77777777" w:rsidR="00E96E12" w:rsidRDefault="00E97765">
      <w:pPr>
        <w:widowControl w:val="0"/>
        <w:tabs>
          <w:tab w:val="left" w:pos="567"/>
        </w:tabs>
        <w:rPr>
          <w:noProof/>
          <w:szCs w:val="22"/>
          <w:lang w:val="pt-PT"/>
        </w:rPr>
      </w:pPr>
      <w:r>
        <w:rPr>
          <w:noProof/>
          <w:szCs w:val="22"/>
          <w:lang w:val="pt-PT"/>
        </w:rPr>
        <w:t>Vaikų ir paauglių iki 18 metų širdies nepakankamumui ar lėtinei inkstų ligai gydyti Dagrafors vartoti nerekomenduojama, kadangi jos poveikis šiems pacientams netirtas.</w:t>
      </w:r>
    </w:p>
    <w:p w14:paraId="6F8DAB92" w14:textId="77777777" w:rsidR="00E96E12" w:rsidRDefault="00E96E12">
      <w:pPr>
        <w:numPr>
          <w:ilvl w:val="12"/>
          <w:numId w:val="0"/>
        </w:numPr>
        <w:rPr>
          <w:noProof/>
          <w:szCs w:val="22"/>
          <w:lang w:val="pt-PT"/>
        </w:rPr>
      </w:pPr>
    </w:p>
    <w:p w14:paraId="28FBE1E6" w14:textId="77777777" w:rsidR="00E96E12" w:rsidRDefault="00E97765">
      <w:pPr>
        <w:numPr>
          <w:ilvl w:val="12"/>
          <w:numId w:val="0"/>
        </w:numPr>
        <w:rPr>
          <w:b/>
          <w:noProof/>
          <w:szCs w:val="22"/>
          <w:lang w:val="pt-PT"/>
        </w:rPr>
      </w:pPr>
      <w:r>
        <w:rPr>
          <w:b/>
          <w:noProof/>
          <w:szCs w:val="22"/>
          <w:lang w:val="pt-PT"/>
        </w:rPr>
        <w:t>Kiti vaistai ir Dagrafors</w:t>
      </w:r>
    </w:p>
    <w:p w14:paraId="6215F0B8" w14:textId="77777777" w:rsidR="00E96E12" w:rsidRDefault="00E97765">
      <w:pPr>
        <w:numPr>
          <w:ilvl w:val="12"/>
          <w:numId w:val="0"/>
        </w:numPr>
        <w:rPr>
          <w:noProof/>
          <w:szCs w:val="22"/>
          <w:lang w:val="pt-PT"/>
        </w:rPr>
      </w:pPr>
      <w:r>
        <w:rPr>
          <w:noProof/>
          <w:szCs w:val="22"/>
          <w:lang w:val="pt-PT"/>
        </w:rPr>
        <w:t>Jeigu vartojate ar neseniai vartojote kitų vaistų arba dėl to nesate tikri, apie tai pasakykite gydytojui, vaistininkui arba slaugytojai.</w:t>
      </w:r>
    </w:p>
    <w:p w14:paraId="7EC0BD93" w14:textId="77777777" w:rsidR="00E96E12" w:rsidRDefault="00E97765">
      <w:pPr>
        <w:numPr>
          <w:ilvl w:val="12"/>
          <w:numId w:val="0"/>
        </w:numPr>
        <w:rPr>
          <w:noProof/>
          <w:szCs w:val="22"/>
          <w:lang w:val="en-US"/>
        </w:rPr>
      </w:pPr>
      <w:r>
        <w:rPr>
          <w:noProof/>
          <w:szCs w:val="22"/>
          <w:lang w:val="en-US"/>
        </w:rPr>
        <w:t>Gydytojui pasakyti ypač svarbu:</w:t>
      </w:r>
    </w:p>
    <w:p w14:paraId="43359E79" w14:textId="77777777" w:rsidR="00E96E12" w:rsidRDefault="00E97765">
      <w:pPr>
        <w:widowControl w:val="0"/>
        <w:numPr>
          <w:ilvl w:val="0"/>
          <w:numId w:val="7"/>
        </w:numPr>
        <w:ind w:left="567" w:right="-2"/>
        <w:outlineLvl w:val="0"/>
        <w:rPr>
          <w:noProof/>
          <w:szCs w:val="22"/>
          <w:lang w:val="en-US"/>
        </w:rPr>
      </w:pPr>
      <w:r>
        <w:rPr>
          <w:noProof/>
          <w:szCs w:val="22"/>
          <w:lang w:val="en-US"/>
        </w:rPr>
        <w:t>Jeigu Jūs vartojate vaistų, skatinančių vandens pasišalinimą iš organizmo (diuretikų).</w:t>
      </w:r>
    </w:p>
    <w:p w14:paraId="7B0D5B59" w14:textId="77777777" w:rsidR="00E96E12" w:rsidRDefault="00E97765">
      <w:pPr>
        <w:widowControl w:val="0"/>
        <w:numPr>
          <w:ilvl w:val="0"/>
          <w:numId w:val="7"/>
        </w:numPr>
        <w:ind w:left="567" w:right="-2"/>
        <w:outlineLvl w:val="0"/>
        <w:rPr>
          <w:noProof/>
          <w:szCs w:val="22"/>
          <w:lang w:val="en-US"/>
        </w:rPr>
      </w:pPr>
      <w:r>
        <w:rPr>
          <w:noProof/>
          <w:szCs w:val="22"/>
          <w:lang w:val="en-US"/>
        </w:rPr>
        <w:t>Jeigu Jūs vartojate kitų cukraus kiekį kraujyje mažinančių vaistų, pvz., insulino arba sulfonilkarbamidų grupės. Gydytojas gali patarti sumažinti šių vaistų dozes, kad per daug nesumažėtų cukraus kiekis Jūsų kraujyje (t.y. kad išvengtumėte hipoglikemijos).</w:t>
      </w:r>
    </w:p>
    <w:p w14:paraId="4A766BE7" w14:textId="77777777" w:rsidR="00E96E12" w:rsidRDefault="00E97765">
      <w:pPr>
        <w:widowControl w:val="0"/>
        <w:numPr>
          <w:ilvl w:val="0"/>
          <w:numId w:val="7"/>
        </w:numPr>
        <w:ind w:left="567" w:right="-2"/>
        <w:outlineLvl w:val="0"/>
        <w:rPr>
          <w:noProof/>
          <w:szCs w:val="22"/>
          <w:lang w:val="en-US"/>
        </w:rPr>
      </w:pPr>
      <w:r>
        <w:rPr>
          <w:noProof/>
          <w:szCs w:val="22"/>
          <w:lang w:val="en-US"/>
        </w:rPr>
        <w:t>Jeigu Jūs vartojate vaistą, kurio sudėtyje yra ličio (Dagrafors gali sukelti ličio kiekio kraujyje sumažėjimą).</w:t>
      </w:r>
    </w:p>
    <w:p w14:paraId="3C165F73" w14:textId="77777777" w:rsidR="00E96E12" w:rsidRDefault="00E96E12">
      <w:pPr>
        <w:widowControl w:val="0"/>
        <w:ind w:right="-2"/>
        <w:outlineLvl w:val="0"/>
        <w:rPr>
          <w:noProof/>
          <w:szCs w:val="22"/>
          <w:lang w:val="en-US"/>
        </w:rPr>
      </w:pPr>
    </w:p>
    <w:p w14:paraId="41589326" w14:textId="77777777" w:rsidR="00E96E12" w:rsidRDefault="00E97765">
      <w:pPr>
        <w:numPr>
          <w:ilvl w:val="12"/>
          <w:numId w:val="0"/>
        </w:numPr>
        <w:ind w:right="-2"/>
        <w:rPr>
          <w:b/>
          <w:bCs/>
          <w:snapToGrid w:val="0"/>
          <w:szCs w:val="28"/>
          <w:lang w:eastAsia="x-none"/>
        </w:rPr>
      </w:pPr>
      <w:r>
        <w:rPr>
          <w:b/>
          <w:bCs/>
          <w:snapToGrid w:val="0"/>
          <w:szCs w:val="28"/>
          <w:lang w:eastAsia="x-none"/>
        </w:rPr>
        <w:t>Nėštumas ir žindymo laikotarpis</w:t>
      </w:r>
    </w:p>
    <w:p w14:paraId="7E11E082" w14:textId="77777777" w:rsidR="00E96E12" w:rsidRDefault="00E97765">
      <w:pPr>
        <w:numPr>
          <w:ilvl w:val="12"/>
          <w:numId w:val="0"/>
        </w:numPr>
        <w:ind w:right="-2"/>
        <w:rPr>
          <w:bCs/>
          <w:snapToGrid w:val="0"/>
          <w:szCs w:val="28"/>
          <w:lang w:eastAsia="x-none"/>
        </w:rPr>
      </w:pPr>
      <w:r>
        <w:rPr>
          <w:bCs/>
          <w:snapToGrid w:val="0"/>
          <w:szCs w:val="28"/>
          <w:lang w:eastAsia="x-none"/>
        </w:rPr>
        <w:t>Jeigu esate nėščia, žindote kūdikį, manote, kad galbūt esate nėščia arba planuojate pastoti, tai prieš vartodama šį vaistą pasitarkite su gydytoju arba vaistininku.</w:t>
      </w:r>
    </w:p>
    <w:p w14:paraId="0EDED4EA" w14:textId="77777777" w:rsidR="00E96E12" w:rsidRDefault="00E97765">
      <w:pPr>
        <w:numPr>
          <w:ilvl w:val="12"/>
          <w:numId w:val="0"/>
        </w:numPr>
        <w:ind w:right="-2"/>
        <w:rPr>
          <w:bCs/>
          <w:snapToGrid w:val="0"/>
          <w:szCs w:val="28"/>
          <w:lang w:eastAsia="x-none"/>
        </w:rPr>
      </w:pPr>
      <w:r>
        <w:rPr>
          <w:bCs/>
          <w:snapToGrid w:val="0"/>
          <w:szCs w:val="28"/>
          <w:lang w:eastAsia="x-none"/>
        </w:rPr>
        <w:t>Pastojus reikia nutraukti šio vaisto vartojimą, kadangi antrą ir trečią nėštumo trimestrus jis nerekomenduojamas. Kaip geriausia reguliuoti cukraus kiekį kraujyje nėštumo laikotarpiu, klauskite gydytojo.</w:t>
      </w:r>
    </w:p>
    <w:p w14:paraId="159AC7E3" w14:textId="77777777" w:rsidR="00E96E12" w:rsidRDefault="00E96E12">
      <w:pPr>
        <w:numPr>
          <w:ilvl w:val="12"/>
          <w:numId w:val="0"/>
        </w:numPr>
        <w:ind w:right="-2"/>
        <w:rPr>
          <w:bCs/>
          <w:snapToGrid w:val="0"/>
          <w:szCs w:val="28"/>
          <w:lang w:eastAsia="x-none"/>
        </w:rPr>
      </w:pPr>
    </w:p>
    <w:p w14:paraId="6DF30FC0" w14:textId="77777777" w:rsidR="00E96E12" w:rsidRDefault="00E97765">
      <w:pPr>
        <w:numPr>
          <w:ilvl w:val="12"/>
          <w:numId w:val="0"/>
        </w:numPr>
        <w:ind w:right="-2"/>
        <w:rPr>
          <w:bCs/>
          <w:snapToGrid w:val="0"/>
          <w:szCs w:val="28"/>
          <w:lang w:eastAsia="x-none"/>
        </w:rPr>
      </w:pPr>
      <w:r>
        <w:rPr>
          <w:bCs/>
          <w:snapToGrid w:val="0"/>
          <w:szCs w:val="28"/>
          <w:lang w:eastAsia="x-none"/>
        </w:rPr>
        <w:t xml:space="preserve">Jeigu žindote arba norite žindyti kūdikį, tai prieš vartodama šį vaistą pasitarkite su gydytoju. Žindymo laikotarpiu </w:t>
      </w:r>
      <w:proofErr w:type="spellStart"/>
      <w:r>
        <w:rPr>
          <w:bCs/>
          <w:snapToGrid w:val="0"/>
          <w:szCs w:val="28"/>
          <w:lang w:eastAsia="x-none"/>
        </w:rPr>
        <w:t>Dagrafors</w:t>
      </w:r>
      <w:proofErr w:type="spellEnd"/>
      <w:r>
        <w:rPr>
          <w:bCs/>
          <w:snapToGrid w:val="0"/>
          <w:szCs w:val="28"/>
          <w:lang w:eastAsia="x-none"/>
        </w:rPr>
        <w:t xml:space="preserve"> vartoti negalima. Ar šio vaisto patenka į moters pieną, nežinoma.</w:t>
      </w:r>
    </w:p>
    <w:p w14:paraId="20B0331C" w14:textId="77777777" w:rsidR="00E96E12" w:rsidRDefault="00E96E12">
      <w:pPr>
        <w:numPr>
          <w:ilvl w:val="12"/>
          <w:numId w:val="0"/>
        </w:numPr>
        <w:ind w:right="-2"/>
        <w:rPr>
          <w:bCs/>
          <w:snapToGrid w:val="0"/>
          <w:szCs w:val="28"/>
          <w:lang w:eastAsia="x-none"/>
        </w:rPr>
      </w:pPr>
    </w:p>
    <w:p w14:paraId="22A5847A" w14:textId="77777777" w:rsidR="00E96E12" w:rsidRDefault="00E97765">
      <w:pPr>
        <w:numPr>
          <w:ilvl w:val="12"/>
          <w:numId w:val="0"/>
        </w:numPr>
        <w:ind w:right="-2"/>
        <w:rPr>
          <w:b/>
          <w:bCs/>
          <w:snapToGrid w:val="0"/>
          <w:szCs w:val="28"/>
          <w:lang w:eastAsia="x-none"/>
        </w:rPr>
      </w:pPr>
      <w:r>
        <w:rPr>
          <w:b/>
          <w:bCs/>
          <w:snapToGrid w:val="0"/>
          <w:szCs w:val="28"/>
          <w:lang w:eastAsia="x-none"/>
        </w:rPr>
        <w:t>Vairavimas ir mechanizmų valdymas</w:t>
      </w:r>
    </w:p>
    <w:p w14:paraId="42D804DA" w14:textId="77777777" w:rsidR="00E96E12" w:rsidRDefault="00E97765">
      <w:pPr>
        <w:numPr>
          <w:ilvl w:val="12"/>
          <w:numId w:val="0"/>
        </w:numPr>
        <w:ind w:right="-2"/>
        <w:rPr>
          <w:bCs/>
          <w:snapToGrid w:val="0"/>
          <w:szCs w:val="28"/>
          <w:lang w:eastAsia="x-none"/>
        </w:rPr>
      </w:pPr>
      <w:proofErr w:type="spellStart"/>
      <w:r>
        <w:rPr>
          <w:bCs/>
          <w:snapToGrid w:val="0"/>
          <w:szCs w:val="28"/>
          <w:lang w:eastAsia="x-none"/>
        </w:rPr>
        <w:t>Dagrafors</w:t>
      </w:r>
      <w:proofErr w:type="spellEnd"/>
      <w:r>
        <w:rPr>
          <w:bCs/>
          <w:snapToGrid w:val="0"/>
          <w:szCs w:val="28"/>
          <w:lang w:eastAsia="x-none"/>
        </w:rPr>
        <w:t xml:space="preserve"> gebėjimo vairuoti ir valdyti mechanizmus neveikia arba veikia nereikšmingai.</w:t>
      </w:r>
    </w:p>
    <w:p w14:paraId="743EF270" w14:textId="77777777" w:rsidR="00E96E12" w:rsidRDefault="00E96E12">
      <w:pPr>
        <w:numPr>
          <w:ilvl w:val="12"/>
          <w:numId w:val="0"/>
        </w:numPr>
        <w:ind w:right="-2"/>
        <w:rPr>
          <w:bCs/>
          <w:snapToGrid w:val="0"/>
          <w:szCs w:val="28"/>
          <w:lang w:eastAsia="x-none"/>
        </w:rPr>
      </w:pPr>
    </w:p>
    <w:p w14:paraId="2DE7AB53" w14:textId="77777777" w:rsidR="00E96E12" w:rsidRDefault="00E97765">
      <w:pPr>
        <w:numPr>
          <w:ilvl w:val="12"/>
          <w:numId w:val="0"/>
        </w:numPr>
        <w:ind w:right="-2"/>
        <w:rPr>
          <w:bCs/>
          <w:snapToGrid w:val="0"/>
          <w:szCs w:val="28"/>
          <w:lang w:eastAsia="x-none"/>
        </w:rPr>
      </w:pPr>
      <w:r>
        <w:rPr>
          <w:bCs/>
          <w:snapToGrid w:val="0"/>
          <w:szCs w:val="28"/>
          <w:lang w:eastAsia="x-none"/>
        </w:rPr>
        <w:t>Vartojant šį vaistą kartu su kitais (</w:t>
      </w:r>
      <w:proofErr w:type="spellStart"/>
      <w:r>
        <w:rPr>
          <w:bCs/>
          <w:snapToGrid w:val="0"/>
          <w:szCs w:val="28"/>
          <w:lang w:eastAsia="x-none"/>
        </w:rPr>
        <w:t>sulfonilkarbamidu</w:t>
      </w:r>
      <w:proofErr w:type="spellEnd"/>
      <w:r>
        <w:rPr>
          <w:bCs/>
          <w:snapToGrid w:val="0"/>
          <w:szCs w:val="28"/>
          <w:lang w:eastAsia="x-none"/>
        </w:rPr>
        <w:t xml:space="preserve"> arba insulinu), gali per daug sumažėti cukraus kiekis kraujyje (pasireikšti hipoglikemija) ir atsirasti tokių simptomų (drebulys, prakaitavimas, regos sutrikimų), dėl kurių gali sutrikti Jūsų gebėjimas vairuoti ir valdyti mechanizmus.</w:t>
      </w:r>
    </w:p>
    <w:p w14:paraId="2BA453B7" w14:textId="77777777" w:rsidR="00E96E12" w:rsidRDefault="00E96E12">
      <w:pPr>
        <w:numPr>
          <w:ilvl w:val="12"/>
          <w:numId w:val="0"/>
        </w:numPr>
        <w:ind w:right="-2"/>
        <w:rPr>
          <w:snapToGrid w:val="0"/>
        </w:rPr>
      </w:pPr>
    </w:p>
    <w:p w14:paraId="5A2C4EAC" w14:textId="77777777" w:rsidR="00E96E12" w:rsidRDefault="00E97765">
      <w:pPr>
        <w:numPr>
          <w:ilvl w:val="12"/>
          <w:numId w:val="0"/>
        </w:numPr>
        <w:ind w:right="-2"/>
        <w:rPr>
          <w:snapToGrid w:val="0"/>
        </w:rPr>
      </w:pPr>
      <w:r>
        <w:rPr>
          <w:snapToGrid w:val="0"/>
        </w:rPr>
        <w:lastRenderedPageBreak/>
        <w:t xml:space="preserve">Jeigu vartojant </w:t>
      </w:r>
      <w:proofErr w:type="spellStart"/>
      <w:r>
        <w:rPr>
          <w:snapToGrid w:val="0"/>
        </w:rPr>
        <w:t>Dagrafors</w:t>
      </w:r>
      <w:proofErr w:type="spellEnd"/>
      <w:r>
        <w:rPr>
          <w:snapToGrid w:val="0"/>
        </w:rPr>
        <w:t xml:space="preserve"> Jums svaigsta galva, tai nevairuokite ir nedirbkite su jokiais įrankiais ar mechanizmais.</w:t>
      </w:r>
    </w:p>
    <w:p w14:paraId="70D3095A" w14:textId="77777777" w:rsidR="00E96E12" w:rsidRDefault="00E96E12">
      <w:pPr>
        <w:numPr>
          <w:ilvl w:val="12"/>
          <w:numId w:val="0"/>
        </w:numPr>
        <w:ind w:right="-2"/>
        <w:rPr>
          <w:snapToGrid w:val="0"/>
        </w:rPr>
      </w:pPr>
    </w:p>
    <w:p w14:paraId="6B1ABEF9" w14:textId="77777777" w:rsidR="00E96E12" w:rsidRDefault="00E97765">
      <w:pPr>
        <w:numPr>
          <w:ilvl w:val="12"/>
          <w:numId w:val="0"/>
        </w:numPr>
        <w:ind w:right="-2"/>
        <w:rPr>
          <w:b/>
          <w:snapToGrid w:val="0"/>
        </w:rPr>
      </w:pPr>
      <w:proofErr w:type="spellStart"/>
      <w:r>
        <w:rPr>
          <w:b/>
          <w:snapToGrid w:val="0"/>
        </w:rPr>
        <w:t>Dagrafors</w:t>
      </w:r>
      <w:proofErr w:type="spellEnd"/>
      <w:r>
        <w:rPr>
          <w:b/>
          <w:snapToGrid w:val="0"/>
        </w:rPr>
        <w:t xml:space="preserve"> sudėtyje yra laktozės ir natrio</w:t>
      </w:r>
    </w:p>
    <w:p w14:paraId="7C1D4B44" w14:textId="77777777" w:rsidR="00E96E12" w:rsidRDefault="00E97765">
      <w:pPr>
        <w:numPr>
          <w:ilvl w:val="12"/>
          <w:numId w:val="0"/>
        </w:numPr>
        <w:ind w:right="-2"/>
        <w:rPr>
          <w:snapToGrid w:val="0"/>
        </w:rPr>
      </w:pPr>
      <w:r>
        <w:rPr>
          <w:snapToGrid w:val="0"/>
        </w:rPr>
        <w:t>Jeigu gydytojas Jums yra sakęs, kad netoleruojate kokių nors angliavandenių, kreipkitės į jį prieš pradėdami vartoti šį vaistą.</w:t>
      </w:r>
    </w:p>
    <w:p w14:paraId="0ADD76CD" w14:textId="77777777" w:rsidR="00E96E12" w:rsidRDefault="00E97765">
      <w:pPr>
        <w:numPr>
          <w:ilvl w:val="12"/>
          <w:numId w:val="0"/>
        </w:numPr>
        <w:ind w:right="-2"/>
        <w:rPr>
          <w:snapToGrid w:val="0"/>
        </w:rPr>
      </w:pPr>
      <w:r>
        <w:rPr>
          <w:snapToGrid w:val="0"/>
        </w:rPr>
        <w:t>Šio vaisto tabletėje yra mažiau kaip 1 </w:t>
      </w:r>
      <w:proofErr w:type="spellStart"/>
      <w:r>
        <w:rPr>
          <w:snapToGrid w:val="0"/>
        </w:rPr>
        <w:t>mmol</w:t>
      </w:r>
      <w:proofErr w:type="spellEnd"/>
      <w:r>
        <w:rPr>
          <w:snapToGrid w:val="0"/>
        </w:rPr>
        <w:t xml:space="preserve"> (23 mg) natrio, t. y. jis beveik neturi reikšmės.</w:t>
      </w:r>
    </w:p>
    <w:p w14:paraId="6D235D21" w14:textId="77777777" w:rsidR="00E96E12" w:rsidRDefault="00E96E12">
      <w:pPr>
        <w:numPr>
          <w:ilvl w:val="12"/>
          <w:numId w:val="0"/>
        </w:numPr>
        <w:ind w:right="-2"/>
        <w:rPr>
          <w:snapToGrid w:val="0"/>
        </w:rPr>
      </w:pPr>
    </w:p>
    <w:p w14:paraId="00B89FD9" w14:textId="77777777" w:rsidR="00E96E12" w:rsidRDefault="00E97765">
      <w:pPr>
        <w:keepNext/>
        <w:keepLines/>
        <w:tabs>
          <w:tab w:val="left" w:pos="567"/>
        </w:tabs>
        <w:outlineLvl w:val="2"/>
        <w:rPr>
          <w:b/>
          <w:bCs/>
          <w:snapToGrid w:val="0"/>
          <w:szCs w:val="26"/>
          <w:lang w:eastAsia="x-none"/>
        </w:rPr>
      </w:pPr>
      <w:r>
        <w:rPr>
          <w:b/>
          <w:bCs/>
          <w:snapToGrid w:val="0"/>
          <w:szCs w:val="26"/>
          <w:lang w:eastAsia="x-none"/>
        </w:rPr>
        <w:t>3.</w:t>
      </w:r>
      <w:r>
        <w:rPr>
          <w:b/>
          <w:bCs/>
          <w:snapToGrid w:val="0"/>
          <w:szCs w:val="26"/>
          <w:lang w:eastAsia="x-none"/>
        </w:rPr>
        <w:tab/>
        <w:t xml:space="preserve">Kaip vartoti </w:t>
      </w:r>
      <w:proofErr w:type="spellStart"/>
      <w:r>
        <w:rPr>
          <w:b/>
          <w:bCs/>
          <w:snapToGrid w:val="0"/>
          <w:szCs w:val="26"/>
          <w:lang w:eastAsia="x-none"/>
        </w:rPr>
        <w:t>Dagrafors</w:t>
      </w:r>
      <w:proofErr w:type="spellEnd"/>
    </w:p>
    <w:p w14:paraId="45D8E7D4" w14:textId="77777777" w:rsidR="00E96E12" w:rsidRDefault="00E96E12">
      <w:pPr>
        <w:numPr>
          <w:ilvl w:val="12"/>
          <w:numId w:val="0"/>
        </w:numPr>
        <w:ind w:right="-2"/>
        <w:rPr>
          <w:snapToGrid w:val="0"/>
        </w:rPr>
      </w:pPr>
    </w:p>
    <w:p w14:paraId="2D427900" w14:textId="77777777" w:rsidR="00E96E12" w:rsidRDefault="00E97765">
      <w:pPr>
        <w:ind w:right="-2"/>
        <w:rPr>
          <w:snapToGrid w:val="0"/>
          <w:szCs w:val="20"/>
        </w:rPr>
      </w:pPr>
      <w:r>
        <w:rPr>
          <w:noProof/>
          <w:snapToGrid w:val="0"/>
          <w:szCs w:val="20"/>
        </w:rPr>
        <w:t>Visada vartokite šį vaistą tiksliai, kaip nurodė gydytojas</w:t>
      </w:r>
      <w:r>
        <w:rPr>
          <w:snapToGrid w:val="0"/>
          <w:szCs w:val="20"/>
        </w:rPr>
        <w:t xml:space="preserve"> </w:t>
      </w:r>
      <w:r>
        <w:rPr>
          <w:noProof/>
          <w:snapToGrid w:val="0"/>
          <w:szCs w:val="20"/>
        </w:rPr>
        <w:t>Jeigu abejojate, kreipkitės į gydytoją arba vaistininką.</w:t>
      </w:r>
    </w:p>
    <w:p w14:paraId="6A28B0CA" w14:textId="77777777" w:rsidR="00E96E12" w:rsidRDefault="00E96E12">
      <w:pPr>
        <w:numPr>
          <w:ilvl w:val="12"/>
          <w:numId w:val="0"/>
        </w:numPr>
        <w:ind w:right="-2"/>
        <w:rPr>
          <w:snapToGrid w:val="0"/>
        </w:rPr>
      </w:pPr>
    </w:p>
    <w:p w14:paraId="361333A3" w14:textId="77777777" w:rsidR="00E96E12" w:rsidRDefault="00E97765">
      <w:pPr>
        <w:numPr>
          <w:ilvl w:val="12"/>
          <w:numId w:val="0"/>
        </w:numPr>
        <w:ind w:right="-2"/>
        <w:rPr>
          <w:b/>
          <w:noProof/>
          <w:snapToGrid w:val="0"/>
        </w:rPr>
      </w:pPr>
      <w:r>
        <w:rPr>
          <w:b/>
          <w:noProof/>
          <w:snapToGrid w:val="0"/>
        </w:rPr>
        <w:t>Kiek šio vaisto vartoti</w:t>
      </w:r>
    </w:p>
    <w:p w14:paraId="19B0D087" w14:textId="77777777" w:rsidR="00E96E12" w:rsidRDefault="00E97765">
      <w:pPr>
        <w:widowControl w:val="0"/>
        <w:numPr>
          <w:ilvl w:val="0"/>
          <w:numId w:val="7"/>
        </w:numPr>
        <w:ind w:left="567"/>
        <w:rPr>
          <w:noProof/>
          <w:szCs w:val="22"/>
          <w:lang w:eastAsia="sl-SI"/>
        </w:rPr>
      </w:pPr>
      <w:r>
        <w:rPr>
          <w:noProof/>
          <w:snapToGrid w:val="0"/>
        </w:rPr>
        <w:t>Rekomenduojama dozė yra viena 10 mg tabletė 1 kartą per parą.</w:t>
      </w:r>
    </w:p>
    <w:p w14:paraId="2F3C9C7E" w14:textId="77777777" w:rsidR="00E96E12" w:rsidRDefault="00E97765">
      <w:pPr>
        <w:widowControl w:val="0"/>
        <w:numPr>
          <w:ilvl w:val="0"/>
          <w:numId w:val="7"/>
        </w:numPr>
        <w:ind w:left="567"/>
        <w:rPr>
          <w:noProof/>
          <w:szCs w:val="22"/>
          <w:lang w:eastAsia="sl-SI"/>
        </w:rPr>
      </w:pPr>
      <w:r>
        <w:rPr>
          <w:noProof/>
          <w:snapToGrid w:val="0"/>
        </w:rPr>
        <w:t>Jeigu nesveikos Jūsų kepenys, gydytojas gali nurodyti pradėti gydymą nuo 5 mg dozės.</w:t>
      </w:r>
    </w:p>
    <w:p w14:paraId="434C5242" w14:textId="77777777" w:rsidR="00E96E12" w:rsidRDefault="00E97765">
      <w:pPr>
        <w:widowControl w:val="0"/>
        <w:numPr>
          <w:ilvl w:val="0"/>
          <w:numId w:val="7"/>
        </w:numPr>
        <w:ind w:left="567"/>
        <w:rPr>
          <w:noProof/>
          <w:szCs w:val="22"/>
          <w:lang w:val="en-US" w:eastAsia="sl-SI"/>
        </w:rPr>
      </w:pPr>
      <w:r>
        <w:rPr>
          <w:noProof/>
          <w:snapToGrid w:val="0"/>
        </w:rPr>
        <w:t>Reikiamo stiprumo tabletes Jums paskirs gydytojas.</w:t>
      </w:r>
    </w:p>
    <w:p w14:paraId="61FC8890" w14:textId="77777777" w:rsidR="00E96E12" w:rsidRDefault="00E96E12">
      <w:pPr>
        <w:widowControl w:val="0"/>
        <w:rPr>
          <w:noProof/>
          <w:szCs w:val="22"/>
          <w:lang w:val="en-US" w:eastAsia="sl-SI"/>
        </w:rPr>
      </w:pPr>
    </w:p>
    <w:p w14:paraId="300FED4E" w14:textId="77777777" w:rsidR="00E96E12" w:rsidRDefault="00E97765">
      <w:pPr>
        <w:widowControl w:val="0"/>
        <w:rPr>
          <w:b/>
          <w:noProof/>
          <w:szCs w:val="22"/>
          <w:lang w:val="en-US" w:eastAsia="sl-SI"/>
        </w:rPr>
      </w:pPr>
      <w:r>
        <w:rPr>
          <w:b/>
          <w:noProof/>
          <w:szCs w:val="22"/>
          <w:lang w:val="en-US" w:eastAsia="sl-SI"/>
        </w:rPr>
        <w:t>Šio vaisto vartojimas</w:t>
      </w:r>
    </w:p>
    <w:p w14:paraId="6E0F9FE0" w14:textId="77777777" w:rsidR="00E96E12" w:rsidRDefault="00E97765">
      <w:pPr>
        <w:widowControl w:val="0"/>
        <w:numPr>
          <w:ilvl w:val="0"/>
          <w:numId w:val="7"/>
        </w:numPr>
        <w:ind w:left="567"/>
        <w:rPr>
          <w:noProof/>
          <w:szCs w:val="22"/>
          <w:lang w:val="en-US" w:eastAsia="sl-SI"/>
        </w:rPr>
      </w:pPr>
      <w:r>
        <w:rPr>
          <w:noProof/>
          <w:szCs w:val="22"/>
          <w:lang w:val="en-US" w:eastAsia="sl-SI"/>
        </w:rPr>
        <w:t>Tabletę reikia nuryti nepažeistą, užgeriant puse stiklinės vandens. 10 mg tabletę galima padalyti į lygias dozes arba kad būtų lengviau nuryti.</w:t>
      </w:r>
    </w:p>
    <w:p w14:paraId="68754CB5" w14:textId="77777777" w:rsidR="00E96E12" w:rsidRDefault="00E97765">
      <w:pPr>
        <w:widowControl w:val="0"/>
        <w:numPr>
          <w:ilvl w:val="0"/>
          <w:numId w:val="7"/>
        </w:numPr>
        <w:ind w:left="567"/>
        <w:rPr>
          <w:noProof/>
          <w:szCs w:val="22"/>
          <w:lang w:val="pt-PT" w:eastAsia="sl-SI"/>
        </w:rPr>
      </w:pPr>
      <w:r>
        <w:rPr>
          <w:noProof/>
          <w:szCs w:val="22"/>
          <w:lang w:val="pt-PT" w:eastAsia="sl-SI"/>
        </w:rPr>
        <w:t>Šias tabletes galima gerti valgant arba kitu laiku.</w:t>
      </w:r>
    </w:p>
    <w:p w14:paraId="770CB12A" w14:textId="77777777" w:rsidR="00E96E12" w:rsidRDefault="00E97765">
      <w:pPr>
        <w:widowControl w:val="0"/>
        <w:numPr>
          <w:ilvl w:val="0"/>
          <w:numId w:val="7"/>
        </w:numPr>
        <w:ind w:left="567"/>
        <w:rPr>
          <w:noProof/>
          <w:szCs w:val="22"/>
          <w:lang w:val="pt-PT" w:eastAsia="sl-SI"/>
        </w:rPr>
      </w:pPr>
      <w:r>
        <w:rPr>
          <w:noProof/>
          <w:szCs w:val="22"/>
          <w:lang w:val="pt-PT" w:eastAsia="sl-SI"/>
        </w:rPr>
        <w:t>Šias tabletes galima gerti bet kuriuo paros metu, tačiau stenkitės tą daryti kasdien tuo pačiu laiku – tai padės prisiminti.</w:t>
      </w:r>
    </w:p>
    <w:p w14:paraId="3CF58A4D" w14:textId="77777777" w:rsidR="00E96E12" w:rsidRDefault="00E96E12">
      <w:pPr>
        <w:widowControl w:val="0"/>
        <w:rPr>
          <w:noProof/>
          <w:szCs w:val="22"/>
          <w:lang w:val="pt-PT" w:eastAsia="sl-SI"/>
        </w:rPr>
      </w:pPr>
    </w:p>
    <w:p w14:paraId="32C77122" w14:textId="77777777" w:rsidR="00E96E12" w:rsidRDefault="00E97765">
      <w:pPr>
        <w:widowControl w:val="0"/>
        <w:rPr>
          <w:noProof/>
          <w:szCs w:val="22"/>
          <w:lang w:val="pt-PT" w:eastAsia="sl-SI"/>
        </w:rPr>
      </w:pPr>
      <w:r>
        <w:rPr>
          <w:noProof/>
          <w:szCs w:val="22"/>
          <w:lang w:val="pt-PT" w:eastAsia="sl-SI"/>
        </w:rPr>
        <w:t>Jūsų gydytojas gali nurodyti vartoti Dagrafors kartu su vienu ar keliais kitais vaistais. Prisiminkite, kad ir kitus vaistus būtina vartoti kaip nurodė gydytojas. Tai padės užtikrinti geriausią poveikį Jūsų sveikatai.</w:t>
      </w:r>
    </w:p>
    <w:p w14:paraId="284BF1EE" w14:textId="77777777" w:rsidR="00E96E12" w:rsidRDefault="00E96E12">
      <w:pPr>
        <w:widowControl w:val="0"/>
        <w:rPr>
          <w:noProof/>
          <w:szCs w:val="22"/>
          <w:lang w:val="pt-PT" w:eastAsia="sl-SI"/>
        </w:rPr>
      </w:pPr>
    </w:p>
    <w:p w14:paraId="048D035E" w14:textId="77777777" w:rsidR="00E96E12" w:rsidRDefault="00E97765">
      <w:pPr>
        <w:widowControl w:val="0"/>
        <w:rPr>
          <w:noProof/>
          <w:szCs w:val="22"/>
          <w:lang w:val="pt-PT" w:eastAsia="sl-SI"/>
        </w:rPr>
      </w:pPr>
      <w:r>
        <w:rPr>
          <w:noProof/>
          <w:szCs w:val="22"/>
          <w:lang w:val="pt-PT" w:eastAsia="sl-SI"/>
        </w:rPr>
        <w:t>Dieta ir fizinis krūvis gali padėti organizmui geriau panaudoti kraujyje esantį cukrų. Jeigu Jūs sergate cukriniu diabetu, tai vartojant Dagrafors, svarbu toliau laikytis gydytojo rekomenduotos dietos ir vykdyti fizinio krūvio programą.</w:t>
      </w:r>
    </w:p>
    <w:p w14:paraId="30C6E0B3" w14:textId="77777777" w:rsidR="00E96E12" w:rsidRDefault="00E96E12">
      <w:pPr>
        <w:widowControl w:val="0"/>
        <w:rPr>
          <w:noProof/>
          <w:szCs w:val="22"/>
          <w:lang w:val="pt-PT" w:eastAsia="sl-SI"/>
        </w:rPr>
      </w:pPr>
    </w:p>
    <w:p w14:paraId="58A70BAB" w14:textId="77777777" w:rsidR="00E96E12" w:rsidRDefault="00E97765">
      <w:pPr>
        <w:numPr>
          <w:ilvl w:val="12"/>
          <w:numId w:val="0"/>
        </w:numPr>
        <w:rPr>
          <w:b/>
          <w:bCs/>
          <w:snapToGrid w:val="0"/>
          <w:szCs w:val="22"/>
          <w:lang w:eastAsia="x-none"/>
        </w:rPr>
      </w:pPr>
      <w:r>
        <w:rPr>
          <w:b/>
          <w:bCs/>
          <w:snapToGrid w:val="0"/>
          <w:szCs w:val="22"/>
          <w:lang w:eastAsia="x-none"/>
        </w:rPr>
        <w:t xml:space="preserve">Ką daryti pavartojus per didelę </w:t>
      </w:r>
      <w:proofErr w:type="spellStart"/>
      <w:r>
        <w:rPr>
          <w:b/>
          <w:bCs/>
          <w:snapToGrid w:val="0"/>
          <w:szCs w:val="22"/>
          <w:lang w:eastAsia="x-none"/>
        </w:rPr>
        <w:t>Dagrafors</w:t>
      </w:r>
      <w:proofErr w:type="spellEnd"/>
      <w:r>
        <w:rPr>
          <w:b/>
          <w:bCs/>
          <w:snapToGrid w:val="0"/>
          <w:szCs w:val="22"/>
          <w:lang w:eastAsia="x-none"/>
        </w:rPr>
        <w:t xml:space="preserve"> dozę</w:t>
      </w:r>
    </w:p>
    <w:p w14:paraId="1B777464" w14:textId="77777777" w:rsidR="00E96E12" w:rsidRDefault="00E97765">
      <w:pPr>
        <w:numPr>
          <w:ilvl w:val="12"/>
          <w:numId w:val="0"/>
        </w:numPr>
        <w:rPr>
          <w:bCs/>
          <w:snapToGrid w:val="0"/>
          <w:szCs w:val="22"/>
          <w:lang w:eastAsia="x-none"/>
        </w:rPr>
      </w:pPr>
      <w:r>
        <w:rPr>
          <w:bCs/>
          <w:snapToGrid w:val="0"/>
          <w:szCs w:val="22"/>
          <w:lang w:eastAsia="x-none"/>
        </w:rPr>
        <w:t xml:space="preserve">Jeigu išgertumėte per daug </w:t>
      </w:r>
      <w:proofErr w:type="spellStart"/>
      <w:r>
        <w:rPr>
          <w:bCs/>
          <w:snapToGrid w:val="0"/>
          <w:szCs w:val="22"/>
          <w:lang w:eastAsia="x-none"/>
        </w:rPr>
        <w:t>Dagrafors</w:t>
      </w:r>
      <w:proofErr w:type="spellEnd"/>
      <w:r>
        <w:rPr>
          <w:bCs/>
          <w:snapToGrid w:val="0"/>
          <w:szCs w:val="22"/>
          <w:lang w:eastAsia="x-none"/>
        </w:rPr>
        <w:t xml:space="preserve"> tablečių, nedelsdami pasitarkite su savo gydytoju arba vykite į ligoninę. Pasiimkite su savimi perdozuoto vaisto pakuotę.</w:t>
      </w:r>
    </w:p>
    <w:p w14:paraId="50B8EEED" w14:textId="77777777" w:rsidR="00E96E12" w:rsidRDefault="00E96E12">
      <w:pPr>
        <w:numPr>
          <w:ilvl w:val="12"/>
          <w:numId w:val="0"/>
        </w:numPr>
        <w:rPr>
          <w:bCs/>
          <w:snapToGrid w:val="0"/>
          <w:szCs w:val="22"/>
          <w:lang w:eastAsia="x-none"/>
        </w:rPr>
      </w:pPr>
    </w:p>
    <w:p w14:paraId="61B2E8B1" w14:textId="77777777" w:rsidR="00E96E12" w:rsidRDefault="00E97765">
      <w:pPr>
        <w:numPr>
          <w:ilvl w:val="12"/>
          <w:numId w:val="0"/>
        </w:numPr>
        <w:rPr>
          <w:b/>
          <w:bCs/>
          <w:snapToGrid w:val="0"/>
          <w:szCs w:val="22"/>
          <w:lang w:eastAsia="x-none"/>
        </w:rPr>
      </w:pPr>
      <w:r>
        <w:rPr>
          <w:b/>
          <w:bCs/>
          <w:snapToGrid w:val="0"/>
          <w:szCs w:val="22"/>
          <w:lang w:eastAsia="x-none"/>
        </w:rPr>
        <w:t xml:space="preserve">Pamiršus pavartoti </w:t>
      </w:r>
      <w:proofErr w:type="spellStart"/>
      <w:r>
        <w:rPr>
          <w:b/>
          <w:bCs/>
          <w:snapToGrid w:val="0"/>
          <w:szCs w:val="22"/>
          <w:lang w:eastAsia="x-none"/>
        </w:rPr>
        <w:t>Dagrafors</w:t>
      </w:r>
      <w:proofErr w:type="spellEnd"/>
    </w:p>
    <w:p w14:paraId="2795AC0A" w14:textId="77777777" w:rsidR="00E96E12" w:rsidRDefault="00E97765">
      <w:pPr>
        <w:numPr>
          <w:ilvl w:val="12"/>
          <w:numId w:val="0"/>
        </w:numPr>
        <w:rPr>
          <w:bCs/>
          <w:snapToGrid w:val="0"/>
          <w:szCs w:val="22"/>
          <w:lang w:eastAsia="x-none"/>
        </w:rPr>
      </w:pPr>
      <w:r>
        <w:rPr>
          <w:bCs/>
          <w:snapToGrid w:val="0"/>
          <w:szCs w:val="22"/>
          <w:lang w:eastAsia="x-none"/>
        </w:rPr>
        <w:t>Ką daryti užmiršus išgerti tabletę, priklauso nuo to, kiek liko laiko iki kitos dozės.</w:t>
      </w:r>
    </w:p>
    <w:p w14:paraId="33F5B807" w14:textId="77777777" w:rsidR="00E96E12" w:rsidRDefault="00E97765">
      <w:pPr>
        <w:widowControl w:val="0"/>
        <w:numPr>
          <w:ilvl w:val="0"/>
          <w:numId w:val="7"/>
        </w:numPr>
        <w:ind w:left="567" w:right="-2"/>
        <w:rPr>
          <w:noProof/>
          <w:szCs w:val="22"/>
          <w:lang w:eastAsia="sl-SI"/>
        </w:rPr>
      </w:pPr>
      <w:r>
        <w:rPr>
          <w:bCs/>
          <w:snapToGrid w:val="0"/>
          <w:szCs w:val="22"/>
          <w:lang w:eastAsia="x-none"/>
        </w:rPr>
        <w:t xml:space="preserve">Jeigu iki kitos dozės liko 12 val. arba daugiau, tai praleistą </w:t>
      </w:r>
      <w:proofErr w:type="spellStart"/>
      <w:r>
        <w:rPr>
          <w:bCs/>
          <w:snapToGrid w:val="0"/>
          <w:szCs w:val="22"/>
          <w:lang w:eastAsia="x-none"/>
        </w:rPr>
        <w:t>Dagrafors</w:t>
      </w:r>
      <w:proofErr w:type="spellEnd"/>
      <w:r>
        <w:rPr>
          <w:bCs/>
          <w:snapToGrid w:val="0"/>
          <w:szCs w:val="22"/>
          <w:lang w:eastAsia="x-none"/>
        </w:rPr>
        <w:t xml:space="preserve"> dozę išgerkite iškart</w:t>
      </w:r>
      <w:r>
        <w:rPr>
          <w:noProof/>
          <w:szCs w:val="22"/>
          <w:lang w:eastAsia="sl-SI"/>
        </w:rPr>
        <w:t xml:space="preserve"> </w:t>
      </w:r>
      <w:r>
        <w:rPr>
          <w:bCs/>
          <w:snapToGrid w:val="0"/>
          <w:szCs w:val="22"/>
          <w:lang w:eastAsia="x-none"/>
        </w:rPr>
        <w:t>prisiminę, o kitą dozę gerkite įprastu laiku.</w:t>
      </w:r>
    </w:p>
    <w:p w14:paraId="74A1A773" w14:textId="77777777" w:rsidR="00E96E12" w:rsidRDefault="00E97765">
      <w:pPr>
        <w:widowControl w:val="0"/>
        <w:numPr>
          <w:ilvl w:val="0"/>
          <w:numId w:val="7"/>
        </w:numPr>
        <w:ind w:left="567" w:right="-2"/>
        <w:rPr>
          <w:noProof/>
          <w:szCs w:val="22"/>
          <w:lang w:eastAsia="sl-SI"/>
        </w:rPr>
      </w:pPr>
      <w:r>
        <w:rPr>
          <w:bCs/>
          <w:snapToGrid w:val="0"/>
          <w:szCs w:val="22"/>
          <w:lang w:eastAsia="x-none"/>
        </w:rPr>
        <w:t>Jeigu iki kitos dozės liko mažiau kaip 12 val., tai užmirštą dozę praleiskite, o kitą gerkite įprastu</w:t>
      </w:r>
      <w:r>
        <w:rPr>
          <w:noProof/>
          <w:szCs w:val="22"/>
          <w:lang w:eastAsia="sl-SI"/>
        </w:rPr>
        <w:t xml:space="preserve"> </w:t>
      </w:r>
      <w:r>
        <w:rPr>
          <w:bCs/>
          <w:snapToGrid w:val="0"/>
          <w:szCs w:val="22"/>
          <w:lang w:eastAsia="x-none"/>
        </w:rPr>
        <w:t>laiku.</w:t>
      </w:r>
    </w:p>
    <w:p w14:paraId="78A1EED8" w14:textId="77777777" w:rsidR="00E96E12" w:rsidRDefault="00E97765">
      <w:pPr>
        <w:widowControl w:val="0"/>
        <w:numPr>
          <w:ilvl w:val="0"/>
          <w:numId w:val="7"/>
        </w:numPr>
        <w:ind w:left="567" w:right="-2"/>
        <w:rPr>
          <w:noProof/>
          <w:szCs w:val="22"/>
          <w:lang w:val="pt-PT" w:eastAsia="sl-SI"/>
        </w:rPr>
      </w:pPr>
      <w:r>
        <w:rPr>
          <w:bCs/>
          <w:snapToGrid w:val="0"/>
          <w:szCs w:val="22"/>
          <w:lang w:eastAsia="x-none"/>
        </w:rPr>
        <w:t xml:space="preserve">Negalima vartoti dvigubos </w:t>
      </w:r>
      <w:proofErr w:type="spellStart"/>
      <w:r>
        <w:rPr>
          <w:bCs/>
          <w:snapToGrid w:val="0"/>
          <w:szCs w:val="22"/>
          <w:lang w:eastAsia="x-none"/>
        </w:rPr>
        <w:t>Dagrafors</w:t>
      </w:r>
      <w:proofErr w:type="spellEnd"/>
      <w:r>
        <w:rPr>
          <w:bCs/>
          <w:snapToGrid w:val="0"/>
          <w:szCs w:val="22"/>
          <w:lang w:eastAsia="x-none"/>
        </w:rPr>
        <w:t xml:space="preserve"> dozės norint kompensuoti praleistąją.</w:t>
      </w:r>
    </w:p>
    <w:p w14:paraId="7754CF46" w14:textId="77777777" w:rsidR="00E96E12" w:rsidRDefault="00E96E12">
      <w:pPr>
        <w:widowControl w:val="0"/>
        <w:ind w:right="-2"/>
        <w:rPr>
          <w:noProof/>
          <w:szCs w:val="22"/>
          <w:lang w:val="pt-PT" w:eastAsia="sl-SI"/>
        </w:rPr>
      </w:pPr>
    </w:p>
    <w:p w14:paraId="0BA0A58C" w14:textId="77777777" w:rsidR="00E96E12" w:rsidRDefault="00E97765">
      <w:pPr>
        <w:widowControl w:val="0"/>
        <w:ind w:right="-2"/>
        <w:rPr>
          <w:b/>
          <w:noProof/>
          <w:szCs w:val="22"/>
          <w:lang w:val="pt-PT" w:eastAsia="sl-SI"/>
        </w:rPr>
      </w:pPr>
      <w:r>
        <w:rPr>
          <w:b/>
          <w:bCs/>
          <w:snapToGrid w:val="0"/>
          <w:szCs w:val="22"/>
          <w:lang w:eastAsia="x-none"/>
        </w:rPr>
        <w:t xml:space="preserve">Nustojus vartoti </w:t>
      </w:r>
      <w:proofErr w:type="spellStart"/>
      <w:r>
        <w:rPr>
          <w:b/>
          <w:bCs/>
          <w:snapToGrid w:val="0"/>
          <w:szCs w:val="22"/>
          <w:lang w:eastAsia="x-none"/>
        </w:rPr>
        <w:t>Dagrafors</w:t>
      </w:r>
      <w:proofErr w:type="spellEnd"/>
    </w:p>
    <w:p w14:paraId="2CFB9BBD" w14:textId="77777777" w:rsidR="00E96E12" w:rsidRDefault="00E97765">
      <w:pPr>
        <w:numPr>
          <w:ilvl w:val="12"/>
          <w:numId w:val="0"/>
        </w:numPr>
        <w:rPr>
          <w:bCs/>
          <w:snapToGrid w:val="0"/>
          <w:szCs w:val="22"/>
          <w:lang w:eastAsia="x-none"/>
        </w:rPr>
      </w:pPr>
      <w:r>
        <w:rPr>
          <w:bCs/>
          <w:snapToGrid w:val="0"/>
          <w:szCs w:val="22"/>
          <w:lang w:eastAsia="x-none"/>
        </w:rPr>
        <w:t xml:space="preserve">Nenutraukite </w:t>
      </w:r>
      <w:proofErr w:type="spellStart"/>
      <w:r>
        <w:rPr>
          <w:bCs/>
          <w:snapToGrid w:val="0"/>
          <w:szCs w:val="22"/>
          <w:lang w:eastAsia="x-none"/>
        </w:rPr>
        <w:t>Dagrafors</w:t>
      </w:r>
      <w:proofErr w:type="spellEnd"/>
      <w:r>
        <w:rPr>
          <w:bCs/>
          <w:snapToGrid w:val="0"/>
          <w:szCs w:val="22"/>
          <w:lang w:eastAsia="x-none"/>
        </w:rPr>
        <w:t xml:space="preserve"> vartojimo, prieš tai nepasitarę su gydytoju. Jeigu sergate cukriniu diabetu, tai nevartojant šio vaisto, gali padidėti cukraus kiekis Jūsų kraujyje.</w:t>
      </w:r>
    </w:p>
    <w:p w14:paraId="4B927E1F" w14:textId="77777777" w:rsidR="00E96E12" w:rsidRDefault="00E96E12">
      <w:pPr>
        <w:numPr>
          <w:ilvl w:val="12"/>
          <w:numId w:val="0"/>
        </w:numPr>
        <w:rPr>
          <w:bCs/>
          <w:snapToGrid w:val="0"/>
          <w:szCs w:val="22"/>
          <w:lang w:eastAsia="x-none"/>
        </w:rPr>
      </w:pPr>
    </w:p>
    <w:p w14:paraId="4DFD4AA5" w14:textId="77777777" w:rsidR="00E96E12" w:rsidRDefault="00E97765">
      <w:pPr>
        <w:numPr>
          <w:ilvl w:val="12"/>
          <w:numId w:val="0"/>
        </w:numPr>
        <w:rPr>
          <w:snapToGrid w:val="0"/>
        </w:rPr>
      </w:pPr>
      <w:r>
        <w:rPr>
          <w:bCs/>
          <w:snapToGrid w:val="0"/>
          <w:szCs w:val="22"/>
          <w:lang w:eastAsia="x-none"/>
        </w:rPr>
        <w:t>Jeigu kiltų daugiau klausimų dėl šio vaisto vartojimo, klauskite gydytojo, vaistininko arba slaugytojos.</w:t>
      </w:r>
    </w:p>
    <w:p w14:paraId="09257E8D" w14:textId="77777777" w:rsidR="00E96E12" w:rsidRDefault="00E96E12">
      <w:pPr>
        <w:numPr>
          <w:ilvl w:val="12"/>
          <w:numId w:val="0"/>
        </w:numPr>
        <w:rPr>
          <w:snapToGrid w:val="0"/>
        </w:rPr>
      </w:pPr>
    </w:p>
    <w:p w14:paraId="7E749C32" w14:textId="77777777" w:rsidR="00E96E12" w:rsidRDefault="00E97765">
      <w:pPr>
        <w:keepNext/>
        <w:keepLines/>
        <w:tabs>
          <w:tab w:val="left" w:pos="567"/>
        </w:tabs>
        <w:outlineLvl w:val="2"/>
        <w:rPr>
          <w:b/>
          <w:bCs/>
          <w:snapToGrid w:val="0"/>
          <w:szCs w:val="26"/>
          <w:lang w:eastAsia="x-none"/>
        </w:rPr>
      </w:pPr>
      <w:r>
        <w:rPr>
          <w:b/>
          <w:bCs/>
          <w:snapToGrid w:val="0"/>
          <w:szCs w:val="26"/>
          <w:lang w:eastAsia="x-none"/>
        </w:rPr>
        <w:t>4.</w:t>
      </w:r>
      <w:r>
        <w:rPr>
          <w:b/>
          <w:bCs/>
          <w:snapToGrid w:val="0"/>
          <w:szCs w:val="26"/>
          <w:lang w:eastAsia="x-none"/>
        </w:rPr>
        <w:tab/>
        <w:t>Galimas šalutinis poveikis</w:t>
      </w:r>
    </w:p>
    <w:p w14:paraId="5A99141D" w14:textId="77777777" w:rsidR="00E96E12" w:rsidRDefault="00E96E12">
      <w:pPr>
        <w:numPr>
          <w:ilvl w:val="12"/>
          <w:numId w:val="0"/>
        </w:numPr>
        <w:rPr>
          <w:snapToGrid w:val="0"/>
        </w:rPr>
      </w:pPr>
    </w:p>
    <w:p w14:paraId="3DA57061" w14:textId="77777777" w:rsidR="00E96E12" w:rsidRDefault="00E97765">
      <w:pPr>
        <w:ind w:right="-29"/>
        <w:rPr>
          <w:snapToGrid w:val="0"/>
          <w:szCs w:val="20"/>
        </w:rPr>
      </w:pPr>
      <w:r>
        <w:rPr>
          <w:noProof/>
          <w:snapToGrid w:val="0"/>
          <w:szCs w:val="20"/>
        </w:rPr>
        <w:t>Šis vaistas, kaip ir visi kiti, gali sukelti šalutinį poveikį, nors jis pasireiškia ne visiems žmonėms.</w:t>
      </w:r>
    </w:p>
    <w:p w14:paraId="0ED51CE5" w14:textId="77777777" w:rsidR="00E96E12" w:rsidRDefault="00E96E12">
      <w:pPr>
        <w:tabs>
          <w:tab w:val="left" w:pos="567"/>
        </w:tabs>
        <w:ind w:right="-29"/>
        <w:rPr>
          <w:b/>
          <w:noProof/>
          <w:snapToGrid w:val="0"/>
          <w:szCs w:val="20"/>
        </w:rPr>
      </w:pPr>
    </w:p>
    <w:p w14:paraId="20C246FF" w14:textId="77777777" w:rsidR="00E96E12" w:rsidRDefault="00E97765">
      <w:pPr>
        <w:tabs>
          <w:tab w:val="left" w:pos="567"/>
        </w:tabs>
        <w:ind w:right="-29"/>
        <w:rPr>
          <w:b/>
          <w:noProof/>
          <w:snapToGrid w:val="0"/>
          <w:szCs w:val="20"/>
        </w:rPr>
      </w:pPr>
      <w:r>
        <w:rPr>
          <w:b/>
          <w:noProof/>
          <w:snapToGrid w:val="0"/>
          <w:szCs w:val="20"/>
        </w:rPr>
        <w:t>Nedelsdami kreipkitės į gydytoją arba artimiausią ligoninę, jeigu pasireikštų kuris nors iš šių šalutinių poveikių:</w:t>
      </w:r>
    </w:p>
    <w:p w14:paraId="582A7B41" w14:textId="77777777" w:rsidR="00E96E12" w:rsidRDefault="00E96E12">
      <w:pPr>
        <w:tabs>
          <w:tab w:val="left" w:pos="567"/>
        </w:tabs>
        <w:ind w:right="-29"/>
        <w:rPr>
          <w:b/>
          <w:noProof/>
          <w:snapToGrid w:val="0"/>
          <w:szCs w:val="20"/>
        </w:rPr>
      </w:pPr>
    </w:p>
    <w:p w14:paraId="70C7458D" w14:textId="77777777" w:rsidR="00E96E12" w:rsidRDefault="00E97765">
      <w:pPr>
        <w:widowControl w:val="0"/>
        <w:numPr>
          <w:ilvl w:val="0"/>
          <w:numId w:val="7"/>
        </w:numPr>
        <w:tabs>
          <w:tab w:val="left" w:pos="567"/>
        </w:tabs>
        <w:ind w:left="567"/>
        <w:rPr>
          <w:szCs w:val="22"/>
        </w:rPr>
      </w:pPr>
      <w:proofErr w:type="spellStart"/>
      <w:r>
        <w:rPr>
          <w:b/>
          <w:szCs w:val="22"/>
        </w:rPr>
        <w:t>angioedema</w:t>
      </w:r>
      <w:proofErr w:type="spellEnd"/>
      <w:r>
        <w:rPr>
          <w:b/>
          <w:szCs w:val="22"/>
        </w:rPr>
        <w:t xml:space="preserve">, </w:t>
      </w:r>
      <w:r>
        <w:rPr>
          <w:noProof/>
          <w:snapToGrid w:val="0"/>
          <w:szCs w:val="20"/>
        </w:rPr>
        <w:t>kuri pasitaiko labai retai (gali pasireikšti rečiau kaip 1 iš 10 000 asmenų).</w:t>
      </w:r>
    </w:p>
    <w:p w14:paraId="27C4235E" w14:textId="77777777" w:rsidR="00E96E12" w:rsidRDefault="00E97765">
      <w:pPr>
        <w:widowControl w:val="0"/>
        <w:tabs>
          <w:tab w:val="left" w:pos="567"/>
        </w:tabs>
        <w:ind w:left="567"/>
        <w:rPr>
          <w:szCs w:val="22"/>
          <w:lang w:val="en-US"/>
        </w:rPr>
      </w:pPr>
      <w:r>
        <w:rPr>
          <w:noProof/>
          <w:snapToGrid w:val="0"/>
          <w:szCs w:val="20"/>
        </w:rPr>
        <w:t>Angioedemos požymiai yra šie</w:t>
      </w:r>
      <w:r>
        <w:rPr>
          <w:szCs w:val="22"/>
          <w:lang w:val="en-US"/>
        </w:rPr>
        <w:t>:</w:t>
      </w:r>
    </w:p>
    <w:p w14:paraId="2A8D8B6A" w14:textId="77777777" w:rsidR="00E96E12" w:rsidRDefault="00E97765">
      <w:pPr>
        <w:widowControl w:val="0"/>
        <w:numPr>
          <w:ilvl w:val="1"/>
          <w:numId w:val="7"/>
        </w:numPr>
        <w:tabs>
          <w:tab w:val="left" w:pos="567"/>
        </w:tabs>
        <w:ind w:left="1134"/>
        <w:rPr>
          <w:szCs w:val="22"/>
          <w:lang w:val="en-US"/>
        </w:rPr>
      </w:pPr>
      <w:r>
        <w:rPr>
          <w:noProof/>
          <w:snapToGrid w:val="0"/>
          <w:szCs w:val="20"/>
        </w:rPr>
        <w:t>veido, liežuvio ar gerklės patinimas</w:t>
      </w:r>
    </w:p>
    <w:p w14:paraId="132A392D" w14:textId="77777777" w:rsidR="00E96E12" w:rsidRDefault="00E97765">
      <w:pPr>
        <w:widowControl w:val="0"/>
        <w:numPr>
          <w:ilvl w:val="1"/>
          <w:numId w:val="7"/>
        </w:numPr>
        <w:tabs>
          <w:tab w:val="left" w:pos="567"/>
        </w:tabs>
        <w:ind w:left="1134"/>
        <w:rPr>
          <w:szCs w:val="22"/>
          <w:lang w:val="en-US"/>
        </w:rPr>
      </w:pPr>
      <w:r>
        <w:rPr>
          <w:noProof/>
          <w:snapToGrid w:val="0"/>
          <w:szCs w:val="20"/>
        </w:rPr>
        <w:t>pasunkėjęs rijimas</w:t>
      </w:r>
    </w:p>
    <w:p w14:paraId="55E03AC1" w14:textId="77777777" w:rsidR="00E96E12" w:rsidRDefault="00E97765">
      <w:pPr>
        <w:widowControl w:val="0"/>
        <w:numPr>
          <w:ilvl w:val="1"/>
          <w:numId w:val="7"/>
        </w:numPr>
        <w:tabs>
          <w:tab w:val="left" w:pos="567"/>
        </w:tabs>
        <w:ind w:left="1134"/>
        <w:rPr>
          <w:szCs w:val="22"/>
          <w:lang w:val="en-US"/>
        </w:rPr>
      </w:pPr>
      <w:r>
        <w:rPr>
          <w:noProof/>
          <w:snapToGrid w:val="0"/>
          <w:szCs w:val="20"/>
        </w:rPr>
        <w:t>dilgėlinė ir kvėpavimo sutrikimai</w:t>
      </w:r>
    </w:p>
    <w:p w14:paraId="163ADBED" w14:textId="77777777" w:rsidR="00E96E12" w:rsidRDefault="00E96E12">
      <w:pPr>
        <w:tabs>
          <w:tab w:val="left" w:pos="567"/>
        </w:tabs>
        <w:ind w:right="-29"/>
        <w:rPr>
          <w:b/>
          <w:bCs/>
          <w:noProof/>
          <w:snapToGrid w:val="0"/>
          <w:szCs w:val="22"/>
        </w:rPr>
      </w:pPr>
    </w:p>
    <w:p w14:paraId="6B13D675" w14:textId="77777777" w:rsidR="00E96E12" w:rsidRDefault="00E97765">
      <w:pPr>
        <w:widowControl w:val="0"/>
        <w:numPr>
          <w:ilvl w:val="0"/>
          <w:numId w:val="7"/>
        </w:numPr>
        <w:tabs>
          <w:tab w:val="left" w:pos="567"/>
        </w:tabs>
        <w:ind w:left="567"/>
        <w:rPr>
          <w:bCs/>
          <w:szCs w:val="22"/>
        </w:rPr>
      </w:pPr>
      <w:r>
        <w:rPr>
          <w:b/>
          <w:bCs/>
          <w:szCs w:val="22"/>
        </w:rPr>
        <w:t xml:space="preserve">diabetinė </w:t>
      </w:r>
      <w:proofErr w:type="spellStart"/>
      <w:r>
        <w:rPr>
          <w:b/>
          <w:bCs/>
          <w:szCs w:val="22"/>
        </w:rPr>
        <w:t>ketoacidozė</w:t>
      </w:r>
      <w:proofErr w:type="spellEnd"/>
      <w:r>
        <w:rPr>
          <w:bCs/>
          <w:szCs w:val="22"/>
        </w:rPr>
        <w:t>, kuri yra reta 2 tipo diabetu sergantiems pacientams (gali pasireikšti rečiau kaip 1 iš 1 000 asmenų)</w:t>
      </w:r>
    </w:p>
    <w:p w14:paraId="73172BA8" w14:textId="77777777" w:rsidR="00E96E12" w:rsidRDefault="00E97765">
      <w:pPr>
        <w:widowControl w:val="0"/>
        <w:tabs>
          <w:tab w:val="left" w:pos="567"/>
        </w:tabs>
        <w:ind w:left="567"/>
        <w:rPr>
          <w:szCs w:val="22"/>
        </w:rPr>
      </w:pPr>
      <w:r>
        <w:rPr>
          <w:bCs/>
          <w:noProof/>
          <w:snapToGrid w:val="0"/>
          <w:szCs w:val="22"/>
        </w:rPr>
        <w:t>Diabetinės ketoacidozės požymiai yra šie (taip pat žr. 2 skyriuje „Įspėjimai ir atsargumo</w:t>
      </w:r>
      <w:r>
        <w:rPr>
          <w:szCs w:val="22"/>
        </w:rPr>
        <w:t xml:space="preserve"> </w:t>
      </w:r>
      <w:r>
        <w:rPr>
          <w:bCs/>
          <w:noProof/>
          <w:snapToGrid w:val="0"/>
          <w:szCs w:val="22"/>
        </w:rPr>
        <w:t>priemonės“):</w:t>
      </w:r>
    </w:p>
    <w:p w14:paraId="5AF2AE43" w14:textId="77777777" w:rsidR="00E96E12" w:rsidRDefault="00E97765">
      <w:pPr>
        <w:widowControl w:val="0"/>
        <w:numPr>
          <w:ilvl w:val="1"/>
          <w:numId w:val="7"/>
        </w:numPr>
        <w:tabs>
          <w:tab w:val="left" w:pos="567"/>
        </w:tabs>
        <w:ind w:left="1134"/>
        <w:rPr>
          <w:szCs w:val="22"/>
        </w:rPr>
      </w:pPr>
      <w:r>
        <w:rPr>
          <w:bCs/>
          <w:noProof/>
          <w:snapToGrid w:val="0"/>
          <w:szCs w:val="22"/>
        </w:rPr>
        <w:t>padidėjęs ketoninių kūnų kiekis šlapime ar kraujyje;</w:t>
      </w:r>
    </w:p>
    <w:p w14:paraId="2B141F47" w14:textId="77777777" w:rsidR="00E96E12" w:rsidRDefault="00E97765">
      <w:pPr>
        <w:widowControl w:val="0"/>
        <w:numPr>
          <w:ilvl w:val="1"/>
          <w:numId w:val="7"/>
        </w:numPr>
        <w:tabs>
          <w:tab w:val="left" w:pos="567"/>
        </w:tabs>
        <w:ind w:left="1134"/>
        <w:rPr>
          <w:szCs w:val="22"/>
          <w:lang w:val="en-US"/>
        </w:rPr>
      </w:pPr>
      <w:r>
        <w:rPr>
          <w:bCs/>
          <w:noProof/>
          <w:snapToGrid w:val="0"/>
          <w:szCs w:val="22"/>
        </w:rPr>
        <w:t>pykinimas ar vėmimas</w:t>
      </w:r>
    </w:p>
    <w:p w14:paraId="3E009F97" w14:textId="77777777" w:rsidR="00E96E12" w:rsidRDefault="00E97765">
      <w:pPr>
        <w:widowControl w:val="0"/>
        <w:numPr>
          <w:ilvl w:val="1"/>
          <w:numId w:val="7"/>
        </w:numPr>
        <w:tabs>
          <w:tab w:val="left" w:pos="567"/>
        </w:tabs>
        <w:ind w:left="1134"/>
        <w:rPr>
          <w:szCs w:val="22"/>
          <w:lang w:val="en-US"/>
        </w:rPr>
      </w:pPr>
      <w:r>
        <w:rPr>
          <w:bCs/>
          <w:noProof/>
          <w:snapToGrid w:val="0"/>
          <w:szCs w:val="22"/>
        </w:rPr>
        <w:t>pilvo skausmas</w:t>
      </w:r>
    </w:p>
    <w:p w14:paraId="38F7318F" w14:textId="77777777" w:rsidR="00E96E12" w:rsidRDefault="00E97765">
      <w:pPr>
        <w:widowControl w:val="0"/>
        <w:numPr>
          <w:ilvl w:val="1"/>
          <w:numId w:val="7"/>
        </w:numPr>
        <w:tabs>
          <w:tab w:val="left" w:pos="567"/>
        </w:tabs>
        <w:ind w:left="1134"/>
        <w:rPr>
          <w:szCs w:val="22"/>
          <w:lang w:val="en-US"/>
        </w:rPr>
      </w:pPr>
      <w:r>
        <w:rPr>
          <w:bCs/>
          <w:noProof/>
          <w:snapToGrid w:val="0"/>
          <w:szCs w:val="22"/>
        </w:rPr>
        <w:t>didelis troškulys</w:t>
      </w:r>
    </w:p>
    <w:p w14:paraId="7E34FC49" w14:textId="77777777" w:rsidR="00E96E12" w:rsidRDefault="00E97765">
      <w:pPr>
        <w:widowControl w:val="0"/>
        <w:numPr>
          <w:ilvl w:val="1"/>
          <w:numId w:val="7"/>
        </w:numPr>
        <w:tabs>
          <w:tab w:val="left" w:pos="567"/>
        </w:tabs>
        <w:ind w:left="1134"/>
        <w:rPr>
          <w:szCs w:val="22"/>
          <w:lang w:val="en-US"/>
        </w:rPr>
      </w:pPr>
      <w:r>
        <w:rPr>
          <w:bCs/>
          <w:noProof/>
          <w:snapToGrid w:val="0"/>
          <w:szCs w:val="22"/>
        </w:rPr>
        <w:t>dažnas ir gilus kvėpavimas</w:t>
      </w:r>
    </w:p>
    <w:p w14:paraId="51BF6558" w14:textId="77777777" w:rsidR="00E96E12" w:rsidRDefault="00E97765">
      <w:pPr>
        <w:widowControl w:val="0"/>
        <w:numPr>
          <w:ilvl w:val="1"/>
          <w:numId w:val="7"/>
        </w:numPr>
        <w:tabs>
          <w:tab w:val="left" w:pos="567"/>
        </w:tabs>
        <w:ind w:left="1134"/>
        <w:rPr>
          <w:szCs w:val="22"/>
          <w:lang w:val="en-US"/>
        </w:rPr>
      </w:pPr>
      <w:r>
        <w:rPr>
          <w:bCs/>
          <w:noProof/>
          <w:snapToGrid w:val="0"/>
          <w:szCs w:val="22"/>
        </w:rPr>
        <w:t>sutrikusi orientacija</w:t>
      </w:r>
    </w:p>
    <w:p w14:paraId="369FBF4E" w14:textId="77777777" w:rsidR="00E96E12" w:rsidRDefault="00E97765">
      <w:pPr>
        <w:widowControl w:val="0"/>
        <w:numPr>
          <w:ilvl w:val="1"/>
          <w:numId w:val="7"/>
        </w:numPr>
        <w:tabs>
          <w:tab w:val="left" w:pos="567"/>
        </w:tabs>
        <w:ind w:left="1134"/>
        <w:rPr>
          <w:szCs w:val="22"/>
          <w:lang w:val="en-US"/>
        </w:rPr>
      </w:pPr>
      <w:r>
        <w:rPr>
          <w:bCs/>
          <w:noProof/>
          <w:snapToGrid w:val="0"/>
          <w:szCs w:val="22"/>
        </w:rPr>
        <w:t>neįprastas mieguistumas ar nuovargis</w:t>
      </w:r>
    </w:p>
    <w:p w14:paraId="297AE11D" w14:textId="77777777" w:rsidR="00E96E12" w:rsidRDefault="00E97765">
      <w:pPr>
        <w:widowControl w:val="0"/>
        <w:numPr>
          <w:ilvl w:val="1"/>
          <w:numId w:val="7"/>
        </w:numPr>
        <w:tabs>
          <w:tab w:val="left" w:pos="567"/>
        </w:tabs>
        <w:ind w:left="1134"/>
        <w:rPr>
          <w:szCs w:val="22"/>
          <w:lang w:val="pt-PT"/>
        </w:rPr>
      </w:pPr>
      <w:r>
        <w:rPr>
          <w:bCs/>
          <w:noProof/>
          <w:snapToGrid w:val="0"/>
          <w:szCs w:val="22"/>
        </w:rPr>
        <w:t>saldus kvapas iš burnos, saldus ar metalo skonis joje arba pakitęs šlapimo ar prakaito</w:t>
      </w:r>
      <w:r>
        <w:rPr>
          <w:szCs w:val="22"/>
          <w:lang w:val="pt-PT"/>
        </w:rPr>
        <w:t xml:space="preserve"> </w:t>
      </w:r>
      <w:r>
        <w:rPr>
          <w:bCs/>
          <w:noProof/>
          <w:snapToGrid w:val="0"/>
          <w:szCs w:val="22"/>
        </w:rPr>
        <w:t>kvapas</w:t>
      </w:r>
    </w:p>
    <w:p w14:paraId="6A1ADDD7" w14:textId="77777777" w:rsidR="00E96E12" w:rsidRDefault="00E97765">
      <w:pPr>
        <w:widowControl w:val="0"/>
        <w:numPr>
          <w:ilvl w:val="1"/>
          <w:numId w:val="7"/>
        </w:numPr>
        <w:tabs>
          <w:tab w:val="left" w:pos="567"/>
        </w:tabs>
        <w:ind w:left="1134"/>
        <w:rPr>
          <w:szCs w:val="22"/>
          <w:lang w:val="en-US"/>
        </w:rPr>
      </w:pPr>
      <w:r>
        <w:rPr>
          <w:bCs/>
          <w:noProof/>
          <w:snapToGrid w:val="0"/>
          <w:szCs w:val="22"/>
        </w:rPr>
        <w:t>greitas kūno svorio mažėjimas</w:t>
      </w:r>
    </w:p>
    <w:p w14:paraId="23BD65D0" w14:textId="77777777" w:rsidR="00E96E12" w:rsidRDefault="00E97765">
      <w:pPr>
        <w:tabs>
          <w:tab w:val="left" w:pos="567"/>
        </w:tabs>
        <w:ind w:right="-29"/>
        <w:rPr>
          <w:bCs/>
          <w:noProof/>
          <w:snapToGrid w:val="0"/>
          <w:szCs w:val="22"/>
        </w:rPr>
      </w:pPr>
      <w:r>
        <w:rPr>
          <w:bCs/>
          <w:noProof/>
          <w:snapToGrid w:val="0"/>
          <w:szCs w:val="22"/>
        </w:rPr>
        <w:t>Tokių poveikių gali pasireikšti nepriklausomai nuo cukraus kiekio kraujyje. Jų atsiradus gydytojas gali nuspręsti laikinai arba visam laikui nutraukti Dagrafors vartojimą.</w:t>
      </w:r>
    </w:p>
    <w:p w14:paraId="33F794D6" w14:textId="77777777" w:rsidR="00E96E12" w:rsidRDefault="00E96E12">
      <w:pPr>
        <w:tabs>
          <w:tab w:val="left" w:pos="567"/>
        </w:tabs>
        <w:ind w:right="-29"/>
        <w:rPr>
          <w:bCs/>
          <w:noProof/>
          <w:snapToGrid w:val="0"/>
          <w:szCs w:val="22"/>
        </w:rPr>
      </w:pPr>
    </w:p>
    <w:p w14:paraId="3C159907" w14:textId="77777777" w:rsidR="00E96E12" w:rsidRDefault="00E97765">
      <w:pPr>
        <w:widowControl w:val="0"/>
        <w:numPr>
          <w:ilvl w:val="0"/>
          <w:numId w:val="7"/>
        </w:numPr>
        <w:tabs>
          <w:tab w:val="left" w:pos="567"/>
        </w:tabs>
        <w:ind w:left="567"/>
        <w:rPr>
          <w:szCs w:val="22"/>
        </w:rPr>
      </w:pPr>
      <w:proofErr w:type="spellStart"/>
      <w:r>
        <w:rPr>
          <w:b/>
          <w:bCs/>
          <w:szCs w:val="22"/>
          <w:lang w:eastAsia="lt-LT"/>
        </w:rPr>
        <w:t>tarpvietės</w:t>
      </w:r>
      <w:proofErr w:type="spellEnd"/>
      <w:r>
        <w:rPr>
          <w:b/>
          <w:bCs/>
          <w:szCs w:val="22"/>
          <w:lang w:eastAsia="lt-LT"/>
        </w:rPr>
        <w:t xml:space="preserve"> </w:t>
      </w:r>
      <w:proofErr w:type="spellStart"/>
      <w:r>
        <w:rPr>
          <w:b/>
          <w:bCs/>
          <w:szCs w:val="22"/>
          <w:lang w:eastAsia="lt-LT"/>
        </w:rPr>
        <w:t>nekrozuojantis</w:t>
      </w:r>
      <w:proofErr w:type="spellEnd"/>
      <w:r>
        <w:rPr>
          <w:b/>
          <w:bCs/>
          <w:szCs w:val="22"/>
          <w:lang w:eastAsia="lt-LT"/>
        </w:rPr>
        <w:t xml:space="preserve"> </w:t>
      </w:r>
      <w:proofErr w:type="spellStart"/>
      <w:r>
        <w:rPr>
          <w:b/>
          <w:bCs/>
          <w:szCs w:val="22"/>
          <w:lang w:eastAsia="lt-LT"/>
        </w:rPr>
        <w:t>fascitas</w:t>
      </w:r>
      <w:proofErr w:type="spellEnd"/>
      <w:r>
        <w:rPr>
          <w:b/>
          <w:bCs/>
          <w:szCs w:val="22"/>
          <w:lang w:eastAsia="lt-LT"/>
        </w:rPr>
        <w:t xml:space="preserve"> </w:t>
      </w:r>
      <w:r>
        <w:rPr>
          <w:szCs w:val="22"/>
          <w:lang w:eastAsia="lt-LT"/>
        </w:rPr>
        <w:t>(</w:t>
      </w:r>
      <w:proofErr w:type="spellStart"/>
      <w:r>
        <w:rPr>
          <w:rFonts w:eastAsia="TimesNewRoman,Italic"/>
          <w:i/>
          <w:iCs/>
          <w:szCs w:val="22"/>
          <w:lang w:eastAsia="lt-LT"/>
        </w:rPr>
        <w:t>Fournier</w:t>
      </w:r>
      <w:proofErr w:type="spellEnd"/>
      <w:r>
        <w:rPr>
          <w:rFonts w:eastAsia="TimesNewRoman,Italic"/>
          <w:i/>
          <w:iCs/>
          <w:szCs w:val="22"/>
          <w:lang w:eastAsia="lt-LT"/>
        </w:rPr>
        <w:t xml:space="preserve"> </w:t>
      </w:r>
      <w:r>
        <w:rPr>
          <w:szCs w:val="22"/>
          <w:lang w:eastAsia="lt-LT"/>
        </w:rPr>
        <w:t>gangrena) – sunki lytinių organų arba srities tarp jų ir išeinamosios angos minkštųjų audinių infekcija (pasireiškia labai retai).</w:t>
      </w:r>
    </w:p>
    <w:p w14:paraId="239C7FBB" w14:textId="77777777" w:rsidR="00E96E12" w:rsidRDefault="00E96E12">
      <w:pPr>
        <w:autoSpaceDE w:val="0"/>
        <w:autoSpaceDN w:val="0"/>
        <w:adjustRightInd w:val="0"/>
        <w:rPr>
          <w:szCs w:val="22"/>
          <w:lang w:eastAsia="lt-LT"/>
        </w:rPr>
      </w:pPr>
    </w:p>
    <w:p w14:paraId="45DCE8C6" w14:textId="77777777" w:rsidR="00E96E12" w:rsidRDefault="00E97765">
      <w:pPr>
        <w:autoSpaceDE w:val="0"/>
        <w:autoSpaceDN w:val="0"/>
        <w:adjustRightInd w:val="0"/>
        <w:rPr>
          <w:b/>
          <w:szCs w:val="22"/>
          <w:lang w:eastAsia="lt-LT"/>
        </w:rPr>
      </w:pPr>
      <w:r>
        <w:rPr>
          <w:b/>
          <w:szCs w:val="22"/>
          <w:lang w:eastAsia="lt-LT"/>
        </w:rPr>
        <w:t xml:space="preserve">Nutraukite </w:t>
      </w:r>
      <w:proofErr w:type="spellStart"/>
      <w:r>
        <w:rPr>
          <w:b/>
          <w:szCs w:val="22"/>
          <w:lang w:eastAsia="lt-LT"/>
        </w:rPr>
        <w:t>Dagrafors</w:t>
      </w:r>
      <w:proofErr w:type="spellEnd"/>
      <w:r>
        <w:rPr>
          <w:b/>
          <w:szCs w:val="22"/>
          <w:lang w:eastAsia="lt-LT"/>
        </w:rPr>
        <w:t xml:space="preserve"> vartojimą ir kiek įmanoma greičiau kreipkitės į gydytoją, jeigu pastebėtumėte kurį nors iš šių sunkių poveikių:</w:t>
      </w:r>
    </w:p>
    <w:p w14:paraId="46DAC47A" w14:textId="77777777" w:rsidR="00E96E12" w:rsidRDefault="00E96E12">
      <w:pPr>
        <w:autoSpaceDE w:val="0"/>
        <w:autoSpaceDN w:val="0"/>
        <w:adjustRightInd w:val="0"/>
        <w:rPr>
          <w:b/>
          <w:szCs w:val="22"/>
          <w:lang w:eastAsia="lt-LT"/>
        </w:rPr>
      </w:pPr>
    </w:p>
    <w:p w14:paraId="51B06046" w14:textId="77777777" w:rsidR="00E96E12" w:rsidRDefault="00E97765">
      <w:pPr>
        <w:widowControl w:val="0"/>
        <w:numPr>
          <w:ilvl w:val="0"/>
          <w:numId w:val="7"/>
        </w:numPr>
        <w:tabs>
          <w:tab w:val="left" w:pos="567"/>
        </w:tabs>
        <w:ind w:left="567"/>
        <w:rPr>
          <w:szCs w:val="22"/>
        </w:rPr>
      </w:pPr>
      <w:r>
        <w:rPr>
          <w:b/>
          <w:szCs w:val="22"/>
          <w:lang w:eastAsia="lt-LT"/>
        </w:rPr>
        <w:t>šlapimo takų infekcija</w:t>
      </w:r>
      <w:r>
        <w:rPr>
          <w:szCs w:val="22"/>
          <w:lang w:eastAsia="lt-LT"/>
        </w:rPr>
        <w:t xml:space="preserve"> (pasitaiko dažnai, </w:t>
      </w:r>
      <w:proofErr w:type="spellStart"/>
      <w:r>
        <w:rPr>
          <w:szCs w:val="22"/>
          <w:lang w:eastAsia="lt-LT"/>
        </w:rPr>
        <w:t>t.y</w:t>
      </w:r>
      <w:proofErr w:type="spellEnd"/>
      <w:r>
        <w:rPr>
          <w:szCs w:val="22"/>
          <w:lang w:eastAsia="lt-LT"/>
        </w:rPr>
        <w:t>. rečiau kaip 1 iš 10 asmenų).</w:t>
      </w:r>
    </w:p>
    <w:p w14:paraId="766A431B" w14:textId="77777777" w:rsidR="00E96E12" w:rsidRDefault="00E97765">
      <w:pPr>
        <w:widowControl w:val="0"/>
        <w:tabs>
          <w:tab w:val="left" w:pos="567"/>
        </w:tabs>
        <w:ind w:left="567"/>
        <w:rPr>
          <w:szCs w:val="22"/>
          <w:lang w:eastAsia="lt-LT"/>
        </w:rPr>
      </w:pPr>
      <w:r>
        <w:rPr>
          <w:szCs w:val="22"/>
          <w:lang w:eastAsia="lt-LT"/>
        </w:rPr>
        <w:t>Sunkios šlapimo takų infekcijos požymiai yra šie:</w:t>
      </w:r>
    </w:p>
    <w:p w14:paraId="659D4F4E" w14:textId="77777777" w:rsidR="00E96E12" w:rsidRDefault="00E97765">
      <w:pPr>
        <w:widowControl w:val="0"/>
        <w:numPr>
          <w:ilvl w:val="1"/>
          <w:numId w:val="7"/>
        </w:numPr>
        <w:tabs>
          <w:tab w:val="left" w:pos="567"/>
        </w:tabs>
        <w:ind w:left="1134"/>
        <w:rPr>
          <w:szCs w:val="22"/>
          <w:lang w:val="en-US"/>
        </w:rPr>
      </w:pPr>
      <w:r>
        <w:rPr>
          <w:szCs w:val="22"/>
          <w:lang w:eastAsia="lt-LT"/>
        </w:rPr>
        <w:t>drebulys ir (arba) karščiavimas</w:t>
      </w:r>
    </w:p>
    <w:p w14:paraId="5EF83DC6" w14:textId="77777777" w:rsidR="00E96E12" w:rsidRDefault="00E97765">
      <w:pPr>
        <w:widowControl w:val="0"/>
        <w:numPr>
          <w:ilvl w:val="1"/>
          <w:numId w:val="7"/>
        </w:numPr>
        <w:tabs>
          <w:tab w:val="left" w:pos="567"/>
        </w:tabs>
        <w:ind w:left="1134"/>
        <w:rPr>
          <w:szCs w:val="22"/>
          <w:lang w:val="en-US"/>
        </w:rPr>
      </w:pPr>
      <w:r>
        <w:rPr>
          <w:szCs w:val="22"/>
          <w:lang w:eastAsia="lt-LT"/>
        </w:rPr>
        <w:t>deginimo pojūtis šlapinantis</w:t>
      </w:r>
    </w:p>
    <w:p w14:paraId="7466B7FB" w14:textId="77777777" w:rsidR="00E96E12" w:rsidRDefault="00E97765">
      <w:pPr>
        <w:widowControl w:val="0"/>
        <w:numPr>
          <w:ilvl w:val="1"/>
          <w:numId w:val="7"/>
        </w:numPr>
        <w:tabs>
          <w:tab w:val="left" w:pos="567"/>
        </w:tabs>
        <w:ind w:left="1134"/>
        <w:rPr>
          <w:szCs w:val="22"/>
          <w:lang w:val="en-US"/>
        </w:rPr>
      </w:pPr>
      <w:r>
        <w:rPr>
          <w:szCs w:val="22"/>
          <w:lang w:eastAsia="lt-LT"/>
        </w:rPr>
        <w:t>nugaros ar šono skausmas</w:t>
      </w:r>
    </w:p>
    <w:p w14:paraId="23AD1D55" w14:textId="77777777" w:rsidR="00E96E12" w:rsidRDefault="00E97765">
      <w:pPr>
        <w:autoSpaceDE w:val="0"/>
        <w:autoSpaceDN w:val="0"/>
        <w:adjustRightInd w:val="0"/>
        <w:rPr>
          <w:szCs w:val="22"/>
          <w:lang w:eastAsia="lt-LT"/>
        </w:rPr>
      </w:pPr>
      <w:r>
        <w:rPr>
          <w:szCs w:val="22"/>
          <w:lang w:eastAsia="lt-LT"/>
        </w:rPr>
        <w:t>Nedažnais atvejais šlapime gali atsirasti kraujo. Jei jo pastebėtumėte, nedelsdami pasakykite</w:t>
      </w:r>
    </w:p>
    <w:p w14:paraId="434B172D" w14:textId="77777777" w:rsidR="00E96E12" w:rsidRDefault="00E97765">
      <w:pPr>
        <w:autoSpaceDE w:val="0"/>
        <w:autoSpaceDN w:val="0"/>
        <w:adjustRightInd w:val="0"/>
        <w:rPr>
          <w:szCs w:val="22"/>
          <w:lang w:eastAsia="lt-LT"/>
        </w:rPr>
      </w:pPr>
      <w:r>
        <w:rPr>
          <w:szCs w:val="22"/>
          <w:lang w:eastAsia="lt-LT"/>
        </w:rPr>
        <w:t>gydytojui.</w:t>
      </w:r>
    </w:p>
    <w:p w14:paraId="32C4F643" w14:textId="77777777" w:rsidR="00E96E12" w:rsidRDefault="00E96E12">
      <w:pPr>
        <w:autoSpaceDE w:val="0"/>
        <w:autoSpaceDN w:val="0"/>
        <w:adjustRightInd w:val="0"/>
        <w:rPr>
          <w:szCs w:val="22"/>
          <w:lang w:eastAsia="lt-LT"/>
        </w:rPr>
      </w:pPr>
    </w:p>
    <w:p w14:paraId="492824CF" w14:textId="77777777" w:rsidR="00E96E12" w:rsidRDefault="00E97765">
      <w:pPr>
        <w:autoSpaceDE w:val="0"/>
        <w:autoSpaceDN w:val="0"/>
        <w:adjustRightInd w:val="0"/>
        <w:rPr>
          <w:b/>
          <w:bCs/>
          <w:szCs w:val="22"/>
          <w:lang w:eastAsia="lt-LT"/>
        </w:rPr>
      </w:pPr>
      <w:r>
        <w:rPr>
          <w:b/>
          <w:bCs/>
          <w:szCs w:val="22"/>
          <w:lang w:eastAsia="lt-LT"/>
        </w:rPr>
        <w:t>Kiek įmanoma greičiau kreipkitės į gydytoją, jeigu Jums pasireikštų kuris nors iš žemiau išvardytų šalutinių poveikių:</w:t>
      </w:r>
    </w:p>
    <w:p w14:paraId="2418E315" w14:textId="77777777" w:rsidR="00E96E12" w:rsidRDefault="00E96E12">
      <w:pPr>
        <w:autoSpaceDE w:val="0"/>
        <w:autoSpaceDN w:val="0"/>
        <w:adjustRightInd w:val="0"/>
        <w:rPr>
          <w:b/>
          <w:bCs/>
          <w:szCs w:val="22"/>
          <w:lang w:eastAsia="lt-LT"/>
        </w:rPr>
      </w:pPr>
    </w:p>
    <w:p w14:paraId="69CC53D9" w14:textId="77777777" w:rsidR="00E96E12" w:rsidRDefault="00E97765">
      <w:pPr>
        <w:widowControl w:val="0"/>
        <w:numPr>
          <w:ilvl w:val="0"/>
          <w:numId w:val="7"/>
        </w:numPr>
        <w:tabs>
          <w:tab w:val="left" w:pos="567"/>
        </w:tabs>
        <w:ind w:left="567"/>
        <w:rPr>
          <w:szCs w:val="22"/>
          <w:lang w:val="en-US"/>
        </w:rPr>
      </w:pPr>
      <w:r>
        <w:rPr>
          <w:b/>
          <w:szCs w:val="22"/>
        </w:rPr>
        <w:t>sumažėjęs cukraus kiekis kraujyje</w:t>
      </w:r>
      <w:r>
        <w:rPr>
          <w:szCs w:val="22"/>
        </w:rPr>
        <w:t xml:space="preserve"> (hipoglikemija) – tai atsitinka labai dažnai (ne rečiau kaip 1 iš 10 cukriniu diabetu sergančių pacientų, vartojančių šį vaistą kartu su </w:t>
      </w:r>
      <w:proofErr w:type="spellStart"/>
      <w:r>
        <w:rPr>
          <w:szCs w:val="22"/>
        </w:rPr>
        <w:t>sulfonilkarbamidais</w:t>
      </w:r>
      <w:proofErr w:type="spellEnd"/>
      <w:r>
        <w:rPr>
          <w:szCs w:val="22"/>
        </w:rPr>
        <w:t xml:space="preserve"> arba insulinu). </w:t>
      </w:r>
      <w:r>
        <w:rPr>
          <w:bCs/>
          <w:szCs w:val="22"/>
          <w:lang w:eastAsia="lt-LT"/>
        </w:rPr>
        <w:t>Sumažėjusio cukraus kiekio kraujyje požymiai yra šie:</w:t>
      </w:r>
    </w:p>
    <w:p w14:paraId="5EB9A703" w14:textId="77777777" w:rsidR="00E96E12" w:rsidRDefault="00E97765">
      <w:pPr>
        <w:widowControl w:val="0"/>
        <w:numPr>
          <w:ilvl w:val="1"/>
          <w:numId w:val="7"/>
        </w:numPr>
        <w:tabs>
          <w:tab w:val="left" w:pos="567"/>
        </w:tabs>
        <w:ind w:left="1134"/>
        <w:rPr>
          <w:szCs w:val="22"/>
          <w:lang w:val="pt-PT"/>
        </w:rPr>
      </w:pPr>
      <w:r>
        <w:rPr>
          <w:bCs/>
          <w:szCs w:val="22"/>
          <w:lang w:eastAsia="lt-LT"/>
        </w:rPr>
        <w:t>drebulys, prakaitavimas, didelis nerimas, dažni širdies susitraukimai</w:t>
      </w:r>
    </w:p>
    <w:p w14:paraId="13490F9C" w14:textId="77777777" w:rsidR="00E96E12" w:rsidRDefault="00E97765">
      <w:pPr>
        <w:widowControl w:val="0"/>
        <w:numPr>
          <w:ilvl w:val="1"/>
          <w:numId w:val="7"/>
        </w:numPr>
        <w:tabs>
          <w:tab w:val="left" w:pos="567"/>
        </w:tabs>
        <w:ind w:left="1134"/>
        <w:rPr>
          <w:szCs w:val="22"/>
          <w:lang w:val="en-US"/>
        </w:rPr>
      </w:pPr>
      <w:r>
        <w:rPr>
          <w:bCs/>
          <w:szCs w:val="22"/>
          <w:lang w:eastAsia="lt-LT"/>
        </w:rPr>
        <w:t>alkis, galvos skausmas, pakitęs matymas</w:t>
      </w:r>
    </w:p>
    <w:p w14:paraId="74E88E43" w14:textId="77777777" w:rsidR="00E96E12" w:rsidRDefault="00E97765">
      <w:pPr>
        <w:widowControl w:val="0"/>
        <w:numPr>
          <w:ilvl w:val="1"/>
          <w:numId w:val="7"/>
        </w:numPr>
        <w:tabs>
          <w:tab w:val="left" w:pos="567"/>
        </w:tabs>
        <w:ind w:left="1134"/>
        <w:rPr>
          <w:szCs w:val="22"/>
          <w:lang w:val="en-US"/>
        </w:rPr>
      </w:pPr>
      <w:r>
        <w:rPr>
          <w:bCs/>
          <w:szCs w:val="22"/>
          <w:lang w:eastAsia="lt-LT"/>
        </w:rPr>
        <w:t>pakitusi nuotaika ar sutrikusi orientacija</w:t>
      </w:r>
    </w:p>
    <w:p w14:paraId="18A6A231" w14:textId="77777777" w:rsidR="00E96E12" w:rsidRDefault="00E97765">
      <w:pPr>
        <w:autoSpaceDE w:val="0"/>
        <w:autoSpaceDN w:val="0"/>
        <w:adjustRightInd w:val="0"/>
        <w:rPr>
          <w:bCs/>
          <w:szCs w:val="22"/>
          <w:lang w:eastAsia="lt-LT"/>
        </w:rPr>
      </w:pPr>
      <w:r>
        <w:rPr>
          <w:bCs/>
          <w:szCs w:val="22"/>
          <w:lang w:eastAsia="lt-LT"/>
        </w:rPr>
        <w:t>Ką daryti sumažėjus cukraus kiekiui kraujyje arba pastebėjus kurį nors iš aukščiau išvardytų požymių, pasakys gydytojas.</w:t>
      </w:r>
    </w:p>
    <w:p w14:paraId="4BA90366" w14:textId="77777777" w:rsidR="00E96E12" w:rsidRDefault="00E96E12">
      <w:pPr>
        <w:autoSpaceDE w:val="0"/>
        <w:autoSpaceDN w:val="0"/>
        <w:adjustRightInd w:val="0"/>
        <w:rPr>
          <w:bCs/>
          <w:szCs w:val="22"/>
          <w:lang w:eastAsia="lt-LT"/>
        </w:rPr>
      </w:pPr>
    </w:p>
    <w:p w14:paraId="2DF4327A" w14:textId="77777777" w:rsidR="00E96E12" w:rsidRDefault="00E97765">
      <w:pPr>
        <w:autoSpaceDE w:val="0"/>
        <w:autoSpaceDN w:val="0"/>
        <w:adjustRightInd w:val="0"/>
        <w:rPr>
          <w:b/>
          <w:bCs/>
          <w:szCs w:val="22"/>
          <w:lang w:eastAsia="lt-LT"/>
        </w:rPr>
      </w:pPr>
      <w:r>
        <w:rPr>
          <w:b/>
          <w:bCs/>
          <w:szCs w:val="22"/>
          <w:lang w:eastAsia="lt-LT"/>
        </w:rPr>
        <w:t xml:space="preserve">Kitas šalutinis poveikis, kuris gali pasireikšti vartojant </w:t>
      </w:r>
      <w:proofErr w:type="spellStart"/>
      <w:r>
        <w:rPr>
          <w:b/>
          <w:bCs/>
          <w:szCs w:val="22"/>
          <w:lang w:eastAsia="lt-LT"/>
        </w:rPr>
        <w:t>Dagrafors</w:t>
      </w:r>
      <w:proofErr w:type="spellEnd"/>
      <w:r>
        <w:rPr>
          <w:b/>
          <w:bCs/>
          <w:szCs w:val="22"/>
          <w:lang w:eastAsia="lt-LT"/>
        </w:rPr>
        <w:t>:</w:t>
      </w:r>
    </w:p>
    <w:p w14:paraId="0C4144AC" w14:textId="77777777" w:rsidR="00E96E12" w:rsidRDefault="00E97765">
      <w:pPr>
        <w:tabs>
          <w:tab w:val="left" w:pos="567"/>
        </w:tabs>
        <w:ind w:right="-29"/>
        <w:rPr>
          <w:bCs/>
          <w:noProof/>
          <w:snapToGrid w:val="0"/>
          <w:szCs w:val="22"/>
        </w:rPr>
      </w:pPr>
      <w:r>
        <w:rPr>
          <w:bCs/>
          <w:noProof/>
          <w:snapToGrid w:val="0"/>
          <w:szCs w:val="22"/>
        </w:rPr>
        <w:t>Dažni šalutinio poveikio reiškiniai (gali pasireikšti rečiau kaip 1 iš 10 asmenų)</w:t>
      </w:r>
    </w:p>
    <w:p w14:paraId="3EF41F80" w14:textId="77777777" w:rsidR="00E96E12" w:rsidRDefault="00E97765">
      <w:pPr>
        <w:widowControl w:val="0"/>
        <w:numPr>
          <w:ilvl w:val="0"/>
          <w:numId w:val="7"/>
        </w:numPr>
        <w:tabs>
          <w:tab w:val="left" w:pos="567"/>
        </w:tabs>
        <w:ind w:left="567"/>
        <w:rPr>
          <w:szCs w:val="22"/>
        </w:rPr>
      </w:pPr>
      <w:r>
        <w:rPr>
          <w:szCs w:val="22"/>
          <w:lang w:eastAsia="lt-LT"/>
        </w:rPr>
        <w:t>lytinių organų (varpos ar makšties) infekcija (pienligė) (galimi jos požymiai yra dirginimas,</w:t>
      </w:r>
      <w:r>
        <w:rPr>
          <w:szCs w:val="22"/>
        </w:rPr>
        <w:t xml:space="preserve"> </w:t>
      </w:r>
      <w:r>
        <w:rPr>
          <w:szCs w:val="22"/>
          <w:lang w:eastAsia="lt-LT"/>
        </w:rPr>
        <w:t>niežulys, neįprastos išskyros ar kvapas)</w:t>
      </w:r>
    </w:p>
    <w:p w14:paraId="36694100" w14:textId="77777777" w:rsidR="00E96E12" w:rsidRDefault="00E97765">
      <w:pPr>
        <w:widowControl w:val="0"/>
        <w:numPr>
          <w:ilvl w:val="0"/>
          <w:numId w:val="7"/>
        </w:numPr>
        <w:tabs>
          <w:tab w:val="left" w:pos="567"/>
        </w:tabs>
        <w:ind w:left="567"/>
        <w:rPr>
          <w:szCs w:val="22"/>
          <w:lang w:val="en-US"/>
        </w:rPr>
      </w:pPr>
      <w:r>
        <w:rPr>
          <w:szCs w:val="22"/>
          <w:lang w:eastAsia="lt-LT"/>
        </w:rPr>
        <w:t>nugaros skausmas</w:t>
      </w:r>
    </w:p>
    <w:p w14:paraId="7EEF6C1F" w14:textId="77777777" w:rsidR="00E96E12" w:rsidRDefault="00E97765">
      <w:pPr>
        <w:widowControl w:val="0"/>
        <w:numPr>
          <w:ilvl w:val="0"/>
          <w:numId w:val="7"/>
        </w:numPr>
        <w:tabs>
          <w:tab w:val="left" w:pos="567"/>
        </w:tabs>
        <w:ind w:left="567"/>
        <w:rPr>
          <w:szCs w:val="22"/>
          <w:lang w:val="pt-PT"/>
        </w:rPr>
      </w:pPr>
      <w:r>
        <w:rPr>
          <w:szCs w:val="22"/>
          <w:lang w:eastAsia="lt-LT"/>
        </w:rPr>
        <w:t>padidėjęs šlapimo kiekis ar padažnėjęs šlapinimasis</w:t>
      </w:r>
    </w:p>
    <w:p w14:paraId="4213DA45" w14:textId="77777777" w:rsidR="00E96E12" w:rsidRDefault="00E97765">
      <w:pPr>
        <w:widowControl w:val="0"/>
        <w:numPr>
          <w:ilvl w:val="0"/>
          <w:numId w:val="7"/>
        </w:numPr>
        <w:tabs>
          <w:tab w:val="left" w:pos="567"/>
        </w:tabs>
        <w:ind w:left="567"/>
        <w:rPr>
          <w:szCs w:val="22"/>
          <w:lang w:val="pt-PT"/>
        </w:rPr>
      </w:pPr>
      <w:r>
        <w:rPr>
          <w:szCs w:val="22"/>
          <w:lang w:eastAsia="lt-LT"/>
        </w:rPr>
        <w:t>pakitęs cholesterolio ar kraujo riebalų kiekis (nustatomas tyrimais)</w:t>
      </w:r>
    </w:p>
    <w:p w14:paraId="0EA97065" w14:textId="77777777" w:rsidR="00E96E12" w:rsidRDefault="00E97765">
      <w:pPr>
        <w:widowControl w:val="0"/>
        <w:numPr>
          <w:ilvl w:val="0"/>
          <w:numId w:val="7"/>
        </w:numPr>
        <w:tabs>
          <w:tab w:val="left" w:pos="567"/>
        </w:tabs>
        <w:ind w:left="567"/>
        <w:rPr>
          <w:szCs w:val="22"/>
          <w:lang w:val="pt-PT"/>
        </w:rPr>
      </w:pPr>
      <w:r>
        <w:rPr>
          <w:szCs w:val="22"/>
          <w:lang w:eastAsia="lt-LT"/>
        </w:rPr>
        <w:lastRenderedPageBreak/>
        <w:t>padidėjęs raudonųjų kraujo kūnelių kiekis (nustatomas tyrimais)</w:t>
      </w:r>
    </w:p>
    <w:p w14:paraId="154998AD" w14:textId="77777777" w:rsidR="00E96E12" w:rsidRDefault="00E97765">
      <w:pPr>
        <w:widowControl w:val="0"/>
        <w:numPr>
          <w:ilvl w:val="0"/>
          <w:numId w:val="7"/>
        </w:numPr>
        <w:tabs>
          <w:tab w:val="left" w:pos="567"/>
        </w:tabs>
        <w:ind w:left="567"/>
        <w:rPr>
          <w:szCs w:val="22"/>
          <w:lang w:val="pt-PT"/>
        </w:rPr>
      </w:pPr>
      <w:r>
        <w:rPr>
          <w:szCs w:val="22"/>
          <w:lang w:eastAsia="lt-LT"/>
        </w:rPr>
        <w:t>sumažėjęs inkstų kreatinino klirensas (nustatomas tyrimais) – pradedant gydyti</w:t>
      </w:r>
    </w:p>
    <w:p w14:paraId="4372F159" w14:textId="77777777" w:rsidR="00E96E12" w:rsidRDefault="00E97765">
      <w:pPr>
        <w:widowControl w:val="0"/>
        <w:numPr>
          <w:ilvl w:val="0"/>
          <w:numId w:val="7"/>
        </w:numPr>
        <w:tabs>
          <w:tab w:val="left" w:pos="567"/>
        </w:tabs>
        <w:ind w:left="567"/>
        <w:rPr>
          <w:szCs w:val="22"/>
          <w:lang w:val="en-US"/>
        </w:rPr>
      </w:pPr>
      <w:r>
        <w:rPr>
          <w:szCs w:val="22"/>
          <w:lang w:eastAsia="lt-LT"/>
        </w:rPr>
        <w:t>galvos svaigimas</w:t>
      </w:r>
    </w:p>
    <w:p w14:paraId="2BA1CEA2" w14:textId="77777777" w:rsidR="00E96E12" w:rsidRDefault="00E97765">
      <w:pPr>
        <w:widowControl w:val="0"/>
        <w:numPr>
          <w:ilvl w:val="0"/>
          <w:numId w:val="7"/>
        </w:numPr>
        <w:tabs>
          <w:tab w:val="left" w:pos="567"/>
        </w:tabs>
        <w:ind w:left="567"/>
        <w:rPr>
          <w:szCs w:val="22"/>
          <w:lang w:val="en-US"/>
        </w:rPr>
      </w:pPr>
      <w:r>
        <w:rPr>
          <w:szCs w:val="22"/>
          <w:lang w:eastAsia="lt-LT"/>
        </w:rPr>
        <w:t>išbėrimas</w:t>
      </w:r>
    </w:p>
    <w:p w14:paraId="7980D485" w14:textId="77777777" w:rsidR="00E96E12" w:rsidRDefault="00E96E12">
      <w:pPr>
        <w:tabs>
          <w:tab w:val="left" w:pos="567"/>
        </w:tabs>
        <w:ind w:right="-29"/>
        <w:rPr>
          <w:szCs w:val="22"/>
          <w:lang w:eastAsia="lt-LT"/>
        </w:rPr>
      </w:pPr>
    </w:p>
    <w:p w14:paraId="5E65F0F2" w14:textId="77777777" w:rsidR="00E96E12" w:rsidRDefault="00E97765">
      <w:pPr>
        <w:tabs>
          <w:tab w:val="left" w:pos="567"/>
        </w:tabs>
        <w:ind w:right="-29"/>
        <w:rPr>
          <w:bCs/>
          <w:noProof/>
          <w:snapToGrid w:val="0"/>
          <w:szCs w:val="22"/>
        </w:rPr>
      </w:pPr>
      <w:r>
        <w:rPr>
          <w:bCs/>
          <w:noProof/>
          <w:snapToGrid w:val="0"/>
          <w:szCs w:val="22"/>
        </w:rPr>
        <w:t>Nedažni šalutinio poveikio reiškiniai (gali pasireikšti rečiau kaip 1 iš 100 asmenų):</w:t>
      </w:r>
    </w:p>
    <w:p w14:paraId="07D94CDC" w14:textId="77777777" w:rsidR="00E96E12" w:rsidRDefault="00E97765">
      <w:pPr>
        <w:widowControl w:val="0"/>
        <w:numPr>
          <w:ilvl w:val="0"/>
          <w:numId w:val="7"/>
        </w:numPr>
        <w:tabs>
          <w:tab w:val="left" w:pos="567"/>
        </w:tabs>
        <w:ind w:left="567"/>
        <w:rPr>
          <w:szCs w:val="22"/>
        </w:rPr>
      </w:pPr>
      <w:r>
        <w:rPr>
          <w:szCs w:val="22"/>
          <w:lang w:eastAsia="lt-LT"/>
        </w:rPr>
        <w:t>per didelio skysčio kiekio netekimas (dehidratacija), dėl kurio burna gali pasidaryti labai sausa</w:t>
      </w:r>
      <w:r>
        <w:rPr>
          <w:szCs w:val="22"/>
        </w:rPr>
        <w:t xml:space="preserve"> </w:t>
      </w:r>
      <w:r>
        <w:rPr>
          <w:szCs w:val="22"/>
          <w:lang w:eastAsia="lt-LT"/>
        </w:rPr>
        <w:t>ar lipni, sumažėti arba visai neišsiskirti šlapimo, padažnėti širdies veikla</w:t>
      </w:r>
    </w:p>
    <w:p w14:paraId="36663857" w14:textId="77777777" w:rsidR="00E96E12" w:rsidRDefault="00E97765">
      <w:pPr>
        <w:widowControl w:val="0"/>
        <w:numPr>
          <w:ilvl w:val="0"/>
          <w:numId w:val="7"/>
        </w:numPr>
        <w:tabs>
          <w:tab w:val="left" w:pos="567"/>
        </w:tabs>
        <w:ind w:left="567"/>
        <w:rPr>
          <w:szCs w:val="22"/>
          <w:lang w:val="en-US"/>
        </w:rPr>
      </w:pPr>
      <w:r>
        <w:rPr>
          <w:szCs w:val="22"/>
          <w:lang w:eastAsia="lt-LT"/>
        </w:rPr>
        <w:t>troškulys</w:t>
      </w:r>
    </w:p>
    <w:p w14:paraId="0A8C1FBA" w14:textId="77777777" w:rsidR="00E96E12" w:rsidRDefault="00E97765">
      <w:pPr>
        <w:widowControl w:val="0"/>
        <w:numPr>
          <w:ilvl w:val="0"/>
          <w:numId w:val="7"/>
        </w:numPr>
        <w:tabs>
          <w:tab w:val="left" w:pos="567"/>
        </w:tabs>
        <w:ind w:left="567"/>
        <w:rPr>
          <w:szCs w:val="22"/>
          <w:lang w:val="en-US"/>
        </w:rPr>
      </w:pPr>
      <w:r>
        <w:rPr>
          <w:szCs w:val="22"/>
          <w:lang w:eastAsia="lt-LT"/>
        </w:rPr>
        <w:t>vidurių užkietėjimas</w:t>
      </w:r>
    </w:p>
    <w:p w14:paraId="3CA9C5F0" w14:textId="77777777" w:rsidR="00E96E12" w:rsidRDefault="00E97765">
      <w:pPr>
        <w:widowControl w:val="0"/>
        <w:numPr>
          <w:ilvl w:val="0"/>
          <w:numId w:val="7"/>
        </w:numPr>
        <w:tabs>
          <w:tab w:val="left" w:pos="567"/>
        </w:tabs>
        <w:ind w:left="567"/>
        <w:rPr>
          <w:szCs w:val="22"/>
          <w:lang w:val="en-US"/>
        </w:rPr>
      </w:pPr>
      <w:r>
        <w:rPr>
          <w:szCs w:val="22"/>
          <w:lang w:eastAsia="lt-LT"/>
        </w:rPr>
        <w:t>naktiniai prabudimai šlapintis</w:t>
      </w:r>
    </w:p>
    <w:p w14:paraId="581B57D6" w14:textId="77777777" w:rsidR="00E96E12" w:rsidRDefault="00E97765">
      <w:pPr>
        <w:widowControl w:val="0"/>
        <w:numPr>
          <w:ilvl w:val="0"/>
          <w:numId w:val="7"/>
        </w:numPr>
        <w:tabs>
          <w:tab w:val="left" w:pos="567"/>
        </w:tabs>
        <w:ind w:left="567"/>
        <w:rPr>
          <w:szCs w:val="22"/>
          <w:lang w:val="en-US"/>
        </w:rPr>
      </w:pPr>
      <w:r>
        <w:rPr>
          <w:szCs w:val="22"/>
          <w:lang w:eastAsia="lt-LT"/>
        </w:rPr>
        <w:t>sausa burna</w:t>
      </w:r>
    </w:p>
    <w:p w14:paraId="2C0589CE" w14:textId="77777777" w:rsidR="00E96E12" w:rsidRDefault="00E97765">
      <w:pPr>
        <w:widowControl w:val="0"/>
        <w:numPr>
          <w:ilvl w:val="0"/>
          <w:numId w:val="7"/>
        </w:numPr>
        <w:tabs>
          <w:tab w:val="left" w:pos="567"/>
        </w:tabs>
        <w:ind w:left="567"/>
        <w:rPr>
          <w:szCs w:val="22"/>
          <w:lang w:val="en-US"/>
        </w:rPr>
      </w:pPr>
      <w:r>
        <w:rPr>
          <w:szCs w:val="22"/>
          <w:lang w:eastAsia="lt-LT"/>
        </w:rPr>
        <w:t>sumažėjęs kūno svoris</w:t>
      </w:r>
    </w:p>
    <w:p w14:paraId="6B846E3D" w14:textId="77777777" w:rsidR="00E96E12" w:rsidRDefault="00E97765">
      <w:pPr>
        <w:widowControl w:val="0"/>
        <w:numPr>
          <w:ilvl w:val="0"/>
          <w:numId w:val="7"/>
        </w:numPr>
        <w:tabs>
          <w:tab w:val="left" w:pos="567"/>
        </w:tabs>
        <w:ind w:left="567"/>
        <w:rPr>
          <w:szCs w:val="22"/>
          <w:lang w:val="en-US"/>
        </w:rPr>
      </w:pPr>
      <w:r>
        <w:rPr>
          <w:szCs w:val="22"/>
          <w:lang w:eastAsia="lt-LT"/>
        </w:rPr>
        <w:t>padidėjęs kreatinino kiekis (nustatomas laboratoriniais tyrimais) – pradedant gydyti</w:t>
      </w:r>
    </w:p>
    <w:p w14:paraId="52860229" w14:textId="77777777" w:rsidR="00E96E12" w:rsidRDefault="00E97765">
      <w:pPr>
        <w:widowControl w:val="0"/>
        <w:numPr>
          <w:ilvl w:val="0"/>
          <w:numId w:val="7"/>
        </w:numPr>
        <w:tabs>
          <w:tab w:val="left" w:pos="567"/>
        </w:tabs>
        <w:ind w:left="567"/>
        <w:rPr>
          <w:szCs w:val="22"/>
          <w:lang w:val="pt-PT"/>
        </w:rPr>
      </w:pPr>
      <w:r>
        <w:rPr>
          <w:szCs w:val="22"/>
          <w:lang w:eastAsia="lt-LT"/>
        </w:rPr>
        <w:t>padidėjęs šlapalo kiekis (nustatomas laboratoriniais tyrimais)</w:t>
      </w:r>
    </w:p>
    <w:p w14:paraId="7A0DBD3A" w14:textId="77777777" w:rsidR="00E96E12" w:rsidRDefault="00E96E12">
      <w:pPr>
        <w:tabs>
          <w:tab w:val="left" w:pos="567"/>
        </w:tabs>
        <w:ind w:right="-29"/>
        <w:rPr>
          <w:bCs/>
          <w:noProof/>
          <w:snapToGrid w:val="0"/>
          <w:szCs w:val="22"/>
        </w:rPr>
      </w:pPr>
    </w:p>
    <w:p w14:paraId="7C214E35" w14:textId="77777777" w:rsidR="00E96E12" w:rsidRDefault="00E97765">
      <w:pPr>
        <w:tabs>
          <w:tab w:val="left" w:pos="567"/>
        </w:tabs>
        <w:ind w:right="-29"/>
        <w:rPr>
          <w:bCs/>
          <w:noProof/>
          <w:snapToGrid w:val="0"/>
          <w:szCs w:val="22"/>
        </w:rPr>
      </w:pPr>
      <w:r>
        <w:rPr>
          <w:bCs/>
          <w:noProof/>
          <w:snapToGrid w:val="0"/>
          <w:szCs w:val="22"/>
        </w:rPr>
        <w:t>Labai reti šalutinio poveikio reiškiniai (gali pasireikšti rečiau kaip 1 iš 10 000 asmenų):</w:t>
      </w:r>
    </w:p>
    <w:p w14:paraId="24C23613" w14:textId="77777777" w:rsidR="00E96E12" w:rsidRDefault="00E97765">
      <w:pPr>
        <w:widowControl w:val="0"/>
        <w:numPr>
          <w:ilvl w:val="0"/>
          <w:numId w:val="9"/>
        </w:numPr>
        <w:ind w:left="567" w:right="-2" w:hanging="567"/>
        <w:contextualSpacing/>
        <w:rPr>
          <w:szCs w:val="22"/>
          <w:lang w:val="en-GB" w:eastAsia="sl-SI"/>
        </w:rPr>
      </w:pPr>
      <w:r>
        <w:rPr>
          <w:szCs w:val="22"/>
          <w:lang w:eastAsia="lt-LT"/>
        </w:rPr>
        <w:t>inkstų uždegimas (</w:t>
      </w:r>
      <w:proofErr w:type="spellStart"/>
      <w:r>
        <w:rPr>
          <w:szCs w:val="22"/>
          <w:lang w:eastAsia="lt-LT"/>
        </w:rPr>
        <w:t>tubulointersticinis</w:t>
      </w:r>
      <w:proofErr w:type="spellEnd"/>
      <w:r>
        <w:rPr>
          <w:szCs w:val="22"/>
          <w:lang w:eastAsia="lt-LT"/>
        </w:rPr>
        <w:t xml:space="preserve"> nefritas)</w:t>
      </w:r>
    </w:p>
    <w:p w14:paraId="49A14341" w14:textId="77777777" w:rsidR="00E96E12" w:rsidRDefault="00E96E12">
      <w:pPr>
        <w:tabs>
          <w:tab w:val="left" w:pos="567"/>
        </w:tabs>
        <w:rPr>
          <w:b/>
          <w:noProof/>
          <w:snapToGrid w:val="0"/>
        </w:rPr>
      </w:pPr>
    </w:p>
    <w:p w14:paraId="4A9DF1F9" w14:textId="77777777" w:rsidR="00E96E12" w:rsidRDefault="00E97765">
      <w:pPr>
        <w:tabs>
          <w:tab w:val="left" w:pos="567"/>
        </w:tabs>
        <w:rPr>
          <w:b/>
          <w:snapToGrid w:val="0"/>
        </w:rPr>
      </w:pPr>
      <w:r>
        <w:rPr>
          <w:b/>
          <w:noProof/>
          <w:snapToGrid w:val="0"/>
        </w:rPr>
        <w:t>Pranešimas apie šalutinį poveikį</w:t>
      </w:r>
    </w:p>
    <w:p w14:paraId="2858C3BC" w14:textId="77777777" w:rsidR="00E96E12" w:rsidRDefault="00E97765">
      <w:pPr>
        <w:tabs>
          <w:tab w:val="left" w:pos="567"/>
        </w:tabs>
        <w:spacing w:line="260" w:lineRule="exact"/>
        <w:ind w:right="-449"/>
        <w:rPr>
          <w:noProof/>
          <w:snapToGrid w:val="0"/>
        </w:rPr>
      </w:pPr>
      <w:r>
        <w:rPr>
          <w:szCs w:val="22"/>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szCs w:val="22"/>
          <w:u w:val="single"/>
          <w:lang w:eastAsia="lt-LT"/>
        </w:rPr>
        <w:t>https://vvkt.lrv.lt/lt/</w:t>
      </w:r>
      <w:r>
        <w:rPr>
          <w:szCs w:val="22"/>
          <w:lang w:eastAsia="lt-LT"/>
        </w:rPr>
        <w:t xml:space="preserve"> nurodytais būdais arba paskambinti nemokamu telefonu 8 800 73 568. Pranešdami apie šalutinį poveikį galite mums padėti gauti daugiau informacijos apie šio vaisto saugumą</w:t>
      </w:r>
    </w:p>
    <w:p w14:paraId="7059DACF" w14:textId="77777777" w:rsidR="00E96E12" w:rsidRDefault="00E96E12">
      <w:pPr>
        <w:tabs>
          <w:tab w:val="left" w:pos="567"/>
        </w:tabs>
        <w:spacing w:line="260" w:lineRule="exact"/>
        <w:ind w:right="-449"/>
        <w:rPr>
          <w:noProof/>
          <w:snapToGrid w:val="0"/>
        </w:rPr>
      </w:pPr>
    </w:p>
    <w:p w14:paraId="422C3D65" w14:textId="77777777" w:rsidR="00E96E12" w:rsidRDefault="00E97765">
      <w:pPr>
        <w:keepNext/>
        <w:keepLines/>
        <w:tabs>
          <w:tab w:val="left" w:pos="567"/>
        </w:tabs>
        <w:outlineLvl w:val="2"/>
        <w:rPr>
          <w:b/>
          <w:bCs/>
          <w:snapToGrid w:val="0"/>
          <w:szCs w:val="26"/>
          <w:lang w:eastAsia="x-none"/>
        </w:rPr>
      </w:pPr>
      <w:r>
        <w:rPr>
          <w:b/>
          <w:bCs/>
          <w:snapToGrid w:val="0"/>
          <w:szCs w:val="26"/>
          <w:lang w:eastAsia="x-none"/>
        </w:rPr>
        <w:t>5.</w:t>
      </w:r>
      <w:r>
        <w:rPr>
          <w:b/>
          <w:bCs/>
          <w:snapToGrid w:val="0"/>
          <w:szCs w:val="26"/>
          <w:lang w:eastAsia="x-none"/>
        </w:rPr>
        <w:tab/>
        <w:t xml:space="preserve">Kaip laikyti </w:t>
      </w:r>
      <w:proofErr w:type="spellStart"/>
      <w:r>
        <w:rPr>
          <w:b/>
          <w:bCs/>
          <w:snapToGrid w:val="0"/>
          <w:szCs w:val="26"/>
          <w:lang w:eastAsia="x-none"/>
        </w:rPr>
        <w:t>Dagrafors</w:t>
      </w:r>
      <w:proofErr w:type="spellEnd"/>
    </w:p>
    <w:p w14:paraId="363C31D2" w14:textId="77777777" w:rsidR="00E96E12" w:rsidRDefault="00E96E12">
      <w:pPr>
        <w:numPr>
          <w:ilvl w:val="12"/>
          <w:numId w:val="0"/>
        </w:numPr>
        <w:ind w:right="-2"/>
        <w:rPr>
          <w:snapToGrid w:val="0"/>
        </w:rPr>
      </w:pPr>
    </w:p>
    <w:p w14:paraId="3E500EDE" w14:textId="77777777" w:rsidR="00E96E12" w:rsidRDefault="00E97765">
      <w:pPr>
        <w:numPr>
          <w:ilvl w:val="12"/>
          <w:numId w:val="0"/>
        </w:numPr>
        <w:ind w:right="-2"/>
        <w:rPr>
          <w:snapToGrid w:val="0"/>
        </w:rPr>
      </w:pPr>
      <w:r>
        <w:rPr>
          <w:noProof/>
          <w:snapToGrid w:val="0"/>
        </w:rPr>
        <w:t>Šį vaistą laikykite vaikams nepastebimoje ir nepasiekiamoje vietoje.</w:t>
      </w:r>
    </w:p>
    <w:p w14:paraId="205742BA" w14:textId="77777777" w:rsidR="00E96E12" w:rsidRDefault="00E96E12">
      <w:pPr>
        <w:numPr>
          <w:ilvl w:val="12"/>
          <w:numId w:val="0"/>
        </w:numPr>
        <w:ind w:right="-2"/>
        <w:rPr>
          <w:snapToGrid w:val="0"/>
        </w:rPr>
      </w:pPr>
    </w:p>
    <w:p w14:paraId="4EA79882" w14:textId="77777777" w:rsidR="00E96E12" w:rsidRDefault="00E97765">
      <w:pPr>
        <w:numPr>
          <w:ilvl w:val="12"/>
          <w:numId w:val="0"/>
        </w:numPr>
        <w:ind w:right="-2"/>
        <w:rPr>
          <w:snapToGrid w:val="0"/>
        </w:rPr>
      </w:pPr>
      <w:r>
        <w:rPr>
          <w:noProof/>
          <w:snapToGrid w:val="0"/>
        </w:rPr>
        <w:t>Ant lizdinės plokštelės ar dėžutės po „EXP“ nurodytam tinkamumo laikui pasibaigus, šio vaisto vartoti negalima.</w:t>
      </w:r>
      <w:r>
        <w:rPr>
          <w:snapToGrid w:val="0"/>
        </w:rPr>
        <w:t xml:space="preserve"> </w:t>
      </w:r>
      <w:r>
        <w:rPr>
          <w:noProof/>
          <w:snapToGrid w:val="0"/>
        </w:rPr>
        <w:t>Vaistas tinkamas vartoti iki paskutinės nurodyto mėnesio dienos.</w:t>
      </w:r>
    </w:p>
    <w:p w14:paraId="0E92A33F" w14:textId="77777777" w:rsidR="00E96E12" w:rsidRDefault="00E96E12">
      <w:pPr>
        <w:numPr>
          <w:ilvl w:val="12"/>
          <w:numId w:val="0"/>
        </w:numPr>
        <w:ind w:right="-2"/>
        <w:rPr>
          <w:snapToGrid w:val="0"/>
        </w:rPr>
      </w:pPr>
    </w:p>
    <w:p w14:paraId="2A8D7092" w14:textId="77777777" w:rsidR="00E96E12" w:rsidRDefault="00E97765">
      <w:pPr>
        <w:numPr>
          <w:ilvl w:val="12"/>
          <w:numId w:val="0"/>
        </w:numPr>
        <w:ind w:right="-2"/>
        <w:rPr>
          <w:szCs w:val="22"/>
          <w:lang w:eastAsia="lt-LT"/>
        </w:rPr>
      </w:pPr>
      <w:r>
        <w:rPr>
          <w:szCs w:val="22"/>
          <w:lang w:eastAsia="lt-LT"/>
        </w:rPr>
        <w:t>Šiam vaistui specialių laikymo sąlygų nereikia.</w:t>
      </w:r>
    </w:p>
    <w:p w14:paraId="0F244BDC" w14:textId="77777777" w:rsidR="00E96E12" w:rsidRDefault="00E96E12">
      <w:pPr>
        <w:numPr>
          <w:ilvl w:val="12"/>
          <w:numId w:val="0"/>
        </w:numPr>
        <w:ind w:right="-2"/>
        <w:rPr>
          <w:snapToGrid w:val="0"/>
        </w:rPr>
      </w:pPr>
    </w:p>
    <w:p w14:paraId="7E7F00F3" w14:textId="77777777" w:rsidR="00E96E12" w:rsidRDefault="00E97765">
      <w:pPr>
        <w:numPr>
          <w:ilvl w:val="12"/>
          <w:numId w:val="0"/>
        </w:numPr>
        <w:ind w:right="-2"/>
        <w:rPr>
          <w:i/>
          <w:snapToGrid w:val="0"/>
          <w:szCs w:val="20"/>
        </w:rPr>
      </w:pPr>
      <w:r>
        <w:rPr>
          <w:noProof/>
          <w:snapToGrid w:val="0"/>
        </w:rPr>
        <w:t>Vaistų negalima išmesti į kanalizaciją arba su buitinėmis atliekomis.</w:t>
      </w:r>
      <w:r>
        <w:rPr>
          <w:snapToGrid w:val="0"/>
        </w:rPr>
        <w:t xml:space="preserve"> </w:t>
      </w:r>
      <w:r>
        <w:rPr>
          <w:noProof/>
          <w:snapToGrid w:val="0"/>
        </w:rPr>
        <w:t>Kaip išmesti nereikalingus vaistus, klauskite vaistininko.</w:t>
      </w:r>
      <w:r>
        <w:rPr>
          <w:snapToGrid w:val="0"/>
        </w:rPr>
        <w:t xml:space="preserve"> </w:t>
      </w:r>
      <w:r>
        <w:rPr>
          <w:noProof/>
          <w:snapToGrid w:val="0"/>
        </w:rPr>
        <w:t>Šios priemonės padės apsaugoti aplinką.</w:t>
      </w:r>
    </w:p>
    <w:p w14:paraId="695455CC" w14:textId="77777777" w:rsidR="00E96E12" w:rsidRDefault="00E96E12">
      <w:pPr>
        <w:numPr>
          <w:ilvl w:val="12"/>
          <w:numId w:val="0"/>
        </w:numPr>
        <w:ind w:right="-2"/>
        <w:rPr>
          <w:noProof/>
          <w:snapToGrid w:val="0"/>
        </w:rPr>
      </w:pPr>
    </w:p>
    <w:p w14:paraId="636C661F" w14:textId="77777777" w:rsidR="00E96E12" w:rsidRDefault="00E96E12">
      <w:pPr>
        <w:numPr>
          <w:ilvl w:val="12"/>
          <w:numId w:val="0"/>
        </w:numPr>
        <w:ind w:right="-2"/>
        <w:rPr>
          <w:noProof/>
          <w:snapToGrid w:val="0"/>
        </w:rPr>
      </w:pPr>
    </w:p>
    <w:p w14:paraId="5096AC7F" w14:textId="77777777" w:rsidR="00E96E12" w:rsidRDefault="00E97765">
      <w:pPr>
        <w:keepNext/>
        <w:keepLines/>
        <w:tabs>
          <w:tab w:val="left" w:pos="567"/>
        </w:tabs>
        <w:outlineLvl w:val="2"/>
        <w:rPr>
          <w:b/>
          <w:bCs/>
          <w:snapToGrid w:val="0"/>
          <w:szCs w:val="26"/>
          <w:lang w:eastAsia="x-none"/>
        </w:rPr>
      </w:pPr>
      <w:r>
        <w:rPr>
          <w:b/>
          <w:bCs/>
          <w:snapToGrid w:val="0"/>
          <w:szCs w:val="26"/>
          <w:lang w:eastAsia="x-none"/>
        </w:rPr>
        <w:t>6.</w:t>
      </w:r>
      <w:r>
        <w:rPr>
          <w:bCs/>
          <w:snapToGrid w:val="0"/>
          <w:szCs w:val="26"/>
          <w:lang w:eastAsia="x-none"/>
        </w:rPr>
        <w:tab/>
      </w:r>
      <w:r>
        <w:rPr>
          <w:b/>
          <w:bCs/>
          <w:snapToGrid w:val="0"/>
          <w:szCs w:val="26"/>
          <w:lang w:eastAsia="x-none"/>
        </w:rPr>
        <w:t>Pakuotės turinys ir kita informacija</w:t>
      </w:r>
    </w:p>
    <w:p w14:paraId="3F6459EE" w14:textId="77777777" w:rsidR="00E96E12" w:rsidRDefault="00E96E12">
      <w:pPr>
        <w:numPr>
          <w:ilvl w:val="12"/>
          <w:numId w:val="0"/>
        </w:numPr>
        <w:rPr>
          <w:snapToGrid w:val="0"/>
        </w:rPr>
      </w:pPr>
    </w:p>
    <w:p w14:paraId="07DAD87B" w14:textId="77777777" w:rsidR="00E96E12" w:rsidRDefault="00E97765">
      <w:pPr>
        <w:keepNext/>
        <w:tabs>
          <w:tab w:val="left" w:pos="567"/>
        </w:tabs>
        <w:spacing w:line="260" w:lineRule="exact"/>
        <w:jc w:val="both"/>
        <w:outlineLvl w:val="3"/>
        <w:rPr>
          <w:b/>
          <w:bCs/>
          <w:snapToGrid w:val="0"/>
          <w:szCs w:val="28"/>
          <w:lang w:eastAsia="x-none"/>
        </w:rPr>
      </w:pPr>
      <w:proofErr w:type="spellStart"/>
      <w:r>
        <w:rPr>
          <w:b/>
          <w:bCs/>
          <w:snapToGrid w:val="0"/>
          <w:szCs w:val="28"/>
          <w:lang w:eastAsia="x-none"/>
        </w:rPr>
        <w:t>Dagrafors</w:t>
      </w:r>
      <w:proofErr w:type="spellEnd"/>
      <w:r>
        <w:rPr>
          <w:b/>
          <w:bCs/>
          <w:snapToGrid w:val="0"/>
          <w:szCs w:val="28"/>
          <w:lang w:eastAsia="x-none"/>
        </w:rPr>
        <w:t xml:space="preserve"> sudėtis</w:t>
      </w:r>
    </w:p>
    <w:p w14:paraId="71AF9210" w14:textId="77777777" w:rsidR="00E96E12" w:rsidRDefault="00E97765">
      <w:pPr>
        <w:numPr>
          <w:ilvl w:val="0"/>
          <w:numId w:val="3"/>
        </w:numPr>
        <w:tabs>
          <w:tab w:val="left" w:pos="567"/>
        </w:tabs>
        <w:spacing w:line="260" w:lineRule="exact"/>
        <w:ind w:right="-2"/>
        <w:rPr>
          <w:snapToGrid w:val="0"/>
        </w:rPr>
      </w:pPr>
      <w:r>
        <w:rPr>
          <w:noProof/>
          <w:snapToGrid w:val="0"/>
        </w:rPr>
        <w:t>Veiklioji medžiaga yra dapagliflozinas.</w:t>
      </w:r>
    </w:p>
    <w:p w14:paraId="77837688" w14:textId="77777777" w:rsidR="00E96E12" w:rsidRDefault="00E97765">
      <w:pPr>
        <w:tabs>
          <w:tab w:val="left" w:pos="567"/>
        </w:tabs>
        <w:spacing w:line="260" w:lineRule="exact"/>
        <w:ind w:left="207" w:right="-2"/>
        <w:rPr>
          <w:noProof/>
          <w:snapToGrid w:val="0"/>
          <w:u w:val="single"/>
        </w:rPr>
      </w:pPr>
      <w:r>
        <w:rPr>
          <w:noProof/>
          <w:snapToGrid w:val="0"/>
          <w:u w:val="single"/>
        </w:rPr>
        <w:t xml:space="preserve">Dagrafors </w:t>
      </w:r>
      <w:r>
        <w:rPr>
          <w:noProof/>
          <w:snapToGrid w:val="0"/>
          <w:u w:val="single"/>
          <w:lang w:val="en-US"/>
        </w:rPr>
        <w:t>5</w:t>
      </w:r>
      <w:r>
        <w:rPr>
          <w:noProof/>
          <w:snapToGrid w:val="0"/>
          <w:u w:val="single"/>
        </w:rPr>
        <w:t> mg plėvele dengtos tabletės</w:t>
      </w:r>
    </w:p>
    <w:p w14:paraId="09673007" w14:textId="77777777" w:rsidR="00E96E12" w:rsidRDefault="00E97765">
      <w:pPr>
        <w:autoSpaceDE w:val="0"/>
        <w:autoSpaceDN w:val="0"/>
        <w:adjustRightInd w:val="0"/>
        <w:ind w:left="207"/>
        <w:rPr>
          <w:szCs w:val="22"/>
          <w:lang w:eastAsia="lt-LT"/>
        </w:rPr>
      </w:pPr>
      <w:r>
        <w:rPr>
          <w:szCs w:val="22"/>
          <w:lang w:eastAsia="lt-LT"/>
        </w:rPr>
        <w:t xml:space="preserve">Kiekvienoje plėvele dengtoje tabletėje yra 5 mg dapagliflozino (iš dapagliflozino </w:t>
      </w:r>
      <w:proofErr w:type="spellStart"/>
      <w:r>
        <w:rPr>
          <w:szCs w:val="22"/>
          <w:lang w:eastAsia="lt-LT"/>
        </w:rPr>
        <w:t>propandiolio</w:t>
      </w:r>
      <w:proofErr w:type="spellEnd"/>
      <w:r>
        <w:rPr>
          <w:szCs w:val="22"/>
          <w:lang w:eastAsia="lt-LT"/>
        </w:rPr>
        <w:t xml:space="preserve"> </w:t>
      </w:r>
      <w:proofErr w:type="spellStart"/>
      <w:r>
        <w:rPr>
          <w:szCs w:val="22"/>
          <w:lang w:eastAsia="lt-LT"/>
        </w:rPr>
        <w:t>monohidrato</w:t>
      </w:r>
      <w:proofErr w:type="spellEnd"/>
      <w:r>
        <w:rPr>
          <w:szCs w:val="22"/>
          <w:lang w:eastAsia="lt-LT"/>
        </w:rPr>
        <w:t xml:space="preserve"> formos).</w:t>
      </w:r>
    </w:p>
    <w:p w14:paraId="56AA3051" w14:textId="77777777" w:rsidR="00E96E12" w:rsidRDefault="00E97765">
      <w:pPr>
        <w:tabs>
          <w:tab w:val="left" w:pos="567"/>
        </w:tabs>
        <w:spacing w:line="260" w:lineRule="exact"/>
        <w:ind w:left="207" w:right="-2"/>
        <w:rPr>
          <w:noProof/>
          <w:snapToGrid w:val="0"/>
          <w:u w:val="single"/>
        </w:rPr>
      </w:pPr>
      <w:r>
        <w:rPr>
          <w:noProof/>
          <w:snapToGrid w:val="0"/>
          <w:u w:val="single"/>
        </w:rPr>
        <w:t>Dagrafors 10 mg plėvele dengtos tabletės</w:t>
      </w:r>
    </w:p>
    <w:p w14:paraId="5A0C80F8" w14:textId="77777777" w:rsidR="00E96E12" w:rsidRDefault="00E97765">
      <w:pPr>
        <w:autoSpaceDE w:val="0"/>
        <w:autoSpaceDN w:val="0"/>
        <w:adjustRightInd w:val="0"/>
        <w:ind w:left="207"/>
        <w:rPr>
          <w:szCs w:val="22"/>
          <w:lang w:eastAsia="lt-LT"/>
        </w:rPr>
      </w:pPr>
      <w:r>
        <w:rPr>
          <w:szCs w:val="22"/>
          <w:lang w:eastAsia="lt-LT"/>
        </w:rPr>
        <w:t xml:space="preserve">Kiekvienoje plėvele dengtoje tabletėje yra 10 mg dapagliflozino (iš dapagliflozino </w:t>
      </w:r>
      <w:proofErr w:type="spellStart"/>
      <w:r>
        <w:rPr>
          <w:szCs w:val="22"/>
          <w:lang w:eastAsia="lt-LT"/>
        </w:rPr>
        <w:t>propandiolio</w:t>
      </w:r>
      <w:proofErr w:type="spellEnd"/>
      <w:r>
        <w:rPr>
          <w:szCs w:val="22"/>
          <w:lang w:eastAsia="lt-LT"/>
        </w:rPr>
        <w:t xml:space="preserve"> </w:t>
      </w:r>
      <w:proofErr w:type="spellStart"/>
      <w:r>
        <w:rPr>
          <w:szCs w:val="22"/>
          <w:lang w:eastAsia="lt-LT"/>
        </w:rPr>
        <w:t>monohidrato</w:t>
      </w:r>
      <w:proofErr w:type="spellEnd"/>
      <w:r>
        <w:rPr>
          <w:szCs w:val="22"/>
          <w:lang w:eastAsia="lt-LT"/>
        </w:rPr>
        <w:t xml:space="preserve"> formos).</w:t>
      </w:r>
    </w:p>
    <w:p w14:paraId="2CBC995D" w14:textId="77777777" w:rsidR="00E96E12" w:rsidRDefault="00E97765">
      <w:pPr>
        <w:numPr>
          <w:ilvl w:val="0"/>
          <w:numId w:val="3"/>
        </w:numPr>
        <w:tabs>
          <w:tab w:val="left" w:pos="567"/>
        </w:tabs>
        <w:spacing w:line="260" w:lineRule="exact"/>
        <w:ind w:right="-2"/>
        <w:rPr>
          <w:snapToGrid w:val="0"/>
        </w:rPr>
      </w:pPr>
      <w:r>
        <w:rPr>
          <w:noProof/>
          <w:snapToGrid w:val="0"/>
        </w:rPr>
        <w:t>Pagalbinės medžiagos yra</w:t>
      </w:r>
    </w:p>
    <w:p w14:paraId="5A545482" w14:textId="77777777" w:rsidR="00E96E12" w:rsidRDefault="00E97765">
      <w:pPr>
        <w:widowControl w:val="0"/>
        <w:numPr>
          <w:ilvl w:val="0"/>
          <w:numId w:val="10"/>
        </w:numPr>
        <w:autoSpaceDE w:val="0"/>
        <w:autoSpaceDN w:val="0"/>
        <w:adjustRightInd w:val="0"/>
        <w:rPr>
          <w:noProof/>
          <w:szCs w:val="22"/>
        </w:rPr>
      </w:pPr>
      <w:r>
        <w:rPr>
          <w:noProof/>
          <w:szCs w:val="22"/>
        </w:rPr>
        <w:t xml:space="preserve">tabletės šerdyje: mikrokristalinė celiuliozė, laktozė monohidratas, hidroksipropilceliuliozė, krospovidonas (A tipo), </w:t>
      </w:r>
      <w:proofErr w:type="spellStart"/>
      <w:r>
        <w:rPr>
          <w:szCs w:val="22"/>
        </w:rPr>
        <w:t>mikrokristalinė</w:t>
      </w:r>
      <w:proofErr w:type="spellEnd"/>
      <w:r>
        <w:rPr>
          <w:szCs w:val="22"/>
        </w:rPr>
        <w:t xml:space="preserve"> celiuliozė (102 tipo)</w:t>
      </w:r>
      <w:r>
        <w:rPr>
          <w:noProof/>
          <w:szCs w:val="22"/>
        </w:rPr>
        <w:t xml:space="preserve"> ir natrio stearilfumaratas;</w:t>
      </w:r>
    </w:p>
    <w:p w14:paraId="703AE341" w14:textId="77777777" w:rsidR="00E96E12" w:rsidRDefault="00E97765">
      <w:pPr>
        <w:widowControl w:val="0"/>
        <w:numPr>
          <w:ilvl w:val="0"/>
          <w:numId w:val="10"/>
        </w:numPr>
        <w:autoSpaceDE w:val="0"/>
        <w:autoSpaceDN w:val="0"/>
        <w:adjustRightInd w:val="0"/>
        <w:rPr>
          <w:noProof/>
          <w:szCs w:val="22"/>
        </w:rPr>
      </w:pPr>
      <w:r>
        <w:rPr>
          <w:noProof/>
          <w:szCs w:val="22"/>
        </w:rPr>
        <w:t xml:space="preserve">tabletės plėvelėje: </w:t>
      </w:r>
      <w:r>
        <w:rPr>
          <w:iCs/>
          <w:noProof/>
          <w:szCs w:val="22"/>
        </w:rPr>
        <w:t>polivinilo alkoholis</w:t>
      </w:r>
      <w:r>
        <w:rPr>
          <w:noProof/>
          <w:szCs w:val="22"/>
        </w:rPr>
        <w:t xml:space="preserve">, </w:t>
      </w:r>
      <w:r>
        <w:rPr>
          <w:iCs/>
          <w:noProof/>
          <w:szCs w:val="22"/>
        </w:rPr>
        <w:t>makrogolis 3350</w:t>
      </w:r>
      <w:r>
        <w:rPr>
          <w:noProof/>
          <w:szCs w:val="22"/>
        </w:rPr>
        <w:t xml:space="preserve">, </w:t>
      </w:r>
      <w:r>
        <w:rPr>
          <w:iCs/>
          <w:noProof/>
          <w:szCs w:val="22"/>
        </w:rPr>
        <w:t>titano dioksidas (E171)</w:t>
      </w:r>
      <w:r>
        <w:rPr>
          <w:noProof/>
          <w:szCs w:val="22"/>
        </w:rPr>
        <w:t xml:space="preserve">, </w:t>
      </w:r>
      <w:r>
        <w:rPr>
          <w:iCs/>
          <w:noProof/>
          <w:szCs w:val="22"/>
        </w:rPr>
        <w:t>talkas ir geltonasis geležies oksidas (E172)</w:t>
      </w:r>
      <w:r>
        <w:rPr>
          <w:noProof/>
          <w:szCs w:val="22"/>
        </w:rPr>
        <w:t xml:space="preserve">. </w:t>
      </w:r>
      <w:r>
        <w:rPr>
          <w:iCs/>
          <w:color w:val="000000"/>
          <w:szCs w:val="22"/>
          <w:lang w:eastAsia="ar-SA"/>
        </w:rPr>
        <w:t>Žr. 2 skyrių „</w:t>
      </w:r>
      <w:proofErr w:type="spellStart"/>
      <w:r>
        <w:rPr>
          <w:iCs/>
          <w:color w:val="000000"/>
          <w:szCs w:val="22"/>
          <w:lang w:eastAsia="ar-SA"/>
        </w:rPr>
        <w:t>Dagrafors</w:t>
      </w:r>
      <w:proofErr w:type="spellEnd"/>
      <w:r>
        <w:rPr>
          <w:iCs/>
          <w:color w:val="000000"/>
          <w:szCs w:val="22"/>
          <w:lang w:eastAsia="ar-SA"/>
        </w:rPr>
        <w:t xml:space="preserve"> sudėtyje yra laktozės ir natrio“.</w:t>
      </w:r>
    </w:p>
    <w:p w14:paraId="1E2D2143" w14:textId="77777777" w:rsidR="00E96E12" w:rsidRDefault="00E96E12">
      <w:pPr>
        <w:numPr>
          <w:ilvl w:val="12"/>
          <w:numId w:val="0"/>
        </w:numPr>
        <w:ind w:right="-2"/>
        <w:rPr>
          <w:snapToGrid w:val="0"/>
        </w:rPr>
      </w:pPr>
    </w:p>
    <w:p w14:paraId="4461C980" w14:textId="77777777" w:rsidR="00E96E12" w:rsidRDefault="00E97765">
      <w:pPr>
        <w:keepNext/>
        <w:tabs>
          <w:tab w:val="left" w:pos="567"/>
        </w:tabs>
        <w:spacing w:line="260" w:lineRule="exact"/>
        <w:jc w:val="both"/>
        <w:outlineLvl w:val="3"/>
        <w:rPr>
          <w:b/>
          <w:bCs/>
          <w:snapToGrid w:val="0"/>
          <w:szCs w:val="28"/>
          <w:lang w:eastAsia="x-none"/>
        </w:rPr>
      </w:pPr>
      <w:proofErr w:type="spellStart"/>
      <w:r>
        <w:rPr>
          <w:b/>
          <w:bCs/>
          <w:snapToGrid w:val="0"/>
          <w:szCs w:val="28"/>
          <w:lang w:eastAsia="x-none"/>
        </w:rPr>
        <w:lastRenderedPageBreak/>
        <w:t>Dagrafors</w:t>
      </w:r>
      <w:proofErr w:type="spellEnd"/>
      <w:r>
        <w:rPr>
          <w:b/>
          <w:bCs/>
          <w:snapToGrid w:val="0"/>
          <w:szCs w:val="28"/>
          <w:lang w:eastAsia="x-none"/>
        </w:rPr>
        <w:t xml:space="preserve"> išvaizda ir kiekis pakuotėje</w:t>
      </w:r>
    </w:p>
    <w:p w14:paraId="767C1C3F" w14:textId="77777777" w:rsidR="00E96E12" w:rsidRDefault="00E97765">
      <w:pPr>
        <w:numPr>
          <w:ilvl w:val="12"/>
          <w:numId w:val="0"/>
        </w:numPr>
        <w:ind w:right="-2"/>
        <w:rPr>
          <w:snapToGrid w:val="0"/>
        </w:rPr>
      </w:pPr>
      <w:r>
        <w:rPr>
          <w:snapToGrid w:val="0"/>
          <w:u w:val="single"/>
        </w:rPr>
        <w:t>5 mg</w:t>
      </w:r>
      <w:r>
        <w:rPr>
          <w:snapToGrid w:val="0"/>
        </w:rPr>
        <w:t>: šviesiai rusvai geltonos, apvalios, abipus išgaubtos, plėvele dengtos tabletės, kurių vienoje pusėje yra įraiža „5“. Tabletės dydis: skersmuo apytiksliai 7 mm.</w:t>
      </w:r>
    </w:p>
    <w:p w14:paraId="12549A8B" w14:textId="77777777" w:rsidR="00E96E12" w:rsidRDefault="00E97765">
      <w:pPr>
        <w:autoSpaceDE w:val="0"/>
        <w:autoSpaceDN w:val="0"/>
        <w:adjustRightInd w:val="0"/>
        <w:rPr>
          <w:rFonts w:eastAsia="TimesNewRoman"/>
          <w:szCs w:val="22"/>
          <w:lang w:eastAsia="lt-LT"/>
        </w:rPr>
      </w:pPr>
      <w:r>
        <w:rPr>
          <w:rFonts w:eastAsia="TimesNewRoman"/>
          <w:szCs w:val="22"/>
          <w:u w:val="single"/>
          <w:lang w:eastAsia="lt-LT"/>
        </w:rPr>
        <w:t>10 mg</w:t>
      </w:r>
      <w:r>
        <w:rPr>
          <w:rFonts w:eastAsia="TimesNewRoman"/>
          <w:szCs w:val="22"/>
          <w:lang w:eastAsia="lt-LT"/>
        </w:rPr>
        <w:t>: šviesiai rusvai geltonos, ovalios, abipus išgaubtos, plėvele dengtos tabletės su vagele vienoje pusėje. Viena laužimo vagelės pusė pažymėta „1“, o kita – „0“. Tabletę galima padalyti į lygias dozes. Tabletės dydis: apytiksliai 13 x 6,5 mm.</w:t>
      </w:r>
    </w:p>
    <w:p w14:paraId="52B99180" w14:textId="77777777" w:rsidR="00E96E12" w:rsidRDefault="00E96E12">
      <w:pPr>
        <w:numPr>
          <w:ilvl w:val="12"/>
          <w:numId w:val="0"/>
        </w:numPr>
        <w:ind w:right="-2"/>
        <w:rPr>
          <w:snapToGrid w:val="0"/>
        </w:rPr>
      </w:pPr>
    </w:p>
    <w:p w14:paraId="340FAE86" w14:textId="77777777" w:rsidR="00E96E12" w:rsidRDefault="00E97765">
      <w:pPr>
        <w:numPr>
          <w:ilvl w:val="12"/>
          <w:numId w:val="0"/>
        </w:numPr>
        <w:ind w:right="-2"/>
        <w:rPr>
          <w:snapToGrid w:val="0"/>
        </w:rPr>
      </w:pPr>
      <w:proofErr w:type="spellStart"/>
      <w:r>
        <w:rPr>
          <w:snapToGrid w:val="0"/>
        </w:rPr>
        <w:t>Dagrafors</w:t>
      </w:r>
      <w:proofErr w:type="spellEnd"/>
      <w:r>
        <w:rPr>
          <w:snapToGrid w:val="0"/>
        </w:rPr>
        <w:t xml:space="preserve"> tiekiamas pakuotėse, kuriose yra:</w:t>
      </w:r>
    </w:p>
    <w:p w14:paraId="58A7080B" w14:textId="77777777" w:rsidR="00E96E12" w:rsidRDefault="00E97765">
      <w:pPr>
        <w:widowControl w:val="0"/>
        <w:numPr>
          <w:ilvl w:val="0"/>
          <w:numId w:val="10"/>
        </w:numPr>
        <w:ind w:left="567" w:hanging="567"/>
        <w:contextualSpacing/>
        <w:rPr>
          <w:szCs w:val="22"/>
        </w:rPr>
      </w:pPr>
      <w:r>
        <w:rPr>
          <w:szCs w:val="22"/>
        </w:rPr>
        <w:t>14, 28, 30, 56, 60, 90, 98 arba 100 plėvele dengtų tablečių, neperforuotoje lizdinėje plokštelėje.</w:t>
      </w:r>
    </w:p>
    <w:p w14:paraId="1AEC8522" w14:textId="77777777" w:rsidR="00E96E12" w:rsidRDefault="00E97765">
      <w:pPr>
        <w:widowControl w:val="0"/>
        <w:numPr>
          <w:ilvl w:val="0"/>
          <w:numId w:val="10"/>
        </w:numPr>
        <w:ind w:left="567" w:hanging="567"/>
        <w:contextualSpacing/>
        <w:rPr>
          <w:szCs w:val="22"/>
        </w:rPr>
      </w:pPr>
      <w:r>
        <w:rPr>
          <w:szCs w:val="22"/>
        </w:rPr>
        <w:t>14, 28, 56 arba 98 plėvele dengtos tabletės, neperforuotoje lizdinėje plokštelėje, kalendorinėje pakuotėje.</w:t>
      </w:r>
    </w:p>
    <w:p w14:paraId="7EBC3BD8" w14:textId="77777777" w:rsidR="00E96E12" w:rsidRDefault="00E97765">
      <w:pPr>
        <w:widowControl w:val="0"/>
        <w:numPr>
          <w:ilvl w:val="0"/>
          <w:numId w:val="10"/>
        </w:numPr>
        <w:ind w:left="567" w:hanging="567"/>
        <w:contextualSpacing/>
        <w:rPr>
          <w:szCs w:val="22"/>
        </w:rPr>
      </w:pPr>
      <w:r>
        <w:rPr>
          <w:szCs w:val="22"/>
        </w:rPr>
        <w:t xml:space="preserve">14 x 1, 28 x 1, 30 x 1, 56 x 1, 60 x 1, 90 x 1, 98 x 1 arba 100 x 1 plėvele dengtų tablečių, perforuotoje </w:t>
      </w:r>
      <w:proofErr w:type="spellStart"/>
      <w:r>
        <w:rPr>
          <w:szCs w:val="22"/>
        </w:rPr>
        <w:t>dalomojoje</w:t>
      </w:r>
      <w:proofErr w:type="spellEnd"/>
      <w:r>
        <w:rPr>
          <w:szCs w:val="22"/>
        </w:rPr>
        <w:t xml:space="preserve"> lizdinėje plokštelėje.</w:t>
      </w:r>
    </w:p>
    <w:p w14:paraId="1650CD26" w14:textId="77777777" w:rsidR="00E96E12" w:rsidRDefault="00E97765">
      <w:pPr>
        <w:widowControl w:val="0"/>
        <w:numPr>
          <w:ilvl w:val="0"/>
          <w:numId w:val="10"/>
        </w:numPr>
        <w:ind w:left="567" w:hanging="567"/>
        <w:contextualSpacing/>
        <w:rPr>
          <w:szCs w:val="22"/>
        </w:rPr>
      </w:pPr>
      <w:r>
        <w:rPr>
          <w:szCs w:val="22"/>
        </w:rPr>
        <w:t xml:space="preserve">14 x 1, 28 x 1, 56 x 1 arba 98 x 1 </w:t>
      </w:r>
      <w:r>
        <w:rPr>
          <w:snapToGrid w:val="0"/>
        </w:rPr>
        <w:t xml:space="preserve">plėvele dengtos tabletės, perforuotoje </w:t>
      </w:r>
      <w:proofErr w:type="spellStart"/>
      <w:r>
        <w:rPr>
          <w:snapToGrid w:val="0"/>
        </w:rPr>
        <w:t>dalomojoje</w:t>
      </w:r>
      <w:proofErr w:type="spellEnd"/>
      <w:r>
        <w:rPr>
          <w:snapToGrid w:val="0"/>
        </w:rPr>
        <w:t xml:space="preserve"> lizdinėje plokštelėje, kalendorinėje pakuotėje.</w:t>
      </w:r>
    </w:p>
    <w:p w14:paraId="34DAF210" w14:textId="77777777" w:rsidR="00E96E12" w:rsidRDefault="00E96E12">
      <w:pPr>
        <w:widowControl w:val="0"/>
        <w:contextualSpacing/>
        <w:rPr>
          <w:szCs w:val="22"/>
        </w:rPr>
      </w:pPr>
    </w:p>
    <w:p w14:paraId="4E851FAF" w14:textId="77777777" w:rsidR="00E96E12" w:rsidRDefault="00E97765">
      <w:pPr>
        <w:widowControl w:val="0"/>
        <w:contextualSpacing/>
        <w:rPr>
          <w:szCs w:val="22"/>
        </w:rPr>
      </w:pPr>
      <w:r>
        <w:rPr>
          <w:szCs w:val="22"/>
          <w:lang w:eastAsia="lt-LT"/>
        </w:rPr>
        <w:t>Gali būti tiekiamos ne visų dydžių pakuotės.</w:t>
      </w:r>
    </w:p>
    <w:p w14:paraId="641D6E8A" w14:textId="77777777" w:rsidR="00E96E12" w:rsidRDefault="00E96E12">
      <w:pPr>
        <w:widowControl w:val="0"/>
        <w:contextualSpacing/>
        <w:rPr>
          <w:szCs w:val="22"/>
        </w:rPr>
      </w:pPr>
    </w:p>
    <w:p w14:paraId="58268889" w14:textId="77777777" w:rsidR="00E96E12" w:rsidRDefault="00E97765">
      <w:pPr>
        <w:keepNext/>
        <w:tabs>
          <w:tab w:val="left" w:pos="567"/>
        </w:tabs>
        <w:spacing w:line="260" w:lineRule="exact"/>
        <w:jc w:val="both"/>
        <w:outlineLvl w:val="3"/>
        <w:rPr>
          <w:b/>
          <w:bCs/>
          <w:snapToGrid w:val="0"/>
          <w:szCs w:val="28"/>
          <w:lang w:eastAsia="x-none"/>
        </w:rPr>
      </w:pPr>
      <w:r>
        <w:rPr>
          <w:b/>
          <w:bCs/>
          <w:snapToGrid w:val="0"/>
          <w:szCs w:val="28"/>
          <w:lang w:eastAsia="x-none"/>
        </w:rPr>
        <w:t>Registruotojas ir gamintojas</w:t>
      </w:r>
    </w:p>
    <w:p w14:paraId="5950D8E5" w14:textId="77777777" w:rsidR="00E96E12" w:rsidRDefault="00E96E12">
      <w:pPr>
        <w:numPr>
          <w:ilvl w:val="12"/>
          <w:numId w:val="0"/>
        </w:numPr>
        <w:ind w:right="-2"/>
        <w:rPr>
          <w:snapToGrid w:val="0"/>
        </w:rPr>
      </w:pPr>
    </w:p>
    <w:p w14:paraId="0D9D9CF7" w14:textId="77777777" w:rsidR="00E96E12" w:rsidRDefault="00E97765">
      <w:pPr>
        <w:widowControl w:val="0"/>
        <w:tabs>
          <w:tab w:val="left" w:pos="540"/>
        </w:tabs>
        <w:rPr>
          <w:rFonts w:eastAsia="Calibri"/>
          <w:szCs w:val="22"/>
        </w:rPr>
      </w:pPr>
      <w:r>
        <w:rPr>
          <w:rFonts w:eastAsia="Calibri"/>
          <w:szCs w:val="22"/>
        </w:rPr>
        <w:t xml:space="preserve">KRKA, </w:t>
      </w:r>
      <w:proofErr w:type="spellStart"/>
      <w:r>
        <w:rPr>
          <w:rFonts w:eastAsia="Calibri"/>
          <w:szCs w:val="22"/>
        </w:rPr>
        <w:t>d.d</w:t>
      </w:r>
      <w:proofErr w:type="spellEnd"/>
      <w:r>
        <w:rPr>
          <w:rFonts w:eastAsia="Calibri"/>
          <w:szCs w:val="22"/>
        </w:rPr>
        <w:t>. Novo mesto</w:t>
      </w:r>
    </w:p>
    <w:p w14:paraId="729B660D" w14:textId="77777777" w:rsidR="00E96E12" w:rsidRDefault="00E97765">
      <w:pPr>
        <w:widowControl w:val="0"/>
        <w:tabs>
          <w:tab w:val="left" w:pos="540"/>
        </w:tabs>
        <w:rPr>
          <w:rFonts w:eastAsia="Calibri"/>
          <w:szCs w:val="22"/>
        </w:rPr>
      </w:pPr>
      <w:proofErr w:type="spellStart"/>
      <w:r>
        <w:rPr>
          <w:rFonts w:eastAsia="Calibri"/>
          <w:szCs w:val="22"/>
        </w:rPr>
        <w:t>Šmarješka</w:t>
      </w:r>
      <w:proofErr w:type="spellEnd"/>
      <w:r>
        <w:rPr>
          <w:rFonts w:eastAsia="Calibri"/>
          <w:szCs w:val="22"/>
        </w:rPr>
        <w:t xml:space="preserve"> </w:t>
      </w:r>
      <w:proofErr w:type="spellStart"/>
      <w:r>
        <w:rPr>
          <w:rFonts w:eastAsia="Calibri"/>
          <w:szCs w:val="22"/>
        </w:rPr>
        <w:t>cesta</w:t>
      </w:r>
      <w:proofErr w:type="spellEnd"/>
      <w:r>
        <w:rPr>
          <w:rFonts w:eastAsia="Calibri"/>
          <w:szCs w:val="22"/>
        </w:rPr>
        <w:t xml:space="preserve"> 6</w:t>
      </w:r>
    </w:p>
    <w:p w14:paraId="4EA6F503" w14:textId="77777777" w:rsidR="00E96E12" w:rsidRDefault="00E97765">
      <w:pPr>
        <w:widowControl w:val="0"/>
        <w:tabs>
          <w:tab w:val="left" w:pos="540"/>
        </w:tabs>
        <w:rPr>
          <w:rFonts w:eastAsia="Calibri"/>
          <w:szCs w:val="22"/>
        </w:rPr>
      </w:pPr>
      <w:r>
        <w:rPr>
          <w:rFonts w:eastAsia="Calibri"/>
          <w:szCs w:val="22"/>
        </w:rPr>
        <w:t>8501 Novo mesto</w:t>
      </w:r>
    </w:p>
    <w:p w14:paraId="76124A54" w14:textId="77777777" w:rsidR="00E96E12" w:rsidRDefault="00E97765">
      <w:pPr>
        <w:widowControl w:val="0"/>
        <w:tabs>
          <w:tab w:val="left" w:pos="540"/>
        </w:tabs>
        <w:rPr>
          <w:rFonts w:eastAsia="Calibri"/>
          <w:szCs w:val="22"/>
        </w:rPr>
      </w:pPr>
      <w:r>
        <w:rPr>
          <w:rFonts w:eastAsia="Calibri"/>
          <w:szCs w:val="22"/>
        </w:rPr>
        <w:t>Slovėnija</w:t>
      </w:r>
    </w:p>
    <w:p w14:paraId="36BA7B57" w14:textId="77777777" w:rsidR="00E96E12" w:rsidRDefault="00E96E12">
      <w:pPr>
        <w:numPr>
          <w:ilvl w:val="12"/>
          <w:numId w:val="0"/>
        </w:numPr>
        <w:ind w:right="-2"/>
        <w:rPr>
          <w:snapToGrid w:val="0"/>
        </w:rPr>
      </w:pPr>
    </w:p>
    <w:p w14:paraId="2B1A9824" w14:textId="77777777" w:rsidR="00E96E12" w:rsidRDefault="00E97765">
      <w:pPr>
        <w:tabs>
          <w:tab w:val="left" w:pos="567"/>
        </w:tabs>
        <w:ind w:right="-2"/>
        <w:rPr>
          <w:noProof/>
          <w:snapToGrid w:val="0"/>
          <w:szCs w:val="20"/>
        </w:rPr>
      </w:pPr>
      <w:r>
        <w:rPr>
          <w:noProof/>
          <w:snapToGrid w:val="0"/>
          <w:szCs w:val="20"/>
        </w:rPr>
        <w:t>Jeigu apie šį vaistą norite sužinoti daugiau, kreipkitės į vietinį registruotojo atstovą:</w:t>
      </w:r>
    </w:p>
    <w:p w14:paraId="364B6742" w14:textId="77777777" w:rsidR="00E96E12" w:rsidRDefault="00E96E12">
      <w:pPr>
        <w:tabs>
          <w:tab w:val="left" w:pos="567"/>
        </w:tabs>
        <w:rPr>
          <w:noProof/>
          <w:snapToGrid w:val="0"/>
        </w:rPr>
      </w:pPr>
    </w:p>
    <w:p w14:paraId="05C52213" w14:textId="77777777" w:rsidR="00E96E12" w:rsidRDefault="00E97765">
      <w:pPr>
        <w:numPr>
          <w:ilvl w:val="12"/>
          <w:numId w:val="0"/>
        </w:numPr>
        <w:tabs>
          <w:tab w:val="left" w:pos="1296"/>
        </w:tabs>
        <w:suppressAutoHyphens/>
        <w:ind w:right="-2"/>
        <w:rPr>
          <w:color w:val="000000"/>
          <w:szCs w:val="22"/>
          <w:lang w:eastAsia="ar-SA"/>
        </w:rPr>
      </w:pPr>
      <w:r>
        <w:rPr>
          <w:color w:val="000000"/>
          <w:szCs w:val="22"/>
          <w:lang w:eastAsia="ar-SA"/>
        </w:rPr>
        <w:t>UAB KRKA Lietuva</w:t>
      </w:r>
    </w:p>
    <w:p w14:paraId="76B8F73C" w14:textId="77777777" w:rsidR="00E96E12" w:rsidRDefault="00E97765">
      <w:pPr>
        <w:numPr>
          <w:ilvl w:val="12"/>
          <w:numId w:val="0"/>
        </w:numPr>
        <w:tabs>
          <w:tab w:val="left" w:pos="1296"/>
        </w:tabs>
        <w:suppressAutoHyphens/>
        <w:ind w:right="-2"/>
        <w:rPr>
          <w:color w:val="000000"/>
          <w:szCs w:val="22"/>
          <w:lang w:eastAsia="ar-SA"/>
        </w:rPr>
      </w:pPr>
      <w:r>
        <w:rPr>
          <w:color w:val="000000"/>
          <w:szCs w:val="22"/>
          <w:lang w:eastAsia="ar-SA"/>
        </w:rPr>
        <w:t>Senasis Ukmergės kelias 4,</w:t>
      </w:r>
    </w:p>
    <w:p w14:paraId="30F1ABD0" w14:textId="77777777" w:rsidR="00E96E12" w:rsidRDefault="00E97765">
      <w:pPr>
        <w:numPr>
          <w:ilvl w:val="12"/>
          <w:numId w:val="0"/>
        </w:numPr>
        <w:tabs>
          <w:tab w:val="left" w:pos="1296"/>
        </w:tabs>
        <w:suppressAutoHyphens/>
        <w:ind w:right="-2"/>
        <w:rPr>
          <w:color w:val="000000"/>
          <w:szCs w:val="22"/>
          <w:lang w:eastAsia="ar-SA"/>
        </w:rPr>
      </w:pPr>
      <w:proofErr w:type="spellStart"/>
      <w:r>
        <w:rPr>
          <w:color w:val="000000"/>
          <w:szCs w:val="22"/>
          <w:lang w:eastAsia="ar-SA"/>
        </w:rPr>
        <w:t>Užubalių</w:t>
      </w:r>
      <w:proofErr w:type="spellEnd"/>
      <w:r>
        <w:rPr>
          <w:color w:val="000000"/>
          <w:szCs w:val="22"/>
          <w:lang w:eastAsia="ar-SA"/>
        </w:rPr>
        <w:t xml:space="preserve"> km., Vilniaus r.</w:t>
      </w:r>
    </w:p>
    <w:p w14:paraId="42591D82" w14:textId="77777777" w:rsidR="00E96E12" w:rsidRDefault="00E97765">
      <w:pPr>
        <w:numPr>
          <w:ilvl w:val="12"/>
          <w:numId w:val="0"/>
        </w:numPr>
        <w:tabs>
          <w:tab w:val="left" w:pos="1296"/>
        </w:tabs>
        <w:suppressAutoHyphens/>
        <w:ind w:right="-2"/>
        <w:rPr>
          <w:color w:val="000000"/>
          <w:szCs w:val="22"/>
          <w:lang w:eastAsia="ar-SA"/>
        </w:rPr>
      </w:pPr>
      <w:r>
        <w:rPr>
          <w:color w:val="000000"/>
          <w:szCs w:val="22"/>
          <w:lang w:eastAsia="ar-SA"/>
        </w:rPr>
        <w:t>LT - 14013</w:t>
      </w:r>
    </w:p>
    <w:p w14:paraId="6FCDE0FC" w14:textId="77777777" w:rsidR="00E96E12" w:rsidRDefault="00E97765">
      <w:pPr>
        <w:numPr>
          <w:ilvl w:val="12"/>
          <w:numId w:val="0"/>
        </w:numPr>
        <w:tabs>
          <w:tab w:val="left" w:pos="1296"/>
        </w:tabs>
        <w:suppressAutoHyphens/>
        <w:ind w:right="-2"/>
        <w:rPr>
          <w:color w:val="000000"/>
          <w:szCs w:val="22"/>
          <w:lang w:eastAsia="ar-SA"/>
        </w:rPr>
      </w:pPr>
      <w:r>
        <w:rPr>
          <w:color w:val="000000"/>
          <w:szCs w:val="22"/>
          <w:lang w:eastAsia="ar-SA"/>
        </w:rPr>
        <w:t>Tel. + 370 5 236 27 40</w:t>
      </w:r>
    </w:p>
    <w:p w14:paraId="483D1ECE" w14:textId="77777777" w:rsidR="00E96E12" w:rsidRDefault="00E96E12">
      <w:pPr>
        <w:numPr>
          <w:ilvl w:val="12"/>
          <w:numId w:val="0"/>
        </w:numPr>
        <w:tabs>
          <w:tab w:val="left" w:pos="567"/>
        </w:tabs>
        <w:spacing w:line="260" w:lineRule="exact"/>
        <w:ind w:right="-2"/>
        <w:rPr>
          <w:snapToGrid w:val="0"/>
          <w:szCs w:val="20"/>
        </w:rPr>
      </w:pPr>
    </w:p>
    <w:p w14:paraId="6BD39708" w14:textId="77777777" w:rsidR="00E96E12" w:rsidRDefault="00E97765">
      <w:pPr>
        <w:numPr>
          <w:ilvl w:val="12"/>
          <w:numId w:val="0"/>
        </w:numPr>
        <w:tabs>
          <w:tab w:val="left" w:pos="567"/>
        </w:tabs>
        <w:spacing w:line="260" w:lineRule="exact"/>
        <w:ind w:right="-2"/>
        <w:rPr>
          <w:snapToGrid w:val="0"/>
          <w:szCs w:val="20"/>
        </w:rPr>
      </w:pPr>
      <w:r>
        <w:rPr>
          <w:b/>
          <w:snapToGrid w:val="0"/>
          <w:szCs w:val="20"/>
        </w:rPr>
        <w:t>Šis vaistas Europos ekonominės erdvės 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3877"/>
      </w:tblGrid>
      <w:tr w:rsidR="00E96E12" w14:paraId="5975884C" w14:textId="77777777">
        <w:tc>
          <w:tcPr>
            <w:tcW w:w="4675" w:type="dxa"/>
          </w:tcPr>
          <w:p w14:paraId="2F55F1B6" w14:textId="77777777" w:rsidR="00E96E12" w:rsidRDefault="00E97765">
            <w:pPr>
              <w:numPr>
                <w:ilvl w:val="12"/>
                <w:numId w:val="0"/>
              </w:numPr>
              <w:rPr>
                <w:szCs w:val="22"/>
                <w:lang w:eastAsia="lt-LT"/>
              </w:rPr>
            </w:pPr>
            <w:r>
              <w:rPr>
                <w:szCs w:val="22"/>
                <w:lang w:eastAsia="lt-LT"/>
              </w:rPr>
              <w:t>Valstybės narės pavadinimas</w:t>
            </w:r>
          </w:p>
        </w:tc>
        <w:tc>
          <w:tcPr>
            <w:tcW w:w="3877" w:type="dxa"/>
          </w:tcPr>
          <w:p w14:paraId="0F26AADD" w14:textId="77777777" w:rsidR="00E96E12" w:rsidRDefault="00E97765">
            <w:pPr>
              <w:numPr>
                <w:ilvl w:val="12"/>
                <w:numId w:val="0"/>
              </w:numPr>
              <w:rPr>
                <w:szCs w:val="22"/>
                <w:lang w:eastAsia="lt-LT"/>
              </w:rPr>
            </w:pPr>
            <w:r>
              <w:rPr>
                <w:szCs w:val="22"/>
                <w:lang w:eastAsia="lt-LT"/>
              </w:rPr>
              <w:t>Vaisto pavadinimas</w:t>
            </w:r>
          </w:p>
        </w:tc>
      </w:tr>
      <w:tr w:rsidR="00E96E12" w14:paraId="66068762" w14:textId="77777777">
        <w:tc>
          <w:tcPr>
            <w:tcW w:w="4675" w:type="dxa"/>
          </w:tcPr>
          <w:p w14:paraId="0CFAA54D" w14:textId="77777777" w:rsidR="00E96E12" w:rsidRDefault="00E97765">
            <w:pPr>
              <w:numPr>
                <w:ilvl w:val="12"/>
                <w:numId w:val="0"/>
              </w:numPr>
              <w:rPr>
                <w:szCs w:val="22"/>
                <w:lang w:eastAsia="lt-LT"/>
              </w:rPr>
            </w:pPr>
            <w:r>
              <w:rPr>
                <w:szCs w:val="22"/>
                <w:lang w:eastAsia="lt-LT"/>
              </w:rPr>
              <w:t>Slovėnija, Bulgarija, Čekija, Estija, Graikija, Kroatija, Vengrija, Lietuva, Latvija, Lenkija, Rumunija, Slovakija</w:t>
            </w:r>
          </w:p>
        </w:tc>
        <w:tc>
          <w:tcPr>
            <w:tcW w:w="3877" w:type="dxa"/>
          </w:tcPr>
          <w:p w14:paraId="06A43EB6" w14:textId="77777777" w:rsidR="00E96E12" w:rsidRDefault="00E97765">
            <w:pPr>
              <w:numPr>
                <w:ilvl w:val="12"/>
                <w:numId w:val="0"/>
              </w:numPr>
              <w:rPr>
                <w:szCs w:val="22"/>
                <w:lang w:eastAsia="lt-LT"/>
              </w:rPr>
            </w:pPr>
            <w:proofErr w:type="spellStart"/>
            <w:r>
              <w:rPr>
                <w:szCs w:val="22"/>
                <w:lang w:eastAsia="lt-LT"/>
              </w:rPr>
              <w:t>Dagrafors</w:t>
            </w:r>
            <w:proofErr w:type="spellEnd"/>
          </w:p>
        </w:tc>
      </w:tr>
    </w:tbl>
    <w:p w14:paraId="2384AE71" w14:textId="77777777" w:rsidR="00E96E12" w:rsidRDefault="00E96E12">
      <w:pPr>
        <w:tabs>
          <w:tab w:val="left" w:pos="567"/>
        </w:tabs>
        <w:spacing w:line="260" w:lineRule="exact"/>
        <w:ind w:left="567" w:hanging="567"/>
        <w:rPr>
          <w:snapToGrid w:val="0"/>
          <w:szCs w:val="20"/>
        </w:rPr>
      </w:pPr>
    </w:p>
    <w:p w14:paraId="3424F7D9" w14:textId="77777777" w:rsidR="00E96E12" w:rsidRDefault="00E97765">
      <w:pPr>
        <w:numPr>
          <w:ilvl w:val="12"/>
          <w:numId w:val="0"/>
        </w:numPr>
        <w:ind w:right="-2"/>
        <w:rPr>
          <w:b/>
          <w:snapToGrid w:val="0"/>
          <w:szCs w:val="20"/>
        </w:rPr>
      </w:pPr>
      <w:r>
        <w:rPr>
          <w:b/>
          <w:snapToGrid w:val="0"/>
          <w:szCs w:val="20"/>
        </w:rPr>
        <w:t>Šis pakuotės lapelis paskutinį kartą peržiūrėtas 2025-01-10.</w:t>
      </w:r>
    </w:p>
    <w:p w14:paraId="09450EA9" w14:textId="77777777" w:rsidR="00E96E12" w:rsidRDefault="00E96E12">
      <w:pPr>
        <w:numPr>
          <w:ilvl w:val="12"/>
          <w:numId w:val="0"/>
        </w:numPr>
        <w:tabs>
          <w:tab w:val="left" w:pos="567"/>
        </w:tabs>
        <w:ind w:right="-2"/>
        <w:rPr>
          <w:i/>
          <w:snapToGrid w:val="0"/>
        </w:rPr>
      </w:pPr>
    </w:p>
    <w:p w14:paraId="3950202B" w14:textId="1E5D1FCF" w:rsidR="00E96E12" w:rsidRDefault="00E97765">
      <w:pPr>
        <w:numPr>
          <w:ilvl w:val="12"/>
          <w:numId w:val="0"/>
        </w:numPr>
        <w:tabs>
          <w:tab w:val="left" w:pos="567"/>
        </w:tabs>
        <w:ind w:right="-2"/>
        <w:rPr>
          <w:color w:val="0000EE"/>
          <w:szCs w:val="22"/>
          <w:u w:val="single"/>
          <w:lang w:eastAsia="lt-LT"/>
        </w:rPr>
      </w:pPr>
      <w:r>
        <w:rPr>
          <w:snapToGrid w:val="0"/>
          <w:szCs w:val="20"/>
        </w:rPr>
        <w:t xml:space="preserve">Išsami informacija apie šį </w:t>
      </w:r>
      <w:r>
        <w:rPr>
          <w:snapToGrid w:val="0"/>
        </w:rPr>
        <w:t>vaistą</w:t>
      </w:r>
      <w:r>
        <w:rPr>
          <w:snapToGrid w:val="0"/>
          <w:szCs w:val="20"/>
        </w:rPr>
        <w:t xml:space="preserve"> pateikiama Valstybinės vaistų kontrolės tarnybos prie Lietuvos Respublikos sveikatos apsaugos ministerijos tinklalapyje</w:t>
      </w:r>
      <w:r>
        <w:rPr>
          <w:i/>
          <w:snapToGrid w:val="0"/>
        </w:rPr>
        <w:t xml:space="preserve"> </w:t>
      </w:r>
      <w:hyperlink r:id="rId19" w:history="1">
        <w:r>
          <w:rPr>
            <w:rStyle w:val="Hipersaitas"/>
            <w:szCs w:val="22"/>
            <w:lang w:eastAsia="lt-LT"/>
          </w:rPr>
          <w:t>https://vvkt.lrv.lt/lt/</w:t>
        </w:r>
      </w:hyperlink>
      <w:r>
        <w:rPr>
          <w:color w:val="0000EE"/>
          <w:szCs w:val="22"/>
          <w:u w:val="single"/>
          <w:lang w:eastAsia="lt-LT"/>
        </w:rPr>
        <w:t xml:space="preserve">. </w:t>
      </w:r>
    </w:p>
    <w:p w14:paraId="352DDC73" w14:textId="77777777" w:rsidR="000D5155" w:rsidRDefault="000D5155">
      <w:pPr>
        <w:numPr>
          <w:ilvl w:val="12"/>
          <w:numId w:val="0"/>
        </w:numPr>
        <w:tabs>
          <w:tab w:val="left" w:pos="567"/>
        </w:tabs>
        <w:ind w:right="-2"/>
        <w:rPr>
          <w:snapToGrid w:val="0"/>
        </w:rPr>
      </w:pPr>
    </w:p>
    <w:sectPr w:rsidR="000D5155">
      <w:headerReference w:type="even" r:id="rId20"/>
      <w:headerReference w:type="default" r:id="rId21"/>
      <w:footerReference w:type="even" r:id="rId22"/>
      <w:footerReference w:type="default" r:id="rId23"/>
      <w:headerReference w:type="first" r:id="rId24"/>
      <w:footerReference w:type="first" r:id="rId2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B0FB4" w14:textId="77777777" w:rsidR="00FC73F7" w:rsidRDefault="00FC73F7">
      <w:r>
        <w:separator/>
      </w:r>
    </w:p>
  </w:endnote>
  <w:endnote w:type="continuationSeparator" w:id="0">
    <w:p w14:paraId="150F003C" w14:textId="77777777" w:rsidR="00FC73F7" w:rsidRDefault="00FC73F7">
      <w:r>
        <w:continuationSeparator/>
      </w:r>
    </w:p>
  </w:endnote>
  <w:endnote w:type="continuationNotice" w:id="1">
    <w:p w14:paraId="46E01246" w14:textId="77777777" w:rsidR="00FC73F7" w:rsidRDefault="00FC73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TimesNewRoman">
    <w:altName w:val="Yu Gothic"/>
    <w:panose1 w:val="00000000000000000000"/>
    <w:charset w:val="00"/>
    <w:family w:val="roman"/>
    <w:notTrueType/>
    <w:pitch w:val="default"/>
    <w:sig w:usb0="00000003" w:usb1="08070000" w:usb2="00000010" w:usb3="00000000" w:csb0="00020001" w:csb1="00000000"/>
  </w:font>
  <w:font w:name="TimesNewRoman,Italic">
    <w:altName w:val="MS Gothic"/>
    <w:panose1 w:val="00000000000000000000"/>
    <w:charset w:val="80"/>
    <w:family w:val="auto"/>
    <w:notTrueType/>
    <w:pitch w:val="default"/>
    <w:sig w:usb0="00000001" w:usb1="08070000" w:usb2="00000010" w:usb3="00000000" w:csb0="00020000" w:csb1="00000000"/>
  </w:font>
  <w:font w:name="TimesNewRoman,Bold">
    <w:altName w:val="Yu Gothic UI"/>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BCC6" w14:textId="77777777" w:rsidR="00E96E12" w:rsidRDefault="00E97765">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34DABAEB" w14:textId="77777777" w:rsidR="00E96E12" w:rsidRDefault="00E96E12">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888E5" w14:textId="77777777" w:rsidR="00E96E12" w:rsidRDefault="00E97765">
    <w:pPr>
      <w:pStyle w:val="Porat"/>
      <w:ind w:right="360"/>
      <w:jc w:val="center"/>
      <w:rPr>
        <w:rStyle w:val="Puslapionumeris"/>
        <w:rFonts w:ascii="Arial" w:hAnsi="Arial" w:cs="Arial"/>
        <w:lang w:val="lt-LT"/>
      </w:rPr>
    </w:pPr>
    <w:r>
      <w:rPr>
        <w:rStyle w:val="Puslapionumeris"/>
        <w:rFonts w:ascii="Arial" w:hAnsi="Arial" w:cs="Arial"/>
        <w:lang w:val="lt-LT"/>
      </w:rPr>
      <w:fldChar w:fldCharType="begin"/>
    </w:r>
    <w:r>
      <w:rPr>
        <w:rStyle w:val="Puslapionumeris"/>
        <w:rFonts w:ascii="Arial" w:hAnsi="Arial" w:cs="Arial"/>
        <w:lang w:val="lt-LT"/>
      </w:rPr>
      <w:instrText xml:space="preserve"> PAGE </w:instrText>
    </w:r>
    <w:r>
      <w:rPr>
        <w:rStyle w:val="Puslapionumeris"/>
        <w:rFonts w:ascii="Arial" w:hAnsi="Arial" w:cs="Arial"/>
        <w:lang w:val="lt-LT"/>
      </w:rPr>
      <w:fldChar w:fldCharType="separate"/>
    </w:r>
    <w:r>
      <w:rPr>
        <w:rStyle w:val="Puslapionumeris"/>
        <w:rFonts w:ascii="Arial" w:hAnsi="Arial" w:cs="Arial"/>
        <w:noProof/>
        <w:lang w:val="lt-LT"/>
      </w:rPr>
      <w:t>1</w:t>
    </w:r>
    <w:r>
      <w:rPr>
        <w:rStyle w:val="Puslapionumeris"/>
        <w:rFonts w:ascii="Arial" w:hAnsi="Arial" w:cs="Arial"/>
        <w:noProof/>
        <w:lang w:val="lt-LT"/>
      </w:rPr>
      <w:t>9</w:t>
    </w:r>
    <w:r>
      <w:rPr>
        <w:rStyle w:val="Puslapionumeris"/>
        <w:rFonts w:ascii="Arial" w:hAnsi="Arial" w:cs="Arial"/>
        <w:lang w:val="lt-L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1A572" w14:textId="77777777" w:rsidR="00E96E12" w:rsidRDefault="00E96E12">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C2C20" w14:textId="77777777" w:rsidR="00FC73F7" w:rsidRDefault="00FC73F7">
      <w:r>
        <w:separator/>
      </w:r>
    </w:p>
  </w:footnote>
  <w:footnote w:type="continuationSeparator" w:id="0">
    <w:p w14:paraId="554BE599" w14:textId="77777777" w:rsidR="00FC73F7" w:rsidRDefault="00FC73F7">
      <w:r>
        <w:continuationSeparator/>
      </w:r>
    </w:p>
  </w:footnote>
  <w:footnote w:type="continuationNotice" w:id="1">
    <w:p w14:paraId="258433EC" w14:textId="77777777" w:rsidR="00FC73F7" w:rsidRDefault="00FC73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54D9C" w14:textId="77777777" w:rsidR="00E96E12" w:rsidRDefault="00E96E1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5C86F" w14:textId="77777777" w:rsidR="00E96E12" w:rsidRDefault="00E96E12">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F3BFC" w14:textId="77777777" w:rsidR="00E96E12" w:rsidRDefault="00E96E1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A41EE6"/>
    <w:multiLevelType w:val="hybridMultilevel"/>
    <w:tmpl w:val="49F8FC52"/>
    <w:lvl w:ilvl="0" w:tplc="71B0FED2">
      <w:start w:val="1"/>
      <w:numFmt w:val="bullet"/>
      <w:lvlText w:val="-"/>
      <w:lvlJc w:val="left"/>
      <w:pPr>
        <w:ind w:left="360" w:hanging="360"/>
      </w:pPr>
      <w:rPr>
        <w:rFonts w:hAnsi="Aria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324533A2"/>
    <w:multiLevelType w:val="hybridMultilevel"/>
    <w:tmpl w:val="F1726164"/>
    <w:lvl w:ilvl="0" w:tplc="A92C7FEA">
      <w:start w:val="5"/>
      <w:numFmt w:val="lowerLetter"/>
      <w:lvlText w:val="%1"/>
      <w:lvlJc w:val="left"/>
      <w:pPr>
        <w:ind w:left="1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BAE68B06">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F37C77EE">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820EE29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5ED0B42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E772BFA8">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1E2A8E90">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97507E0A">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B75825A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4" w15:restartNumberingAfterBreak="0">
    <w:nsid w:val="357926FE"/>
    <w:multiLevelType w:val="hybridMultilevel"/>
    <w:tmpl w:val="47808A98"/>
    <w:lvl w:ilvl="0" w:tplc="B13CE612">
      <w:start w:val="1"/>
      <w:numFmt w:val="bullet"/>
      <w:lvlText w:val="˗"/>
      <w:lvlJc w:val="left"/>
      <w:pPr>
        <w:ind w:left="720" w:hanging="360"/>
      </w:pPr>
      <w:rPr>
        <w:rFonts w:ascii="Times New Roman" w:hAnsi="Times New Roman" w:cs="Times New Roman" w:hint="default"/>
        <w:w w:val="100"/>
        <w:sz w:val="22"/>
        <w:szCs w:val="22"/>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17149CB"/>
    <w:multiLevelType w:val="hybridMultilevel"/>
    <w:tmpl w:val="1B340842"/>
    <w:lvl w:ilvl="0" w:tplc="B13CE612">
      <w:start w:val="1"/>
      <w:numFmt w:val="bullet"/>
      <w:lvlText w:val="˗"/>
      <w:lvlJc w:val="left"/>
      <w:pPr>
        <w:ind w:left="842" w:hanging="567"/>
      </w:pPr>
      <w:rPr>
        <w:rFonts w:ascii="Times New Roman" w:hAnsi="Times New Roman" w:cs="Times New Roman" w:hint="default"/>
        <w:w w:val="100"/>
        <w:sz w:val="22"/>
        <w:szCs w:val="22"/>
      </w:rPr>
    </w:lvl>
    <w:lvl w:ilvl="1" w:tplc="4BFA3072">
      <w:numFmt w:val="bullet"/>
      <w:lvlText w:val="-"/>
      <w:lvlJc w:val="left"/>
      <w:pPr>
        <w:ind w:left="1408" w:hanging="567"/>
      </w:pPr>
      <w:rPr>
        <w:rFonts w:ascii="Times New Roman" w:eastAsia="Times New Roman" w:hAnsi="Times New Roman" w:cs="Times New Roman" w:hint="default"/>
        <w:w w:val="100"/>
        <w:sz w:val="22"/>
        <w:szCs w:val="22"/>
      </w:rPr>
    </w:lvl>
    <w:lvl w:ilvl="2" w:tplc="EDEC0E92">
      <w:numFmt w:val="bullet"/>
      <w:lvlText w:val="•"/>
      <w:lvlJc w:val="left"/>
      <w:pPr>
        <w:ind w:left="980" w:hanging="567"/>
      </w:pPr>
      <w:rPr>
        <w:rFonts w:hint="default"/>
      </w:rPr>
    </w:lvl>
    <w:lvl w:ilvl="3" w:tplc="4D2AC292">
      <w:numFmt w:val="bullet"/>
      <w:lvlText w:val="•"/>
      <w:lvlJc w:val="left"/>
      <w:pPr>
        <w:ind w:left="1400" w:hanging="567"/>
      </w:pPr>
      <w:rPr>
        <w:rFonts w:hint="default"/>
      </w:rPr>
    </w:lvl>
    <w:lvl w:ilvl="4" w:tplc="D4ECEB52">
      <w:numFmt w:val="bullet"/>
      <w:lvlText w:val="•"/>
      <w:lvlJc w:val="left"/>
      <w:pPr>
        <w:ind w:left="2595" w:hanging="567"/>
      </w:pPr>
      <w:rPr>
        <w:rFonts w:hint="default"/>
      </w:rPr>
    </w:lvl>
    <w:lvl w:ilvl="5" w:tplc="51EA0D6E">
      <w:numFmt w:val="bullet"/>
      <w:lvlText w:val="•"/>
      <w:lvlJc w:val="left"/>
      <w:pPr>
        <w:ind w:left="3790" w:hanging="567"/>
      </w:pPr>
      <w:rPr>
        <w:rFonts w:hint="default"/>
      </w:rPr>
    </w:lvl>
    <w:lvl w:ilvl="6" w:tplc="B9AC948C">
      <w:numFmt w:val="bullet"/>
      <w:lvlText w:val="•"/>
      <w:lvlJc w:val="left"/>
      <w:pPr>
        <w:ind w:left="4985" w:hanging="567"/>
      </w:pPr>
      <w:rPr>
        <w:rFonts w:hint="default"/>
      </w:rPr>
    </w:lvl>
    <w:lvl w:ilvl="7" w:tplc="3216D6AC">
      <w:numFmt w:val="bullet"/>
      <w:lvlText w:val="•"/>
      <w:lvlJc w:val="left"/>
      <w:pPr>
        <w:ind w:left="6180" w:hanging="567"/>
      </w:pPr>
      <w:rPr>
        <w:rFonts w:hint="default"/>
      </w:rPr>
    </w:lvl>
    <w:lvl w:ilvl="8" w:tplc="34C49B0C">
      <w:numFmt w:val="bullet"/>
      <w:lvlText w:val="•"/>
      <w:lvlJc w:val="left"/>
      <w:pPr>
        <w:ind w:left="7375" w:hanging="567"/>
      </w:pPr>
      <w:rPr>
        <w:rFonts w:hint="default"/>
      </w:rPr>
    </w:lvl>
  </w:abstractNum>
  <w:abstractNum w:abstractNumId="6"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491D0C"/>
    <w:multiLevelType w:val="hybridMultilevel"/>
    <w:tmpl w:val="24F2DB34"/>
    <w:lvl w:ilvl="0" w:tplc="FF04CB46">
      <w:numFmt w:val="bullet"/>
      <w:lvlText w:val="-"/>
      <w:lvlJc w:val="left"/>
      <w:pPr>
        <w:ind w:left="842" w:hanging="567"/>
      </w:pPr>
      <w:rPr>
        <w:rFonts w:ascii="Times New Roman" w:eastAsia="Times New Roman" w:hAnsi="Times New Roman" w:cs="Times New Roman" w:hint="default"/>
        <w:w w:val="100"/>
        <w:sz w:val="22"/>
        <w:szCs w:val="22"/>
      </w:rPr>
    </w:lvl>
    <w:lvl w:ilvl="1" w:tplc="E5708620">
      <w:numFmt w:val="bullet"/>
      <w:lvlText w:val="•"/>
      <w:lvlJc w:val="left"/>
      <w:pPr>
        <w:ind w:left="1732" w:hanging="567"/>
      </w:pPr>
      <w:rPr>
        <w:rFonts w:hint="default"/>
      </w:rPr>
    </w:lvl>
    <w:lvl w:ilvl="2" w:tplc="E7D8CC6A">
      <w:numFmt w:val="bullet"/>
      <w:lvlText w:val="•"/>
      <w:lvlJc w:val="left"/>
      <w:pPr>
        <w:ind w:left="2625" w:hanging="567"/>
      </w:pPr>
      <w:rPr>
        <w:rFonts w:hint="default"/>
      </w:rPr>
    </w:lvl>
    <w:lvl w:ilvl="3" w:tplc="AC443B8C">
      <w:numFmt w:val="bullet"/>
      <w:lvlText w:val="•"/>
      <w:lvlJc w:val="left"/>
      <w:pPr>
        <w:ind w:left="3517" w:hanging="567"/>
      </w:pPr>
      <w:rPr>
        <w:rFonts w:hint="default"/>
      </w:rPr>
    </w:lvl>
    <w:lvl w:ilvl="4" w:tplc="B4D853A6">
      <w:numFmt w:val="bullet"/>
      <w:lvlText w:val="•"/>
      <w:lvlJc w:val="left"/>
      <w:pPr>
        <w:ind w:left="4410" w:hanging="567"/>
      </w:pPr>
      <w:rPr>
        <w:rFonts w:hint="default"/>
      </w:rPr>
    </w:lvl>
    <w:lvl w:ilvl="5" w:tplc="754A20A2">
      <w:numFmt w:val="bullet"/>
      <w:lvlText w:val="•"/>
      <w:lvlJc w:val="left"/>
      <w:pPr>
        <w:ind w:left="5302" w:hanging="567"/>
      </w:pPr>
      <w:rPr>
        <w:rFonts w:hint="default"/>
      </w:rPr>
    </w:lvl>
    <w:lvl w:ilvl="6" w:tplc="2CFE94A6">
      <w:numFmt w:val="bullet"/>
      <w:lvlText w:val="•"/>
      <w:lvlJc w:val="left"/>
      <w:pPr>
        <w:ind w:left="6195" w:hanging="567"/>
      </w:pPr>
      <w:rPr>
        <w:rFonts w:hint="default"/>
      </w:rPr>
    </w:lvl>
    <w:lvl w:ilvl="7" w:tplc="50D4274A">
      <w:numFmt w:val="bullet"/>
      <w:lvlText w:val="•"/>
      <w:lvlJc w:val="left"/>
      <w:pPr>
        <w:ind w:left="7087" w:hanging="567"/>
      </w:pPr>
      <w:rPr>
        <w:rFonts w:hint="default"/>
      </w:rPr>
    </w:lvl>
    <w:lvl w:ilvl="8" w:tplc="923A2784">
      <w:numFmt w:val="bullet"/>
      <w:lvlText w:val="•"/>
      <w:lvlJc w:val="left"/>
      <w:pPr>
        <w:ind w:left="7980" w:hanging="567"/>
      </w:pPr>
      <w:rPr>
        <w:rFonts w:hint="default"/>
      </w:rPr>
    </w:lvl>
  </w:abstractNum>
  <w:abstractNum w:abstractNumId="8" w15:restartNumberingAfterBreak="0">
    <w:nsid w:val="7A100D28"/>
    <w:multiLevelType w:val="hybridMultilevel"/>
    <w:tmpl w:val="2F94C0BA"/>
    <w:lvl w:ilvl="0" w:tplc="AEA2229E">
      <w:start w:val="1"/>
      <w:numFmt w:val="upperLetter"/>
      <w:lvlText w:val="%1."/>
      <w:lvlJc w:val="left"/>
      <w:pPr>
        <w:ind w:left="5670" w:hanging="5670"/>
      </w:pPr>
      <w:rPr>
        <w:rFonts w:hint="default"/>
        <w:b/>
      </w:rPr>
    </w:lvl>
    <w:lvl w:ilvl="1" w:tplc="6B889734">
      <w:start w:val="1"/>
      <w:numFmt w:val="decimal"/>
      <w:lvlText w:val="%2."/>
      <w:lvlJc w:val="left"/>
      <w:pPr>
        <w:ind w:left="1650" w:hanging="570"/>
      </w:pPr>
      <w:rPr>
        <w:rFonts w:hint="default"/>
        <w:b/>
        <w:i w:val="0"/>
      </w:rPr>
    </w:lvl>
    <w:lvl w:ilvl="2" w:tplc="4A4CCF68" w:tentative="1">
      <w:start w:val="1"/>
      <w:numFmt w:val="lowerRoman"/>
      <w:lvlText w:val="%3."/>
      <w:lvlJc w:val="right"/>
      <w:pPr>
        <w:ind w:left="2160" w:hanging="180"/>
      </w:pPr>
    </w:lvl>
    <w:lvl w:ilvl="3" w:tplc="60DC4D00" w:tentative="1">
      <w:start w:val="1"/>
      <w:numFmt w:val="decimal"/>
      <w:lvlText w:val="%4."/>
      <w:lvlJc w:val="left"/>
      <w:pPr>
        <w:ind w:left="2880" w:hanging="360"/>
      </w:pPr>
    </w:lvl>
    <w:lvl w:ilvl="4" w:tplc="848C8070" w:tentative="1">
      <w:start w:val="1"/>
      <w:numFmt w:val="lowerLetter"/>
      <w:lvlText w:val="%5."/>
      <w:lvlJc w:val="left"/>
      <w:pPr>
        <w:ind w:left="3600" w:hanging="360"/>
      </w:pPr>
    </w:lvl>
    <w:lvl w:ilvl="5" w:tplc="B5F62FF4" w:tentative="1">
      <w:start w:val="1"/>
      <w:numFmt w:val="lowerRoman"/>
      <w:lvlText w:val="%6."/>
      <w:lvlJc w:val="right"/>
      <w:pPr>
        <w:ind w:left="4320" w:hanging="180"/>
      </w:pPr>
    </w:lvl>
    <w:lvl w:ilvl="6" w:tplc="0F848414" w:tentative="1">
      <w:start w:val="1"/>
      <w:numFmt w:val="decimal"/>
      <w:lvlText w:val="%7."/>
      <w:lvlJc w:val="left"/>
      <w:pPr>
        <w:ind w:left="5040" w:hanging="360"/>
      </w:pPr>
    </w:lvl>
    <w:lvl w:ilvl="7" w:tplc="78B2C9C0" w:tentative="1">
      <w:start w:val="1"/>
      <w:numFmt w:val="lowerLetter"/>
      <w:lvlText w:val="%8."/>
      <w:lvlJc w:val="left"/>
      <w:pPr>
        <w:ind w:left="5760" w:hanging="360"/>
      </w:pPr>
    </w:lvl>
    <w:lvl w:ilvl="8" w:tplc="839EA92E" w:tentative="1">
      <w:start w:val="1"/>
      <w:numFmt w:val="lowerRoman"/>
      <w:lvlText w:val="%9."/>
      <w:lvlJc w:val="right"/>
      <w:pPr>
        <w:ind w:left="6480" w:hanging="180"/>
      </w:pPr>
    </w:lvl>
  </w:abstractNum>
  <w:num w:numId="1" w16cid:durableId="248580767">
    <w:abstractNumId w:val="0"/>
    <w:lvlOverride w:ilvl="0">
      <w:lvl w:ilvl="0">
        <w:start w:val="1"/>
        <w:numFmt w:val="bullet"/>
        <w:lvlText w:val="-"/>
        <w:legacy w:legacy="1" w:legacySpace="0" w:legacyIndent="360"/>
        <w:lvlJc w:val="left"/>
        <w:pPr>
          <w:ind w:left="360" w:hanging="360"/>
        </w:pPr>
      </w:lvl>
    </w:lvlOverride>
  </w:num>
  <w:num w:numId="2" w16cid:durableId="1844512177">
    <w:abstractNumId w:val="2"/>
  </w:num>
  <w:num w:numId="3" w16cid:durableId="893388698">
    <w:abstractNumId w:val="0"/>
    <w:lvlOverride w:ilvl="0">
      <w:lvl w:ilvl="0">
        <w:start w:val="1"/>
        <w:numFmt w:val="bullet"/>
        <w:lvlText w:val="-"/>
        <w:lvlJc w:val="left"/>
        <w:pPr>
          <w:ind w:left="360" w:hanging="360"/>
        </w:pPr>
      </w:lvl>
    </w:lvlOverride>
  </w:num>
  <w:num w:numId="4" w16cid:durableId="343093600">
    <w:abstractNumId w:val="8"/>
  </w:num>
  <w:num w:numId="5" w16cid:durableId="1408841940">
    <w:abstractNumId w:val="7"/>
  </w:num>
  <w:num w:numId="6" w16cid:durableId="1633825856">
    <w:abstractNumId w:val="3"/>
  </w:num>
  <w:num w:numId="7" w16cid:durableId="766850683">
    <w:abstractNumId w:val="5"/>
  </w:num>
  <w:num w:numId="8" w16cid:durableId="454299905">
    <w:abstractNumId w:val="1"/>
  </w:num>
  <w:num w:numId="9" w16cid:durableId="2074771107">
    <w:abstractNumId w:val="4"/>
  </w:num>
  <w:num w:numId="10" w16cid:durableId="20964418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E96E12"/>
    <w:rsid w:val="00003A79"/>
    <w:rsid w:val="0004117D"/>
    <w:rsid w:val="00042FA9"/>
    <w:rsid w:val="000D5155"/>
    <w:rsid w:val="00125928"/>
    <w:rsid w:val="001649A3"/>
    <w:rsid w:val="00177075"/>
    <w:rsid w:val="002241C9"/>
    <w:rsid w:val="00232313"/>
    <w:rsid w:val="00233A36"/>
    <w:rsid w:val="002E0E11"/>
    <w:rsid w:val="003023C5"/>
    <w:rsid w:val="00391881"/>
    <w:rsid w:val="003B48D7"/>
    <w:rsid w:val="003C1D45"/>
    <w:rsid w:val="003D21B6"/>
    <w:rsid w:val="00431B71"/>
    <w:rsid w:val="0043519C"/>
    <w:rsid w:val="0045761B"/>
    <w:rsid w:val="00487C92"/>
    <w:rsid w:val="005716E4"/>
    <w:rsid w:val="005E4CEB"/>
    <w:rsid w:val="00760684"/>
    <w:rsid w:val="007A13CA"/>
    <w:rsid w:val="00800AAE"/>
    <w:rsid w:val="008B2E39"/>
    <w:rsid w:val="008B5B48"/>
    <w:rsid w:val="009B6332"/>
    <w:rsid w:val="00A24980"/>
    <w:rsid w:val="00AA19D8"/>
    <w:rsid w:val="00DF12F4"/>
    <w:rsid w:val="00E22517"/>
    <w:rsid w:val="00E258F2"/>
    <w:rsid w:val="00E5066D"/>
    <w:rsid w:val="00E96E12"/>
    <w:rsid w:val="00E97765"/>
    <w:rsid w:val="00F57CF6"/>
    <w:rsid w:val="00F83D41"/>
    <w:rsid w:val="00FC73F7"/>
  </w:rsids>
  <m:mathPr>
    <m:mathFont m:val="Cambria Math"/>
    <m:brkBin m:val="before"/>
    <m:brkBinSub m:val="--"/>
    <m:smallFrac m:val="0"/>
    <m:dispDef/>
    <m:lMargin m:val="0"/>
    <m:rMargin m:val="0"/>
    <m:defJc m:val="centerGroup"/>
    <m:wrapRight/>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FC54B5"/>
  <w15:docId w15:val="{62A95E42-60E6-49D2-A04F-B5A0CF11B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2"/>
      <w:szCs w:val="24"/>
      <w:lang w:eastAsia="en-US"/>
    </w:rPr>
  </w:style>
  <w:style w:type="paragraph" w:styleId="Antrat1">
    <w:name w:val="heading 1"/>
    <w:basedOn w:val="prastasis"/>
    <w:next w:val="prastasis"/>
    <w:qFormat/>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qFormat/>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qFormat/>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qFormat/>
    <w:pPr>
      <w:keepNext/>
      <w:tabs>
        <w:tab w:val="left" w:pos="567"/>
      </w:tabs>
      <w:spacing w:line="260" w:lineRule="exact"/>
      <w:jc w:val="both"/>
      <w:outlineLvl w:val="3"/>
    </w:pPr>
    <w:rPr>
      <w:b/>
      <w:noProof/>
      <w:szCs w:val="20"/>
      <w:lang w:val="cs-CZ"/>
    </w:rPr>
  </w:style>
  <w:style w:type="paragraph" w:styleId="Antrat5">
    <w:name w:val="heading 5"/>
    <w:basedOn w:val="prastasis"/>
    <w:next w:val="prastasis"/>
    <w:qFormat/>
    <w:pPr>
      <w:keepNext/>
      <w:tabs>
        <w:tab w:val="left" w:pos="567"/>
      </w:tabs>
      <w:spacing w:line="260" w:lineRule="exact"/>
      <w:jc w:val="both"/>
      <w:outlineLvl w:val="4"/>
    </w:pPr>
    <w:rPr>
      <w:noProof/>
      <w:szCs w:val="20"/>
      <w:lang w:val="cs-CZ"/>
    </w:rPr>
  </w:style>
  <w:style w:type="paragraph" w:styleId="Antrat6">
    <w:name w:val="heading 6"/>
    <w:basedOn w:val="prastasis"/>
    <w:next w:val="prastasis"/>
    <w:qFormat/>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qFormat/>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qFormat/>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qFormat/>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pPr>
      <w:tabs>
        <w:tab w:val="left" w:pos="567"/>
        <w:tab w:val="center" w:pos="4536"/>
        <w:tab w:val="center" w:pos="8930"/>
      </w:tabs>
    </w:pPr>
    <w:rPr>
      <w:rFonts w:ascii="Helvetica" w:hAnsi="Helvetica"/>
      <w:sz w:val="16"/>
      <w:szCs w:val="20"/>
      <w:lang w:val="cs-CZ"/>
    </w:rPr>
  </w:style>
  <w:style w:type="character" w:styleId="Puslapionumeris">
    <w:name w:val="page number"/>
    <w:basedOn w:val="Numatytasispastraiposriftas"/>
  </w:style>
  <w:style w:type="paragraph" w:styleId="Antrats">
    <w:name w:val="header"/>
    <w:basedOn w:val="prastasis"/>
    <w:pPr>
      <w:tabs>
        <w:tab w:val="left" w:pos="567"/>
        <w:tab w:val="center" w:pos="4153"/>
        <w:tab w:val="right" w:pos="8306"/>
      </w:tabs>
    </w:pPr>
    <w:rPr>
      <w:rFonts w:ascii="Helvetica" w:hAnsi="Helvetica"/>
      <w:sz w:val="20"/>
      <w:szCs w:val="20"/>
      <w:lang w:val="cs-CZ"/>
    </w:rPr>
  </w:style>
  <w:style w:type="paragraph" w:customStyle="1" w:styleId="EMEAEnBodyText">
    <w:name w:val="EMEA En Body Text"/>
    <w:basedOn w:val="prastasis"/>
    <w:pPr>
      <w:spacing w:before="120" w:after="120"/>
      <w:jc w:val="both"/>
    </w:pPr>
    <w:rPr>
      <w:szCs w:val="20"/>
      <w:lang w:val="en-US"/>
    </w:rPr>
  </w:style>
  <w:style w:type="paragraph" w:customStyle="1" w:styleId="AHeader1">
    <w:name w:val="AHeader 1"/>
    <w:basedOn w:val="prastasis"/>
    <w:pPr>
      <w:numPr>
        <w:numId w:val="2"/>
      </w:numPr>
      <w:spacing w:after="120"/>
    </w:pPr>
    <w:rPr>
      <w:rFonts w:ascii="Arial" w:hAnsi="Arial" w:cs="Arial"/>
      <w:b/>
      <w:bCs/>
      <w:sz w:val="24"/>
      <w:szCs w:val="20"/>
      <w:lang w:val="en-GB"/>
    </w:rPr>
  </w:style>
  <w:style w:type="paragraph" w:customStyle="1" w:styleId="AHeader2">
    <w:name w:val="AHeader 2"/>
    <w:basedOn w:val="AHeader1"/>
    <w:pPr>
      <w:numPr>
        <w:ilvl w:val="1"/>
      </w:numPr>
      <w:tabs>
        <w:tab w:val="clear" w:pos="709"/>
        <w:tab w:val="num" w:pos="360"/>
      </w:tabs>
      <w:ind w:left="360" w:hanging="360"/>
    </w:pPr>
    <w:rPr>
      <w:sz w:val="22"/>
    </w:rPr>
  </w:style>
  <w:style w:type="paragraph" w:customStyle="1" w:styleId="AHeader3">
    <w:name w:val="AHeader 3"/>
    <w:basedOn w:val="AHeader2"/>
    <w:pPr>
      <w:numPr>
        <w:ilvl w:val="2"/>
      </w:numPr>
      <w:tabs>
        <w:tab w:val="clear" w:pos="1276"/>
        <w:tab w:val="num" w:pos="360"/>
      </w:tabs>
      <w:ind w:left="360" w:hanging="360"/>
    </w:pPr>
  </w:style>
  <w:style w:type="paragraph" w:customStyle="1" w:styleId="AHeader2abc">
    <w:name w:val="AHeader 2 abc"/>
    <w:basedOn w:val="AHeader3"/>
    <w:pPr>
      <w:numPr>
        <w:ilvl w:val="3"/>
      </w:numPr>
      <w:tabs>
        <w:tab w:val="clear" w:pos="1276"/>
        <w:tab w:val="num" w:pos="360"/>
      </w:tabs>
      <w:ind w:left="360" w:hanging="360"/>
      <w:jc w:val="both"/>
    </w:pPr>
    <w:rPr>
      <w:b w:val="0"/>
      <w:bCs w:val="0"/>
    </w:rPr>
  </w:style>
  <w:style w:type="paragraph" w:customStyle="1" w:styleId="AHeader3abc">
    <w:name w:val="AHeader 3 abc"/>
    <w:basedOn w:val="AHeader2abc"/>
    <w:pPr>
      <w:numPr>
        <w:ilvl w:val="4"/>
      </w:numPr>
      <w:tabs>
        <w:tab w:val="clear" w:pos="1701"/>
        <w:tab w:val="num" w:pos="360"/>
      </w:tabs>
      <w:ind w:left="360" w:hanging="360"/>
    </w:pPr>
  </w:style>
  <w:style w:type="paragraph" w:styleId="Pagrindinistekstas2">
    <w:name w:val="Body Text 2"/>
    <w:basedOn w:val="prastasis"/>
    <w:pPr>
      <w:numPr>
        <w:ilvl w:val="12"/>
      </w:numPr>
      <w:ind w:right="-2"/>
    </w:pPr>
    <w:rPr>
      <w:b/>
      <w:bCs/>
      <w:szCs w:val="20"/>
    </w:rPr>
  </w:style>
  <w:style w:type="paragraph" w:styleId="Pagrindinistekstas">
    <w:name w:val="Body Text"/>
    <w:basedOn w:val="prastasis"/>
    <w:rPr>
      <w:i/>
      <w:color w:val="008000"/>
      <w:szCs w:val="20"/>
      <w:lang w:val="en-GB"/>
    </w:rPr>
  </w:style>
  <w:style w:type="character" w:styleId="Hipersaitas">
    <w:name w:val="Hyperlink"/>
    <w:uiPriority w:val="99"/>
    <w:rPr>
      <w:color w:val="0000FF"/>
      <w:u w:val="single"/>
    </w:rPr>
  </w:style>
  <w:style w:type="character" w:styleId="Grietas">
    <w:name w:val="Strong"/>
    <w:qFormat/>
    <w:rPr>
      <w:b/>
      <w:bCs/>
    </w:rPr>
  </w:style>
  <w:style w:type="paragraph" w:styleId="Debesliotekstas">
    <w:name w:val="Balloon Text"/>
    <w:basedOn w:val="prastasis"/>
    <w:semiHidden/>
    <w:rPr>
      <w:rFonts w:ascii="Tahoma" w:hAnsi="Tahoma" w:cs="Tahoma"/>
      <w:sz w:val="16"/>
      <w:szCs w:val="16"/>
    </w:rPr>
  </w:style>
  <w:style w:type="character" w:styleId="Perirtashipersaitas">
    <w:name w:val="FollowedHyperlink"/>
    <w:rPr>
      <w:color w:val="800080"/>
      <w:u w:val="single"/>
    </w:rPr>
  </w:style>
  <w:style w:type="character" w:styleId="Komentaronuoroda">
    <w:name w:val="annotation reference"/>
    <w:rPr>
      <w:sz w:val="16"/>
      <w:szCs w:val="16"/>
    </w:rPr>
  </w:style>
  <w:style w:type="paragraph" w:styleId="Komentarotekstas">
    <w:name w:val="annotation text"/>
    <w:basedOn w:val="prastasis"/>
    <w:link w:val="KomentarotekstasDiagrama"/>
    <w:rPr>
      <w:sz w:val="20"/>
      <w:szCs w:val="20"/>
    </w:rPr>
  </w:style>
  <w:style w:type="character" w:customStyle="1" w:styleId="KomentarotekstasDiagrama">
    <w:name w:val="Komentaro tekstas Diagrama"/>
    <w:link w:val="Komentarotekstas"/>
    <w:rPr>
      <w:lang w:val="lt-LT" w:eastAsia="en-US"/>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link w:val="Komentarotema"/>
    <w:rPr>
      <w:b/>
      <w:bCs/>
      <w:lang w:val="lt-LT" w:eastAsia="en-US"/>
    </w:rPr>
  </w:style>
  <w:style w:type="table" w:customStyle="1" w:styleId="TableGrid">
    <w:name w:val="TableGrid"/>
    <w:rPr>
      <w:rFonts w:asciiTheme="minorHAnsi" w:eastAsiaTheme="minorEastAsia" w:hAnsiTheme="minorHAnsi" w:cstheme="minorBidi"/>
      <w:kern w:val="2"/>
      <w:sz w:val="22"/>
      <w:szCs w:val="22"/>
      <w:lang w:val="en-GB" w:eastAsia="en-GB"/>
      <w14:ligatures w14:val="standardContextual"/>
    </w:rPr>
    <w:tblPr>
      <w:tblCellMar>
        <w:top w:w="0" w:type="dxa"/>
        <w:left w:w="0" w:type="dxa"/>
        <w:bottom w:w="0" w:type="dxa"/>
        <w:right w:w="0" w:type="dxa"/>
      </w:tblCellMar>
    </w:tblPr>
  </w:style>
  <w:style w:type="table" w:customStyle="1" w:styleId="TableGrid1">
    <w:name w:val="TableGrid1"/>
    <w:rPr>
      <w:rFonts w:ascii="Calibri" w:hAnsi="Calibri"/>
      <w:kern w:val="2"/>
      <w:sz w:val="22"/>
      <w:szCs w:val="22"/>
      <w:lang w:val="en-GB" w:eastAsia="en-GB"/>
      <w14:ligatures w14:val="standardContextual"/>
    </w:rPr>
    <w:tblPr>
      <w:tblCellMar>
        <w:top w:w="0" w:type="dxa"/>
        <w:left w:w="0" w:type="dxa"/>
        <w:bottom w:w="0" w:type="dxa"/>
        <w:right w:w="0" w:type="dxa"/>
      </w:tblCellMar>
    </w:tblPr>
  </w:style>
  <w:style w:type="table" w:styleId="Lentelstinklelis">
    <w:name w:val="Table Grid"/>
    <w:basedOn w:val="prastojilentel"/>
    <w:rPr>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pPr>
      <w:ind w:left="720"/>
      <w:contextualSpacing/>
    </w:pPr>
  </w:style>
  <w:style w:type="paragraph" w:styleId="Pataisymai">
    <w:name w:val="Revision"/>
    <w:hidden/>
    <w:uiPriority w:val="99"/>
    <w:semiHidden/>
    <w:rPr>
      <w:sz w:val="22"/>
      <w:szCs w:val="24"/>
      <w:lang w:eastAsia="en-US"/>
    </w:rPr>
  </w:style>
  <w:style w:type="character" w:customStyle="1" w:styleId="UnresolvedMention1">
    <w:name w:val="Unresolved Mention1"/>
    <w:basedOn w:val="Numatytasispastraiposriftas"/>
    <w:uiPriority w:val="99"/>
    <w:semiHidden/>
    <w:unhideWhenUsed/>
    <w:rPr>
      <w:color w:val="605E5C"/>
      <w:shd w:val="clear" w:color="auto" w:fill="E1DFDD"/>
    </w:rPr>
  </w:style>
  <w:style w:type="character" w:customStyle="1" w:styleId="Neapdorotaspaminjimas1">
    <w:name w:val="Neapdorotas paminėjimas1"/>
    <w:basedOn w:val="Numatytasispastraiposriftas"/>
    <w:uiPriority w:val="99"/>
    <w:semiHidden/>
    <w:unhideWhenUsed/>
    <w:rsid w:val="00233A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emf"/><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oter" Target="footer2.xml"/><Relationship Id="rId10" Type="http://schemas.openxmlformats.org/officeDocument/2006/relationships/image" Target="media/image4.emf"/><Relationship Id="rId19"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55</Pages>
  <Words>80584</Words>
  <Characters>45933</Characters>
  <Application>Microsoft Office Word</Application>
  <DocSecurity>0</DocSecurity>
  <Lines>382</Lines>
  <Paragraphs>252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mutual-recognition-decentralised-referral-pi-template-version-42_en_CLEAN_LT</vt:lpstr>
      <vt:lpstr>mutual-recognition-decentralised-referral-pi-template-version-42_en_CLEAN_LT</vt:lpstr>
    </vt:vector>
  </TitlesOfParts>
  <Company>CDT</Company>
  <LinksUpToDate>false</LinksUpToDate>
  <CharactersWithSpaces>126265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mutual-recognition-decentralised-referral-pi-template-version-42_en_CLEAN_LT</dc:title>
  <dc:subject>General-EMA/53556/2010</dc:subject>
  <dc:creator>CDT</dc:creator>
  <cp:lastModifiedBy>Albina Burkauskaitė</cp:lastModifiedBy>
  <cp:revision>3</cp:revision>
  <cp:lastPrinted>2019-11-28T11:21:00Z</cp:lastPrinted>
  <dcterms:created xsi:type="dcterms:W3CDTF">2026-06-16T09:59:00Z</dcterms:created>
  <dcterms:modified xsi:type="dcterms:W3CDTF">2026-06-16T10:00:00Z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JobId">
    <vt:lpwstr/>
  </property>
  <property fmtid="{D5CDD505-2E9C-101B-9397-08002B2CF9AE}" pid="46" name="MSIP_Label_0eea11ca-d417-4147-80ed-01a58412c458_ActionId">
    <vt:lpwstr/>
  </property>
  <property fmtid="{D5CDD505-2E9C-101B-9397-08002B2CF9AE}" pid="47" name="MSIP_Label_0eea11ca-d417-4147-80ed-01a58412c458_Application">
    <vt:lpwstr/>
  </property>
  <property fmtid="{D5CDD505-2E9C-101B-9397-08002B2CF9AE}" pid="48" name="MSIP_Label_0eea11ca-d417-4147-80ed-01a58412c458_Enabled">
    <vt:lpwstr/>
  </property>
  <property fmtid="{D5CDD505-2E9C-101B-9397-08002B2CF9AE}" pid="49" name="MSIP_Label_0eea11ca-d417-4147-80ed-01a58412c458_Extended_MSFT_Method">
    <vt:lpwstr/>
  </property>
  <property fmtid="{D5CDD505-2E9C-101B-9397-08002B2CF9AE}" pid="50" name="MSIP_Label_0eea11ca-d417-4147-80ed-01a58412c458_Name">
    <vt:lpwstr/>
  </property>
  <property fmtid="{D5CDD505-2E9C-101B-9397-08002B2CF9AE}" pid="51" name="MSIP_Label_0eea11ca-d417-4147-80ed-01a58412c458_Owner">
    <vt:lpwstr/>
  </property>
  <property fmtid="{D5CDD505-2E9C-101B-9397-08002B2CF9AE}" pid="52" name="MSIP_Label_0eea11ca-d417-4147-80ed-01a58412c458_Parent">
    <vt:lpwstr/>
  </property>
  <property fmtid="{D5CDD505-2E9C-101B-9397-08002B2CF9AE}" pid="53" name="MSIP_Label_0eea11ca-d417-4147-80ed-01a58412c458_SetDate">
    <vt:lpwstr/>
  </property>
  <property fmtid="{D5CDD505-2E9C-101B-9397-08002B2CF9AE}" pid="54" name="MSIP_Label_0eea11ca-d417-4147-80ed-01a58412c458_SiteId">
    <vt:lpwstr/>
  </property>
  <property fmtid="{D5CDD505-2E9C-101B-9397-08002B2CF9AE}" pid="55" name="MSIP_Label_afe1b31d-cec0-4074-b4bd-f07689e43d84_ActionId">
    <vt:lpwstr/>
  </property>
  <property fmtid="{D5CDD505-2E9C-101B-9397-08002B2CF9AE}" pid="56" name="MSIP_Label_afe1b31d-cec0-4074-b4bd-f07689e43d84_Application">
    <vt:lpwstr/>
  </property>
  <property fmtid="{D5CDD505-2E9C-101B-9397-08002B2CF9AE}" pid="57" name="MSIP_Label_afe1b31d-cec0-4074-b4bd-f07689e43d84_Enabled">
    <vt:lpwstr/>
  </property>
  <property fmtid="{D5CDD505-2E9C-101B-9397-08002B2CF9AE}" pid="58" name="MSIP_Label_afe1b31d-cec0-4074-b4bd-f07689e43d84_Extended_MSFT_Method">
    <vt:lpwstr/>
  </property>
  <property fmtid="{D5CDD505-2E9C-101B-9397-08002B2CF9AE}" pid="59" name="MSIP_Label_afe1b31d-cec0-4074-b4bd-f07689e43d84_Name">
    <vt:lpwstr/>
  </property>
  <property fmtid="{D5CDD505-2E9C-101B-9397-08002B2CF9AE}" pid="60" name="MSIP_Label_afe1b31d-cec0-4074-b4bd-f07689e43d84_Owner">
    <vt:lpwstr/>
  </property>
  <property fmtid="{D5CDD505-2E9C-101B-9397-08002B2CF9AE}" pid="61" name="MSIP_Label_afe1b31d-cec0-4074-b4bd-f07689e43d84_SetDate">
    <vt:lpwstr/>
  </property>
  <property fmtid="{D5CDD505-2E9C-101B-9397-08002B2CF9AE}" pid="62" name="MSIP_Label_afe1b31d-cec0-4074-b4bd-f07689e43d84_SiteId">
    <vt:lpwstr/>
  </property>
</Properties>
</file>