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D74BB" w14:textId="77777777" w:rsidR="000A79DC" w:rsidRPr="00561601" w:rsidRDefault="000A79DC" w:rsidP="00E644B8">
      <w:pPr>
        <w:pStyle w:val="Paprastasistekstas"/>
        <w:tabs>
          <w:tab w:val="left" w:pos="4962"/>
        </w:tabs>
        <w:jc w:val="right"/>
        <w:rPr>
          <w:rFonts w:ascii="Times New Roman" w:hAnsi="Times New Roman"/>
          <w:color w:val="000000"/>
          <w:sz w:val="24"/>
          <w:lang w:val="lt-LT"/>
        </w:rPr>
      </w:pPr>
    </w:p>
    <w:p w14:paraId="5213FF34" w14:textId="77777777" w:rsidR="005D00C0" w:rsidRPr="00561601" w:rsidRDefault="005D00C0" w:rsidP="00F34163">
      <w:pPr>
        <w:pStyle w:val="Paprastasistekstas"/>
        <w:ind w:left="5245"/>
        <w:rPr>
          <w:rFonts w:ascii="Times New Roman" w:hAnsi="Times New Roman"/>
          <w:color w:val="000000"/>
          <w:sz w:val="24"/>
          <w:szCs w:val="24"/>
          <w:lang w:val="lt-LT"/>
        </w:rPr>
      </w:pPr>
    </w:p>
    <w:p w14:paraId="64323C7D" w14:textId="77777777" w:rsidR="00F34163" w:rsidRPr="00561601" w:rsidRDefault="00F34163" w:rsidP="00F34163">
      <w:pPr>
        <w:widowControl w:val="0"/>
        <w:tabs>
          <w:tab w:val="clear" w:pos="567"/>
        </w:tabs>
        <w:spacing w:line="240" w:lineRule="auto"/>
        <w:rPr>
          <w:color w:val="008000"/>
          <w:lang w:val="lt-LT"/>
        </w:rPr>
      </w:pPr>
    </w:p>
    <w:p w14:paraId="76477600" w14:textId="77777777" w:rsidR="00F34163" w:rsidRPr="00561601" w:rsidRDefault="00F34163" w:rsidP="00F34163">
      <w:pPr>
        <w:outlineLvl w:val="0"/>
        <w:rPr>
          <w:b/>
          <w:lang w:val="lt-LT"/>
        </w:rPr>
      </w:pPr>
    </w:p>
    <w:p w14:paraId="2E86E21A" w14:textId="77777777" w:rsidR="00F34163" w:rsidRPr="00561601" w:rsidRDefault="00F34163" w:rsidP="00F34163">
      <w:pPr>
        <w:outlineLvl w:val="0"/>
        <w:rPr>
          <w:b/>
          <w:lang w:val="lt-LT"/>
        </w:rPr>
      </w:pPr>
    </w:p>
    <w:p w14:paraId="079CBBEB" w14:textId="77777777" w:rsidR="00F34163" w:rsidRPr="00561601" w:rsidRDefault="00F34163" w:rsidP="00F34163">
      <w:pPr>
        <w:outlineLvl w:val="0"/>
        <w:rPr>
          <w:b/>
          <w:lang w:val="lt-LT"/>
        </w:rPr>
      </w:pPr>
    </w:p>
    <w:p w14:paraId="22E1C9E4" w14:textId="77777777" w:rsidR="00F34163" w:rsidRPr="00561601" w:rsidRDefault="00F34163" w:rsidP="00F34163">
      <w:pPr>
        <w:outlineLvl w:val="0"/>
        <w:rPr>
          <w:b/>
          <w:lang w:val="lt-LT"/>
        </w:rPr>
      </w:pPr>
    </w:p>
    <w:p w14:paraId="4B0AE70D" w14:textId="77777777" w:rsidR="00F34163" w:rsidRPr="00561601" w:rsidRDefault="00F34163" w:rsidP="00F34163">
      <w:pPr>
        <w:tabs>
          <w:tab w:val="left" w:pos="-1440"/>
          <w:tab w:val="left" w:pos="-720"/>
        </w:tabs>
        <w:rPr>
          <w:b/>
          <w:lang w:val="lt-LT"/>
        </w:rPr>
      </w:pPr>
    </w:p>
    <w:p w14:paraId="7C4EB28A" w14:textId="77777777" w:rsidR="00F34163" w:rsidRPr="00561601" w:rsidRDefault="00F34163" w:rsidP="00F34163">
      <w:pPr>
        <w:tabs>
          <w:tab w:val="left" w:pos="-1440"/>
          <w:tab w:val="left" w:pos="-720"/>
        </w:tabs>
        <w:rPr>
          <w:b/>
          <w:lang w:val="lt-LT"/>
        </w:rPr>
      </w:pPr>
    </w:p>
    <w:p w14:paraId="722449A5" w14:textId="77777777" w:rsidR="00F34163" w:rsidRPr="00561601" w:rsidRDefault="00F34163" w:rsidP="00F34163">
      <w:pPr>
        <w:tabs>
          <w:tab w:val="left" w:pos="-1440"/>
          <w:tab w:val="left" w:pos="-720"/>
        </w:tabs>
        <w:rPr>
          <w:b/>
          <w:lang w:val="lt-LT"/>
        </w:rPr>
      </w:pPr>
    </w:p>
    <w:p w14:paraId="752A4655" w14:textId="77777777" w:rsidR="00F34163" w:rsidRPr="00561601" w:rsidRDefault="00F34163" w:rsidP="00F34163">
      <w:pPr>
        <w:tabs>
          <w:tab w:val="left" w:pos="-1440"/>
          <w:tab w:val="left" w:pos="-720"/>
        </w:tabs>
        <w:rPr>
          <w:b/>
          <w:lang w:val="lt-LT"/>
        </w:rPr>
      </w:pPr>
    </w:p>
    <w:p w14:paraId="71D933C5" w14:textId="77777777" w:rsidR="00F34163" w:rsidRPr="00561601" w:rsidRDefault="00F34163" w:rsidP="00F34163">
      <w:pPr>
        <w:tabs>
          <w:tab w:val="left" w:pos="-1440"/>
          <w:tab w:val="left" w:pos="-720"/>
        </w:tabs>
        <w:rPr>
          <w:b/>
          <w:lang w:val="lt-LT"/>
        </w:rPr>
      </w:pPr>
    </w:p>
    <w:p w14:paraId="34A40760" w14:textId="77777777" w:rsidR="00F34163" w:rsidRPr="00561601" w:rsidRDefault="00F34163" w:rsidP="00F34163">
      <w:pPr>
        <w:tabs>
          <w:tab w:val="left" w:pos="-1440"/>
          <w:tab w:val="left" w:pos="-720"/>
        </w:tabs>
        <w:rPr>
          <w:b/>
          <w:lang w:val="lt-LT"/>
        </w:rPr>
      </w:pPr>
    </w:p>
    <w:p w14:paraId="13BBBCA1" w14:textId="77777777" w:rsidR="00F34163" w:rsidRPr="00561601" w:rsidRDefault="00F34163" w:rsidP="00F34163">
      <w:pPr>
        <w:tabs>
          <w:tab w:val="left" w:pos="-1440"/>
          <w:tab w:val="left" w:pos="-720"/>
        </w:tabs>
        <w:rPr>
          <w:b/>
          <w:lang w:val="lt-LT"/>
        </w:rPr>
      </w:pPr>
    </w:p>
    <w:p w14:paraId="24401C4B" w14:textId="77777777" w:rsidR="00F34163" w:rsidRPr="00561601" w:rsidRDefault="00F34163" w:rsidP="00F34163">
      <w:pPr>
        <w:tabs>
          <w:tab w:val="left" w:pos="-1440"/>
          <w:tab w:val="left" w:pos="-720"/>
        </w:tabs>
        <w:rPr>
          <w:b/>
          <w:lang w:val="lt-LT"/>
        </w:rPr>
      </w:pPr>
    </w:p>
    <w:p w14:paraId="4A8A3EBD" w14:textId="77777777" w:rsidR="00F34163" w:rsidRPr="00561601" w:rsidRDefault="00F34163" w:rsidP="00F34163">
      <w:pPr>
        <w:tabs>
          <w:tab w:val="left" w:pos="-1440"/>
          <w:tab w:val="left" w:pos="-720"/>
        </w:tabs>
        <w:rPr>
          <w:b/>
          <w:lang w:val="lt-LT"/>
        </w:rPr>
      </w:pPr>
    </w:p>
    <w:p w14:paraId="3495BC2A" w14:textId="77777777" w:rsidR="00F34163" w:rsidRPr="00561601" w:rsidRDefault="00F34163" w:rsidP="00F34163">
      <w:pPr>
        <w:tabs>
          <w:tab w:val="left" w:pos="-1440"/>
          <w:tab w:val="left" w:pos="-720"/>
        </w:tabs>
        <w:rPr>
          <w:b/>
          <w:lang w:val="lt-LT"/>
        </w:rPr>
      </w:pPr>
    </w:p>
    <w:p w14:paraId="6F60797C" w14:textId="77777777" w:rsidR="00F34163" w:rsidRPr="00561601" w:rsidRDefault="00F34163" w:rsidP="00F34163">
      <w:pPr>
        <w:tabs>
          <w:tab w:val="left" w:pos="-1440"/>
          <w:tab w:val="left" w:pos="-720"/>
        </w:tabs>
        <w:rPr>
          <w:b/>
          <w:lang w:val="lt-LT"/>
        </w:rPr>
      </w:pPr>
    </w:p>
    <w:p w14:paraId="63218F44" w14:textId="77777777" w:rsidR="00F34163" w:rsidRPr="00561601" w:rsidRDefault="00F34163" w:rsidP="00F34163">
      <w:pPr>
        <w:tabs>
          <w:tab w:val="left" w:pos="-1440"/>
          <w:tab w:val="left" w:pos="-720"/>
        </w:tabs>
        <w:rPr>
          <w:b/>
          <w:lang w:val="lt-LT"/>
        </w:rPr>
      </w:pPr>
    </w:p>
    <w:p w14:paraId="19822269" w14:textId="77777777" w:rsidR="00F34163" w:rsidRPr="00561601" w:rsidRDefault="00F34163" w:rsidP="00F34163">
      <w:pPr>
        <w:tabs>
          <w:tab w:val="left" w:pos="-1440"/>
          <w:tab w:val="left" w:pos="-720"/>
        </w:tabs>
        <w:rPr>
          <w:b/>
          <w:lang w:val="lt-LT"/>
        </w:rPr>
      </w:pPr>
    </w:p>
    <w:p w14:paraId="306ECF8A" w14:textId="77777777" w:rsidR="00F34163" w:rsidRPr="00561601" w:rsidRDefault="00F34163" w:rsidP="00F34163">
      <w:pPr>
        <w:tabs>
          <w:tab w:val="left" w:pos="-1440"/>
          <w:tab w:val="left" w:pos="-720"/>
        </w:tabs>
        <w:rPr>
          <w:b/>
          <w:lang w:val="lt-LT"/>
        </w:rPr>
      </w:pPr>
    </w:p>
    <w:p w14:paraId="261CC038" w14:textId="77777777" w:rsidR="00F34163" w:rsidRPr="00561601" w:rsidRDefault="00F34163" w:rsidP="00F34163">
      <w:pPr>
        <w:tabs>
          <w:tab w:val="left" w:pos="-1440"/>
          <w:tab w:val="left" w:pos="-720"/>
        </w:tabs>
        <w:rPr>
          <w:b/>
          <w:lang w:val="lt-LT"/>
        </w:rPr>
      </w:pPr>
    </w:p>
    <w:p w14:paraId="3806EB14" w14:textId="77777777" w:rsidR="00F34163" w:rsidRPr="00561601" w:rsidRDefault="00F34163" w:rsidP="00F34163">
      <w:pPr>
        <w:tabs>
          <w:tab w:val="left" w:pos="-1440"/>
          <w:tab w:val="left" w:pos="-720"/>
        </w:tabs>
        <w:rPr>
          <w:b/>
          <w:lang w:val="lt-LT"/>
        </w:rPr>
      </w:pPr>
    </w:p>
    <w:p w14:paraId="7C7523B9" w14:textId="77777777" w:rsidR="00F34163" w:rsidRPr="00561601" w:rsidRDefault="00F34163" w:rsidP="00F34163">
      <w:pPr>
        <w:tabs>
          <w:tab w:val="left" w:pos="-1440"/>
          <w:tab w:val="left" w:pos="-720"/>
        </w:tabs>
        <w:rPr>
          <w:b/>
          <w:lang w:val="lt-LT"/>
        </w:rPr>
      </w:pPr>
    </w:p>
    <w:p w14:paraId="34E858A8" w14:textId="77777777" w:rsidR="00F34163" w:rsidRPr="00561601" w:rsidRDefault="00F34163" w:rsidP="00F34163">
      <w:pPr>
        <w:tabs>
          <w:tab w:val="left" w:pos="-1440"/>
          <w:tab w:val="left" w:pos="-720"/>
        </w:tabs>
        <w:rPr>
          <w:b/>
          <w:lang w:val="lt-LT"/>
        </w:rPr>
      </w:pPr>
    </w:p>
    <w:p w14:paraId="509E06F6" w14:textId="77777777" w:rsidR="00F34163" w:rsidRPr="00561601" w:rsidRDefault="00F34163" w:rsidP="00F34163">
      <w:pPr>
        <w:pStyle w:val="Antrat2"/>
        <w:spacing w:before="0" w:after="0" w:line="240" w:lineRule="auto"/>
        <w:jc w:val="center"/>
        <w:rPr>
          <w:rFonts w:ascii="Times New Roman" w:hAnsi="Times New Roman"/>
          <w:bCs w:val="0"/>
          <w:i w:val="0"/>
          <w:iCs w:val="0"/>
          <w:sz w:val="22"/>
          <w:szCs w:val="24"/>
          <w:lang w:val="lt-LT"/>
        </w:rPr>
      </w:pPr>
      <w:r w:rsidRPr="00561601">
        <w:rPr>
          <w:rFonts w:ascii="Times New Roman" w:hAnsi="Times New Roman"/>
          <w:i w:val="0"/>
          <w:sz w:val="22"/>
          <w:lang w:val="lt-LT"/>
        </w:rPr>
        <w:t>I PRIEDAS</w:t>
      </w:r>
    </w:p>
    <w:p w14:paraId="597DF4B7" w14:textId="77777777" w:rsidR="00F34163" w:rsidRPr="00561601" w:rsidRDefault="00F34163" w:rsidP="00F34163">
      <w:pPr>
        <w:spacing w:line="240" w:lineRule="auto"/>
        <w:rPr>
          <w:szCs w:val="24"/>
          <w:lang w:val="lt-LT"/>
        </w:rPr>
      </w:pPr>
    </w:p>
    <w:p w14:paraId="5021F928" w14:textId="77777777" w:rsidR="00F34163" w:rsidRPr="00561601" w:rsidRDefault="00F34163" w:rsidP="00F34163">
      <w:pPr>
        <w:tabs>
          <w:tab w:val="left" w:pos="-1440"/>
          <w:tab w:val="left" w:pos="-720"/>
        </w:tabs>
        <w:jc w:val="center"/>
        <w:rPr>
          <w:b/>
          <w:lang w:val="lt-LT"/>
        </w:rPr>
      </w:pPr>
      <w:r w:rsidRPr="00561601">
        <w:rPr>
          <w:b/>
          <w:lang w:val="lt-LT"/>
        </w:rPr>
        <w:t>PREPARATO CHARAKTERISTIKŲ SANTRAUKA</w:t>
      </w:r>
    </w:p>
    <w:p w14:paraId="0217F79D" w14:textId="53B3458F" w:rsidR="00F34163" w:rsidRPr="00EF6F56" w:rsidRDefault="00F34163" w:rsidP="00EF6F56">
      <w:pPr>
        <w:tabs>
          <w:tab w:val="left" w:pos="-1440"/>
          <w:tab w:val="left" w:pos="-720"/>
        </w:tabs>
        <w:rPr>
          <w:b/>
          <w:lang w:val="lt-LT"/>
        </w:rPr>
      </w:pPr>
      <w:r w:rsidRPr="00561601">
        <w:rPr>
          <w:lang w:val="lt-LT" w:eastAsia="zh-CN"/>
        </w:rPr>
        <w:br w:type="page"/>
      </w:r>
      <w:r w:rsidRPr="00EF6F56">
        <w:rPr>
          <w:b/>
          <w:lang w:val="lt-LT"/>
        </w:rPr>
        <w:lastRenderedPageBreak/>
        <w:t>1.</w:t>
      </w:r>
      <w:r w:rsidRPr="00EF6F56">
        <w:rPr>
          <w:b/>
          <w:lang w:val="lt-LT"/>
        </w:rPr>
        <w:tab/>
        <w:t>VAISTINIO PREPARATO PAVADINIMAS</w:t>
      </w:r>
    </w:p>
    <w:p w14:paraId="6C82E759" w14:textId="77777777" w:rsidR="00572B67" w:rsidRPr="00561601" w:rsidRDefault="00572B67" w:rsidP="00572B67">
      <w:pPr>
        <w:rPr>
          <w:iCs/>
          <w:szCs w:val="22"/>
          <w:lang w:val="lt-LT"/>
        </w:rPr>
      </w:pPr>
    </w:p>
    <w:p w14:paraId="74F22CB4" w14:textId="1F80550B" w:rsidR="00572B67" w:rsidRPr="00561601" w:rsidRDefault="00E47068" w:rsidP="00572B67">
      <w:pPr>
        <w:rPr>
          <w:iCs/>
          <w:szCs w:val="22"/>
          <w:lang w:val="lt-LT"/>
        </w:rPr>
      </w:pPr>
      <w:proofErr w:type="spellStart"/>
      <w:r>
        <w:rPr>
          <w:lang w:val="lt-LT"/>
        </w:rPr>
        <w:t>Cymvigo</w:t>
      </w:r>
      <w:proofErr w:type="spellEnd"/>
      <w:r w:rsidR="00572B67" w:rsidRPr="00561601">
        <w:rPr>
          <w:lang w:val="lt-LT"/>
        </w:rPr>
        <w:t xml:space="preserve"> 100 V/ml infuzinis tirpalas</w:t>
      </w:r>
    </w:p>
    <w:p w14:paraId="09A9F167" w14:textId="77777777" w:rsidR="00572B67" w:rsidRPr="00561601" w:rsidRDefault="00572B67" w:rsidP="00572B67">
      <w:pPr>
        <w:rPr>
          <w:iCs/>
          <w:szCs w:val="22"/>
          <w:lang w:val="lt-LT"/>
        </w:rPr>
      </w:pPr>
    </w:p>
    <w:p w14:paraId="579EA135" w14:textId="77777777" w:rsidR="00F34163" w:rsidRPr="00561601" w:rsidRDefault="00F34163" w:rsidP="00F34163">
      <w:pPr>
        <w:rPr>
          <w:szCs w:val="24"/>
          <w:lang w:val="lt-LT"/>
        </w:rPr>
      </w:pPr>
    </w:p>
    <w:p w14:paraId="7B9B4F35" w14:textId="77777777" w:rsidR="00F34163" w:rsidRPr="00561601" w:rsidRDefault="00F34163" w:rsidP="00F34163">
      <w:pPr>
        <w:pStyle w:val="Antrat3"/>
        <w:spacing w:before="0" w:after="0" w:line="240" w:lineRule="auto"/>
        <w:rPr>
          <w:rFonts w:ascii="Times New Roman" w:hAnsi="Times New Roman"/>
          <w:sz w:val="22"/>
          <w:lang w:val="lt-LT"/>
        </w:rPr>
      </w:pPr>
      <w:r w:rsidRPr="00561601">
        <w:rPr>
          <w:rFonts w:ascii="Times New Roman" w:hAnsi="Times New Roman"/>
          <w:sz w:val="22"/>
          <w:lang w:val="lt-LT"/>
        </w:rPr>
        <w:t>2.</w:t>
      </w:r>
      <w:r w:rsidRPr="00561601">
        <w:rPr>
          <w:rFonts w:ascii="Times New Roman" w:hAnsi="Times New Roman"/>
          <w:sz w:val="22"/>
          <w:lang w:val="lt-LT"/>
        </w:rPr>
        <w:tab/>
        <w:t>KOKYBINĖ IR KIEKYBINĖ SUDĖTIS</w:t>
      </w:r>
    </w:p>
    <w:p w14:paraId="103AA61C" w14:textId="77777777" w:rsidR="00F34163" w:rsidRPr="00561601" w:rsidRDefault="00F34163" w:rsidP="00F34163">
      <w:pPr>
        <w:rPr>
          <w:szCs w:val="24"/>
          <w:lang w:val="lt-LT"/>
        </w:rPr>
      </w:pPr>
    </w:p>
    <w:p w14:paraId="35032B68" w14:textId="77777777" w:rsidR="00572B67" w:rsidRPr="00561601" w:rsidRDefault="00572B67" w:rsidP="00572B67">
      <w:pPr>
        <w:rPr>
          <w:iCs/>
          <w:szCs w:val="22"/>
          <w:lang w:val="lt-LT"/>
        </w:rPr>
      </w:pPr>
      <w:r w:rsidRPr="00561601">
        <w:rPr>
          <w:lang w:val="lt-LT"/>
        </w:rPr>
        <w:t xml:space="preserve">Žmogaus </w:t>
      </w:r>
      <w:proofErr w:type="spellStart"/>
      <w:r w:rsidRPr="00561601">
        <w:rPr>
          <w:lang w:val="lt-LT"/>
        </w:rPr>
        <w:t>citomegalo</w:t>
      </w:r>
      <w:proofErr w:type="spellEnd"/>
      <w:r w:rsidRPr="00561601">
        <w:rPr>
          <w:lang w:val="lt-LT"/>
        </w:rPr>
        <w:t xml:space="preserve"> viruso imunoglobulinas (CMVIG)</w:t>
      </w:r>
    </w:p>
    <w:p w14:paraId="55A50734" w14:textId="77777777" w:rsidR="00572B67" w:rsidRPr="00561601" w:rsidRDefault="00572B67" w:rsidP="00572B67">
      <w:pPr>
        <w:rPr>
          <w:iCs/>
          <w:szCs w:val="22"/>
          <w:lang w:val="lt-LT"/>
        </w:rPr>
      </w:pPr>
    </w:p>
    <w:p w14:paraId="3712283D" w14:textId="77777777" w:rsidR="00572B67" w:rsidRPr="00561601" w:rsidRDefault="00572B67" w:rsidP="00572B67">
      <w:pPr>
        <w:rPr>
          <w:iCs/>
          <w:szCs w:val="22"/>
          <w:lang w:val="lt-LT"/>
        </w:rPr>
      </w:pPr>
      <w:r w:rsidRPr="00561601">
        <w:rPr>
          <w:lang w:val="lt-LT"/>
        </w:rPr>
        <w:t>Viename ml yra:</w:t>
      </w:r>
    </w:p>
    <w:p w14:paraId="4E9E778A" w14:textId="7A1CB6F0" w:rsidR="00572B67" w:rsidRPr="00561601" w:rsidRDefault="00572B67" w:rsidP="00572B67">
      <w:pPr>
        <w:rPr>
          <w:iCs/>
          <w:szCs w:val="22"/>
          <w:lang w:val="lt-LT"/>
        </w:rPr>
      </w:pPr>
      <w:r w:rsidRPr="00561601">
        <w:rPr>
          <w:lang w:val="lt-LT"/>
        </w:rPr>
        <w:t>Žmogaus plazmos baltymo............................... 50 mg (</w:t>
      </w:r>
      <w:r w:rsidR="00634870">
        <w:rPr>
          <w:lang w:val="lt-LT"/>
        </w:rPr>
        <w:t>iš kurio</w:t>
      </w:r>
      <w:r w:rsidR="00634870" w:rsidRPr="00561601">
        <w:rPr>
          <w:lang w:val="lt-LT"/>
        </w:rPr>
        <w:t xml:space="preserve"> </w:t>
      </w:r>
      <w:r w:rsidRPr="00561601">
        <w:rPr>
          <w:lang w:val="lt-LT"/>
        </w:rPr>
        <w:t xml:space="preserve">ne mažiau kaip 96 % imunoglobulino G), kuriame antikūnų prieš </w:t>
      </w:r>
      <w:proofErr w:type="spellStart"/>
      <w:r w:rsidRPr="00561601">
        <w:rPr>
          <w:lang w:val="lt-LT"/>
        </w:rPr>
        <w:t>citomegalo</w:t>
      </w:r>
      <w:proofErr w:type="spellEnd"/>
      <w:r w:rsidRPr="00561601">
        <w:rPr>
          <w:lang w:val="lt-LT"/>
        </w:rPr>
        <w:t xml:space="preserve"> virusą (CMV) kiekis yra 100 V*</w:t>
      </w:r>
    </w:p>
    <w:p w14:paraId="305CB8A2" w14:textId="3AA31D68" w:rsidR="00572B67" w:rsidRPr="00561601" w:rsidRDefault="00572B67" w:rsidP="00572B67">
      <w:pPr>
        <w:rPr>
          <w:szCs w:val="22"/>
          <w:lang w:val="lt-LT"/>
        </w:rPr>
      </w:pPr>
      <w:r w:rsidRPr="00561601">
        <w:rPr>
          <w:lang w:val="lt-LT"/>
        </w:rPr>
        <w:tab/>
      </w:r>
      <w:r w:rsidRPr="00561601">
        <w:rPr>
          <w:szCs w:val="22"/>
          <w:lang w:val="lt-LT"/>
        </w:rPr>
        <w:t xml:space="preserve">* </w:t>
      </w:r>
      <w:r w:rsidR="00941490" w:rsidRPr="00941490">
        <w:rPr>
          <w:lang w:val="lt-LT"/>
        </w:rPr>
        <w:t xml:space="preserve">Paulo </w:t>
      </w:r>
      <w:proofErr w:type="spellStart"/>
      <w:r w:rsidR="00941490" w:rsidRPr="00941490">
        <w:rPr>
          <w:lang w:val="lt-LT"/>
        </w:rPr>
        <w:t>Erlicho</w:t>
      </w:r>
      <w:proofErr w:type="spellEnd"/>
      <w:r w:rsidR="00941490" w:rsidRPr="00941490">
        <w:rPr>
          <w:lang w:val="lt-LT"/>
        </w:rPr>
        <w:t xml:space="preserve"> instituto</w:t>
      </w:r>
      <w:r w:rsidR="00941490">
        <w:rPr>
          <w:lang w:val="lt-LT"/>
        </w:rPr>
        <w:t xml:space="preserve"> </w:t>
      </w:r>
      <w:r w:rsidRPr="00561601">
        <w:rPr>
          <w:lang w:val="lt-LT"/>
        </w:rPr>
        <w:t>etaloninio preparato vienetai</w:t>
      </w:r>
    </w:p>
    <w:p w14:paraId="7023EDF9" w14:textId="77777777" w:rsidR="00572B67" w:rsidRPr="00561601" w:rsidRDefault="00572B67" w:rsidP="00572B67">
      <w:pPr>
        <w:rPr>
          <w:iCs/>
          <w:szCs w:val="22"/>
          <w:lang w:val="lt-LT"/>
        </w:rPr>
      </w:pPr>
    </w:p>
    <w:p w14:paraId="2D6D6278" w14:textId="1EAC0150" w:rsidR="00572B67" w:rsidRPr="00561601" w:rsidRDefault="00572B67" w:rsidP="00572B67">
      <w:pPr>
        <w:rPr>
          <w:iCs/>
          <w:szCs w:val="22"/>
          <w:lang w:val="lt-LT"/>
        </w:rPr>
      </w:pPr>
      <w:r w:rsidRPr="00561601">
        <w:rPr>
          <w:lang w:val="lt-LT"/>
        </w:rPr>
        <w:t>Kiekviename 10 ml flakone yra: 500 mg žmogaus plazmos baltymo (</w:t>
      </w:r>
      <w:r w:rsidR="00634870">
        <w:rPr>
          <w:lang w:val="lt-LT"/>
        </w:rPr>
        <w:t>iš kurio</w:t>
      </w:r>
      <w:r w:rsidRPr="00561601">
        <w:rPr>
          <w:lang w:val="lt-LT"/>
        </w:rPr>
        <w:t xml:space="preserve"> ne mažiau kaip 96 % imunoglobulino G), kuriame antikūnų prieš CMV kiekis yra 1 000 V.</w:t>
      </w:r>
    </w:p>
    <w:p w14:paraId="5867568E" w14:textId="47BB2E6E" w:rsidR="00572B67" w:rsidRPr="00561601" w:rsidRDefault="00572B67" w:rsidP="00572B67">
      <w:pPr>
        <w:rPr>
          <w:iCs/>
          <w:szCs w:val="22"/>
          <w:lang w:val="lt-LT"/>
        </w:rPr>
      </w:pPr>
      <w:r w:rsidRPr="00561601">
        <w:rPr>
          <w:lang w:val="lt-LT"/>
        </w:rPr>
        <w:t>Kiekviename 50 ml flakone yra: 2 500 mg žmogaus plazmos baltymo (</w:t>
      </w:r>
      <w:r w:rsidR="00941490">
        <w:rPr>
          <w:lang w:val="lt-LT"/>
        </w:rPr>
        <w:t>iš kurio</w:t>
      </w:r>
      <w:r w:rsidRPr="00561601">
        <w:rPr>
          <w:lang w:val="lt-LT"/>
        </w:rPr>
        <w:t xml:space="preserve"> ne mažiau kaip 96 % imunoglobulino G), kuriame antikūnų prieš CMV kiekis yra 5 000 V.</w:t>
      </w:r>
    </w:p>
    <w:p w14:paraId="0F7071EF" w14:textId="77777777" w:rsidR="00572B67" w:rsidRPr="00561601" w:rsidRDefault="00572B67" w:rsidP="00572B67">
      <w:pPr>
        <w:rPr>
          <w:iCs/>
          <w:szCs w:val="22"/>
          <w:lang w:val="lt-LT"/>
        </w:rPr>
      </w:pPr>
    </w:p>
    <w:p w14:paraId="67CFAA53" w14:textId="77777777" w:rsidR="00572B67" w:rsidRPr="00561601" w:rsidRDefault="00572B67" w:rsidP="00572B67">
      <w:pPr>
        <w:pStyle w:val="Default"/>
        <w:rPr>
          <w:sz w:val="22"/>
          <w:szCs w:val="22"/>
          <w:lang w:val="lt-LT"/>
        </w:rPr>
      </w:pPr>
      <w:proofErr w:type="spellStart"/>
      <w:r w:rsidRPr="00561601">
        <w:rPr>
          <w:sz w:val="22"/>
          <w:lang w:val="lt-LT"/>
        </w:rPr>
        <w:t>IgG</w:t>
      </w:r>
      <w:proofErr w:type="spellEnd"/>
      <w:r w:rsidRPr="00561601">
        <w:rPr>
          <w:sz w:val="22"/>
          <w:lang w:val="lt-LT"/>
        </w:rPr>
        <w:t xml:space="preserve"> poklasių pasiskirstymas (apytikslės reikšmės): </w:t>
      </w:r>
    </w:p>
    <w:p w14:paraId="24C61D74" w14:textId="77777777" w:rsidR="00572B67" w:rsidRPr="00561601" w:rsidRDefault="00572B67" w:rsidP="00572B67">
      <w:pPr>
        <w:pStyle w:val="Default"/>
        <w:rPr>
          <w:sz w:val="22"/>
          <w:szCs w:val="22"/>
          <w:lang w:val="lt-LT"/>
        </w:rPr>
      </w:pPr>
      <w:r w:rsidRPr="00561601">
        <w:rPr>
          <w:sz w:val="22"/>
          <w:lang w:val="lt-LT"/>
        </w:rPr>
        <w:t xml:space="preserve">IgG1 </w:t>
      </w:r>
      <w:r w:rsidRPr="00561601">
        <w:rPr>
          <w:sz w:val="22"/>
          <w:lang w:val="lt-LT"/>
        </w:rPr>
        <w:tab/>
        <w:t xml:space="preserve"> 65 %</w:t>
      </w:r>
    </w:p>
    <w:p w14:paraId="5F64A2D0" w14:textId="77777777" w:rsidR="00572B67" w:rsidRPr="00561601" w:rsidRDefault="00572B67" w:rsidP="00572B67">
      <w:pPr>
        <w:pStyle w:val="Default"/>
        <w:rPr>
          <w:sz w:val="22"/>
          <w:szCs w:val="22"/>
          <w:lang w:val="lt-LT"/>
        </w:rPr>
      </w:pPr>
      <w:r w:rsidRPr="00561601">
        <w:rPr>
          <w:sz w:val="22"/>
          <w:lang w:val="lt-LT"/>
        </w:rPr>
        <w:t xml:space="preserve">IgG2 </w:t>
      </w:r>
      <w:r w:rsidRPr="00561601">
        <w:rPr>
          <w:sz w:val="22"/>
          <w:lang w:val="lt-LT"/>
        </w:rPr>
        <w:tab/>
        <w:t xml:space="preserve"> 30 % </w:t>
      </w:r>
    </w:p>
    <w:p w14:paraId="32C6DDD4" w14:textId="77777777" w:rsidR="00572B67" w:rsidRPr="00561601" w:rsidRDefault="00572B67" w:rsidP="00572B67">
      <w:pPr>
        <w:pStyle w:val="Default"/>
        <w:rPr>
          <w:sz w:val="22"/>
          <w:szCs w:val="22"/>
          <w:lang w:val="lt-LT"/>
        </w:rPr>
      </w:pPr>
      <w:r w:rsidRPr="00561601">
        <w:rPr>
          <w:sz w:val="22"/>
          <w:lang w:val="lt-LT"/>
        </w:rPr>
        <w:t xml:space="preserve">IgG3 </w:t>
      </w:r>
      <w:r w:rsidRPr="00561601">
        <w:rPr>
          <w:sz w:val="22"/>
          <w:lang w:val="lt-LT"/>
        </w:rPr>
        <w:tab/>
        <w:t xml:space="preserve"> 3 % </w:t>
      </w:r>
    </w:p>
    <w:p w14:paraId="1238E6CF" w14:textId="77777777" w:rsidR="00572B67" w:rsidRPr="00561601" w:rsidRDefault="00572B67" w:rsidP="00572B67">
      <w:pPr>
        <w:rPr>
          <w:iCs/>
          <w:szCs w:val="22"/>
          <w:lang w:val="lt-LT"/>
        </w:rPr>
      </w:pPr>
      <w:r w:rsidRPr="00561601">
        <w:rPr>
          <w:lang w:val="lt-LT"/>
        </w:rPr>
        <w:t xml:space="preserve">IgG4 </w:t>
      </w:r>
      <w:r w:rsidR="00BA5E83" w:rsidRPr="00561601">
        <w:rPr>
          <w:lang w:val="lt-LT"/>
        </w:rPr>
        <w:tab/>
      </w:r>
      <w:r w:rsidR="000E2574" w:rsidRPr="00561601">
        <w:rPr>
          <w:lang w:val="lt-LT"/>
        </w:rPr>
        <w:tab/>
      </w:r>
      <w:r w:rsidR="003B47A8" w:rsidRPr="00561601">
        <w:rPr>
          <w:lang w:val="lt-LT"/>
        </w:rPr>
        <w:t xml:space="preserve"> </w:t>
      </w:r>
      <w:r w:rsidRPr="00561601">
        <w:rPr>
          <w:lang w:val="lt-LT"/>
        </w:rPr>
        <w:t>2 %</w:t>
      </w:r>
    </w:p>
    <w:p w14:paraId="2BFB500B" w14:textId="77777777" w:rsidR="00572B67" w:rsidRPr="00561601" w:rsidRDefault="00572B67" w:rsidP="00572B67">
      <w:pPr>
        <w:rPr>
          <w:iCs/>
          <w:szCs w:val="22"/>
          <w:lang w:val="lt-LT"/>
        </w:rPr>
      </w:pPr>
    </w:p>
    <w:p w14:paraId="633A7C5A" w14:textId="2766A63A" w:rsidR="00572B67" w:rsidRPr="00561601" w:rsidRDefault="00572B67" w:rsidP="00572B67">
      <w:pPr>
        <w:rPr>
          <w:iCs/>
          <w:szCs w:val="22"/>
          <w:lang w:val="lt-LT"/>
        </w:rPr>
      </w:pPr>
      <w:r w:rsidRPr="00561601">
        <w:rPr>
          <w:lang w:val="lt-LT"/>
        </w:rPr>
        <w:t>Imunoglobulino A (</w:t>
      </w:r>
      <w:proofErr w:type="spellStart"/>
      <w:r w:rsidRPr="00561601">
        <w:rPr>
          <w:lang w:val="lt-LT"/>
        </w:rPr>
        <w:t>IgA</w:t>
      </w:r>
      <w:proofErr w:type="spellEnd"/>
      <w:r w:rsidRPr="00561601">
        <w:rPr>
          <w:lang w:val="lt-LT"/>
        </w:rPr>
        <w:t xml:space="preserve">) kiekis </w:t>
      </w:r>
      <w:r w:rsidR="00941490">
        <w:rPr>
          <w:lang w:val="lt-LT"/>
        </w:rPr>
        <w:t>yra apribotas</w:t>
      </w:r>
      <w:r w:rsidRPr="00561601">
        <w:rPr>
          <w:lang w:val="lt-LT"/>
        </w:rPr>
        <w:t xml:space="preserve"> iki </w:t>
      </w:r>
      <w:r w:rsidRPr="00561601">
        <w:rPr>
          <w:lang w:val="lt-LT"/>
        </w:rPr>
        <w:sym w:font="Symbol" w:char="F0A3"/>
      </w:r>
      <w:r w:rsidRPr="00561601">
        <w:rPr>
          <w:lang w:val="lt-LT"/>
        </w:rPr>
        <w:t> 2 000 </w:t>
      </w:r>
      <w:proofErr w:type="spellStart"/>
      <w:r w:rsidRPr="00561601">
        <w:rPr>
          <w:lang w:val="lt-LT"/>
        </w:rPr>
        <w:t>mikrogramų</w:t>
      </w:r>
      <w:proofErr w:type="spellEnd"/>
      <w:r w:rsidRPr="00561601">
        <w:rPr>
          <w:lang w:val="lt-LT"/>
        </w:rPr>
        <w:t>/ml.</w:t>
      </w:r>
    </w:p>
    <w:p w14:paraId="55C1780A" w14:textId="77777777" w:rsidR="00572B67" w:rsidRPr="00561601" w:rsidRDefault="00572B67" w:rsidP="00572B67">
      <w:pPr>
        <w:rPr>
          <w:iCs/>
          <w:szCs w:val="22"/>
          <w:lang w:val="lt-LT"/>
        </w:rPr>
      </w:pPr>
    </w:p>
    <w:p w14:paraId="7A26EE52" w14:textId="77777777" w:rsidR="00572B67" w:rsidRPr="00561601" w:rsidRDefault="00572B67" w:rsidP="00572B67">
      <w:pPr>
        <w:rPr>
          <w:szCs w:val="22"/>
          <w:lang w:val="lt-LT"/>
        </w:rPr>
      </w:pPr>
      <w:r w:rsidRPr="00561601">
        <w:rPr>
          <w:lang w:val="lt-LT"/>
        </w:rPr>
        <w:t>Pagaminta iš žmonių donorų plazmos.</w:t>
      </w:r>
    </w:p>
    <w:p w14:paraId="4291C610" w14:textId="77777777" w:rsidR="00572B67" w:rsidRPr="00561601" w:rsidRDefault="00572B67" w:rsidP="00572B67">
      <w:pPr>
        <w:rPr>
          <w:iCs/>
          <w:szCs w:val="22"/>
          <w:lang w:val="lt-LT"/>
        </w:rPr>
      </w:pPr>
    </w:p>
    <w:p w14:paraId="6D681A78" w14:textId="77777777" w:rsidR="00572B67" w:rsidRPr="00561601" w:rsidRDefault="00572B67" w:rsidP="00572B67">
      <w:pPr>
        <w:rPr>
          <w:iCs/>
          <w:szCs w:val="22"/>
          <w:lang w:val="lt-LT"/>
        </w:rPr>
      </w:pPr>
      <w:r w:rsidRPr="00561601">
        <w:rPr>
          <w:lang w:val="lt-LT"/>
        </w:rPr>
        <w:t>Visos pagalbinės medžiagos išvardytos 6.1 skyriuje.</w:t>
      </w:r>
    </w:p>
    <w:p w14:paraId="4DCC5272" w14:textId="77777777" w:rsidR="00F34163" w:rsidRPr="00561601" w:rsidRDefault="00F34163" w:rsidP="00F34163">
      <w:pPr>
        <w:rPr>
          <w:szCs w:val="24"/>
          <w:lang w:val="lt-LT"/>
        </w:rPr>
      </w:pPr>
    </w:p>
    <w:p w14:paraId="3283CC23" w14:textId="77777777" w:rsidR="00F34163" w:rsidRPr="00561601" w:rsidRDefault="00F34163" w:rsidP="00F34163">
      <w:pPr>
        <w:rPr>
          <w:szCs w:val="24"/>
          <w:lang w:val="lt-LT"/>
        </w:rPr>
      </w:pPr>
    </w:p>
    <w:p w14:paraId="053B23B3" w14:textId="77777777" w:rsidR="00F34163" w:rsidRPr="00561601" w:rsidRDefault="00F34163" w:rsidP="00F34163">
      <w:pPr>
        <w:pStyle w:val="Antrat3"/>
        <w:spacing w:before="0" w:after="0" w:line="240" w:lineRule="auto"/>
        <w:rPr>
          <w:rFonts w:ascii="Times New Roman" w:hAnsi="Times New Roman"/>
          <w:sz w:val="22"/>
          <w:lang w:val="lt-LT"/>
        </w:rPr>
      </w:pPr>
      <w:r w:rsidRPr="00561601">
        <w:rPr>
          <w:rFonts w:ascii="Times New Roman" w:hAnsi="Times New Roman"/>
          <w:sz w:val="22"/>
          <w:lang w:val="lt-LT"/>
        </w:rPr>
        <w:t>3.</w:t>
      </w:r>
      <w:r w:rsidRPr="00561601">
        <w:rPr>
          <w:rFonts w:ascii="Times New Roman" w:hAnsi="Times New Roman"/>
          <w:sz w:val="22"/>
          <w:lang w:val="lt-LT"/>
        </w:rPr>
        <w:tab/>
        <w:t>FARMACINĖ FORMA</w:t>
      </w:r>
    </w:p>
    <w:p w14:paraId="48D53A5B" w14:textId="77777777" w:rsidR="00F34163" w:rsidRPr="00561601" w:rsidRDefault="00F34163" w:rsidP="00F34163">
      <w:pPr>
        <w:rPr>
          <w:szCs w:val="24"/>
          <w:lang w:val="lt-LT"/>
        </w:rPr>
      </w:pPr>
    </w:p>
    <w:p w14:paraId="372C94F8" w14:textId="77777777" w:rsidR="00572B67" w:rsidRPr="00561601" w:rsidRDefault="00572B67" w:rsidP="00572B67">
      <w:pPr>
        <w:rPr>
          <w:iCs/>
          <w:szCs w:val="22"/>
          <w:lang w:val="lt-LT"/>
        </w:rPr>
      </w:pPr>
      <w:r w:rsidRPr="00561601">
        <w:rPr>
          <w:lang w:val="lt-LT"/>
        </w:rPr>
        <w:t>Infuzinis tirpalas</w:t>
      </w:r>
    </w:p>
    <w:p w14:paraId="445BB4C0" w14:textId="77777777" w:rsidR="00572B67" w:rsidRPr="00561601" w:rsidRDefault="00572B67" w:rsidP="00572B67">
      <w:pPr>
        <w:rPr>
          <w:iCs/>
          <w:szCs w:val="22"/>
          <w:lang w:val="lt-LT"/>
        </w:rPr>
      </w:pPr>
    </w:p>
    <w:p w14:paraId="0D320E9B" w14:textId="395EFE88" w:rsidR="00572B67" w:rsidRPr="00561601" w:rsidRDefault="00572B67" w:rsidP="00572B67">
      <w:pPr>
        <w:rPr>
          <w:iCs/>
          <w:szCs w:val="22"/>
          <w:lang w:val="lt-LT"/>
        </w:rPr>
      </w:pPr>
      <w:r w:rsidRPr="00561601">
        <w:rPr>
          <w:lang w:val="lt-LT"/>
        </w:rPr>
        <w:t>Tirpalas yra skaidrus arba šiek tiek opalinis, bespalvis ar gelsvas, jo pH yra 5,0</w:t>
      </w:r>
      <w:r w:rsidR="00445E46" w:rsidRPr="00561601">
        <w:rPr>
          <w:lang w:val="lt-LT"/>
        </w:rPr>
        <w:t xml:space="preserve"> </w:t>
      </w:r>
      <w:r w:rsidR="00445E46" w:rsidRPr="00561601">
        <w:rPr>
          <w:snapToGrid/>
          <w:kern w:val="24"/>
          <w:szCs w:val="24"/>
          <w:lang w:val="lt-LT" w:eastAsia="de-DE"/>
        </w:rPr>
        <w:t>–</w:t>
      </w:r>
      <w:r w:rsidR="00445E46" w:rsidRPr="00561601">
        <w:rPr>
          <w:lang w:val="lt-LT"/>
        </w:rPr>
        <w:t xml:space="preserve"> </w:t>
      </w:r>
      <w:r w:rsidRPr="00561601">
        <w:rPr>
          <w:lang w:val="lt-LT"/>
        </w:rPr>
        <w:t xml:space="preserve">5,6 ir </w:t>
      </w:r>
      <w:proofErr w:type="spellStart"/>
      <w:r w:rsidRPr="00561601">
        <w:rPr>
          <w:lang w:val="lt-LT"/>
        </w:rPr>
        <w:t>osmoliališkumas</w:t>
      </w:r>
      <w:proofErr w:type="spellEnd"/>
      <w:r w:rsidRPr="00561601">
        <w:rPr>
          <w:lang w:val="lt-LT"/>
        </w:rPr>
        <w:t xml:space="preserve"> </w:t>
      </w:r>
      <w:r w:rsidR="00FB7ECA">
        <w:rPr>
          <w:lang w:val="lt-LT"/>
        </w:rPr>
        <w:t> </w:t>
      </w:r>
      <w:r w:rsidR="00FB7ECA" w:rsidRPr="00561601">
        <w:rPr>
          <w:lang w:val="lt-LT"/>
        </w:rPr>
        <w:t>250</w:t>
      </w:r>
      <w:r w:rsidR="00FB7ECA">
        <w:rPr>
          <w:lang w:val="lt-LT"/>
        </w:rPr>
        <w:t> </w:t>
      </w:r>
      <w:r w:rsidR="00FB7ECA" w:rsidRPr="00561601">
        <w:rPr>
          <w:snapToGrid/>
          <w:kern w:val="24"/>
          <w:szCs w:val="24"/>
          <w:lang w:val="lt-LT" w:eastAsia="de-DE"/>
        </w:rPr>
        <w:t>–</w:t>
      </w:r>
      <w:r w:rsidR="00FB7ECA">
        <w:rPr>
          <w:lang w:val="lt-LT"/>
        </w:rPr>
        <w:t> </w:t>
      </w:r>
      <w:r w:rsidRPr="00561601">
        <w:rPr>
          <w:lang w:val="lt-LT"/>
        </w:rPr>
        <w:t>350 </w:t>
      </w:r>
      <w:proofErr w:type="spellStart"/>
      <w:r w:rsidRPr="00561601">
        <w:rPr>
          <w:lang w:val="lt-LT"/>
        </w:rPr>
        <w:t>mOsm</w:t>
      </w:r>
      <w:proofErr w:type="spellEnd"/>
      <w:r w:rsidRPr="00561601">
        <w:rPr>
          <w:lang w:val="lt-LT"/>
        </w:rPr>
        <w:t>/kg.</w:t>
      </w:r>
    </w:p>
    <w:p w14:paraId="54671684" w14:textId="77777777" w:rsidR="00F34163" w:rsidRPr="00561601" w:rsidRDefault="00F34163" w:rsidP="00F34163">
      <w:pPr>
        <w:rPr>
          <w:szCs w:val="24"/>
          <w:lang w:val="lt-LT"/>
        </w:rPr>
      </w:pPr>
    </w:p>
    <w:p w14:paraId="11D7A75D" w14:textId="77777777" w:rsidR="00F34163" w:rsidRPr="00561601" w:rsidRDefault="00F34163" w:rsidP="00F34163">
      <w:pPr>
        <w:rPr>
          <w:szCs w:val="24"/>
          <w:lang w:val="lt-LT"/>
        </w:rPr>
      </w:pPr>
    </w:p>
    <w:p w14:paraId="193C535C" w14:textId="77777777" w:rsidR="00F34163" w:rsidRPr="00561601" w:rsidRDefault="00F34163" w:rsidP="00F34163">
      <w:pPr>
        <w:pStyle w:val="Antrat3"/>
        <w:spacing w:before="0" w:after="0" w:line="240" w:lineRule="auto"/>
        <w:rPr>
          <w:rFonts w:ascii="Times New Roman" w:hAnsi="Times New Roman"/>
          <w:sz w:val="22"/>
          <w:lang w:val="lt-LT"/>
        </w:rPr>
      </w:pPr>
      <w:r w:rsidRPr="00561601">
        <w:rPr>
          <w:rFonts w:ascii="Times New Roman" w:hAnsi="Times New Roman"/>
          <w:sz w:val="22"/>
          <w:lang w:val="lt-LT"/>
        </w:rPr>
        <w:t>4.</w:t>
      </w:r>
      <w:r w:rsidRPr="00561601">
        <w:rPr>
          <w:rFonts w:ascii="Times New Roman" w:hAnsi="Times New Roman"/>
          <w:sz w:val="22"/>
          <w:lang w:val="lt-LT"/>
        </w:rPr>
        <w:tab/>
        <w:t>KLINIKINĖ INFORMACIJA</w:t>
      </w:r>
    </w:p>
    <w:p w14:paraId="3A56A938" w14:textId="77777777" w:rsidR="00F34163" w:rsidRPr="00561601" w:rsidRDefault="00F34163" w:rsidP="00F34163">
      <w:pPr>
        <w:rPr>
          <w:szCs w:val="24"/>
          <w:lang w:val="lt-LT"/>
        </w:rPr>
      </w:pPr>
    </w:p>
    <w:p w14:paraId="29A6970C" w14:textId="77777777"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4.1</w:t>
      </w:r>
      <w:r w:rsidRPr="00561601">
        <w:rPr>
          <w:rFonts w:ascii="Times New Roman" w:hAnsi="Times New Roman"/>
          <w:sz w:val="22"/>
          <w:lang w:val="lt-LT"/>
        </w:rPr>
        <w:tab/>
        <w:t>Terapinės indikacijos</w:t>
      </w:r>
    </w:p>
    <w:p w14:paraId="76FD68B2" w14:textId="77777777" w:rsidR="00F34163" w:rsidRPr="00561601" w:rsidRDefault="00F34163" w:rsidP="00F34163">
      <w:pPr>
        <w:rPr>
          <w:szCs w:val="24"/>
          <w:lang w:val="lt-LT"/>
        </w:rPr>
      </w:pPr>
    </w:p>
    <w:p w14:paraId="72A65D7C" w14:textId="77777777" w:rsidR="00572B67" w:rsidRPr="00561601" w:rsidRDefault="00572B67" w:rsidP="00572B67">
      <w:pPr>
        <w:rPr>
          <w:iCs/>
          <w:szCs w:val="22"/>
          <w:lang w:val="lt-LT"/>
        </w:rPr>
      </w:pPr>
      <w:r w:rsidRPr="00561601">
        <w:rPr>
          <w:lang w:val="lt-LT"/>
        </w:rPr>
        <w:t xml:space="preserve">Klinikinių </w:t>
      </w:r>
      <w:proofErr w:type="spellStart"/>
      <w:r w:rsidRPr="00561601">
        <w:rPr>
          <w:lang w:val="lt-LT"/>
        </w:rPr>
        <w:t>citomegalo</w:t>
      </w:r>
      <w:proofErr w:type="spellEnd"/>
      <w:r w:rsidRPr="00561601">
        <w:rPr>
          <w:lang w:val="lt-LT"/>
        </w:rPr>
        <w:t xml:space="preserve"> virusinės infekcijos apraiškų profilaktika pacientams, kuriems taikomas imunosupresinis gydymas, ypač recipientams po organų transplantacijos.</w:t>
      </w:r>
    </w:p>
    <w:p w14:paraId="735D62BE" w14:textId="77777777" w:rsidR="00572B67" w:rsidRPr="00561601" w:rsidRDefault="00572B67" w:rsidP="00572B67">
      <w:pPr>
        <w:rPr>
          <w:iCs/>
          <w:szCs w:val="22"/>
          <w:lang w:val="lt-LT"/>
        </w:rPr>
      </w:pPr>
    </w:p>
    <w:p w14:paraId="60A2073C" w14:textId="34949894" w:rsidR="00572B67" w:rsidRPr="00561601" w:rsidRDefault="00572B67" w:rsidP="00572B67">
      <w:pPr>
        <w:rPr>
          <w:iCs/>
          <w:szCs w:val="22"/>
          <w:lang w:val="lt-LT"/>
        </w:rPr>
      </w:pPr>
      <w:r w:rsidRPr="00561601">
        <w:rPr>
          <w:lang w:val="lt-LT"/>
        </w:rPr>
        <w:t xml:space="preserve">Skiriant vaistinį preparatą CMV </w:t>
      </w:r>
      <w:r w:rsidR="005716D6">
        <w:rPr>
          <w:lang w:val="lt-LT"/>
        </w:rPr>
        <w:t xml:space="preserve">infekcijos </w:t>
      </w:r>
      <w:r w:rsidRPr="00561601">
        <w:rPr>
          <w:lang w:val="lt-LT"/>
        </w:rPr>
        <w:t xml:space="preserve">profilaktikai </w:t>
      </w:r>
      <w:r w:rsidR="00FB7ECA">
        <w:rPr>
          <w:lang w:val="lt-LT"/>
        </w:rPr>
        <w:t xml:space="preserve"> būti</w:t>
      </w:r>
      <w:r w:rsidR="005716D6">
        <w:rPr>
          <w:lang w:val="lt-LT"/>
        </w:rPr>
        <w:t>na</w:t>
      </w:r>
      <w:r w:rsidR="00FB7ECA">
        <w:rPr>
          <w:lang w:val="lt-LT"/>
        </w:rPr>
        <w:t xml:space="preserve"> apsvarstyt</w:t>
      </w:r>
      <w:r w:rsidR="005716D6">
        <w:rPr>
          <w:lang w:val="lt-LT"/>
        </w:rPr>
        <w:t>i</w:t>
      </w:r>
      <w:r w:rsidR="00FB7ECA">
        <w:rPr>
          <w:lang w:val="lt-LT"/>
        </w:rPr>
        <w:t xml:space="preserve"> </w:t>
      </w:r>
      <w:r w:rsidRPr="00561601">
        <w:rPr>
          <w:lang w:val="lt-LT"/>
        </w:rPr>
        <w:t xml:space="preserve"> tinkamų </w:t>
      </w:r>
      <w:proofErr w:type="spellStart"/>
      <w:r w:rsidRPr="00561601">
        <w:rPr>
          <w:lang w:val="lt-LT"/>
        </w:rPr>
        <w:t>vir</w:t>
      </w:r>
      <w:r w:rsidR="005716D6">
        <w:rPr>
          <w:lang w:val="lt-LT"/>
        </w:rPr>
        <w:t>us</w:t>
      </w:r>
      <w:r w:rsidRPr="00561601">
        <w:rPr>
          <w:lang w:val="lt-LT"/>
        </w:rPr>
        <w:t>ostatinių</w:t>
      </w:r>
      <w:proofErr w:type="spellEnd"/>
      <w:r w:rsidRPr="00561601">
        <w:rPr>
          <w:lang w:val="lt-LT"/>
        </w:rPr>
        <w:t xml:space="preserve"> </w:t>
      </w:r>
      <w:r w:rsidR="00FB7ECA">
        <w:rPr>
          <w:lang w:val="lt-LT"/>
        </w:rPr>
        <w:t>medžiagų</w:t>
      </w:r>
      <w:r w:rsidR="00FB7ECA" w:rsidRPr="00561601">
        <w:rPr>
          <w:lang w:val="lt-LT"/>
        </w:rPr>
        <w:t xml:space="preserve"> </w:t>
      </w:r>
      <w:r w:rsidRPr="00561601">
        <w:rPr>
          <w:lang w:val="lt-LT"/>
        </w:rPr>
        <w:t>vartojimo kartu</w:t>
      </w:r>
      <w:r w:rsidR="005716D6">
        <w:rPr>
          <w:lang w:val="lt-LT"/>
        </w:rPr>
        <w:t xml:space="preserve"> poreikį</w:t>
      </w:r>
      <w:r w:rsidRPr="00561601">
        <w:rPr>
          <w:lang w:val="lt-LT"/>
        </w:rPr>
        <w:t>.</w:t>
      </w:r>
    </w:p>
    <w:p w14:paraId="42FC7E82" w14:textId="77777777" w:rsidR="00F34163" w:rsidRPr="00561601" w:rsidRDefault="00F34163" w:rsidP="00F34163">
      <w:pPr>
        <w:rPr>
          <w:szCs w:val="24"/>
          <w:lang w:val="lt-LT"/>
        </w:rPr>
      </w:pPr>
    </w:p>
    <w:p w14:paraId="6B8E28C6" w14:textId="77777777"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4.2</w:t>
      </w:r>
      <w:r w:rsidRPr="00561601">
        <w:rPr>
          <w:rFonts w:ascii="Times New Roman" w:hAnsi="Times New Roman"/>
          <w:sz w:val="22"/>
          <w:lang w:val="lt-LT"/>
        </w:rPr>
        <w:tab/>
        <w:t>Dozavimas ir vartojimo metodas</w:t>
      </w:r>
    </w:p>
    <w:p w14:paraId="47BF352E" w14:textId="77777777" w:rsidR="00F34163" w:rsidRPr="00561601" w:rsidRDefault="00F34163" w:rsidP="00F34163">
      <w:pPr>
        <w:rPr>
          <w:szCs w:val="24"/>
          <w:lang w:val="lt-LT"/>
        </w:rPr>
      </w:pPr>
    </w:p>
    <w:p w14:paraId="0D680C4B" w14:textId="77777777" w:rsidR="00F34163" w:rsidRPr="00561601" w:rsidRDefault="00F34163" w:rsidP="00F34163">
      <w:pPr>
        <w:rPr>
          <w:szCs w:val="24"/>
          <w:u w:val="single"/>
          <w:lang w:val="lt-LT"/>
        </w:rPr>
      </w:pPr>
      <w:r w:rsidRPr="00561601">
        <w:rPr>
          <w:noProof/>
          <w:szCs w:val="24"/>
          <w:u w:val="single"/>
          <w:lang w:val="lt-LT"/>
        </w:rPr>
        <w:t>Dozavimas</w:t>
      </w:r>
    </w:p>
    <w:p w14:paraId="6BAC3FE8" w14:textId="77777777" w:rsidR="00572B67" w:rsidRPr="00561601" w:rsidRDefault="00572B67" w:rsidP="00572B67">
      <w:pPr>
        <w:rPr>
          <w:iCs/>
          <w:szCs w:val="22"/>
          <w:lang w:val="lt-LT"/>
        </w:rPr>
      </w:pPr>
      <w:r w:rsidRPr="00561601">
        <w:rPr>
          <w:lang w:val="lt-LT"/>
        </w:rPr>
        <w:t>Vienkartinė dozė yra 1 ml 1 kg kūno svorio.</w:t>
      </w:r>
    </w:p>
    <w:p w14:paraId="4A1C9CFE" w14:textId="77777777" w:rsidR="00572B67" w:rsidRPr="00561601" w:rsidRDefault="00572B67" w:rsidP="00572B67">
      <w:pPr>
        <w:rPr>
          <w:iCs/>
          <w:szCs w:val="22"/>
          <w:lang w:val="lt-LT"/>
        </w:rPr>
      </w:pPr>
    </w:p>
    <w:p w14:paraId="46BFA3E6" w14:textId="77777777" w:rsidR="00572B67" w:rsidRPr="00561601" w:rsidRDefault="00572B67" w:rsidP="00572B67">
      <w:pPr>
        <w:rPr>
          <w:iCs/>
          <w:szCs w:val="22"/>
          <w:lang w:val="lt-LT"/>
        </w:rPr>
      </w:pPr>
      <w:r w:rsidRPr="00561601">
        <w:rPr>
          <w:lang w:val="lt-LT"/>
        </w:rPr>
        <w:lastRenderedPageBreak/>
        <w:t>Vartojimą reikia pradėti transplantacijos dieną. Kaulų čiulpų transplantacijos atveju taip pat galima numatyti profilaktikos pradžią likus 10 dienų iki transplantacijos, ypač pacientams, kurių CMV serologinio tyrimo rezultatas yra teigiamas. Iš viso reikia skirti ne mažiau kaip 6 vienkartines dozes tarp dozių darant 2–3 savaičių pertrauką.</w:t>
      </w:r>
    </w:p>
    <w:p w14:paraId="40FF9069" w14:textId="77777777" w:rsidR="00F34163" w:rsidRPr="00561601" w:rsidRDefault="00F34163" w:rsidP="00F34163">
      <w:pPr>
        <w:rPr>
          <w:szCs w:val="24"/>
          <w:lang w:val="lt-LT"/>
        </w:rPr>
      </w:pPr>
    </w:p>
    <w:p w14:paraId="2753EE87" w14:textId="77777777" w:rsidR="00F34163" w:rsidRPr="00561601" w:rsidRDefault="00F34163" w:rsidP="00F34163">
      <w:pPr>
        <w:rPr>
          <w:i/>
          <w:szCs w:val="24"/>
          <w:lang w:val="lt-LT"/>
        </w:rPr>
      </w:pPr>
      <w:r w:rsidRPr="00561601">
        <w:rPr>
          <w:i/>
          <w:noProof/>
          <w:szCs w:val="24"/>
          <w:lang w:val="lt-LT"/>
        </w:rPr>
        <w:t>Vaikų populiacija</w:t>
      </w:r>
    </w:p>
    <w:p w14:paraId="59F27779" w14:textId="77777777" w:rsidR="00572B67" w:rsidRPr="00561601" w:rsidRDefault="00572B67" w:rsidP="00572B67">
      <w:pPr>
        <w:rPr>
          <w:szCs w:val="22"/>
          <w:lang w:val="lt-LT"/>
        </w:rPr>
      </w:pPr>
      <w:r w:rsidRPr="00561601">
        <w:rPr>
          <w:lang w:val="lt-LT"/>
        </w:rPr>
        <w:t>Dozavimas vaikams ir paaugliams (0–18 metų) nesiskiria nuo dozavimo suaugusiesiems, nes dozavimas kiekvienos indikacijos atveju parenkamas pagal kūno svorį ir koreguojamas pagal minėtų būklių klinikinius rezultatus.</w:t>
      </w:r>
    </w:p>
    <w:p w14:paraId="45DE5345" w14:textId="77777777" w:rsidR="00572B67" w:rsidRPr="00561601" w:rsidRDefault="00572B67" w:rsidP="00572B67">
      <w:pPr>
        <w:rPr>
          <w:szCs w:val="22"/>
          <w:lang w:val="lt-LT"/>
        </w:rPr>
      </w:pPr>
    </w:p>
    <w:p w14:paraId="7D2D50A2" w14:textId="77777777" w:rsidR="00572B67" w:rsidRPr="00561601" w:rsidRDefault="00572B67" w:rsidP="00572B67">
      <w:pPr>
        <w:rPr>
          <w:i/>
          <w:iCs/>
          <w:color w:val="000000"/>
          <w:lang w:val="lt-LT"/>
        </w:rPr>
      </w:pPr>
      <w:r w:rsidRPr="00561601">
        <w:rPr>
          <w:i/>
          <w:iCs/>
          <w:color w:val="000000"/>
          <w:szCs w:val="22"/>
          <w:lang w:val="lt-LT"/>
        </w:rPr>
        <w:t>Pacientams, kurių kepenų funkcija sutrikusi</w:t>
      </w:r>
      <w:r w:rsidRPr="00561601">
        <w:rPr>
          <w:i/>
          <w:iCs/>
          <w:color w:val="000000"/>
          <w:lang w:val="lt-LT"/>
        </w:rPr>
        <w:t xml:space="preserve"> </w:t>
      </w:r>
    </w:p>
    <w:p w14:paraId="4E7B5D7F" w14:textId="77777777" w:rsidR="00572B67" w:rsidRPr="00561601" w:rsidRDefault="00572B67" w:rsidP="00572B67">
      <w:pPr>
        <w:rPr>
          <w:color w:val="000000"/>
          <w:szCs w:val="22"/>
          <w:lang w:val="lt-LT"/>
        </w:rPr>
      </w:pPr>
      <w:r w:rsidRPr="00561601">
        <w:rPr>
          <w:color w:val="000000"/>
          <w:lang w:val="lt-LT"/>
        </w:rPr>
        <w:t xml:space="preserve">Nėra įrodymų, kad reikėtų koreguoti dozę. </w:t>
      </w:r>
    </w:p>
    <w:p w14:paraId="6DBEBAB5" w14:textId="77777777" w:rsidR="00572B67" w:rsidRPr="00561601" w:rsidRDefault="00572B67" w:rsidP="00572B67">
      <w:pPr>
        <w:rPr>
          <w:color w:val="000000"/>
          <w:szCs w:val="22"/>
          <w:lang w:val="lt-LT"/>
        </w:rPr>
      </w:pPr>
    </w:p>
    <w:p w14:paraId="490DAF55" w14:textId="77777777" w:rsidR="00572B67" w:rsidRPr="00561601" w:rsidRDefault="00572B67" w:rsidP="00572B67">
      <w:pPr>
        <w:rPr>
          <w:i/>
          <w:iCs/>
          <w:color w:val="000000"/>
          <w:lang w:val="lt-LT"/>
        </w:rPr>
      </w:pPr>
      <w:r w:rsidRPr="00561601">
        <w:rPr>
          <w:i/>
          <w:iCs/>
          <w:color w:val="000000"/>
          <w:szCs w:val="22"/>
          <w:lang w:val="lt-LT"/>
        </w:rPr>
        <w:t>Pacientams, kurių inkstų funkcija sutrikusi</w:t>
      </w:r>
      <w:r w:rsidRPr="00561601">
        <w:rPr>
          <w:i/>
          <w:iCs/>
          <w:color w:val="000000"/>
          <w:lang w:val="lt-LT"/>
        </w:rPr>
        <w:t xml:space="preserve"> </w:t>
      </w:r>
    </w:p>
    <w:p w14:paraId="2D0C3A34" w14:textId="77777777" w:rsidR="00572B67" w:rsidRPr="00561601" w:rsidRDefault="00572B67" w:rsidP="00572B67">
      <w:pPr>
        <w:pStyle w:val="Antrat6"/>
        <w:rPr>
          <w:i w:val="0"/>
          <w:lang w:val="lt-LT"/>
        </w:rPr>
      </w:pPr>
      <w:r w:rsidRPr="00561601">
        <w:rPr>
          <w:i w:val="0"/>
          <w:lang w:val="lt-LT"/>
        </w:rPr>
        <w:t>Dozės koreguoti nereikia, nebent tai būtų kliniškai pagrįsta, žr. 4.4 skyrių.</w:t>
      </w:r>
    </w:p>
    <w:p w14:paraId="4921AD10" w14:textId="77777777" w:rsidR="00F34163" w:rsidRPr="00561601" w:rsidRDefault="00F34163" w:rsidP="00F34163">
      <w:pPr>
        <w:rPr>
          <w:szCs w:val="24"/>
          <w:lang w:val="lt-LT"/>
        </w:rPr>
      </w:pPr>
    </w:p>
    <w:p w14:paraId="2BF9264A" w14:textId="77777777" w:rsidR="00F34163" w:rsidRPr="00561601" w:rsidRDefault="00F34163" w:rsidP="00F34163">
      <w:pPr>
        <w:spacing w:line="240" w:lineRule="auto"/>
        <w:contextualSpacing/>
        <w:outlineLvl w:val="0"/>
        <w:rPr>
          <w:i/>
          <w:iCs/>
          <w:color w:val="000000"/>
          <w:szCs w:val="22"/>
          <w:lang w:val="lt-LT"/>
        </w:rPr>
      </w:pPr>
      <w:r w:rsidRPr="00561601">
        <w:rPr>
          <w:i/>
          <w:iCs/>
          <w:color w:val="000000"/>
          <w:szCs w:val="22"/>
          <w:lang w:val="lt-LT"/>
        </w:rPr>
        <w:t>Senyviems pacientams</w:t>
      </w:r>
    </w:p>
    <w:p w14:paraId="103EB8CE" w14:textId="77777777" w:rsidR="00F34163" w:rsidRPr="00561601" w:rsidRDefault="00E130E7" w:rsidP="00F34163">
      <w:pPr>
        <w:rPr>
          <w:lang w:val="lt-LT"/>
        </w:rPr>
      </w:pPr>
      <w:r w:rsidRPr="00561601">
        <w:rPr>
          <w:lang w:val="lt-LT"/>
        </w:rPr>
        <w:t>Dozės koreguoti nereikia, nebent tai būtų kliniškai pagrįsta, žr. 4.4 skyrių.</w:t>
      </w:r>
    </w:p>
    <w:p w14:paraId="51447B18" w14:textId="77777777" w:rsidR="00E130E7" w:rsidRPr="00561601" w:rsidRDefault="00E130E7" w:rsidP="00F34163">
      <w:pPr>
        <w:rPr>
          <w:lang w:val="lt-LT"/>
        </w:rPr>
      </w:pPr>
    </w:p>
    <w:p w14:paraId="4B3333C4" w14:textId="77777777" w:rsidR="00F34163" w:rsidRPr="00561601" w:rsidRDefault="00F34163" w:rsidP="00F34163">
      <w:pPr>
        <w:rPr>
          <w:szCs w:val="24"/>
          <w:u w:val="single"/>
          <w:lang w:val="lt-LT"/>
        </w:rPr>
      </w:pPr>
      <w:r w:rsidRPr="00561601">
        <w:rPr>
          <w:noProof/>
          <w:szCs w:val="24"/>
          <w:u w:val="single"/>
          <w:lang w:val="lt-LT"/>
        </w:rPr>
        <w:t>Vartojimo metodas</w:t>
      </w:r>
      <w:r w:rsidRPr="00561601">
        <w:rPr>
          <w:szCs w:val="24"/>
          <w:u w:val="single"/>
          <w:lang w:val="lt-LT"/>
        </w:rPr>
        <w:t xml:space="preserve"> </w:t>
      </w:r>
    </w:p>
    <w:p w14:paraId="0655BD33" w14:textId="77777777" w:rsidR="00E130E7" w:rsidRPr="00561601" w:rsidRDefault="00E130E7" w:rsidP="00E130E7">
      <w:pPr>
        <w:rPr>
          <w:iCs/>
          <w:szCs w:val="22"/>
          <w:lang w:val="lt-LT"/>
        </w:rPr>
      </w:pPr>
      <w:r w:rsidRPr="00561601">
        <w:rPr>
          <w:lang w:val="lt-LT"/>
        </w:rPr>
        <w:t>Leisti į veną</w:t>
      </w:r>
    </w:p>
    <w:p w14:paraId="2247FC96" w14:textId="43AE32A4" w:rsidR="00E130E7" w:rsidRPr="00561601" w:rsidRDefault="00E47068" w:rsidP="00E130E7">
      <w:pPr>
        <w:rPr>
          <w:iCs/>
          <w:szCs w:val="22"/>
          <w:lang w:val="lt-LT"/>
        </w:rPr>
      </w:pPr>
      <w:proofErr w:type="spellStart"/>
      <w:r>
        <w:rPr>
          <w:lang w:val="lt-LT"/>
        </w:rPr>
        <w:t>Cymvigo</w:t>
      </w:r>
      <w:proofErr w:type="spellEnd"/>
      <w:r w:rsidR="00E130E7" w:rsidRPr="00561601">
        <w:rPr>
          <w:lang w:val="lt-LT"/>
        </w:rPr>
        <w:t xml:space="preserve"> reikia leisti į veną infuzijos būdu pradiniu greičiu 0,08 ml/kg KM/val. 10 minučių. Žr. 4.4 skyrių. Pasireiškus nepageidaujamai reakcijai, reikia sumažinti leidimo greitį arba nutraukti infuziją. Jei vaistinis preparatas toleruojamas gerai, likusios infuzijos dalies leidimo greitį galima palaipsniui didinti iki didžiausio 0,8 ml/kg K</w:t>
      </w:r>
      <w:r w:rsidR="003030F5">
        <w:rPr>
          <w:lang w:val="lt-LT"/>
        </w:rPr>
        <w:t>M</w:t>
      </w:r>
      <w:r w:rsidR="00E130E7" w:rsidRPr="00561601">
        <w:rPr>
          <w:lang w:val="lt-LT"/>
        </w:rPr>
        <w:t>/val. greičio.</w:t>
      </w:r>
    </w:p>
    <w:p w14:paraId="3EB1BCAA" w14:textId="77777777" w:rsidR="00F34163" w:rsidRPr="00561601" w:rsidRDefault="00F34163" w:rsidP="00F34163">
      <w:pPr>
        <w:rPr>
          <w:szCs w:val="24"/>
          <w:lang w:val="lt-LT"/>
        </w:rPr>
      </w:pPr>
    </w:p>
    <w:p w14:paraId="439FAC1C" w14:textId="77777777"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4.3</w:t>
      </w:r>
      <w:r w:rsidRPr="00561601">
        <w:rPr>
          <w:rFonts w:ascii="Times New Roman" w:hAnsi="Times New Roman"/>
          <w:sz w:val="22"/>
          <w:lang w:val="lt-LT"/>
        </w:rPr>
        <w:tab/>
        <w:t>Kontraindikacijos</w:t>
      </w:r>
    </w:p>
    <w:p w14:paraId="5F9A8CA8" w14:textId="77777777" w:rsidR="00F34163" w:rsidRPr="00561601" w:rsidRDefault="00F34163" w:rsidP="00F34163">
      <w:pPr>
        <w:rPr>
          <w:szCs w:val="24"/>
          <w:lang w:val="lt-LT"/>
        </w:rPr>
      </w:pPr>
    </w:p>
    <w:p w14:paraId="4712E4BE" w14:textId="77777777" w:rsidR="00E130E7" w:rsidRPr="00561601" w:rsidRDefault="00E130E7" w:rsidP="00E04130">
      <w:pPr>
        <w:numPr>
          <w:ilvl w:val="0"/>
          <w:numId w:val="17"/>
        </w:numPr>
        <w:tabs>
          <w:tab w:val="clear" w:pos="567"/>
        </w:tabs>
        <w:overflowPunct w:val="0"/>
        <w:autoSpaceDE w:val="0"/>
        <w:autoSpaceDN w:val="0"/>
        <w:adjustRightInd w:val="0"/>
        <w:spacing w:line="240" w:lineRule="auto"/>
        <w:ind w:left="284" w:hanging="284"/>
        <w:textAlignment w:val="baseline"/>
        <w:rPr>
          <w:iCs/>
          <w:szCs w:val="22"/>
          <w:lang w:val="lt-LT"/>
        </w:rPr>
      </w:pPr>
      <w:r w:rsidRPr="00561601">
        <w:rPr>
          <w:lang w:val="lt-LT"/>
        </w:rPr>
        <w:t xml:space="preserve">Padidėjęs jautrumas veikliajai (žmogaus </w:t>
      </w:r>
      <w:proofErr w:type="spellStart"/>
      <w:r w:rsidRPr="00561601">
        <w:rPr>
          <w:lang w:val="lt-LT"/>
        </w:rPr>
        <w:t>citomegalo</w:t>
      </w:r>
      <w:proofErr w:type="spellEnd"/>
      <w:r w:rsidRPr="00561601">
        <w:rPr>
          <w:lang w:val="lt-LT"/>
        </w:rPr>
        <w:t xml:space="preserve"> viruso imunoglobulinui) arba bet kuriai 6.1 skyriuje nurodytai pagalbinei medžiagai.</w:t>
      </w:r>
    </w:p>
    <w:p w14:paraId="3ADE3373" w14:textId="4B5C0E67" w:rsidR="00E130E7" w:rsidRPr="003030F5" w:rsidRDefault="00AB5392" w:rsidP="00E04130">
      <w:pPr>
        <w:numPr>
          <w:ilvl w:val="0"/>
          <w:numId w:val="17"/>
        </w:numPr>
        <w:tabs>
          <w:tab w:val="clear" w:pos="567"/>
        </w:tabs>
        <w:overflowPunct w:val="0"/>
        <w:autoSpaceDE w:val="0"/>
        <w:autoSpaceDN w:val="0"/>
        <w:adjustRightInd w:val="0"/>
        <w:spacing w:line="240" w:lineRule="auto"/>
        <w:ind w:left="284" w:hanging="284"/>
        <w:textAlignment w:val="baseline"/>
        <w:rPr>
          <w:iCs/>
          <w:szCs w:val="22"/>
          <w:lang w:val="lt-LT"/>
        </w:rPr>
      </w:pPr>
      <w:r>
        <w:rPr>
          <w:lang w:val="lt-LT"/>
        </w:rPr>
        <w:t>P</w:t>
      </w:r>
      <w:r w:rsidR="00E130E7" w:rsidRPr="00561601">
        <w:rPr>
          <w:lang w:val="lt-LT"/>
        </w:rPr>
        <w:t>acienta</w:t>
      </w:r>
      <w:r>
        <w:rPr>
          <w:lang w:val="lt-LT"/>
        </w:rPr>
        <w:t>i</w:t>
      </w:r>
      <w:r w:rsidR="00E130E7" w:rsidRPr="00561601">
        <w:rPr>
          <w:lang w:val="lt-LT"/>
        </w:rPr>
        <w:t xml:space="preserve">, kuriems yra selektyvus </w:t>
      </w:r>
      <w:proofErr w:type="spellStart"/>
      <w:r w:rsidR="00E130E7" w:rsidRPr="00561601">
        <w:rPr>
          <w:lang w:val="lt-LT"/>
        </w:rPr>
        <w:t>IgA</w:t>
      </w:r>
      <w:proofErr w:type="spellEnd"/>
      <w:r w:rsidR="00E130E7" w:rsidRPr="00561601">
        <w:rPr>
          <w:lang w:val="lt-LT"/>
        </w:rPr>
        <w:t xml:space="preserve"> trūkumas</w:t>
      </w:r>
      <w:r w:rsidR="00B31D34">
        <w:rPr>
          <w:lang w:val="lt-LT"/>
        </w:rPr>
        <w:t xml:space="preserve"> ir yra</w:t>
      </w:r>
      <w:r w:rsidR="00E130E7" w:rsidRPr="00561601">
        <w:rPr>
          <w:lang w:val="lt-LT"/>
        </w:rPr>
        <w:t xml:space="preserve"> </w:t>
      </w:r>
      <w:r w:rsidR="00C31175">
        <w:rPr>
          <w:lang w:val="lt-LT"/>
        </w:rPr>
        <w:t>atsira</w:t>
      </w:r>
      <w:r w:rsidR="00B31D34">
        <w:rPr>
          <w:lang w:val="lt-LT"/>
        </w:rPr>
        <w:t>dę</w:t>
      </w:r>
      <w:r w:rsidR="008A3258">
        <w:rPr>
          <w:lang w:val="lt-LT"/>
        </w:rPr>
        <w:t xml:space="preserve"> </w:t>
      </w:r>
      <w:r w:rsidR="00E130E7" w:rsidRPr="00561601">
        <w:rPr>
          <w:lang w:val="lt-LT"/>
        </w:rPr>
        <w:t xml:space="preserve">antikūnų prieš </w:t>
      </w:r>
      <w:proofErr w:type="spellStart"/>
      <w:r w:rsidR="00E130E7" w:rsidRPr="00561601">
        <w:rPr>
          <w:lang w:val="lt-LT"/>
        </w:rPr>
        <w:t>IgA</w:t>
      </w:r>
      <w:proofErr w:type="spellEnd"/>
      <w:r w:rsidR="00E130E7" w:rsidRPr="00561601">
        <w:rPr>
          <w:lang w:val="lt-LT"/>
        </w:rPr>
        <w:t xml:space="preserve">, nes vartojant vaistinio preparato, kurio sudėtyje yra </w:t>
      </w:r>
      <w:proofErr w:type="spellStart"/>
      <w:r w:rsidR="00E130E7" w:rsidRPr="00561601">
        <w:rPr>
          <w:lang w:val="lt-LT"/>
        </w:rPr>
        <w:t>IgA</w:t>
      </w:r>
      <w:proofErr w:type="spellEnd"/>
      <w:r w:rsidR="00E130E7" w:rsidRPr="00561601">
        <w:rPr>
          <w:lang w:val="lt-LT"/>
        </w:rPr>
        <w:t xml:space="preserve">, gali pasireikšti </w:t>
      </w:r>
      <w:proofErr w:type="spellStart"/>
      <w:r w:rsidR="00E130E7" w:rsidRPr="00561601">
        <w:rPr>
          <w:lang w:val="lt-LT"/>
        </w:rPr>
        <w:t>anafilaksija</w:t>
      </w:r>
      <w:proofErr w:type="spellEnd"/>
      <w:r w:rsidR="00E130E7" w:rsidRPr="00561601">
        <w:rPr>
          <w:lang w:val="lt-LT"/>
        </w:rPr>
        <w:t>.</w:t>
      </w:r>
      <w:r>
        <w:rPr>
          <w:lang w:val="lt-LT"/>
        </w:rPr>
        <w:t xml:space="preserve"> </w:t>
      </w:r>
    </w:p>
    <w:p w14:paraId="7968A83A" w14:textId="77777777" w:rsidR="00F34163" w:rsidRPr="00561601" w:rsidRDefault="00F34163" w:rsidP="00F34163">
      <w:pPr>
        <w:rPr>
          <w:szCs w:val="24"/>
          <w:lang w:val="lt-LT"/>
        </w:rPr>
      </w:pPr>
    </w:p>
    <w:p w14:paraId="3F0AB706" w14:textId="77777777"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4.4</w:t>
      </w:r>
      <w:r w:rsidRPr="00561601">
        <w:rPr>
          <w:rFonts w:ascii="Times New Roman" w:hAnsi="Times New Roman"/>
          <w:sz w:val="22"/>
          <w:lang w:val="lt-LT"/>
        </w:rPr>
        <w:tab/>
        <w:t>Specialūs įspėjimai ir atsargumo priemonės</w:t>
      </w:r>
    </w:p>
    <w:p w14:paraId="191C480F" w14:textId="77777777" w:rsidR="00F34163" w:rsidRPr="00561601" w:rsidRDefault="00F34163" w:rsidP="00BD42B9">
      <w:pPr>
        <w:pStyle w:val="Porat"/>
        <w:tabs>
          <w:tab w:val="clear" w:pos="567"/>
          <w:tab w:val="clear" w:pos="4536"/>
          <w:tab w:val="clear" w:pos="8306"/>
          <w:tab w:val="left" w:pos="0"/>
        </w:tabs>
        <w:rPr>
          <w:szCs w:val="24"/>
          <w:lang w:val="lt-LT" w:eastAsia="en-US"/>
        </w:rPr>
      </w:pPr>
    </w:p>
    <w:p w14:paraId="6D0529FC" w14:textId="77777777" w:rsidR="00F02A87" w:rsidRPr="00E7565F" w:rsidRDefault="00F02A87" w:rsidP="00F02A87">
      <w:pPr>
        <w:tabs>
          <w:tab w:val="clear" w:pos="567"/>
        </w:tabs>
        <w:overflowPunct w:val="0"/>
        <w:autoSpaceDE w:val="0"/>
        <w:autoSpaceDN w:val="0"/>
        <w:adjustRightInd w:val="0"/>
        <w:spacing w:line="240" w:lineRule="auto"/>
        <w:contextualSpacing/>
        <w:textAlignment w:val="baseline"/>
        <w:rPr>
          <w:i/>
          <w:iCs/>
          <w:snapToGrid/>
          <w:kern w:val="2"/>
          <w:szCs w:val="22"/>
          <w:lang w:val="lt-LT" w:eastAsia="de-DE"/>
        </w:rPr>
      </w:pPr>
      <w:r w:rsidRPr="00E7565F">
        <w:rPr>
          <w:i/>
          <w:iCs/>
          <w:snapToGrid/>
          <w:szCs w:val="24"/>
          <w:lang w:val="lt-LT" w:eastAsia="de-DE"/>
        </w:rPr>
        <w:t>Atsekamumas</w:t>
      </w:r>
    </w:p>
    <w:p w14:paraId="7A288DC6" w14:textId="77777777" w:rsidR="00F02A87" w:rsidRPr="00561601" w:rsidRDefault="00F02A87" w:rsidP="00F02A87">
      <w:pPr>
        <w:tabs>
          <w:tab w:val="clear" w:pos="567"/>
        </w:tabs>
        <w:overflowPunct w:val="0"/>
        <w:autoSpaceDE w:val="0"/>
        <w:autoSpaceDN w:val="0"/>
        <w:adjustRightInd w:val="0"/>
        <w:spacing w:line="240" w:lineRule="auto"/>
        <w:contextualSpacing/>
        <w:textAlignment w:val="baseline"/>
        <w:rPr>
          <w:i/>
          <w:iCs/>
          <w:snapToGrid/>
          <w:color w:val="000000"/>
          <w:kern w:val="2"/>
          <w:szCs w:val="22"/>
          <w:lang w:val="lt-LT" w:eastAsia="de-DE"/>
        </w:rPr>
      </w:pPr>
      <w:r w:rsidRPr="00561601">
        <w:rPr>
          <w:snapToGrid/>
          <w:szCs w:val="24"/>
          <w:lang w:val="lt-LT" w:eastAsia="de-DE"/>
        </w:rPr>
        <w:t>Siekiant pagerinti biologinių vaistinių preparatų atsekamumą, turi būti aiškiai įrašomi paskirto vaistinio preparato pavadinimas ir serijos numeris.</w:t>
      </w:r>
    </w:p>
    <w:p w14:paraId="00D3CE0F" w14:textId="77777777"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p>
    <w:p w14:paraId="5894C2EE" w14:textId="77777777" w:rsidR="00F02A87" w:rsidRPr="00E7565F" w:rsidRDefault="00F02A87" w:rsidP="00F02A87">
      <w:pPr>
        <w:tabs>
          <w:tab w:val="clear" w:pos="567"/>
        </w:tabs>
        <w:overflowPunct w:val="0"/>
        <w:autoSpaceDE w:val="0"/>
        <w:autoSpaceDN w:val="0"/>
        <w:adjustRightInd w:val="0"/>
        <w:spacing w:line="240" w:lineRule="auto"/>
        <w:textAlignment w:val="baseline"/>
        <w:rPr>
          <w:i/>
          <w:iCs/>
          <w:snapToGrid/>
          <w:szCs w:val="22"/>
          <w:lang w:val="lt-LT" w:eastAsia="de-DE"/>
        </w:rPr>
      </w:pPr>
      <w:r w:rsidRPr="00E7565F">
        <w:rPr>
          <w:i/>
          <w:iCs/>
          <w:snapToGrid/>
          <w:szCs w:val="24"/>
          <w:lang w:val="lt-LT" w:eastAsia="de-DE"/>
        </w:rPr>
        <w:t>Atsargumo priemonės</w:t>
      </w:r>
    </w:p>
    <w:p w14:paraId="5E07081D" w14:textId="77777777"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Galimų komplikacijų dažnai galima išvengti</w:t>
      </w:r>
      <w:r w:rsidR="002C07E3">
        <w:rPr>
          <w:snapToGrid/>
          <w:szCs w:val="24"/>
          <w:lang w:val="lt-LT" w:eastAsia="de-DE"/>
        </w:rPr>
        <w:t xml:space="preserve"> </w:t>
      </w:r>
      <w:r w:rsidRPr="00561601">
        <w:rPr>
          <w:snapToGrid/>
          <w:szCs w:val="24"/>
          <w:lang w:val="lt-LT" w:eastAsia="de-DE"/>
        </w:rPr>
        <w:t>užtikrinant, kad pacientai:</w:t>
      </w:r>
    </w:p>
    <w:p w14:paraId="4ECF3C2B" w14:textId="77777777" w:rsidR="00F02A87" w:rsidRPr="00561601" w:rsidRDefault="00F02A87" w:rsidP="00F02A87">
      <w:pPr>
        <w:numPr>
          <w:ilvl w:val="0"/>
          <w:numId w:val="7"/>
        </w:numPr>
        <w:tabs>
          <w:tab w:val="clear" w:pos="567"/>
        </w:tabs>
        <w:overflowPunct w:val="0"/>
        <w:autoSpaceDE w:val="0"/>
        <w:autoSpaceDN w:val="0"/>
        <w:adjustRightInd w:val="0"/>
        <w:spacing w:line="240" w:lineRule="auto"/>
        <w:ind w:left="360"/>
        <w:textAlignment w:val="baseline"/>
        <w:rPr>
          <w:snapToGrid/>
          <w:szCs w:val="22"/>
          <w:lang w:val="lt-LT" w:eastAsia="de-DE"/>
        </w:rPr>
      </w:pPr>
      <w:r w:rsidRPr="00561601">
        <w:rPr>
          <w:snapToGrid/>
          <w:szCs w:val="24"/>
          <w:lang w:val="lt-LT" w:eastAsia="de-DE"/>
        </w:rPr>
        <w:t>nėra jautrūs žmogaus imunoglobulinui, iš pradžių leidžiant vaistinį preparatą lėtai (0,08 ml/kg</w:t>
      </w:r>
      <w:r w:rsidR="00365C06" w:rsidRPr="00365C06">
        <w:rPr>
          <w:lang w:val="lt-LT"/>
        </w:rPr>
        <w:t xml:space="preserve"> kūno masė</w:t>
      </w:r>
      <w:r w:rsidR="0090028F">
        <w:rPr>
          <w:lang w:val="lt-LT"/>
        </w:rPr>
        <w:t>s</w:t>
      </w:r>
      <w:r w:rsidR="00365C06" w:rsidRPr="00561601">
        <w:rPr>
          <w:snapToGrid/>
          <w:szCs w:val="24"/>
          <w:lang w:val="lt-LT" w:eastAsia="de-DE"/>
        </w:rPr>
        <w:t xml:space="preserve"> </w:t>
      </w:r>
      <w:r w:rsidRPr="00561601">
        <w:rPr>
          <w:snapToGrid/>
          <w:szCs w:val="24"/>
          <w:lang w:val="lt-LT" w:eastAsia="de-DE"/>
        </w:rPr>
        <w:t>/val.);</w:t>
      </w:r>
    </w:p>
    <w:p w14:paraId="7F440C38" w14:textId="77777777" w:rsidR="00F02A87" w:rsidRPr="00561601" w:rsidRDefault="00F02A87" w:rsidP="00F02A87">
      <w:pPr>
        <w:numPr>
          <w:ilvl w:val="0"/>
          <w:numId w:val="7"/>
        </w:numPr>
        <w:tabs>
          <w:tab w:val="clear" w:pos="567"/>
        </w:tabs>
        <w:overflowPunct w:val="0"/>
        <w:autoSpaceDE w:val="0"/>
        <w:autoSpaceDN w:val="0"/>
        <w:adjustRightInd w:val="0"/>
        <w:spacing w:line="240" w:lineRule="auto"/>
        <w:ind w:left="360"/>
        <w:textAlignment w:val="baseline"/>
        <w:rPr>
          <w:snapToGrid/>
          <w:szCs w:val="22"/>
          <w:lang w:val="lt-LT" w:eastAsia="de-DE"/>
        </w:rPr>
      </w:pPr>
      <w:r w:rsidRPr="00561601">
        <w:rPr>
          <w:snapToGrid/>
          <w:szCs w:val="24"/>
          <w:lang w:val="lt-LT" w:eastAsia="de-DE"/>
        </w:rPr>
        <w:t>per visą infuzijos laikotarpį atidžiai stebimi, ar neatsirado kokių nors simptomų. Svarbu, kad pacientai, kuriems anksčiau nebuvo gydyti žmogaus imunoglobulinu, pacientai, kuriems šis gydymas paskirtas vietoj į veną leidžiamo žmogaus imunoglobulino (</w:t>
      </w:r>
      <w:proofErr w:type="spellStart"/>
      <w:r w:rsidRPr="00561601">
        <w:rPr>
          <w:snapToGrid/>
          <w:szCs w:val="24"/>
          <w:lang w:val="lt-LT" w:eastAsia="de-DE"/>
        </w:rPr>
        <w:t>i.v</w:t>
      </w:r>
      <w:proofErr w:type="spellEnd"/>
      <w:r w:rsidRPr="00561601">
        <w:rPr>
          <w:snapToGrid/>
          <w:szCs w:val="24"/>
          <w:lang w:val="lt-LT" w:eastAsia="de-DE"/>
        </w:rPr>
        <w:t xml:space="preserve">. </w:t>
      </w:r>
      <w:proofErr w:type="spellStart"/>
      <w:r w:rsidRPr="00561601">
        <w:rPr>
          <w:snapToGrid/>
          <w:szCs w:val="24"/>
          <w:lang w:val="lt-LT" w:eastAsia="de-DE"/>
        </w:rPr>
        <w:t>Ig</w:t>
      </w:r>
      <w:proofErr w:type="spellEnd"/>
      <w:r w:rsidRPr="00561601">
        <w:rPr>
          <w:snapToGrid/>
          <w:szCs w:val="24"/>
          <w:lang w:val="lt-LT" w:eastAsia="de-DE"/>
        </w:rPr>
        <w:t>)</w:t>
      </w:r>
      <w:r w:rsidR="0090028F">
        <w:rPr>
          <w:snapToGrid/>
          <w:szCs w:val="24"/>
          <w:lang w:val="lt-LT" w:eastAsia="de-DE"/>
        </w:rPr>
        <w:t xml:space="preserve"> </w:t>
      </w:r>
      <w:r w:rsidR="002B7762">
        <w:rPr>
          <w:snapToGrid/>
          <w:szCs w:val="24"/>
          <w:lang w:val="lt-LT" w:eastAsia="de-DE"/>
        </w:rPr>
        <w:t xml:space="preserve">vaistinio </w:t>
      </w:r>
      <w:r w:rsidR="0090028F">
        <w:rPr>
          <w:snapToGrid/>
          <w:szCs w:val="24"/>
          <w:lang w:val="lt-LT" w:eastAsia="de-DE"/>
        </w:rPr>
        <w:t>preparato</w:t>
      </w:r>
      <w:r w:rsidRPr="00561601">
        <w:rPr>
          <w:snapToGrid/>
          <w:szCs w:val="24"/>
          <w:lang w:val="lt-LT" w:eastAsia="de-DE"/>
        </w:rPr>
        <w:t>, arba kai nuo ankstesnės infuzijos praėjo ilgas laiko tarpas, pirmosios infuzijos metu ir pirmąją valandą po jos turi būti stebimi ligoninėje dėl galimų nepageidaujamų reakcijų požymių. Visus kitus pacientus reikia stebėti mažiausiai 20 minučių po vaistinio preparato suleidimo.</w:t>
      </w:r>
    </w:p>
    <w:p w14:paraId="7095AEEF" w14:textId="77777777"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p>
    <w:p w14:paraId="39650AEC" w14:textId="3E0653A9"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Visiems pacientams</w:t>
      </w:r>
      <w:r w:rsidR="00A303F0">
        <w:rPr>
          <w:snapToGrid/>
          <w:szCs w:val="24"/>
          <w:lang w:val="lt-LT" w:eastAsia="de-DE"/>
        </w:rPr>
        <w:t xml:space="preserve"> </w:t>
      </w:r>
      <w:proofErr w:type="spellStart"/>
      <w:r w:rsidR="00A303F0">
        <w:rPr>
          <w:snapToGrid/>
          <w:szCs w:val="24"/>
          <w:lang w:val="lt-LT" w:eastAsia="de-DE"/>
        </w:rPr>
        <w:t>Ig</w:t>
      </w:r>
      <w:proofErr w:type="spellEnd"/>
      <w:r w:rsidR="00A303F0">
        <w:rPr>
          <w:snapToGrid/>
          <w:szCs w:val="24"/>
          <w:lang w:val="lt-LT" w:eastAsia="de-DE"/>
        </w:rPr>
        <w:t xml:space="preserve"> skyrimas </w:t>
      </w:r>
      <w:r w:rsidRPr="00561601">
        <w:rPr>
          <w:snapToGrid/>
          <w:szCs w:val="24"/>
          <w:lang w:val="lt-LT" w:eastAsia="de-DE"/>
        </w:rPr>
        <w:t xml:space="preserve"> </w:t>
      </w:r>
      <w:proofErr w:type="spellStart"/>
      <w:r w:rsidRPr="00561601">
        <w:rPr>
          <w:snapToGrid/>
          <w:szCs w:val="24"/>
          <w:lang w:val="lt-LT" w:eastAsia="de-DE"/>
        </w:rPr>
        <w:t>i.v</w:t>
      </w:r>
      <w:proofErr w:type="spellEnd"/>
      <w:r w:rsidRPr="00561601">
        <w:rPr>
          <w:snapToGrid/>
          <w:szCs w:val="24"/>
          <w:lang w:val="lt-LT" w:eastAsia="de-DE"/>
        </w:rPr>
        <w:t xml:space="preserve">. </w:t>
      </w:r>
      <w:r w:rsidR="00A303F0">
        <w:rPr>
          <w:snapToGrid/>
          <w:szCs w:val="24"/>
          <w:lang w:val="lt-LT" w:eastAsia="de-DE"/>
        </w:rPr>
        <w:t>reikalauja</w:t>
      </w:r>
      <w:r w:rsidRPr="00561601">
        <w:rPr>
          <w:snapToGrid/>
          <w:szCs w:val="24"/>
          <w:lang w:val="lt-LT" w:eastAsia="de-DE"/>
        </w:rPr>
        <w:t>:</w:t>
      </w:r>
    </w:p>
    <w:p w14:paraId="7460E290" w14:textId="13C45E6D" w:rsidR="00F02A87" w:rsidRPr="00561601" w:rsidRDefault="00A303F0" w:rsidP="00F02A87">
      <w:pPr>
        <w:numPr>
          <w:ilvl w:val="0"/>
          <w:numId w:val="7"/>
        </w:numPr>
        <w:tabs>
          <w:tab w:val="clear" w:pos="567"/>
        </w:tabs>
        <w:overflowPunct w:val="0"/>
        <w:autoSpaceDE w:val="0"/>
        <w:autoSpaceDN w:val="0"/>
        <w:adjustRightInd w:val="0"/>
        <w:spacing w:line="240" w:lineRule="auto"/>
        <w:ind w:left="360"/>
        <w:textAlignment w:val="baseline"/>
        <w:rPr>
          <w:snapToGrid/>
          <w:szCs w:val="22"/>
          <w:lang w:val="lt-LT" w:eastAsia="de-DE"/>
        </w:rPr>
      </w:pPr>
      <w:r>
        <w:rPr>
          <w:snapToGrid/>
          <w:szCs w:val="24"/>
          <w:lang w:val="lt-LT" w:eastAsia="de-DE"/>
        </w:rPr>
        <w:t xml:space="preserve">pakankamos </w:t>
      </w:r>
      <w:proofErr w:type="spellStart"/>
      <w:r>
        <w:rPr>
          <w:snapToGrid/>
          <w:szCs w:val="24"/>
          <w:lang w:val="lt-LT" w:eastAsia="de-DE"/>
        </w:rPr>
        <w:t>hidracijos</w:t>
      </w:r>
      <w:proofErr w:type="spellEnd"/>
      <w:r w:rsidR="00F02A87" w:rsidRPr="00561601">
        <w:rPr>
          <w:snapToGrid/>
          <w:szCs w:val="24"/>
          <w:lang w:val="lt-LT" w:eastAsia="de-DE"/>
        </w:rPr>
        <w:t xml:space="preserve"> prieš </w:t>
      </w:r>
      <w:proofErr w:type="spellStart"/>
      <w:r w:rsidR="00F02A87" w:rsidRPr="00561601">
        <w:rPr>
          <w:snapToGrid/>
          <w:szCs w:val="24"/>
          <w:lang w:val="lt-LT" w:eastAsia="de-DE"/>
        </w:rPr>
        <w:t>i.v</w:t>
      </w:r>
      <w:proofErr w:type="spellEnd"/>
      <w:r w:rsidR="00F02A87" w:rsidRPr="00561601">
        <w:rPr>
          <w:snapToGrid/>
          <w:szCs w:val="24"/>
          <w:lang w:val="lt-LT" w:eastAsia="de-DE"/>
        </w:rPr>
        <w:t xml:space="preserve">. </w:t>
      </w:r>
      <w:proofErr w:type="spellStart"/>
      <w:r w:rsidR="00F02A87" w:rsidRPr="00561601">
        <w:rPr>
          <w:snapToGrid/>
          <w:szCs w:val="24"/>
          <w:lang w:val="lt-LT" w:eastAsia="de-DE"/>
        </w:rPr>
        <w:t>Ig</w:t>
      </w:r>
      <w:proofErr w:type="spellEnd"/>
      <w:r w:rsidR="00F02A87" w:rsidRPr="00561601">
        <w:rPr>
          <w:snapToGrid/>
          <w:szCs w:val="24"/>
          <w:lang w:val="lt-LT" w:eastAsia="de-DE"/>
        </w:rPr>
        <w:t xml:space="preserve"> infuzijos pradžią;</w:t>
      </w:r>
    </w:p>
    <w:p w14:paraId="43E09E8E" w14:textId="67573D1C" w:rsidR="00F02A87" w:rsidRPr="00561601" w:rsidRDefault="00F02A87" w:rsidP="00F02A87">
      <w:pPr>
        <w:numPr>
          <w:ilvl w:val="0"/>
          <w:numId w:val="7"/>
        </w:numPr>
        <w:tabs>
          <w:tab w:val="clear" w:pos="567"/>
        </w:tabs>
        <w:overflowPunct w:val="0"/>
        <w:autoSpaceDE w:val="0"/>
        <w:autoSpaceDN w:val="0"/>
        <w:adjustRightInd w:val="0"/>
        <w:spacing w:line="240" w:lineRule="auto"/>
        <w:ind w:left="360"/>
        <w:textAlignment w:val="baseline"/>
        <w:rPr>
          <w:snapToGrid/>
          <w:szCs w:val="22"/>
          <w:lang w:val="lt-LT" w:eastAsia="de-DE"/>
        </w:rPr>
      </w:pPr>
      <w:r w:rsidRPr="00561601">
        <w:rPr>
          <w:snapToGrid/>
          <w:szCs w:val="24"/>
          <w:lang w:val="lt-LT" w:eastAsia="de-DE"/>
        </w:rPr>
        <w:t>šlapimo išsiskyrim</w:t>
      </w:r>
      <w:r w:rsidR="00A303F0">
        <w:rPr>
          <w:snapToGrid/>
          <w:szCs w:val="24"/>
          <w:lang w:val="lt-LT" w:eastAsia="de-DE"/>
        </w:rPr>
        <w:t>o stebėjimo</w:t>
      </w:r>
      <w:r w:rsidRPr="00561601">
        <w:rPr>
          <w:snapToGrid/>
          <w:szCs w:val="24"/>
          <w:lang w:val="lt-LT" w:eastAsia="de-DE"/>
        </w:rPr>
        <w:t>;</w:t>
      </w:r>
    </w:p>
    <w:p w14:paraId="1B2F8B53" w14:textId="0C7681BD" w:rsidR="00F02A87" w:rsidRPr="00561601" w:rsidRDefault="00F02A87" w:rsidP="00F02A87">
      <w:pPr>
        <w:numPr>
          <w:ilvl w:val="0"/>
          <w:numId w:val="7"/>
        </w:numPr>
        <w:tabs>
          <w:tab w:val="clear" w:pos="567"/>
        </w:tabs>
        <w:overflowPunct w:val="0"/>
        <w:autoSpaceDE w:val="0"/>
        <w:autoSpaceDN w:val="0"/>
        <w:adjustRightInd w:val="0"/>
        <w:spacing w:line="240" w:lineRule="auto"/>
        <w:ind w:left="360"/>
        <w:textAlignment w:val="baseline"/>
        <w:rPr>
          <w:snapToGrid/>
          <w:szCs w:val="22"/>
          <w:lang w:val="lt-LT" w:eastAsia="de-DE"/>
        </w:rPr>
      </w:pPr>
      <w:r w:rsidRPr="00561601">
        <w:rPr>
          <w:snapToGrid/>
          <w:szCs w:val="24"/>
          <w:lang w:val="lt-LT" w:eastAsia="de-DE"/>
        </w:rPr>
        <w:t xml:space="preserve">kreatinino </w:t>
      </w:r>
      <w:r w:rsidR="00A303F0" w:rsidRPr="00561601">
        <w:rPr>
          <w:snapToGrid/>
          <w:szCs w:val="24"/>
          <w:lang w:val="lt-LT" w:eastAsia="de-DE"/>
        </w:rPr>
        <w:t>koncentracij</w:t>
      </w:r>
      <w:r w:rsidR="00A303F0">
        <w:rPr>
          <w:snapToGrid/>
          <w:szCs w:val="24"/>
          <w:lang w:val="lt-LT" w:eastAsia="de-DE"/>
        </w:rPr>
        <w:t>os</w:t>
      </w:r>
      <w:r w:rsidR="00A303F0" w:rsidRPr="00561601">
        <w:rPr>
          <w:snapToGrid/>
          <w:szCs w:val="24"/>
          <w:lang w:val="lt-LT" w:eastAsia="de-DE"/>
        </w:rPr>
        <w:t xml:space="preserve"> </w:t>
      </w:r>
      <w:r w:rsidRPr="00561601">
        <w:rPr>
          <w:snapToGrid/>
          <w:szCs w:val="24"/>
          <w:lang w:val="lt-LT" w:eastAsia="de-DE"/>
        </w:rPr>
        <w:t>kraujo serume</w:t>
      </w:r>
      <w:r w:rsidR="00A303F0">
        <w:rPr>
          <w:snapToGrid/>
          <w:szCs w:val="24"/>
          <w:lang w:val="lt-LT" w:eastAsia="de-DE"/>
        </w:rPr>
        <w:t xml:space="preserve"> stebėjimo</w:t>
      </w:r>
      <w:r w:rsidRPr="00561601">
        <w:rPr>
          <w:snapToGrid/>
          <w:szCs w:val="24"/>
          <w:lang w:val="lt-LT" w:eastAsia="de-DE"/>
        </w:rPr>
        <w:t>;</w:t>
      </w:r>
    </w:p>
    <w:p w14:paraId="0A00AB8C" w14:textId="395BF5B8" w:rsidR="00F02A87" w:rsidRPr="00561601" w:rsidRDefault="00F02A87" w:rsidP="00F02A87">
      <w:pPr>
        <w:numPr>
          <w:ilvl w:val="0"/>
          <w:numId w:val="7"/>
        </w:numPr>
        <w:tabs>
          <w:tab w:val="clear" w:pos="567"/>
        </w:tabs>
        <w:overflowPunct w:val="0"/>
        <w:autoSpaceDE w:val="0"/>
        <w:autoSpaceDN w:val="0"/>
        <w:adjustRightInd w:val="0"/>
        <w:spacing w:line="240" w:lineRule="auto"/>
        <w:ind w:left="360"/>
        <w:textAlignment w:val="baseline"/>
        <w:rPr>
          <w:snapToGrid/>
          <w:szCs w:val="22"/>
          <w:lang w:val="lt-LT" w:eastAsia="de-DE"/>
        </w:rPr>
      </w:pPr>
      <w:r w:rsidRPr="00561601">
        <w:rPr>
          <w:snapToGrid/>
          <w:szCs w:val="24"/>
          <w:lang w:val="lt-LT" w:eastAsia="de-DE"/>
        </w:rPr>
        <w:t>kilpinių diuretikų vartojimo tuo pačiu metu</w:t>
      </w:r>
      <w:r w:rsidR="00A303F0">
        <w:rPr>
          <w:snapToGrid/>
          <w:szCs w:val="24"/>
          <w:lang w:val="lt-LT" w:eastAsia="de-DE"/>
        </w:rPr>
        <w:t xml:space="preserve"> vengimo</w:t>
      </w:r>
      <w:r w:rsidRPr="00561601">
        <w:rPr>
          <w:snapToGrid/>
          <w:szCs w:val="24"/>
          <w:lang w:val="lt-LT" w:eastAsia="de-DE"/>
        </w:rPr>
        <w:t xml:space="preserve"> (žr. 4.5 skyrių).</w:t>
      </w:r>
    </w:p>
    <w:p w14:paraId="56C1DCC5" w14:textId="77777777"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p>
    <w:p w14:paraId="663F5345" w14:textId="77777777" w:rsidR="00F02A87" w:rsidRPr="00E7565F" w:rsidRDefault="00F02A87" w:rsidP="00F02A87">
      <w:pPr>
        <w:tabs>
          <w:tab w:val="clear" w:pos="567"/>
        </w:tabs>
        <w:overflowPunct w:val="0"/>
        <w:autoSpaceDE w:val="0"/>
        <w:autoSpaceDN w:val="0"/>
        <w:adjustRightInd w:val="0"/>
        <w:spacing w:line="240" w:lineRule="auto"/>
        <w:jc w:val="both"/>
        <w:textAlignment w:val="baseline"/>
        <w:rPr>
          <w:lang w:val="lt-LT"/>
        </w:rPr>
      </w:pPr>
      <w:r w:rsidRPr="00561601">
        <w:rPr>
          <w:snapToGrid/>
          <w:szCs w:val="24"/>
          <w:lang w:val="lt-LT" w:eastAsia="de-DE"/>
        </w:rPr>
        <w:t>Pasireiškus nepageidaujamai reakcijai, reikia sumažinti leidimo greitį arba nutraukti infuziją. Prireikus, nepageidaujamos reakcijos gydymas priklausys nuo jos pobūdžio ir sunkumo.</w:t>
      </w:r>
    </w:p>
    <w:p w14:paraId="266A78E0" w14:textId="77777777" w:rsidR="00F02A87" w:rsidRPr="00561601" w:rsidRDefault="00F02A87" w:rsidP="00F02A87">
      <w:pPr>
        <w:tabs>
          <w:tab w:val="clear" w:pos="567"/>
        </w:tabs>
        <w:overflowPunct w:val="0"/>
        <w:autoSpaceDE w:val="0"/>
        <w:autoSpaceDN w:val="0"/>
        <w:adjustRightInd w:val="0"/>
        <w:spacing w:line="240" w:lineRule="auto"/>
        <w:jc w:val="both"/>
        <w:textAlignment w:val="baseline"/>
        <w:rPr>
          <w:snapToGrid/>
          <w:szCs w:val="22"/>
          <w:lang w:val="lt-LT" w:eastAsia="de-DE"/>
        </w:rPr>
      </w:pPr>
    </w:p>
    <w:p w14:paraId="5DABF80C" w14:textId="77777777" w:rsidR="00F02A87" w:rsidRPr="00561601" w:rsidRDefault="00F02A87" w:rsidP="00F02A87">
      <w:pPr>
        <w:tabs>
          <w:tab w:val="clear" w:pos="567"/>
        </w:tabs>
        <w:overflowPunct w:val="0"/>
        <w:autoSpaceDE w:val="0"/>
        <w:autoSpaceDN w:val="0"/>
        <w:adjustRightInd w:val="0"/>
        <w:spacing w:line="240" w:lineRule="auto"/>
        <w:jc w:val="both"/>
        <w:textAlignment w:val="baseline"/>
        <w:rPr>
          <w:snapToGrid/>
          <w:szCs w:val="22"/>
          <w:u w:val="single"/>
          <w:lang w:val="lt-LT" w:eastAsia="de-DE"/>
        </w:rPr>
      </w:pPr>
      <w:r w:rsidRPr="00561601">
        <w:rPr>
          <w:snapToGrid/>
          <w:szCs w:val="24"/>
          <w:u w:val="single"/>
          <w:lang w:val="lt-LT" w:eastAsia="de-DE"/>
        </w:rPr>
        <w:t>Reakcija į infuziją</w:t>
      </w:r>
    </w:p>
    <w:p w14:paraId="2957D9EC" w14:textId="17EE6751" w:rsidR="00F02A87" w:rsidRPr="00561601" w:rsidRDefault="00F02A87" w:rsidP="00F02A87">
      <w:pPr>
        <w:tabs>
          <w:tab w:val="clear" w:pos="567"/>
        </w:tabs>
        <w:overflowPunct w:val="0"/>
        <w:autoSpaceDE w:val="0"/>
        <w:autoSpaceDN w:val="0"/>
        <w:adjustRightInd w:val="0"/>
        <w:spacing w:line="240" w:lineRule="auto"/>
        <w:jc w:val="both"/>
        <w:textAlignment w:val="baseline"/>
        <w:rPr>
          <w:snapToGrid/>
          <w:szCs w:val="22"/>
          <w:lang w:val="lt-LT" w:eastAsia="de-DE"/>
        </w:rPr>
      </w:pPr>
      <w:r w:rsidRPr="00561601">
        <w:rPr>
          <w:snapToGrid/>
          <w:szCs w:val="24"/>
          <w:lang w:val="lt-LT" w:eastAsia="de-DE"/>
        </w:rPr>
        <w:t xml:space="preserve">Tam tikros nepageidaujamos reakcijos (pvz., galvos skausmas, </w:t>
      </w:r>
      <w:r w:rsidR="00A303F0">
        <w:rPr>
          <w:snapToGrid/>
          <w:szCs w:val="24"/>
          <w:lang w:val="lt-LT" w:eastAsia="de-DE"/>
        </w:rPr>
        <w:t>staigus</w:t>
      </w:r>
      <w:r w:rsidRPr="00561601">
        <w:rPr>
          <w:snapToGrid/>
          <w:szCs w:val="24"/>
          <w:lang w:val="lt-LT" w:eastAsia="de-DE"/>
        </w:rPr>
        <w:t xml:space="preserve"> paraudimas, </w:t>
      </w:r>
      <w:proofErr w:type="spellStart"/>
      <w:r w:rsidRPr="00561601">
        <w:rPr>
          <w:snapToGrid/>
          <w:szCs w:val="24"/>
          <w:lang w:val="lt-LT" w:eastAsia="de-DE"/>
        </w:rPr>
        <w:t>šaltkrėtis</w:t>
      </w:r>
      <w:proofErr w:type="spellEnd"/>
      <w:r w:rsidRPr="00561601">
        <w:rPr>
          <w:snapToGrid/>
          <w:szCs w:val="24"/>
          <w:lang w:val="lt-LT" w:eastAsia="de-DE"/>
        </w:rPr>
        <w:t xml:space="preserve">, raumenų skausmas, švokštimas, tachikardija, apatinės nugaros dalies skausmas, pykinimas ir </w:t>
      </w:r>
      <w:proofErr w:type="spellStart"/>
      <w:r w:rsidRPr="00561601">
        <w:rPr>
          <w:snapToGrid/>
          <w:szCs w:val="24"/>
          <w:lang w:val="lt-LT" w:eastAsia="de-DE"/>
        </w:rPr>
        <w:t>hipotenzija</w:t>
      </w:r>
      <w:proofErr w:type="spellEnd"/>
      <w:r w:rsidRPr="00561601">
        <w:rPr>
          <w:snapToGrid/>
          <w:szCs w:val="24"/>
          <w:lang w:val="lt-LT" w:eastAsia="de-DE"/>
        </w:rPr>
        <w:t>) gali būti susijusios su infuzijos greičiu. Reikia atidžiai laikytis infuzijos greičio rekomendacijų, pateiktų 4.2 skyriuje. Per visą infuzijos laikotarpį reikia atidžiai stebėti, ar pacientams nepasireiškia kokių nors simptomų.</w:t>
      </w:r>
    </w:p>
    <w:p w14:paraId="2A500C5A" w14:textId="77777777" w:rsidR="00F02A87" w:rsidRPr="00561601" w:rsidRDefault="00F02A87" w:rsidP="00F02A87">
      <w:pPr>
        <w:tabs>
          <w:tab w:val="clear" w:pos="567"/>
        </w:tabs>
        <w:overflowPunct w:val="0"/>
        <w:autoSpaceDE w:val="0"/>
        <w:autoSpaceDN w:val="0"/>
        <w:adjustRightInd w:val="0"/>
        <w:spacing w:line="240" w:lineRule="auto"/>
        <w:jc w:val="both"/>
        <w:textAlignment w:val="baseline"/>
        <w:rPr>
          <w:snapToGrid/>
          <w:szCs w:val="22"/>
          <w:lang w:val="lt-LT" w:eastAsia="de-DE"/>
        </w:rPr>
      </w:pPr>
    </w:p>
    <w:p w14:paraId="5BF69576" w14:textId="77777777" w:rsidR="00F02A87" w:rsidRPr="00561601" w:rsidRDefault="00F02A87" w:rsidP="00F02A87">
      <w:pPr>
        <w:tabs>
          <w:tab w:val="clear" w:pos="567"/>
        </w:tabs>
        <w:overflowPunct w:val="0"/>
        <w:autoSpaceDE w:val="0"/>
        <w:autoSpaceDN w:val="0"/>
        <w:adjustRightInd w:val="0"/>
        <w:spacing w:line="240" w:lineRule="auto"/>
        <w:jc w:val="both"/>
        <w:textAlignment w:val="baseline"/>
        <w:rPr>
          <w:snapToGrid/>
          <w:szCs w:val="22"/>
          <w:lang w:val="lt-LT" w:eastAsia="de-DE"/>
        </w:rPr>
      </w:pPr>
      <w:r w:rsidRPr="00561601">
        <w:rPr>
          <w:snapToGrid/>
          <w:szCs w:val="24"/>
          <w:lang w:val="lt-LT" w:eastAsia="de-DE"/>
        </w:rPr>
        <w:t>Nepageidaujamos reakcijos gali pasireikšti dažniau:</w:t>
      </w:r>
    </w:p>
    <w:p w14:paraId="1DD0B59F" w14:textId="77777777" w:rsidR="00F02A87" w:rsidRPr="00561601" w:rsidRDefault="00F02A87" w:rsidP="00F02A87">
      <w:pPr>
        <w:numPr>
          <w:ilvl w:val="0"/>
          <w:numId w:val="8"/>
        </w:numPr>
        <w:tabs>
          <w:tab w:val="clear" w:pos="567"/>
        </w:tabs>
        <w:overflowPunct w:val="0"/>
        <w:autoSpaceDE w:val="0"/>
        <w:autoSpaceDN w:val="0"/>
        <w:adjustRightInd w:val="0"/>
        <w:spacing w:line="240" w:lineRule="auto"/>
        <w:ind w:left="284"/>
        <w:jc w:val="both"/>
        <w:textAlignment w:val="baseline"/>
        <w:rPr>
          <w:snapToGrid/>
          <w:szCs w:val="22"/>
          <w:lang w:val="lt-LT" w:eastAsia="de-DE"/>
        </w:rPr>
      </w:pPr>
      <w:r w:rsidRPr="00561601">
        <w:rPr>
          <w:snapToGrid/>
          <w:szCs w:val="24"/>
          <w:lang w:val="lt-LT" w:eastAsia="de-DE"/>
        </w:rPr>
        <w:t>pacientams, kurie pirmą kartą gydomi žmogaus imunoglobulinu, arba retais atvejais, kai pakeičiamas žmogaus imunoglobulino vaistinis preparatas, arba jei nuo paskutinės infuzijos praėjo ilgas laiko tarpas;</w:t>
      </w:r>
    </w:p>
    <w:p w14:paraId="6AD461DC" w14:textId="5A15C134" w:rsidR="00F02A87" w:rsidRPr="00561601" w:rsidRDefault="00F02A87" w:rsidP="00F02A87">
      <w:pPr>
        <w:numPr>
          <w:ilvl w:val="0"/>
          <w:numId w:val="8"/>
        </w:numPr>
        <w:tabs>
          <w:tab w:val="clear" w:pos="567"/>
        </w:tabs>
        <w:overflowPunct w:val="0"/>
        <w:autoSpaceDE w:val="0"/>
        <w:autoSpaceDN w:val="0"/>
        <w:adjustRightInd w:val="0"/>
        <w:spacing w:line="240" w:lineRule="auto"/>
        <w:ind w:left="284"/>
        <w:textAlignment w:val="baseline"/>
        <w:rPr>
          <w:snapToGrid/>
          <w:szCs w:val="22"/>
          <w:lang w:val="lt-LT" w:eastAsia="de-DE"/>
        </w:rPr>
      </w:pPr>
      <w:r w:rsidRPr="00561601">
        <w:rPr>
          <w:snapToGrid/>
          <w:szCs w:val="24"/>
          <w:lang w:val="lt-LT" w:eastAsia="de-DE"/>
        </w:rPr>
        <w:t xml:space="preserve">pacientams, </w:t>
      </w:r>
      <w:r w:rsidR="002B7762">
        <w:rPr>
          <w:snapToGrid/>
          <w:szCs w:val="24"/>
          <w:lang w:val="lt-LT" w:eastAsia="de-DE"/>
        </w:rPr>
        <w:t xml:space="preserve">kuriems yra </w:t>
      </w:r>
      <w:r w:rsidR="002B7762" w:rsidRPr="00561601">
        <w:rPr>
          <w:snapToGrid/>
          <w:szCs w:val="24"/>
          <w:lang w:val="lt-LT" w:eastAsia="de-DE"/>
        </w:rPr>
        <w:t xml:space="preserve"> </w:t>
      </w:r>
      <w:r w:rsidRPr="00561601">
        <w:rPr>
          <w:snapToGrid/>
          <w:szCs w:val="24"/>
          <w:lang w:val="lt-LT" w:eastAsia="de-DE"/>
        </w:rPr>
        <w:t>ne</w:t>
      </w:r>
      <w:r w:rsidR="002B7762">
        <w:rPr>
          <w:snapToGrid/>
          <w:szCs w:val="24"/>
          <w:lang w:val="lt-LT" w:eastAsia="de-DE"/>
        </w:rPr>
        <w:t>iš</w:t>
      </w:r>
      <w:r w:rsidRPr="00561601">
        <w:rPr>
          <w:snapToGrid/>
          <w:szCs w:val="24"/>
          <w:lang w:val="lt-LT" w:eastAsia="de-DE"/>
        </w:rPr>
        <w:t>gyd</w:t>
      </w:r>
      <w:r w:rsidR="002B7762">
        <w:rPr>
          <w:snapToGrid/>
          <w:szCs w:val="24"/>
          <w:lang w:val="lt-LT" w:eastAsia="de-DE"/>
        </w:rPr>
        <w:t>yta</w:t>
      </w:r>
      <w:r w:rsidRPr="00561601">
        <w:rPr>
          <w:snapToGrid/>
          <w:szCs w:val="24"/>
          <w:lang w:val="lt-LT" w:eastAsia="de-DE"/>
        </w:rPr>
        <w:t xml:space="preserve"> infekcija arba </w:t>
      </w:r>
      <w:r w:rsidR="002B7762" w:rsidRPr="00561601">
        <w:rPr>
          <w:snapToGrid/>
          <w:szCs w:val="24"/>
          <w:lang w:val="lt-LT" w:eastAsia="de-DE"/>
        </w:rPr>
        <w:t>lėtini</w:t>
      </w:r>
      <w:r w:rsidR="002B7762">
        <w:rPr>
          <w:snapToGrid/>
          <w:szCs w:val="24"/>
          <w:lang w:val="lt-LT" w:eastAsia="de-DE"/>
        </w:rPr>
        <w:t>s</w:t>
      </w:r>
      <w:r w:rsidR="002B7762" w:rsidRPr="00561601">
        <w:rPr>
          <w:snapToGrid/>
          <w:szCs w:val="24"/>
          <w:lang w:val="lt-LT" w:eastAsia="de-DE"/>
        </w:rPr>
        <w:t xml:space="preserve"> uždegim</w:t>
      </w:r>
      <w:r w:rsidR="002B7762">
        <w:rPr>
          <w:snapToGrid/>
          <w:szCs w:val="24"/>
          <w:lang w:val="lt-LT" w:eastAsia="de-DE"/>
        </w:rPr>
        <w:t>as</w:t>
      </w:r>
      <w:r w:rsidRPr="00561601">
        <w:rPr>
          <w:snapToGrid/>
          <w:szCs w:val="24"/>
          <w:lang w:val="lt-LT" w:eastAsia="de-DE"/>
        </w:rPr>
        <w:t>.</w:t>
      </w:r>
    </w:p>
    <w:p w14:paraId="70BB319A" w14:textId="77777777"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p>
    <w:p w14:paraId="586AC460" w14:textId="77777777"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u w:val="single"/>
          <w:lang w:val="lt-LT" w:eastAsia="de-DE"/>
        </w:rPr>
      </w:pPr>
      <w:r w:rsidRPr="00561601">
        <w:rPr>
          <w:snapToGrid/>
          <w:szCs w:val="24"/>
          <w:u w:val="single"/>
          <w:lang w:val="lt-LT" w:eastAsia="de-DE"/>
        </w:rPr>
        <w:t>Padidėjęs jautrumas</w:t>
      </w:r>
    </w:p>
    <w:p w14:paraId="12FC7237" w14:textId="77777777"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Padidėjusio jautrumo reakcijos yra retos.</w:t>
      </w:r>
    </w:p>
    <w:p w14:paraId="79B66B90" w14:textId="77777777"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p>
    <w:p w14:paraId="66496D5E" w14:textId="77777777" w:rsidR="00F02A87" w:rsidRPr="00561601" w:rsidRDefault="00F02A87" w:rsidP="00F02A87">
      <w:pPr>
        <w:tabs>
          <w:tab w:val="clear" w:pos="567"/>
        </w:tabs>
        <w:overflowPunct w:val="0"/>
        <w:autoSpaceDE w:val="0"/>
        <w:autoSpaceDN w:val="0"/>
        <w:adjustRightInd w:val="0"/>
        <w:spacing w:line="240" w:lineRule="auto"/>
        <w:jc w:val="both"/>
        <w:textAlignment w:val="baseline"/>
        <w:rPr>
          <w:snapToGrid/>
          <w:szCs w:val="22"/>
          <w:lang w:val="lt-LT" w:eastAsia="de-DE"/>
        </w:rPr>
      </w:pPr>
      <w:proofErr w:type="spellStart"/>
      <w:r w:rsidRPr="00561601">
        <w:rPr>
          <w:snapToGrid/>
          <w:szCs w:val="24"/>
          <w:lang w:val="lt-LT" w:eastAsia="de-DE"/>
        </w:rPr>
        <w:t>Anafilaksija</w:t>
      </w:r>
      <w:proofErr w:type="spellEnd"/>
      <w:r w:rsidRPr="00561601">
        <w:rPr>
          <w:snapToGrid/>
          <w:szCs w:val="24"/>
          <w:lang w:val="lt-LT" w:eastAsia="de-DE"/>
        </w:rPr>
        <w:t xml:space="preserve"> gali pasireikšti pacientams:</w:t>
      </w:r>
    </w:p>
    <w:p w14:paraId="29F5AB4E" w14:textId="77777777" w:rsidR="00F02A87" w:rsidRPr="00561601" w:rsidRDefault="00F02A87" w:rsidP="00F02A87">
      <w:pPr>
        <w:numPr>
          <w:ilvl w:val="0"/>
          <w:numId w:val="7"/>
        </w:numPr>
        <w:tabs>
          <w:tab w:val="clear" w:pos="567"/>
        </w:tabs>
        <w:overflowPunct w:val="0"/>
        <w:autoSpaceDE w:val="0"/>
        <w:autoSpaceDN w:val="0"/>
        <w:adjustRightInd w:val="0"/>
        <w:spacing w:line="240" w:lineRule="auto"/>
        <w:ind w:left="360"/>
        <w:textAlignment w:val="baseline"/>
        <w:rPr>
          <w:snapToGrid/>
          <w:szCs w:val="22"/>
          <w:lang w:val="lt-LT" w:eastAsia="de-DE"/>
        </w:rPr>
      </w:pPr>
      <w:r w:rsidRPr="00561601">
        <w:rPr>
          <w:snapToGrid/>
          <w:szCs w:val="24"/>
          <w:lang w:val="lt-LT" w:eastAsia="de-DE"/>
        </w:rPr>
        <w:t xml:space="preserve">kurių organizme yra antikūnų prieš </w:t>
      </w:r>
      <w:proofErr w:type="spellStart"/>
      <w:r w:rsidRPr="00561601">
        <w:rPr>
          <w:snapToGrid/>
          <w:szCs w:val="24"/>
          <w:lang w:val="lt-LT" w:eastAsia="de-DE"/>
        </w:rPr>
        <w:t>IgA</w:t>
      </w:r>
      <w:proofErr w:type="spellEnd"/>
      <w:r w:rsidRPr="00561601">
        <w:rPr>
          <w:snapToGrid/>
          <w:szCs w:val="24"/>
          <w:lang w:val="lt-LT" w:eastAsia="de-DE"/>
        </w:rPr>
        <w:t xml:space="preserve">, o </w:t>
      </w:r>
      <w:proofErr w:type="spellStart"/>
      <w:r w:rsidRPr="00561601">
        <w:rPr>
          <w:snapToGrid/>
          <w:szCs w:val="24"/>
          <w:lang w:val="lt-LT" w:eastAsia="de-DE"/>
        </w:rPr>
        <w:t>IgA</w:t>
      </w:r>
      <w:proofErr w:type="spellEnd"/>
      <w:r w:rsidRPr="00561601">
        <w:rPr>
          <w:snapToGrid/>
          <w:szCs w:val="24"/>
          <w:lang w:val="lt-LT" w:eastAsia="de-DE"/>
        </w:rPr>
        <w:t xml:space="preserve"> nenustatoma;</w:t>
      </w:r>
    </w:p>
    <w:p w14:paraId="50B9A85A" w14:textId="77777777" w:rsidR="00F02A87" w:rsidRPr="00561601" w:rsidRDefault="00F02A87" w:rsidP="00F02A87">
      <w:pPr>
        <w:numPr>
          <w:ilvl w:val="0"/>
          <w:numId w:val="7"/>
        </w:numPr>
        <w:tabs>
          <w:tab w:val="clear" w:pos="567"/>
        </w:tabs>
        <w:overflowPunct w:val="0"/>
        <w:autoSpaceDE w:val="0"/>
        <w:autoSpaceDN w:val="0"/>
        <w:adjustRightInd w:val="0"/>
        <w:spacing w:line="240" w:lineRule="auto"/>
        <w:ind w:left="360"/>
        <w:textAlignment w:val="baseline"/>
        <w:rPr>
          <w:snapToGrid/>
          <w:szCs w:val="22"/>
          <w:lang w:val="lt-LT" w:eastAsia="de-DE"/>
        </w:rPr>
      </w:pPr>
      <w:r w:rsidRPr="00561601">
        <w:rPr>
          <w:snapToGrid/>
          <w:szCs w:val="24"/>
          <w:lang w:val="lt-LT" w:eastAsia="de-DE"/>
        </w:rPr>
        <w:t>kurie toleravo ankstesnį gydymą žmogaus imunoglobulinu.</w:t>
      </w:r>
    </w:p>
    <w:p w14:paraId="7D7C5670" w14:textId="77777777" w:rsidR="00F02A87" w:rsidRPr="00561601" w:rsidRDefault="00F02A87" w:rsidP="00F02A87">
      <w:pPr>
        <w:tabs>
          <w:tab w:val="clear" w:pos="567"/>
        </w:tabs>
        <w:overflowPunct w:val="0"/>
        <w:autoSpaceDE w:val="0"/>
        <w:autoSpaceDN w:val="0"/>
        <w:adjustRightInd w:val="0"/>
        <w:spacing w:line="240" w:lineRule="auto"/>
        <w:jc w:val="both"/>
        <w:textAlignment w:val="baseline"/>
        <w:rPr>
          <w:snapToGrid/>
          <w:szCs w:val="22"/>
          <w:lang w:val="lt-LT" w:eastAsia="de-DE"/>
        </w:rPr>
      </w:pPr>
    </w:p>
    <w:p w14:paraId="260D0D69" w14:textId="77777777"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Šoko atveju reikia taikyti standartinį šoko gydymą.</w:t>
      </w:r>
    </w:p>
    <w:p w14:paraId="5DC83F66" w14:textId="77777777"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u w:val="single"/>
          <w:lang w:val="lt-LT" w:eastAsia="de-DE"/>
        </w:rPr>
      </w:pPr>
    </w:p>
    <w:p w14:paraId="6635061E" w14:textId="77777777"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u w:val="single"/>
          <w:lang w:val="lt-LT" w:eastAsia="de-DE"/>
        </w:rPr>
      </w:pPr>
      <w:r w:rsidRPr="00561601">
        <w:rPr>
          <w:snapToGrid/>
          <w:szCs w:val="24"/>
          <w:u w:val="single"/>
          <w:lang w:val="lt-LT" w:eastAsia="de-DE"/>
        </w:rPr>
        <w:t>Tromboembolija</w:t>
      </w:r>
    </w:p>
    <w:p w14:paraId="1B38937A" w14:textId="56A3C34C"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 xml:space="preserve">Yra klinikinių duomenų apie sąsają tarp </w:t>
      </w:r>
      <w:proofErr w:type="spellStart"/>
      <w:r w:rsidRPr="00561601">
        <w:rPr>
          <w:snapToGrid/>
          <w:szCs w:val="24"/>
          <w:lang w:val="lt-LT" w:eastAsia="de-DE"/>
        </w:rPr>
        <w:t>i.v</w:t>
      </w:r>
      <w:proofErr w:type="spellEnd"/>
      <w:r w:rsidRPr="00561601">
        <w:rPr>
          <w:snapToGrid/>
          <w:szCs w:val="24"/>
          <w:lang w:val="lt-LT" w:eastAsia="de-DE"/>
        </w:rPr>
        <w:t xml:space="preserve">. </w:t>
      </w:r>
      <w:proofErr w:type="spellStart"/>
      <w:r w:rsidRPr="00561601">
        <w:rPr>
          <w:snapToGrid/>
          <w:szCs w:val="24"/>
          <w:lang w:val="lt-LT" w:eastAsia="de-DE"/>
        </w:rPr>
        <w:t>Ig</w:t>
      </w:r>
      <w:proofErr w:type="spellEnd"/>
      <w:r w:rsidRPr="00561601">
        <w:rPr>
          <w:snapToGrid/>
          <w:szCs w:val="24"/>
          <w:lang w:val="lt-LT" w:eastAsia="de-DE"/>
        </w:rPr>
        <w:t xml:space="preserve"> vartojimo ir </w:t>
      </w:r>
      <w:proofErr w:type="spellStart"/>
      <w:r w:rsidRPr="00561601">
        <w:rPr>
          <w:snapToGrid/>
          <w:szCs w:val="24"/>
          <w:lang w:val="lt-LT" w:eastAsia="de-DE"/>
        </w:rPr>
        <w:t>tromboembolinių</w:t>
      </w:r>
      <w:proofErr w:type="spellEnd"/>
      <w:r w:rsidRPr="00561601">
        <w:rPr>
          <w:snapToGrid/>
          <w:szCs w:val="24"/>
          <w:lang w:val="lt-LT" w:eastAsia="de-DE"/>
        </w:rPr>
        <w:t xml:space="preserve"> reiškinių, pvz., miokardo infarkto, </w:t>
      </w:r>
      <w:proofErr w:type="spellStart"/>
      <w:r w:rsidRPr="00561601">
        <w:rPr>
          <w:snapToGrid/>
          <w:szCs w:val="24"/>
          <w:lang w:val="lt-LT" w:eastAsia="de-DE"/>
        </w:rPr>
        <w:t>cerebrovaskulinių</w:t>
      </w:r>
      <w:proofErr w:type="spellEnd"/>
      <w:r w:rsidRPr="00561601">
        <w:rPr>
          <w:snapToGrid/>
          <w:szCs w:val="24"/>
          <w:lang w:val="lt-LT" w:eastAsia="de-DE"/>
        </w:rPr>
        <w:t xml:space="preserve"> įvykių (įskaitant insultą), plaučių embolijos ir giliųjų venų trombozės; manoma, kad taip atsitinka dėl per didelio imunoglobulino antplūdžio </w:t>
      </w:r>
      <w:r w:rsidR="003C0CDD">
        <w:rPr>
          <w:snapToGrid/>
          <w:szCs w:val="24"/>
          <w:lang w:val="lt-LT" w:eastAsia="de-DE"/>
        </w:rPr>
        <w:t>santyki</w:t>
      </w:r>
      <w:r w:rsidR="0026701F">
        <w:rPr>
          <w:snapToGrid/>
          <w:szCs w:val="24"/>
          <w:lang w:val="lt-LT" w:eastAsia="de-DE"/>
        </w:rPr>
        <w:t>n</w:t>
      </w:r>
      <w:r w:rsidR="003C0CDD">
        <w:rPr>
          <w:snapToGrid/>
          <w:szCs w:val="24"/>
          <w:lang w:val="lt-LT" w:eastAsia="de-DE"/>
        </w:rPr>
        <w:t xml:space="preserve">ai </w:t>
      </w:r>
      <w:r w:rsidR="0091168E" w:rsidRPr="00561601">
        <w:rPr>
          <w:snapToGrid/>
          <w:szCs w:val="24"/>
          <w:lang w:val="lt-LT" w:eastAsia="de-DE"/>
        </w:rPr>
        <w:t>padidėj</w:t>
      </w:r>
      <w:r w:rsidR="0091168E">
        <w:rPr>
          <w:snapToGrid/>
          <w:szCs w:val="24"/>
          <w:lang w:val="lt-LT" w:eastAsia="de-DE"/>
        </w:rPr>
        <w:t>us</w:t>
      </w:r>
      <w:r w:rsidR="0091168E" w:rsidRPr="00561601">
        <w:rPr>
          <w:snapToGrid/>
          <w:szCs w:val="24"/>
          <w:lang w:val="lt-LT" w:eastAsia="de-DE"/>
        </w:rPr>
        <w:t xml:space="preserve"> </w:t>
      </w:r>
      <w:r w:rsidRPr="00561601">
        <w:rPr>
          <w:snapToGrid/>
          <w:szCs w:val="24"/>
          <w:lang w:val="lt-LT" w:eastAsia="de-DE"/>
        </w:rPr>
        <w:t xml:space="preserve">kraujo </w:t>
      </w:r>
      <w:r w:rsidR="0091168E" w:rsidRPr="00561601">
        <w:rPr>
          <w:snapToGrid/>
          <w:szCs w:val="24"/>
          <w:lang w:val="lt-LT" w:eastAsia="de-DE"/>
        </w:rPr>
        <w:t>klampum</w:t>
      </w:r>
      <w:r w:rsidR="0091168E">
        <w:rPr>
          <w:snapToGrid/>
          <w:szCs w:val="24"/>
          <w:lang w:val="lt-LT" w:eastAsia="de-DE"/>
        </w:rPr>
        <w:t>ui</w:t>
      </w:r>
      <w:r w:rsidR="0091168E" w:rsidRPr="00561601">
        <w:rPr>
          <w:snapToGrid/>
          <w:szCs w:val="24"/>
          <w:lang w:val="lt-LT" w:eastAsia="de-DE"/>
        </w:rPr>
        <w:t xml:space="preserve"> </w:t>
      </w:r>
      <w:r w:rsidRPr="00561601">
        <w:rPr>
          <w:snapToGrid/>
          <w:szCs w:val="24"/>
          <w:lang w:val="lt-LT" w:eastAsia="de-DE"/>
        </w:rPr>
        <w:t xml:space="preserve">pacientams, esantiems rizikos grupėje. Reikia imtis atsargumo priemonių skiriant ir leidžiant </w:t>
      </w:r>
      <w:proofErr w:type="spellStart"/>
      <w:r w:rsidRPr="00561601">
        <w:rPr>
          <w:snapToGrid/>
          <w:szCs w:val="24"/>
          <w:lang w:val="lt-LT" w:eastAsia="de-DE"/>
        </w:rPr>
        <w:t>i.v</w:t>
      </w:r>
      <w:proofErr w:type="spellEnd"/>
      <w:r w:rsidRPr="00561601">
        <w:rPr>
          <w:snapToGrid/>
          <w:szCs w:val="24"/>
          <w:lang w:val="lt-LT" w:eastAsia="de-DE"/>
        </w:rPr>
        <w:t xml:space="preserve">. </w:t>
      </w:r>
      <w:proofErr w:type="spellStart"/>
      <w:r w:rsidRPr="00561601">
        <w:rPr>
          <w:snapToGrid/>
          <w:szCs w:val="24"/>
          <w:lang w:val="lt-LT" w:eastAsia="de-DE"/>
        </w:rPr>
        <w:t>Ig</w:t>
      </w:r>
      <w:proofErr w:type="spellEnd"/>
      <w:r w:rsidRPr="00561601">
        <w:rPr>
          <w:snapToGrid/>
          <w:szCs w:val="24"/>
          <w:lang w:val="lt-LT" w:eastAsia="de-DE"/>
        </w:rPr>
        <w:t xml:space="preserve"> nutukusiems pacientams ir pacientams, kuriems yra trombozės rizikos veiksnių (vyresnis amžius, hipertenzija, cukrinis diabetas ir buvusios kraujagyslių ligos ar trombozės epizodai; pacientams, </w:t>
      </w:r>
      <w:r w:rsidR="0091168E">
        <w:rPr>
          <w:snapToGrid/>
          <w:szCs w:val="24"/>
          <w:lang w:val="lt-LT" w:eastAsia="de-DE"/>
        </w:rPr>
        <w:t>kuriems yra</w:t>
      </w:r>
      <w:r w:rsidR="0091168E" w:rsidRPr="00561601">
        <w:rPr>
          <w:snapToGrid/>
          <w:szCs w:val="24"/>
          <w:lang w:val="lt-LT" w:eastAsia="de-DE"/>
        </w:rPr>
        <w:t xml:space="preserve"> </w:t>
      </w:r>
      <w:r w:rsidRPr="00561601">
        <w:rPr>
          <w:snapToGrid/>
          <w:szCs w:val="24"/>
          <w:lang w:val="lt-LT" w:eastAsia="de-DE"/>
        </w:rPr>
        <w:t xml:space="preserve">įgytų ar įgimtų </w:t>
      </w:r>
      <w:proofErr w:type="spellStart"/>
      <w:r w:rsidRPr="00561601">
        <w:rPr>
          <w:snapToGrid/>
          <w:szCs w:val="24"/>
          <w:lang w:val="lt-LT" w:eastAsia="de-DE"/>
        </w:rPr>
        <w:t>trombofilinių</w:t>
      </w:r>
      <w:proofErr w:type="spellEnd"/>
      <w:r w:rsidRPr="00561601">
        <w:rPr>
          <w:snapToGrid/>
          <w:szCs w:val="24"/>
          <w:lang w:val="lt-LT" w:eastAsia="de-DE"/>
        </w:rPr>
        <w:t xml:space="preserve"> sutrikimų; pacientams, kurie yra </w:t>
      </w:r>
      <w:proofErr w:type="spellStart"/>
      <w:r w:rsidRPr="00561601">
        <w:rPr>
          <w:snapToGrid/>
          <w:szCs w:val="24"/>
          <w:lang w:val="lt-LT" w:eastAsia="de-DE"/>
        </w:rPr>
        <w:t>imobilizuoti</w:t>
      </w:r>
      <w:proofErr w:type="spellEnd"/>
      <w:r w:rsidRPr="00561601">
        <w:rPr>
          <w:snapToGrid/>
          <w:szCs w:val="24"/>
          <w:lang w:val="lt-LT" w:eastAsia="de-DE"/>
        </w:rPr>
        <w:t xml:space="preserve"> ilgesnį laiką; pacientams, kuriems yra ryški </w:t>
      </w:r>
      <w:proofErr w:type="spellStart"/>
      <w:r w:rsidRPr="00561601">
        <w:rPr>
          <w:snapToGrid/>
          <w:szCs w:val="24"/>
          <w:lang w:val="lt-LT" w:eastAsia="de-DE"/>
        </w:rPr>
        <w:t>hipovolemija</w:t>
      </w:r>
      <w:proofErr w:type="spellEnd"/>
      <w:r w:rsidRPr="00561601">
        <w:rPr>
          <w:snapToGrid/>
          <w:szCs w:val="24"/>
          <w:lang w:val="lt-LT" w:eastAsia="de-DE"/>
        </w:rPr>
        <w:t>; pacientams, sergantiems ligomis, dėl kurių padidėja kraujo klampumas).</w:t>
      </w:r>
    </w:p>
    <w:p w14:paraId="647E7C58" w14:textId="77777777"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p>
    <w:p w14:paraId="637531AE" w14:textId="63881AAA"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 xml:space="preserve">Esant </w:t>
      </w:r>
      <w:r w:rsidR="0091168E">
        <w:rPr>
          <w:snapToGrid/>
          <w:szCs w:val="24"/>
          <w:lang w:val="lt-LT" w:eastAsia="de-DE"/>
        </w:rPr>
        <w:t>didesnei</w:t>
      </w:r>
      <w:r w:rsidR="0091168E" w:rsidRPr="00561601">
        <w:rPr>
          <w:snapToGrid/>
          <w:szCs w:val="24"/>
          <w:lang w:val="lt-LT" w:eastAsia="de-DE"/>
        </w:rPr>
        <w:t xml:space="preserve"> </w:t>
      </w:r>
      <w:proofErr w:type="spellStart"/>
      <w:r w:rsidRPr="00561601">
        <w:rPr>
          <w:snapToGrid/>
          <w:szCs w:val="24"/>
          <w:lang w:val="lt-LT" w:eastAsia="de-DE"/>
        </w:rPr>
        <w:t>tromboembolinių</w:t>
      </w:r>
      <w:proofErr w:type="spellEnd"/>
      <w:r w:rsidRPr="00561601">
        <w:rPr>
          <w:snapToGrid/>
          <w:szCs w:val="24"/>
          <w:lang w:val="lt-LT" w:eastAsia="de-DE"/>
        </w:rPr>
        <w:t xml:space="preserve"> nepageidaujamų reakcijų rizikai, </w:t>
      </w:r>
      <w:proofErr w:type="spellStart"/>
      <w:r w:rsidRPr="00561601">
        <w:rPr>
          <w:snapToGrid/>
          <w:szCs w:val="24"/>
          <w:lang w:val="lt-LT" w:eastAsia="de-DE"/>
        </w:rPr>
        <w:t>i.v</w:t>
      </w:r>
      <w:proofErr w:type="spellEnd"/>
      <w:r w:rsidRPr="00561601">
        <w:rPr>
          <w:snapToGrid/>
          <w:szCs w:val="24"/>
          <w:lang w:val="lt-LT" w:eastAsia="de-DE"/>
        </w:rPr>
        <w:t xml:space="preserve">. </w:t>
      </w:r>
      <w:proofErr w:type="spellStart"/>
      <w:r w:rsidRPr="00561601">
        <w:rPr>
          <w:snapToGrid/>
          <w:szCs w:val="24"/>
          <w:lang w:val="lt-LT" w:eastAsia="de-DE"/>
        </w:rPr>
        <w:t>Ig</w:t>
      </w:r>
      <w:proofErr w:type="spellEnd"/>
      <w:r w:rsidRPr="00561601">
        <w:rPr>
          <w:snapToGrid/>
          <w:szCs w:val="24"/>
          <w:lang w:val="lt-LT" w:eastAsia="de-DE"/>
        </w:rPr>
        <w:t xml:space="preserve"> infuzijos greitis turi būti minimalus, o dozė – adekvati.</w:t>
      </w:r>
    </w:p>
    <w:p w14:paraId="21FFC7C4" w14:textId="77777777"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p>
    <w:p w14:paraId="6C9F5EBA" w14:textId="7773E6B6"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u w:val="single"/>
          <w:lang w:val="lt-LT" w:eastAsia="de-DE"/>
        </w:rPr>
      </w:pPr>
      <w:r w:rsidRPr="00561601">
        <w:rPr>
          <w:snapToGrid/>
          <w:szCs w:val="24"/>
          <w:u w:val="single"/>
          <w:lang w:val="lt-LT" w:eastAsia="de-DE"/>
        </w:rPr>
        <w:t>Ūm</w:t>
      </w:r>
      <w:r w:rsidR="008C7DEF">
        <w:rPr>
          <w:snapToGrid/>
          <w:szCs w:val="24"/>
          <w:u w:val="single"/>
          <w:lang w:val="lt-LT" w:eastAsia="de-DE"/>
        </w:rPr>
        <w:t>inis</w:t>
      </w:r>
      <w:r w:rsidRPr="00561601">
        <w:rPr>
          <w:snapToGrid/>
          <w:szCs w:val="24"/>
          <w:u w:val="single"/>
          <w:lang w:val="lt-LT" w:eastAsia="de-DE"/>
        </w:rPr>
        <w:t xml:space="preserve"> inkstų nepakankamumas</w:t>
      </w:r>
    </w:p>
    <w:p w14:paraId="3901EC13" w14:textId="3466D718" w:rsidR="00F02A87" w:rsidRPr="00561601" w:rsidRDefault="00F02A87" w:rsidP="00F02A87">
      <w:pPr>
        <w:tabs>
          <w:tab w:val="clear" w:pos="567"/>
        </w:tabs>
        <w:overflowPunct w:val="0"/>
        <w:autoSpaceDE w:val="0"/>
        <w:autoSpaceDN w:val="0"/>
        <w:adjustRightInd w:val="0"/>
        <w:spacing w:line="240" w:lineRule="auto"/>
        <w:textAlignment w:val="baseline"/>
        <w:rPr>
          <w:snapToGrid/>
          <w:szCs w:val="24"/>
          <w:lang w:val="lt-LT" w:eastAsia="de-DE"/>
        </w:rPr>
      </w:pPr>
      <w:r w:rsidRPr="00561601">
        <w:rPr>
          <w:snapToGrid/>
          <w:szCs w:val="24"/>
          <w:lang w:val="lt-LT" w:eastAsia="de-DE"/>
        </w:rPr>
        <w:t xml:space="preserve">Gauta pranešimų apie pacientų, kuriems buvo taikoma </w:t>
      </w:r>
      <w:proofErr w:type="spellStart"/>
      <w:r w:rsidRPr="00561601">
        <w:rPr>
          <w:snapToGrid/>
          <w:szCs w:val="24"/>
          <w:lang w:val="lt-LT" w:eastAsia="de-DE"/>
        </w:rPr>
        <w:t>i.v</w:t>
      </w:r>
      <w:proofErr w:type="spellEnd"/>
      <w:r w:rsidRPr="00561601">
        <w:rPr>
          <w:snapToGrid/>
          <w:szCs w:val="24"/>
          <w:lang w:val="lt-LT" w:eastAsia="de-DE"/>
        </w:rPr>
        <w:t xml:space="preserve">. </w:t>
      </w:r>
      <w:proofErr w:type="spellStart"/>
      <w:r w:rsidRPr="00561601">
        <w:rPr>
          <w:snapToGrid/>
          <w:szCs w:val="24"/>
          <w:lang w:val="lt-LT" w:eastAsia="de-DE"/>
        </w:rPr>
        <w:t>Ig</w:t>
      </w:r>
      <w:proofErr w:type="spellEnd"/>
      <w:r w:rsidRPr="00561601">
        <w:rPr>
          <w:snapToGrid/>
          <w:szCs w:val="24"/>
          <w:lang w:val="lt-LT" w:eastAsia="de-DE"/>
        </w:rPr>
        <w:t xml:space="preserve"> terapija, ūm</w:t>
      </w:r>
      <w:r w:rsidR="005F28BE">
        <w:rPr>
          <w:snapToGrid/>
          <w:szCs w:val="24"/>
          <w:lang w:val="lt-LT" w:eastAsia="de-DE"/>
        </w:rPr>
        <w:t>inį</w:t>
      </w:r>
      <w:r w:rsidRPr="00561601">
        <w:rPr>
          <w:snapToGrid/>
          <w:szCs w:val="24"/>
          <w:lang w:val="lt-LT" w:eastAsia="de-DE"/>
        </w:rPr>
        <w:t xml:space="preserve"> inkstų nepakankamumą. Daugeliu atvejų buvo nustatyti tokie rizikos veiksniai</w:t>
      </w:r>
      <w:r w:rsidR="0091168E">
        <w:rPr>
          <w:snapToGrid/>
          <w:szCs w:val="24"/>
          <w:lang w:val="lt-LT" w:eastAsia="de-DE"/>
        </w:rPr>
        <w:t>,</w:t>
      </w:r>
      <w:r w:rsidRPr="00561601">
        <w:rPr>
          <w:snapToGrid/>
          <w:szCs w:val="24"/>
          <w:lang w:val="lt-LT" w:eastAsia="de-DE"/>
        </w:rPr>
        <w:t xml:space="preserve"> kaip esantis inkstų nepakankamumas, cukrinis diabetas, </w:t>
      </w:r>
      <w:proofErr w:type="spellStart"/>
      <w:r w:rsidRPr="00561601">
        <w:rPr>
          <w:snapToGrid/>
          <w:szCs w:val="24"/>
          <w:lang w:val="lt-LT" w:eastAsia="de-DE"/>
        </w:rPr>
        <w:t>hipovolemija</w:t>
      </w:r>
      <w:proofErr w:type="spellEnd"/>
      <w:r w:rsidRPr="00561601">
        <w:rPr>
          <w:snapToGrid/>
          <w:szCs w:val="24"/>
          <w:lang w:val="lt-LT" w:eastAsia="de-DE"/>
        </w:rPr>
        <w:t xml:space="preserve">, antsvoris, kartu vartoti </w:t>
      </w:r>
      <w:proofErr w:type="spellStart"/>
      <w:r w:rsidRPr="00561601">
        <w:rPr>
          <w:snapToGrid/>
          <w:szCs w:val="24"/>
          <w:lang w:val="lt-LT" w:eastAsia="de-DE"/>
        </w:rPr>
        <w:t>nefrotoksiniai</w:t>
      </w:r>
      <w:proofErr w:type="spellEnd"/>
      <w:r w:rsidRPr="00561601">
        <w:rPr>
          <w:snapToGrid/>
          <w:szCs w:val="24"/>
          <w:lang w:val="lt-LT" w:eastAsia="de-DE"/>
        </w:rPr>
        <w:t xml:space="preserve"> vaistiniai preparatai arba vyresni</w:t>
      </w:r>
      <w:r w:rsidR="0091168E">
        <w:rPr>
          <w:snapToGrid/>
          <w:szCs w:val="24"/>
          <w:lang w:val="lt-LT" w:eastAsia="de-DE"/>
        </w:rPr>
        <w:t>s</w:t>
      </w:r>
      <w:r w:rsidRPr="00561601">
        <w:rPr>
          <w:snapToGrid/>
          <w:szCs w:val="24"/>
          <w:lang w:val="lt-LT" w:eastAsia="de-DE"/>
        </w:rPr>
        <w:t xml:space="preserve"> nei 65 metų</w:t>
      </w:r>
      <w:r w:rsidR="0091168E">
        <w:rPr>
          <w:snapToGrid/>
          <w:szCs w:val="24"/>
          <w:lang w:val="lt-LT" w:eastAsia="de-DE"/>
        </w:rPr>
        <w:t xml:space="preserve"> amžius</w:t>
      </w:r>
      <w:r w:rsidRPr="00561601">
        <w:rPr>
          <w:snapToGrid/>
          <w:szCs w:val="24"/>
          <w:lang w:val="lt-LT" w:eastAsia="de-DE"/>
        </w:rPr>
        <w:t>.</w:t>
      </w:r>
    </w:p>
    <w:p w14:paraId="031062D7" w14:textId="77777777"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p>
    <w:p w14:paraId="26AC92EC" w14:textId="2894ED5F"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 xml:space="preserve">Inkstų rodiklius reikia įvertinti pieš pradedant imunoglobulino infuziją į veną (ypač pacientams, kuriems gali būti padidėjusi ūmaus inkstų nepakankamumo rizika) ir šį vertinimą kartoti tinkamais intervalais. Pacientams, kuriems yra ūmaus inkstų nepakankamumo rizika, </w:t>
      </w:r>
      <w:proofErr w:type="spellStart"/>
      <w:r w:rsidRPr="00561601">
        <w:rPr>
          <w:snapToGrid/>
          <w:szCs w:val="24"/>
          <w:lang w:val="lt-LT" w:eastAsia="de-DE"/>
        </w:rPr>
        <w:t>i.v</w:t>
      </w:r>
      <w:proofErr w:type="spellEnd"/>
      <w:r w:rsidRPr="00561601">
        <w:rPr>
          <w:snapToGrid/>
          <w:szCs w:val="24"/>
          <w:lang w:val="lt-LT" w:eastAsia="de-DE"/>
        </w:rPr>
        <w:t xml:space="preserve">. </w:t>
      </w:r>
      <w:proofErr w:type="spellStart"/>
      <w:r w:rsidRPr="00561601">
        <w:rPr>
          <w:snapToGrid/>
          <w:szCs w:val="24"/>
          <w:lang w:val="lt-LT" w:eastAsia="de-DE"/>
        </w:rPr>
        <w:t>Ig</w:t>
      </w:r>
      <w:proofErr w:type="spellEnd"/>
      <w:r w:rsidRPr="00561601">
        <w:rPr>
          <w:snapToGrid/>
          <w:szCs w:val="24"/>
          <w:lang w:val="lt-LT" w:eastAsia="de-DE"/>
        </w:rPr>
        <w:t xml:space="preserve"> </w:t>
      </w:r>
      <w:r w:rsidR="00447919" w:rsidRPr="00561601">
        <w:rPr>
          <w:snapToGrid/>
          <w:szCs w:val="24"/>
          <w:lang w:val="lt-LT" w:eastAsia="de-DE"/>
        </w:rPr>
        <w:t>vaistiniai</w:t>
      </w:r>
      <w:r w:rsidRPr="00561601">
        <w:rPr>
          <w:snapToGrid/>
          <w:szCs w:val="24"/>
          <w:lang w:val="lt-LT" w:eastAsia="de-DE"/>
        </w:rPr>
        <w:t xml:space="preserve"> preparatai turi būti leidžiami minimaliu infuzijos greičiu ir adekvačiomis dozėmis.</w:t>
      </w:r>
    </w:p>
    <w:p w14:paraId="458D1FC8" w14:textId="77777777"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p>
    <w:p w14:paraId="52092767" w14:textId="7CBC1215" w:rsidR="00F02A87" w:rsidRPr="00561601" w:rsidRDefault="008C7DEF" w:rsidP="00F02A87">
      <w:pPr>
        <w:tabs>
          <w:tab w:val="clear" w:pos="567"/>
        </w:tabs>
        <w:overflowPunct w:val="0"/>
        <w:autoSpaceDE w:val="0"/>
        <w:autoSpaceDN w:val="0"/>
        <w:adjustRightInd w:val="0"/>
        <w:spacing w:line="240" w:lineRule="auto"/>
        <w:textAlignment w:val="baseline"/>
        <w:rPr>
          <w:snapToGrid/>
          <w:szCs w:val="22"/>
          <w:lang w:val="lt-LT" w:eastAsia="de-DE"/>
        </w:rPr>
      </w:pPr>
      <w:r>
        <w:rPr>
          <w:snapToGrid/>
          <w:szCs w:val="24"/>
          <w:lang w:val="lt-LT" w:eastAsia="de-DE"/>
        </w:rPr>
        <w:t>Sutrikus inkstų funkcijai</w:t>
      </w:r>
      <w:r w:rsidR="00F02A87" w:rsidRPr="00561601">
        <w:rPr>
          <w:snapToGrid/>
          <w:szCs w:val="24"/>
          <w:lang w:val="lt-LT" w:eastAsia="de-DE"/>
        </w:rPr>
        <w:t xml:space="preserve">, </w:t>
      </w:r>
      <w:r w:rsidR="00196F6D">
        <w:rPr>
          <w:snapToGrid/>
          <w:szCs w:val="24"/>
          <w:lang w:val="lt-LT" w:eastAsia="de-DE"/>
        </w:rPr>
        <w:t xml:space="preserve"> būti</w:t>
      </w:r>
      <w:r>
        <w:rPr>
          <w:snapToGrid/>
          <w:szCs w:val="24"/>
          <w:lang w:val="lt-LT" w:eastAsia="de-DE"/>
        </w:rPr>
        <w:t>na</w:t>
      </w:r>
      <w:r w:rsidR="00196F6D">
        <w:rPr>
          <w:snapToGrid/>
          <w:szCs w:val="24"/>
          <w:lang w:val="lt-LT" w:eastAsia="de-DE"/>
        </w:rPr>
        <w:t xml:space="preserve"> apsvarstyt</w:t>
      </w:r>
      <w:r>
        <w:rPr>
          <w:snapToGrid/>
          <w:szCs w:val="24"/>
          <w:lang w:val="lt-LT" w:eastAsia="de-DE"/>
        </w:rPr>
        <w:t>i</w:t>
      </w:r>
      <w:r w:rsidR="00F02A87" w:rsidRPr="00561601">
        <w:rPr>
          <w:snapToGrid/>
          <w:szCs w:val="24"/>
          <w:lang w:val="lt-LT" w:eastAsia="de-DE"/>
        </w:rPr>
        <w:t xml:space="preserve"> </w:t>
      </w:r>
      <w:proofErr w:type="spellStart"/>
      <w:r w:rsidR="00F02A87" w:rsidRPr="00561601">
        <w:rPr>
          <w:snapToGrid/>
          <w:szCs w:val="24"/>
          <w:lang w:val="lt-LT" w:eastAsia="de-DE"/>
        </w:rPr>
        <w:t>Ig</w:t>
      </w:r>
      <w:proofErr w:type="spellEnd"/>
      <w:r w:rsidR="00F02A87" w:rsidRPr="00561601">
        <w:rPr>
          <w:snapToGrid/>
          <w:szCs w:val="24"/>
          <w:lang w:val="lt-LT" w:eastAsia="de-DE"/>
        </w:rPr>
        <w:t xml:space="preserve"> vartojimo </w:t>
      </w:r>
      <w:proofErr w:type="spellStart"/>
      <w:r w:rsidR="00196F6D">
        <w:rPr>
          <w:snapToGrid/>
          <w:szCs w:val="24"/>
          <w:lang w:val="lt-LT" w:eastAsia="de-DE"/>
        </w:rPr>
        <w:t>i.v</w:t>
      </w:r>
      <w:proofErr w:type="spellEnd"/>
      <w:r w:rsidR="00196F6D">
        <w:rPr>
          <w:snapToGrid/>
          <w:szCs w:val="24"/>
          <w:lang w:val="lt-LT" w:eastAsia="de-DE"/>
        </w:rPr>
        <w:t>.</w:t>
      </w:r>
      <w:r>
        <w:rPr>
          <w:snapToGrid/>
          <w:szCs w:val="24"/>
          <w:lang w:val="lt-LT" w:eastAsia="de-DE"/>
        </w:rPr>
        <w:t xml:space="preserve"> </w:t>
      </w:r>
      <w:r w:rsidR="00F02A87" w:rsidRPr="00561601">
        <w:rPr>
          <w:snapToGrid/>
          <w:szCs w:val="24"/>
          <w:lang w:val="lt-LT" w:eastAsia="de-DE"/>
        </w:rPr>
        <w:t>nutraukimo</w:t>
      </w:r>
      <w:r>
        <w:rPr>
          <w:snapToGrid/>
          <w:szCs w:val="24"/>
          <w:lang w:val="lt-LT" w:eastAsia="de-DE"/>
        </w:rPr>
        <w:t xml:space="preserve">  poreikį</w:t>
      </w:r>
      <w:r w:rsidR="00F02A87" w:rsidRPr="00561601">
        <w:rPr>
          <w:snapToGrid/>
          <w:szCs w:val="24"/>
          <w:lang w:val="lt-LT" w:eastAsia="de-DE"/>
        </w:rPr>
        <w:t>.</w:t>
      </w:r>
    </w:p>
    <w:p w14:paraId="44397BE6" w14:textId="77777777"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p>
    <w:p w14:paraId="6C530C74" w14:textId="6BBDD370"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Nors pranešimai apie inkstų funkcijos sutrikimą ir ūm</w:t>
      </w:r>
      <w:r w:rsidR="005F28BE">
        <w:rPr>
          <w:snapToGrid/>
          <w:szCs w:val="24"/>
          <w:lang w:val="lt-LT" w:eastAsia="de-DE"/>
        </w:rPr>
        <w:t>inį</w:t>
      </w:r>
      <w:r w:rsidRPr="00561601">
        <w:rPr>
          <w:snapToGrid/>
          <w:szCs w:val="24"/>
          <w:lang w:val="lt-LT" w:eastAsia="de-DE"/>
        </w:rPr>
        <w:t xml:space="preserve"> inkstų nepakankamumą buvo siejami su daugelio registruotų </w:t>
      </w:r>
      <w:proofErr w:type="spellStart"/>
      <w:r w:rsidRPr="00561601">
        <w:rPr>
          <w:snapToGrid/>
          <w:szCs w:val="24"/>
          <w:lang w:val="lt-LT" w:eastAsia="de-DE"/>
        </w:rPr>
        <w:t>i.v</w:t>
      </w:r>
      <w:proofErr w:type="spellEnd"/>
      <w:r w:rsidRPr="00561601">
        <w:rPr>
          <w:snapToGrid/>
          <w:szCs w:val="24"/>
          <w:lang w:val="lt-LT" w:eastAsia="de-DE"/>
        </w:rPr>
        <w:t xml:space="preserve">. </w:t>
      </w:r>
      <w:proofErr w:type="spellStart"/>
      <w:r w:rsidRPr="00561601">
        <w:rPr>
          <w:snapToGrid/>
          <w:szCs w:val="24"/>
          <w:lang w:val="lt-LT" w:eastAsia="de-DE"/>
        </w:rPr>
        <w:t>Ig</w:t>
      </w:r>
      <w:proofErr w:type="spellEnd"/>
      <w:r w:rsidRPr="00561601">
        <w:rPr>
          <w:snapToGrid/>
          <w:szCs w:val="24"/>
          <w:lang w:val="lt-LT" w:eastAsia="de-DE"/>
        </w:rPr>
        <w:t xml:space="preserve"> vaistinių preparatų, kurių sudėtyje yra įvairių pagalbinių medžiagų, pvz., sacharozės, gliukozės ir </w:t>
      </w:r>
      <w:proofErr w:type="spellStart"/>
      <w:r w:rsidRPr="00561601">
        <w:rPr>
          <w:snapToGrid/>
          <w:szCs w:val="24"/>
          <w:lang w:val="lt-LT" w:eastAsia="de-DE"/>
        </w:rPr>
        <w:t>maltozės</w:t>
      </w:r>
      <w:proofErr w:type="spellEnd"/>
      <w:r w:rsidRPr="00561601">
        <w:rPr>
          <w:snapToGrid/>
          <w:szCs w:val="24"/>
          <w:lang w:val="lt-LT" w:eastAsia="de-DE"/>
        </w:rPr>
        <w:t>, vartojimu, didžiausia pranešimų dalis buvo siejama su tais vaistiniais preparatais, kurių sudėtyje yra stabilizatoriaus funkciją atliekančios sacharozės. Pacientams, esantiems rizikos grupėje, gali</w:t>
      </w:r>
      <w:r w:rsidR="008C7DEF">
        <w:rPr>
          <w:snapToGrid/>
          <w:szCs w:val="24"/>
          <w:lang w:val="lt-LT" w:eastAsia="de-DE"/>
        </w:rPr>
        <w:t>ma</w:t>
      </w:r>
      <w:r w:rsidR="00196F6D">
        <w:rPr>
          <w:snapToGrid/>
          <w:szCs w:val="24"/>
          <w:lang w:val="lt-LT" w:eastAsia="de-DE"/>
        </w:rPr>
        <w:t xml:space="preserve"> apsvarstyt</w:t>
      </w:r>
      <w:r w:rsidR="008C7DEF">
        <w:rPr>
          <w:snapToGrid/>
          <w:szCs w:val="24"/>
          <w:lang w:val="lt-LT" w:eastAsia="de-DE"/>
        </w:rPr>
        <w:t>i</w:t>
      </w:r>
      <w:r w:rsidR="0065537E">
        <w:rPr>
          <w:snapToGrid/>
          <w:szCs w:val="24"/>
          <w:lang w:val="lt-LT" w:eastAsia="de-DE"/>
        </w:rPr>
        <w:t xml:space="preserve"> </w:t>
      </w:r>
      <w:r w:rsidRPr="00561601">
        <w:rPr>
          <w:snapToGrid/>
          <w:szCs w:val="24"/>
          <w:lang w:val="lt-LT" w:eastAsia="de-DE"/>
        </w:rPr>
        <w:t xml:space="preserve"> </w:t>
      </w:r>
      <w:proofErr w:type="spellStart"/>
      <w:r w:rsidRPr="00561601">
        <w:rPr>
          <w:snapToGrid/>
          <w:szCs w:val="24"/>
          <w:lang w:val="lt-LT" w:eastAsia="de-DE"/>
        </w:rPr>
        <w:t>Ig</w:t>
      </w:r>
      <w:proofErr w:type="spellEnd"/>
      <w:r w:rsidRPr="00561601">
        <w:rPr>
          <w:snapToGrid/>
          <w:szCs w:val="24"/>
          <w:lang w:val="lt-LT" w:eastAsia="de-DE"/>
        </w:rPr>
        <w:t xml:space="preserve"> </w:t>
      </w:r>
      <w:r w:rsidR="00196F6D" w:rsidRPr="00561601">
        <w:rPr>
          <w:snapToGrid/>
          <w:szCs w:val="24"/>
          <w:lang w:val="lt-LT" w:eastAsia="de-DE"/>
        </w:rPr>
        <w:t>vaistini</w:t>
      </w:r>
      <w:r w:rsidR="00196F6D">
        <w:rPr>
          <w:snapToGrid/>
          <w:szCs w:val="24"/>
          <w:lang w:val="lt-LT" w:eastAsia="de-DE"/>
        </w:rPr>
        <w:t>ų</w:t>
      </w:r>
      <w:r w:rsidR="00196F6D" w:rsidRPr="00561601">
        <w:rPr>
          <w:snapToGrid/>
          <w:szCs w:val="24"/>
          <w:lang w:val="lt-LT" w:eastAsia="de-DE"/>
        </w:rPr>
        <w:t xml:space="preserve"> preparat</w:t>
      </w:r>
      <w:r w:rsidR="00196F6D">
        <w:rPr>
          <w:snapToGrid/>
          <w:szCs w:val="24"/>
          <w:lang w:val="lt-LT" w:eastAsia="de-DE"/>
        </w:rPr>
        <w:t>ų</w:t>
      </w:r>
      <w:r w:rsidRPr="00561601">
        <w:rPr>
          <w:snapToGrid/>
          <w:szCs w:val="24"/>
          <w:lang w:val="lt-LT" w:eastAsia="de-DE"/>
        </w:rPr>
        <w:t>, kuriuose tokių pagalbinių medžiagų nėra</w:t>
      </w:r>
      <w:r w:rsidR="00203667">
        <w:rPr>
          <w:snapToGrid/>
          <w:szCs w:val="24"/>
          <w:lang w:val="lt-LT" w:eastAsia="de-DE"/>
        </w:rPr>
        <w:t>, skyrim</w:t>
      </w:r>
      <w:r w:rsidR="008C7DEF">
        <w:rPr>
          <w:snapToGrid/>
          <w:szCs w:val="24"/>
          <w:lang w:val="lt-LT" w:eastAsia="de-DE"/>
        </w:rPr>
        <w:t>o</w:t>
      </w:r>
      <w:r w:rsidR="00203667">
        <w:rPr>
          <w:snapToGrid/>
          <w:szCs w:val="24"/>
          <w:lang w:val="lt-LT" w:eastAsia="de-DE"/>
        </w:rPr>
        <w:t xml:space="preserve"> į veną</w:t>
      </w:r>
      <w:r w:rsidR="008C7DEF">
        <w:rPr>
          <w:snapToGrid/>
          <w:szCs w:val="24"/>
          <w:lang w:val="lt-LT" w:eastAsia="de-DE"/>
        </w:rPr>
        <w:t xml:space="preserve"> poreikį</w:t>
      </w:r>
      <w:r w:rsidRPr="00561601">
        <w:rPr>
          <w:snapToGrid/>
          <w:szCs w:val="24"/>
          <w:lang w:val="lt-LT" w:eastAsia="de-DE"/>
        </w:rPr>
        <w:t xml:space="preserve">. </w:t>
      </w:r>
      <w:proofErr w:type="spellStart"/>
      <w:r w:rsidR="00E47068">
        <w:rPr>
          <w:snapToGrid/>
          <w:szCs w:val="22"/>
          <w:lang w:val="lt-LT" w:eastAsia="de-DE"/>
        </w:rPr>
        <w:t>Cymvigo</w:t>
      </w:r>
      <w:proofErr w:type="spellEnd"/>
      <w:r w:rsidRPr="00561601">
        <w:rPr>
          <w:snapToGrid/>
          <w:szCs w:val="24"/>
          <w:lang w:val="lt-LT" w:eastAsia="de-DE"/>
        </w:rPr>
        <w:t xml:space="preserve"> sudėtyje nėra sacharozės, </w:t>
      </w:r>
      <w:proofErr w:type="spellStart"/>
      <w:r w:rsidRPr="00561601">
        <w:rPr>
          <w:snapToGrid/>
          <w:szCs w:val="24"/>
          <w:lang w:val="lt-LT" w:eastAsia="de-DE"/>
        </w:rPr>
        <w:t>maltozės</w:t>
      </w:r>
      <w:proofErr w:type="spellEnd"/>
      <w:r w:rsidRPr="00561601">
        <w:rPr>
          <w:snapToGrid/>
          <w:szCs w:val="24"/>
          <w:lang w:val="lt-LT" w:eastAsia="de-DE"/>
        </w:rPr>
        <w:t xml:space="preserve"> ar gliukozės.</w:t>
      </w:r>
    </w:p>
    <w:p w14:paraId="4911BF8B" w14:textId="77777777"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p>
    <w:p w14:paraId="48EE05A5" w14:textId="77777777" w:rsidR="00F02A87" w:rsidRPr="00561601" w:rsidRDefault="00F02A87" w:rsidP="00F02A87">
      <w:pPr>
        <w:tabs>
          <w:tab w:val="clear" w:pos="567"/>
        </w:tabs>
        <w:overflowPunct w:val="0"/>
        <w:autoSpaceDE w:val="0"/>
        <w:autoSpaceDN w:val="0"/>
        <w:adjustRightInd w:val="0"/>
        <w:spacing w:line="240" w:lineRule="auto"/>
        <w:jc w:val="both"/>
        <w:textAlignment w:val="baseline"/>
        <w:rPr>
          <w:snapToGrid/>
          <w:szCs w:val="22"/>
          <w:u w:val="single"/>
          <w:lang w:val="lt-LT" w:eastAsia="de-DE"/>
        </w:rPr>
      </w:pPr>
      <w:proofErr w:type="spellStart"/>
      <w:r w:rsidRPr="00561601">
        <w:rPr>
          <w:snapToGrid/>
          <w:szCs w:val="24"/>
          <w:u w:val="single"/>
          <w:lang w:val="lt-LT" w:eastAsia="de-DE"/>
        </w:rPr>
        <w:t>Aseptinio</w:t>
      </w:r>
      <w:proofErr w:type="spellEnd"/>
      <w:r w:rsidRPr="00561601">
        <w:rPr>
          <w:snapToGrid/>
          <w:szCs w:val="24"/>
          <w:u w:val="single"/>
          <w:lang w:val="lt-LT" w:eastAsia="de-DE"/>
        </w:rPr>
        <w:t xml:space="preserve"> meningito sindromas (AMS)</w:t>
      </w:r>
    </w:p>
    <w:p w14:paraId="6E5B7616" w14:textId="6C65676C" w:rsidR="00F02A87" w:rsidRPr="00561601" w:rsidRDefault="00F02A87" w:rsidP="00F02A87">
      <w:pPr>
        <w:tabs>
          <w:tab w:val="clear" w:pos="567"/>
        </w:tabs>
        <w:overflowPunct w:val="0"/>
        <w:autoSpaceDE w:val="0"/>
        <w:autoSpaceDN w:val="0"/>
        <w:adjustRightInd w:val="0"/>
        <w:spacing w:line="240" w:lineRule="auto"/>
        <w:jc w:val="both"/>
        <w:textAlignment w:val="baseline"/>
        <w:rPr>
          <w:snapToGrid/>
          <w:szCs w:val="22"/>
          <w:lang w:val="lt-LT" w:eastAsia="de-DE"/>
        </w:rPr>
      </w:pPr>
      <w:r w:rsidRPr="00561601">
        <w:rPr>
          <w:snapToGrid/>
          <w:szCs w:val="24"/>
          <w:lang w:val="lt-LT" w:eastAsia="de-DE"/>
        </w:rPr>
        <w:t xml:space="preserve">Buvo pranešta apie </w:t>
      </w:r>
      <w:proofErr w:type="spellStart"/>
      <w:r w:rsidRPr="00561601">
        <w:rPr>
          <w:snapToGrid/>
          <w:szCs w:val="24"/>
          <w:lang w:val="lt-LT" w:eastAsia="de-DE"/>
        </w:rPr>
        <w:t>aseptinio</w:t>
      </w:r>
      <w:proofErr w:type="spellEnd"/>
      <w:r w:rsidRPr="00561601">
        <w:rPr>
          <w:snapToGrid/>
          <w:szCs w:val="24"/>
          <w:lang w:val="lt-LT" w:eastAsia="de-DE"/>
        </w:rPr>
        <w:t xml:space="preserve"> meningito sindromą, kuris siejamas su gydymu </w:t>
      </w:r>
      <w:proofErr w:type="spellStart"/>
      <w:r w:rsidRPr="00561601">
        <w:rPr>
          <w:snapToGrid/>
          <w:szCs w:val="24"/>
          <w:lang w:val="lt-LT" w:eastAsia="de-DE"/>
        </w:rPr>
        <w:t>i.v</w:t>
      </w:r>
      <w:proofErr w:type="spellEnd"/>
      <w:r w:rsidRPr="00561601">
        <w:rPr>
          <w:snapToGrid/>
          <w:szCs w:val="24"/>
          <w:lang w:val="lt-LT" w:eastAsia="de-DE"/>
        </w:rPr>
        <w:t xml:space="preserve">. </w:t>
      </w:r>
      <w:proofErr w:type="spellStart"/>
      <w:r w:rsidRPr="00561601">
        <w:rPr>
          <w:snapToGrid/>
          <w:szCs w:val="24"/>
          <w:lang w:val="lt-LT" w:eastAsia="de-DE"/>
        </w:rPr>
        <w:t>Ig</w:t>
      </w:r>
      <w:proofErr w:type="spellEnd"/>
      <w:r w:rsidRPr="00561601">
        <w:rPr>
          <w:snapToGrid/>
          <w:szCs w:val="24"/>
          <w:lang w:val="lt-LT" w:eastAsia="de-DE"/>
        </w:rPr>
        <w:t>. Sindromas paprastai prasideda laikotarpyje nuo keleto valandų iki 2 </w:t>
      </w:r>
      <w:r w:rsidR="00203667">
        <w:rPr>
          <w:snapToGrid/>
          <w:szCs w:val="24"/>
          <w:lang w:val="lt-LT" w:eastAsia="de-DE"/>
        </w:rPr>
        <w:t>parų</w:t>
      </w:r>
      <w:r w:rsidR="00203667" w:rsidRPr="00561601">
        <w:rPr>
          <w:snapToGrid/>
          <w:szCs w:val="24"/>
          <w:lang w:val="lt-LT" w:eastAsia="de-DE"/>
        </w:rPr>
        <w:t xml:space="preserve"> </w:t>
      </w:r>
      <w:r w:rsidRPr="00561601">
        <w:rPr>
          <w:snapToGrid/>
          <w:szCs w:val="24"/>
          <w:lang w:val="lt-LT" w:eastAsia="de-DE"/>
        </w:rPr>
        <w:t xml:space="preserve">po gydymo </w:t>
      </w:r>
      <w:proofErr w:type="spellStart"/>
      <w:r w:rsidRPr="00561601">
        <w:rPr>
          <w:snapToGrid/>
          <w:szCs w:val="24"/>
          <w:lang w:val="lt-LT" w:eastAsia="de-DE"/>
        </w:rPr>
        <w:t>i.v</w:t>
      </w:r>
      <w:proofErr w:type="spellEnd"/>
      <w:r w:rsidRPr="00561601">
        <w:rPr>
          <w:snapToGrid/>
          <w:szCs w:val="24"/>
          <w:lang w:val="lt-LT" w:eastAsia="de-DE"/>
        </w:rPr>
        <w:t xml:space="preserve">. </w:t>
      </w:r>
      <w:proofErr w:type="spellStart"/>
      <w:r w:rsidRPr="00561601">
        <w:rPr>
          <w:snapToGrid/>
          <w:szCs w:val="24"/>
          <w:lang w:val="lt-LT" w:eastAsia="de-DE"/>
        </w:rPr>
        <w:t>Ig</w:t>
      </w:r>
      <w:proofErr w:type="spellEnd"/>
      <w:r w:rsidRPr="00561601">
        <w:rPr>
          <w:snapToGrid/>
          <w:szCs w:val="24"/>
          <w:lang w:val="lt-LT" w:eastAsia="de-DE"/>
        </w:rPr>
        <w:t xml:space="preserve">. Atlikus </w:t>
      </w:r>
      <w:proofErr w:type="spellStart"/>
      <w:r w:rsidRPr="00561601">
        <w:rPr>
          <w:snapToGrid/>
          <w:szCs w:val="24"/>
          <w:lang w:val="lt-LT" w:eastAsia="de-DE"/>
        </w:rPr>
        <w:t>cerebrospinalinio</w:t>
      </w:r>
      <w:proofErr w:type="spellEnd"/>
      <w:r w:rsidRPr="00561601">
        <w:rPr>
          <w:snapToGrid/>
          <w:szCs w:val="24"/>
          <w:lang w:val="lt-LT" w:eastAsia="de-DE"/>
        </w:rPr>
        <w:t xml:space="preserve"> skysčio tyrimus dažnai diagnozuojama </w:t>
      </w:r>
      <w:proofErr w:type="spellStart"/>
      <w:r w:rsidRPr="00561601">
        <w:rPr>
          <w:snapToGrid/>
          <w:szCs w:val="24"/>
          <w:lang w:val="lt-LT" w:eastAsia="de-DE"/>
        </w:rPr>
        <w:t>pleocitozė</w:t>
      </w:r>
      <w:proofErr w:type="spellEnd"/>
      <w:r w:rsidRPr="00561601">
        <w:rPr>
          <w:snapToGrid/>
          <w:szCs w:val="24"/>
          <w:lang w:val="lt-LT" w:eastAsia="de-DE"/>
        </w:rPr>
        <w:t>: iki keleto tūkstančių ląstelių viename mm</w:t>
      </w:r>
      <w:r w:rsidRPr="00561601">
        <w:rPr>
          <w:snapToGrid/>
          <w:szCs w:val="24"/>
          <w:vertAlign w:val="superscript"/>
          <w:lang w:val="lt-LT" w:eastAsia="de-DE"/>
        </w:rPr>
        <w:t>3</w:t>
      </w:r>
      <w:r w:rsidRPr="00561601">
        <w:rPr>
          <w:snapToGrid/>
          <w:szCs w:val="24"/>
          <w:lang w:val="lt-LT" w:eastAsia="de-DE"/>
        </w:rPr>
        <w:t xml:space="preserve">, daugiausia </w:t>
      </w:r>
      <w:proofErr w:type="spellStart"/>
      <w:r w:rsidRPr="00561601">
        <w:rPr>
          <w:snapToGrid/>
          <w:szCs w:val="24"/>
          <w:lang w:val="lt-LT" w:eastAsia="de-DE"/>
        </w:rPr>
        <w:t>granulocitų</w:t>
      </w:r>
      <w:proofErr w:type="spellEnd"/>
      <w:r w:rsidRPr="00561601">
        <w:rPr>
          <w:snapToGrid/>
          <w:szCs w:val="24"/>
          <w:lang w:val="lt-LT" w:eastAsia="de-DE"/>
        </w:rPr>
        <w:t xml:space="preserve">, ir iki keleto šimtų mg/dl padidėjusios baltymų koncentracijos. AMS galimas dažniau, kai naudojama didelė </w:t>
      </w:r>
      <w:proofErr w:type="spellStart"/>
      <w:r w:rsidRPr="00561601">
        <w:rPr>
          <w:snapToGrid/>
          <w:szCs w:val="24"/>
          <w:lang w:val="lt-LT" w:eastAsia="de-DE"/>
        </w:rPr>
        <w:t>i.v</w:t>
      </w:r>
      <w:proofErr w:type="spellEnd"/>
      <w:r w:rsidRPr="00561601">
        <w:rPr>
          <w:snapToGrid/>
          <w:szCs w:val="24"/>
          <w:lang w:val="lt-LT" w:eastAsia="de-DE"/>
        </w:rPr>
        <w:t xml:space="preserve">. </w:t>
      </w:r>
      <w:proofErr w:type="spellStart"/>
      <w:r w:rsidRPr="00561601">
        <w:rPr>
          <w:snapToGrid/>
          <w:szCs w:val="24"/>
          <w:lang w:val="lt-LT" w:eastAsia="de-DE"/>
        </w:rPr>
        <w:t>Ig</w:t>
      </w:r>
      <w:proofErr w:type="spellEnd"/>
      <w:r w:rsidRPr="00561601">
        <w:rPr>
          <w:snapToGrid/>
          <w:szCs w:val="24"/>
          <w:lang w:val="lt-LT" w:eastAsia="de-DE"/>
        </w:rPr>
        <w:t xml:space="preserve"> dozė (2 g/kg).</w:t>
      </w:r>
    </w:p>
    <w:p w14:paraId="45CE2074" w14:textId="77777777" w:rsidR="00F02A87" w:rsidRPr="00561601" w:rsidRDefault="00F02A87" w:rsidP="00F02A87">
      <w:pPr>
        <w:tabs>
          <w:tab w:val="clear" w:pos="567"/>
        </w:tabs>
        <w:overflowPunct w:val="0"/>
        <w:autoSpaceDE w:val="0"/>
        <w:autoSpaceDN w:val="0"/>
        <w:adjustRightInd w:val="0"/>
        <w:spacing w:line="240" w:lineRule="auto"/>
        <w:jc w:val="both"/>
        <w:textAlignment w:val="baseline"/>
        <w:rPr>
          <w:snapToGrid/>
          <w:szCs w:val="22"/>
          <w:lang w:val="lt-LT" w:eastAsia="de-DE"/>
        </w:rPr>
      </w:pPr>
    </w:p>
    <w:p w14:paraId="0FBFE2BA" w14:textId="093D7E44" w:rsidR="00F02A87" w:rsidRPr="00561601" w:rsidRDefault="00F02A87" w:rsidP="00F02A87">
      <w:pPr>
        <w:tabs>
          <w:tab w:val="clear" w:pos="567"/>
        </w:tabs>
        <w:overflowPunct w:val="0"/>
        <w:autoSpaceDE w:val="0"/>
        <w:autoSpaceDN w:val="0"/>
        <w:adjustRightInd w:val="0"/>
        <w:spacing w:line="240" w:lineRule="auto"/>
        <w:jc w:val="both"/>
        <w:textAlignment w:val="baseline"/>
        <w:rPr>
          <w:snapToGrid/>
          <w:szCs w:val="22"/>
          <w:lang w:val="lt-LT" w:eastAsia="de-DE"/>
        </w:rPr>
      </w:pPr>
      <w:r w:rsidRPr="00561601">
        <w:rPr>
          <w:snapToGrid/>
          <w:szCs w:val="24"/>
          <w:lang w:val="lt-LT" w:eastAsia="de-DE"/>
        </w:rPr>
        <w:t xml:space="preserve">Pacientus, kuriems pasireiškia tokių požymių ir simptomų, reikia kruopščiai ištirti </w:t>
      </w:r>
      <w:proofErr w:type="spellStart"/>
      <w:r w:rsidRPr="00561601">
        <w:rPr>
          <w:snapToGrid/>
          <w:szCs w:val="24"/>
          <w:lang w:val="lt-LT" w:eastAsia="de-DE"/>
        </w:rPr>
        <w:t>neurologiškai</w:t>
      </w:r>
      <w:proofErr w:type="spellEnd"/>
      <w:r w:rsidRPr="00561601">
        <w:rPr>
          <w:snapToGrid/>
          <w:szCs w:val="24"/>
          <w:lang w:val="lt-LT" w:eastAsia="de-DE"/>
        </w:rPr>
        <w:t xml:space="preserve">, įskaitant </w:t>
      </w:r>
      <w:proofErr w:type="spellStart"/>
      <w:r w:rsidRPr="00561601">
        <w:rPr>
          <w:snapToGrid/>
          <w:szCs w:val="24"/>
          <w:lang w:val="lt-LT" w:eastAsia="de-DE"/>
        </w:rPr>
        <w:t>cerebrospinalinio</w:t>
      </w:r>
      <w:proofErr w:type="spellEnd"/>
      <w:r w:rsidRPr="00561601">
        <w:rPr>
          <w:snapToGrid/>
          <w:szCs w:val="24"/>
          <w:lang w:val="lt-LT" w:eastAsia="de-DE"/>
        </w:rPr>
        <w:t xml:space="preserve"> skysčio tyrimus, kad būtų </w:t>
      </w:r>
      <w:r w:rsidR="00203667">
        <w:rPr>
          <w:snapToGrid/>
          <w:szCs w:val="24"/>
          <w:lang w:val="lt-LT" w:eastAsia="de-DE"/>
        </w:rPr>
        <w:t>paneigtos</w:t>
      </w:r>
      <w:r w:rsidR="00203667" w:rsidRPr="00561601">
        <w:rPr>
          <w:snapToGrid/>
          <w:szCs w:val="24"/>
          <w:lang w:val="lt-LT" w:eastAsia="de-DE"/>
        </w:rPr>
        <w:t xml:space="preserve"> </w:t>
      </w:r>
      <w:r w:rsidRPr="00561601">
        <w:rPr>
          <w:snapToGrid/>
          <w:szCs w:val="24"/>
          <w:lang w:val="lt-LT" w:eastAsia="de-DE"/>
        </w:rPr>
        <w:t>kitos meningito priežastys.</w:t>
      </w:r>
    </w:p>
    <w:p w14:paraId="4F69B237" w14:textId="77777777" w:rsidR="00F02A87" w:rsidRPr="00561601" w:rsidRDefault="00F02A87" w:rsidP="00F02A87">
      <w:pPr>
        <w:tabs>
          <w:tab w:val="clear" w:pos="567"/>
        </w:tabs>
        <w:overflowPunct w:val="0"/>
        <w:autoSpaceDE w:val="0"/>
        <w:autoSpaceDN w:val="0"/>
        <w:adjustRightInd w:val="0"/>
        <w:spacing w:line="240" w:lineRule="auto"/>
        <w:jc w:val="both"/>
        <w:textAlignment w:val="baseline"/>
        <w:rPr>
          <w:snapToGrid/>
          <w:szCs w:val="22"/>
          <w:lang w:val="lt-LT" w:eastAsia="de-DE"/>
        </w:rPr>
      </w:pPr>
    </w:p>
    <w:p w14:paraId="24E6CE1C" w14:textId="1721BD10" w:rsidR="00F02A87" w:rsidRPr="00561601" w:rsidRDefault="00F02A87" w:rsidP="00F02A87">
      <w:pPr>
        <w:tabs>
          <w:tab w:val="clear" w:pos="567"/>
        </w:tabs>
        <w:overflowPunct w:val="0"/>
        <w:autoSpaceDE w:val="0"/>
        <w:autoSpaceDN w:val="0"/>
        <w:adjustRightInd w:val="0"/>
        <w:spacing w:line="240" w:lineRule="auto"/>
        <w:jc w:val="both"/>
        <w:textAlignment w:val="baseline"/>
        <w:rPr>
          <w:snapToGrid/>
          <w:szCs w:val="22"/>
          <w:lang w:val="lt-LT" w:eastAsia="de-DE"/>
        </w:rPr>
      </w:pPr>
      <w:r w:rsidRPr="00561601">
        <w:rPr>
          <w:snapToGrid/>
          <w:szCs w:val="24"/>
          <w:lang w:val="lt-LT" w:eastAsia="de-DE"/>
        </w:rPr>
        <w:t xml:space="preserve">Nutraukus gydymą </w:t>
      </w:r>
      <w:proofErr w:type="spellStart"/>
      <w:r w:rsidRPr="00561601">
        <w:rPr>
          <w:snapToGrid/>
          <w:szCs w:val="24"/>
          <w:lang w:val="lt-LT" w:eastAsia="de-DE"/>
        </w:rPr>
        <w:t>i.v</w:t>
      </w:r>
      <w:proofErr w:type="spellEnd"/>
      <w:r w:rsidRPr="00561601">
        <w:rPr>
          <w:snapToGrid/>
          <w:szCs w:val="24"/>
          <w:lang w:val="lt-LT" w:eastAsia="de-DE"/>
        </w:rPr>
        <w:t xml:space="preserve">. </w:t>
      </w:r>
      <w:proofErr w:type="spellStart"/>
      <w:r w:rsidRPr="00561601">
        <w:rPr>
          <w:snapToGrid/>
          <w:szCs w:val="24"/>
          <w:lang w:val="lt-LT" w:eastAsia="de-DE"/>
        </w:rPr>
        <w:t>Ig</w:t>
      </w:r>
      <w:proofErr w:type="spellEnd"/>
      <w:r w:rsidRPr="00561601">
        <w:rPr>
          <w:snapToGrid/>
          <w:szCs w:val="24"/>
          <w:lang w:val="lt-LT" w:eastAsia="de-DE"/>
        </w:rPr>
        <w:t xml:space="preserve">, AMS simptomai be pasekmių išnyko per keletą </w:t>
      </w:r>
      <w:r w:rsidR="00203667">
        <w:rPr>
          <w:snapToGrid/>
          <w:szCs w:val="24"/>
          <w:lang w:val="lt-LT" w:eastAsia="de-DE"/>
        </w:rPr>
        <w:t>parų</w:t>
      </w:r>
      <w:r w:rsidRPr="00561601">
        <w:rPr>
          <w:snapToGrid/>
          <w:szCs w:val="24"/>
          <w:lang w:val="lt-LT" w:eastAsia="de-DE"/>
        </w:rPr>
        <w:t>.</w:t>
      </w:r>
    </w:p>
    <w:p w14:paraId="457DD1C0" w14:textId="77777777" w:rsidR="00F02A87" w:rsidRPr="00561601" w:rsidRDefault="00F02A87" w:rsidP="00F02A87">
      <w:pPr>
        <w:tabs>
          <w:tab w:val="clear" w:pos="567"/>
        </w:tabs>
        <w:overflowPunct w:val="0"/>
        <w:autoSpaceDE w:val="0"/>
        <w:autoSpaceDN w:val="0"/>
        <w:adjustRightInd w:val="0"/>
        <w:spacing w:line="240" w:lineRule="auto"/>
        <w:jc w:val="both"/>
        <w:textAlignment w:val="baseline"/>
        <w:rPr>
          <w:snapToGrid/>
          <w:szCs w:val="22"/>
          <w:lang w:val="lt-LT" w:eastAsia="de-DE"/>
        </w:rPr>
      </w:pPr>
    </w:p>
    <w:p w14:paraId="06E49AD4" w14:textId="77777777" w:rsidR="00F02A87" w:rsidRPr="00561601" w:rsidRDefault="00F02A87" w:rsidP="00F02A87">
      <w:pPr>
        <w:tabs>
          <w:tab w:val="clear" w:pos="567"/>
        </w:tabs>
        <w:overflowPunct w:val="0"/>
        <w:autoSpaceDE w:val="0"/>
        <w:autoSpaceDN w:val="0"/>
        <w:adjustRightInd w:val="0"/>
        <w:spacing w:line="240" w:lineRule="auto"/>
        <w:jc w:val="both"/>
        <w:textAlignment w:val="baseline"/>
        <w:rPr>
          <w:snapToGrid/>
          <w:szCs w:val="22"/>
          <w:u w:val="single"/>
          <w:lang w:val="lt-LT" w:eastAsia="de-DE"/>
        </w:rPr>
      </w:pPr>
      <w:r w:rsidRPr="00561601">
        <w:rPr>
          <w:snapToGrid/>
          <w:szCs w:val="24"/>
          <w:u w:val="single"/>
          <w:lang w:val="lt-LT" w:eastAsia="de-DE"/>
        </w:rPr>
        <w:t>Hemolizinė anemija</w:t>
      </w:r>
    </w:p>
    <w:p w14:paraId="0B1475F5" w14:textId="415CC13D"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proofErr w:type="spellStart"/>
      <w:r w:rsidRPr="00561601">
        <w:rPr>
          <w:snapToGrid/>
          <w:szCs w:val="24"/>
          <w:lang w:val="lt-LT" w:eastAsia="de-DE"/>
        </w:rPr>
        <w:t>I.v</w:t>
      </w:r>
      <w:proofErr w:type="spellEnd"/>
      <w:r w:rsidRPr="00561601">
        <w:rPr>
          <w:snapToGrid/>
          <w:szCs w:val="24"/>
          <w:lang w:val="lt-LT" w:eastAsia="de-DE"/>
        </w:rPr>
        <w:t xml:space="preserve">. </w:t>
      </w:r>
      <w:proofErr w:type="spellStart"/>
      <w:r w:rsidRPr="00561601">
        <w:rPr>
          <w:snapToGrid/>
          <w:szCs w:val="24"/>
          <w:lang w:val="lt-LT" w:eastAsia="de-DE"/>
        </w:rPr>
        <w:t>Ig</w:t>
      </w:r>
      <w:proofErr w:type="spellEnd"/>
      <w:r w:rsidRPr="00561601">
        <w:rPr>
          <w:snapToGrid/>
          <w:szCs w:val="24"/>
          <w:lang w:val="lt-LT" w:eastAsia="de-DE"/>
        </w:rPr>
        <w:t xml:space="preserve"> vaistiniuose preparatuose gali būti kraujo grupės antikūnų, kurie gali veikti kaip </w:t>
      </w:r>
      <w:proofErr w:type="spellStart"/>
      <w:r w:rsidRPr="00561601">
        <w:rPr>
          <w:snapToGrid/>
          <w:szCs w:val="24"/>
          <w:lang w:val="lt-LT" w:eastAsia="de-DE"/>
        </w:rPr>
        <w:t>hemolizinai</w:t>
      </w:r>
      <w:proofErr w:type="spellEnd"/>
      <w:r w:rsidRPr="00561601">
        <w:rPr>
          <w:snapToGrid/>
          <w:szCs w:val="24"/>
          <w:lang w:val="lt-LT" w:eastAsia="de-DE"/>
        </w:rPr>
        <w:t xml:space="preserve"> ir </w:t>
      </w:r>
      <w:proofErr w:type="spellStart"/>
      <w:r w:rsidRPr="00561601">
        <w:rPr>
          <w:i/>
          <w:iCs/>
          <w:snapToGrid/>
          <w:szCs w:val="24"/>
          <w:lang w:val="lt-LT" w:eastAsia="de-DE"/>
        </w:rPr>
        <w:t>in</w:t>
      </w:r>
      <w:proofErr w:type="spellEnd"/>
      <w:r w:rsidRPr="00561601">
        <w:rPr>
          <w:i/>
          <w:iCs/>
          <w:snapToGrid/>
          <w:szCs w:val="24"/>
          <w:lang w:val="lt-LT" w:eastAsia="de-DE"/>
        </w:rPr>
        <w:t xml:space="preserve"> </w:t>
      </w:r>
      <w:proofErr w:type="spellStart"/>
      <w:r w:rsidRPr="00561601">
        <w:rPr>
          <w:i/>
          <w:iCs/>
          <w:snapToGrid/>
          <w:szCs w:val="24"/>
          <w:lang w:val="lt-LT" w:eastAsia="de-DE"/>
        </w:rPr>
        <w:t>vivo</w:t>
      </w:r>
      <w:proofErr w:type="spellEnd"/>
      <w:r w:rsidRPr="00561601">
        <w:rPr>
          <w:snapToGrid/>
          <w:szCs w:val="24"/>
          <w:lang w:val="lt-LT" w:eastAsia="de-DE"/>
        </w:rPr>
        <w:t xml:space="preserve"> skatinti raudonųjų kraujo ląstelių pasidengimą imunoglobulinais, o tai nulemia tiesioginę teigiamą </w:t>
      </w:r>
      <w:proofErr w:type="spellStart"/>
      <w:r w:rsidR="00203667" w:rsidRPr="00561601">
        <w:rPr>
          <w:snapToGrid/>
          <w:szCs w:val="24"/>
          <w:lang w:val="lt-LT" w:eastAsia="de-DE"/>
        </w:rPr>
        <w:t>antiglobulin</w:t>
      </w:r>
      <w:r w:rsidR="00203667">
        <w:rPr>
          <w:snapToGrid/>
          <w:szCs w:val="24"/>
          <w:lang w:val="lt-LT" w:eastAsia="de-DE"/>
        </w:rPr>
        <w:t>o</w:t>
      </w:r>
      <w:proofErr w:type="spellEnd"/>
      <w:r w:rsidR="00203667" w:rsidRPr="00561601">
        <w:rPr>
          <w:snapToGrid/>
          <w:szCs w:val="24"/>
          <w:lang w:val="lt-LT" w:eastAsia="de-DE"/>
        </w:rPr>
        <w:t xml:space="preserve"> </w:t>
      </w:r>
      <w:r w:rsidRPr="00561601">
        <w:rPr>
          <w:snapToGrid/>
          <w:szCs w:val="24"/>
          <w:lang w:val="lt-LT" w:eastAsia="de-DE"/>
        </w:rPr>
        <w:t>reakciją (</w:t>
      </w:r>
      <w:proofErr w:type="spellStart"/>
      <w:r w:rsidRPr="00561601">
        <w:rPr>
          <w:snapToGrid/>
          <w:szCs w:val="24"/>
          <w:lang w:val="lt-LT" w:eastAsia="de-DE"/>
        </w:rPr>
        <w:t>Kumbso</w:t>
      </w:r>
      <w:proofErr w:type="spellEnd"/>
      <w:r w:rsidRPr="00561601">
        <w:rPr>
          <w:snapToGrid/>
          <w:szCs w:val="24"/>
          <w:lang w:val="lt-LT" w:eastAsia="de-DE"/>
        </w:rPr>
        <w:t xml:space="preserve"> </w:t>
      </w:r>
      <w:r w:rsidR="00D359F5" w:rsidRPr="00561601">
        <w:rPr>
          <w:snapToGrid/>
          <w:szCs w:val="24"/>
          <w:lang w:val="lt-LT" w:eastAsia="de-DE"/>
        </w:rPr>
        <w:t>testas</w:t>
      </w:r>
      <w:r w:rsidRPr="00561601">
        <w:rPr>
          <w:snapToGrid/>
          <w:szCs w:val="24"/>
          <w:lang w:val="lt-LT" w:eastAsia="de-DE"/>
        </w:rPr>
        <w:t xml:space="preserve">) ir retais atvejais </w:t>
      </w:r>
      <w:proofErr w:type="spellStart"/>
      <w:r w:rsidRPr="00561601">
        <w:rPr>
          <w:snapToGrid/>
          <w:szCs w:val="24"/>
          <w:lang w:val="lt-LT" w:eastAsia="de-DE"/>
        </w:rPr>
        <w:t>hemolizę</w:t>
      </w:r>
      <w:proofErr w:type="spellEnd"/>
      <w:r w:rsidRPr="00561601">
        <w:rPr>
          <w:snapToGrid/>
          <w:szCs w:val="24"/>
          <w:lang w:val="lt-LT" w:eastAsia="de-DE"/>
        </w:rPr>
        <w:t xml:space="preserve">. Hemolizinė anemija gali pasireikšti po gydymo </w:t>
      </w:r>
      <w:proofErr w:type="spellStart"/>
      <w:r w:rsidRPr="00561601">
        <w:rPr>
          <w:snapToGrid/>
          <w:szCs w:val="24"/>
          <w:lang w:val="lt-LT" w:eastAsia="de-DE"/>
        </w:rPr>
        <w:t>i.v</w:t>
      </w:r>
      <w:proofErr w:type="spellEnd"/>
      <w:r w:rsidRPr="00561601">
        <w:rPr>
          <w:snapToGrid/>
          <w:szCs w:val="24"/>
          <w:lang w:val="lt-LT" w:eastAsia="de-DE"/>
        </w:rPr>
        <w:t xml:space="preserve">. </w:t>
      </w:r>
      <w:proofErr w:type="spellStart"/>
      <w:r w:rsidRPr="00561601">
        <w:rPr>
          <w:snapToGrid/>
          <w:szCs w:val="24"/>
          <w:lang w:val="lt-LT" w:eastAsia="de-DE"/>
        </w:rPr>
        <w:t>Ig</w:t>
      </w:r>
      <w:proofErr w:type="spellEnd"/>
      <w:r w:rsidRPr="00561601">
        <w:rPr>
          <w:snapToGrid/>
          <w:szCs w:val="24"/>
          <w:lang w:val="lt-LT" w:eastAsia="de-DE"/>
        </w:rPr>
        <w:t xml:space="preserve"> dėl sustiprėjusio eritrocitų irimo. Būtina stebėti, ar </w:t>
      </w:r>
      <w:proofErr w:type="spellStart"/>
      <w:r w:rsidRPr="00561601">
        <w:rPr>
          <w:snapToGrid/>
          <w:szCs w:val="24"/>
          <w:lang w:val="lt-LT" w:eastAsia="de-DE"/>
        </w:rPr>
        <w:t>i.v</w:t>
      </w:r>
      <w:proofErr w:type="spellEnd"/>
      <w:r w:rsidRPr="00561601">
        <w:rPr>
          <w:snapToGrid/>
          <w:szCs w:val="24"/>
          <w:lang w:val="lt-LT" w:eastAsia="de-DE"/>
        </w:rPr>
        <w:t xml:space="preserve">. </w:t>
      </w:r>
      <w:proofErr w:type="spellStart"/>
      <w:r w:rsidRPr="00561601">
        <w:rPr>
          <w:snapToGrid/>
          <w:szCs w:val="24"/>
          <w:lang w:val="lt-LT" w:eastAsia="de-DE"/>
        </w:rPr>
        <w:t>Ig</w:t>
      </w:r>
      <w:proofErr w:type="spellEnd"/>
      <w:r w:rsidRPr="00561601">
        <w:rPr>
          <w:snapToGrid/>
          <w:szCs w:val="24"/>
          <w:lang w:val="lt-LT" w:eastAsia="de-DE"/>
        </w:rPr>
        <w:t xml:space="preserve"> recipientams nepasireiškia </w:t>
      </w:r>
      <w:r w:rsidR="00203667" w:rsidRPr="00561601">
        <w:rPr>
          <w:snapToGrid/>
          <w:szCs w:val="24"/>
          <w:lang w:val="lt-LT" w:eastAsia="de-DE"/>
        </w:rPr>
        <w:t>klinikini</w:t>
      </w:r>
      <w:r w:rsidR="00203667">
        <w:rPr>
          <w:snapToGrid/>
          <w:szCs w:val="24"/>
          <w:lang w:val="lt-LT" w:eastAsia="de-DE"/>
        </w:rPr>
        <w:t>ų</w:t>
      </w:r>
      <w:r w:rsidR="00203667" w:rsidRPr="00561601">
        <w:rPr>
          <w:snapToGrid/>
          <w:szCs w:val="24"/>
          <w:lang w:val="lt-LT" w:eastAsia="de-DE"/>
        </w:rPr>
        <w:t xml:space="preserve"> </w:t>
      </w:r>
      <w:proofErr w:type="spellStart"/>
      <w:r w:rsidRPr="00561601">
        <w:rPr>
          <w:snapToGrid/>
          <w:szCs w:val="24"/>
          <w:lang w:val="lt-LT" w:eastAsia="de-DE"/>
        </w:rPr>
        <w:t>hemolizės</w:t>
      </w:r>
      <w:proofErr w:type="spellEnd"/>
      <w:r w:rsidRPr="00561601">
        <w:rPr>
          <w:snapToGrid/>
          <w:szCs w:val="24"/>
          <w:lang w:val="lt-LT" w:eastAsia="de-DE"/>
        </w:rPr>
        <w:t xml:space="preserve"> </w:t>
      </w:r>
      <w:r w:rsidR="00203667" w:rsidRPr="00561601">
        <w:rPr>
          <w:snapToGrid/>
          <w:szCs w:val="24"/>
          <w:lang w:val="lt-LT" w:eastAsia="de-DE"/>
        </w:rPr>
        <w:t>požymi</w:t>
      </w:r>
      <w:r w:rsidR="00203667">
        <w:rPr>
          <w:snapToGrid/>
          <w:szCs w:val="24"/>
          <w:lang w:val="lt-LT" w:eastAsia="de-DE"/>
        </w:rPr>
        <w:t>ų</w:t>
      </w:r>
      <w:r w:rsidR="00203667" w:rsidRPr="00561601">
        <w:rPr>
          <w:snapToGrid/>
          <w:szCs w:val="24"/>
          <w:lang w:val="lt-LT" w:eastAsia="de-DE"/>
        </w:rPr>
        <w:t xml:space="preserve"> </w:t>
      </w:r>
      <w:r w:rsidRPr="00561601">
        <w:rPr>
          <w:snapToGrid/>
          <w:szCs w:val="24"/>
          <w:lang w:val="lt-LT" w:eastAsia="de-DE"/>
        </w:rPr>
        <w:t xml:space="preserve">ir </w:t>
      </w:r>
      <w:r w:rsidR="00203667" w:rsidRPr="00561601">
        <w:rPr>
          <w:snapToGrid/>
          <w:szCs w:val="24"/>
          <w:lang w:val="lt-LT" w:eastAsia="de-DE"/>
        </w:rPr>
        <w:t>simptom</w:t>
      </w:r>
      <w:r w:rsidR="00203667">
        <w:rPr>
          <w:snapToGrid/>
          <w:szCs w:val="24"/>
          <w:lang w:val="lt-LT" w:eastAsia="de-DE"/>
        </w:rPr>
        <w:t>ų</w:t>
      </w:r>
      <w:r w:rsidRPr="00561601">
        <w:rPr>
          <w:snapToGrid/>
          <w:szCs w:val="24"/>
          <w:lang w:val="lt-LT" w:eastAsia="de-DE"/>
        </w:rPr>
        <w:t>. (Žr. 4.8 skyrių.)</w:t>
      </w:r>
    </w:p>
    <w:p w14:paraId="2AFE01A9" w14:textId="77777777"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p>
    <w:p w14:paraId="6D927913" w14:textId="77777777" w:rsidR="00F02A87" w:rsidRPr="00561601" w:rsidRDefault="00F02A87" w:rsidP="00F02A87">
      <w:pPr>
        <w:tabs>
          <w:tab w:val="clear" w:pos="567"/>
        </w:tabs>
        <w:overflowPunct w:val="0"/>
        <w:autoSpaceDE w:val="0"/>
        <w:autoSpaceDN w:val="0"/>
        <w:adjustRightInd w:val="0"/>
        <w:spacing w:line="240" w:lineRule="auto"/>
        <w:jc w:val="both"/>
        <w:textAlignment w:val="baseline"/>
        <w:rPr>
          <w:snapToGrid/>
          <w:szCs w:val="22"/>
          <w:u w:val="single"/>
          <w:lang w:val="lt-LT" w:eastAsia="de-DE"/>
        </w:rPr>
      </w:pPr>
      <w:proofErr w:type="spellStart"/>
      <w:r w:rsidRPr="00561601">
        <w:rPr>
          <w:snapToGrid/>
          <w:szCs w:val="24"/>
          <w:u w:val="single"/>
          <w:lang w:val="lt-LT" w:eastAsia="de-DE"/>
        </w:rPr>
        <w:t>Neutropenija</w:t>
      </w:r>
      <w:proofErr w:type="spellEnd"/>
      <w:r w:rsidRPr="00561601">
        <w:rPr>
          <w:snapToGrid/>
          <w:szCs w:val="24"/>
          <w:u w:val="single"/>
          <w:lang w:val="lt-LT" w:eastAsia="de-DE"/>
        </w:rPr>
        <w:t> / </w:t>
      </w:r>
      <w:proofErr w:type="spellStart"/>
      <w:r w:rsidRPr="00561601">
        <w:rPr>
          <w:snapToGrid/>
          <w:szCs w:val="24"/>
          <w:u w:val="single"/>
          <w:lang w:val="lt-LT" w:eastAsia="de-DE"/>
        </w:rPr>
        <w:t>leukopenija</w:t>
      </w:r>
      <w:proofErr w:type="spellEnd"/>
      <w:r w:rsidRPr="00561601">
        <w:rPr>
          <w:snapToGrid/>
          <w:szCs w:val="24"/>
          <w:u w:val="single"/>
          <w:lang w:val="lt-LT" w:eastAsia="de-DE"/>
        </w:rPr>
        <w:t xml:space="preserve"> </w:t>
      </w:r>
    </w:p>
    <w:p w14:paraId="273BAF16" w14:textId="1E6E2604" w:rsidR="00F02A87" w:rsidRPr="00561601" w:rsidRDefault="00F02A87" w:rsidP="00F02A87">
      <w:pPr>
        <w:tabs>
          <w:tab w:val="clear" w:pos="567"/>
        </w:tabs>
        <w:overflowPunct w:val="0"/>
        <w:autoSpaceDE w:val="0"/>
        <w:autoSpaceDN w:val="0"/>
        <w:adjustRightInd w:val="0"/>
        <w:spacing w:line="240" w:lineRule="auto"/>
        <w:jc w:val="both"/>
        <w:textAlignment w:val="baseline"/>
        <w:rPr>
          <w:snapToGrid/>
          <w:szCs w:val="22"/>
          <w:lang w:val="lt-LT" w:eastAsia="de-DE"/>
        </w:rPr>
      </w:pPr>
      <w:r w:rsidRPr="00561601">
        <w:rPr>
          <w:snapToGrid/>
          <w:szCs w:val="24"/>
          <w:lang w:val="lt-LT" w:eastAsia="de-DE"/>
        </w:rPr>
        <w:t xml:space="preserve">Po gydymo į veną leidžiamu imunoglobulinu buvo pranešta apie trumpalaikį </w:t>
      </w:r>
      <w:proofErr w:type="spellStart"/>
      <w:r w:rsidRPr="00561601">
        <w:rPr>
          <w:snapToGrid/>
          <w:szCs w:val="24"/>
          <w:lang w:val="lt-LT" w:eastAsia="de-DE"/>
        </w:rPr>
        <w:t>neutrofilų</w:t>
      </w:r>
      <w:proofErr w:type="spellEnd"/>
      <w:r w:rsidRPr="00561601">
        <w:rPr>
          <w:snapToGrid/>
          <w:szCs w:val="24"/>
          <w:lang w:val="lt-LT" w:eastAsia="de-DE"/>
        </w:rPr>
        <w:t xml:space="preserve"> skaičiaus sumažėjimą ir (arba) </w:t>
      </w:r>
      <w:proofErr w:type="spellStart"/>
      <w:r w:rsidRPr="00561601">
        <w:rPr>
          <w:snapToGrid/>
          <w:szCs w:val="24"/>
          <w:lang w:val="lt-LT" w:eastAsia="de-DE"/>
        </w:rPr>
        <w:t>neutropenijos</w:t>
      </w:r>
      <w:proofErr w:type="spellEnd"/>
      <w:r w:rsidRPr="00561601">
        <w:rPr>
          <w:snapToGrid/>
          <w:szCs w:val="24"/>
          <w:lang w:val="lt-LT" w:eastAsia="de-DE"/>
        </w:rPr>
        <w:t xml:space="preserve"> (kartais sunkios) epizodus. Tai paprastai pasireiškia per kelias valandas ar </w:t>
      </w:r>
      <w:r w:rsidR="00203667">
        <w:rPr>
          <w:snapToGrid/>
          <w:szCs w:val="24"/>
          <w:lang w:val="lt-LT" w:eastAsia="de-DE"/>
        </w:rPr>
        <w:t>paras</w:t>
      </w:r>
      <w:r w:rsidR="00203667" w:rsidRPr="00561601">
        <w:rPr>
          <w:snapToGrid/>
          <w:szCs w:val="24"/>
          <w:lang w:val="lt-LT" w:eastAsia="de-DE"/>
        </w:rPr>
        <w:t xml:space="preserve"> </w:t>
      </w:r>
      <w:r w:rsidRPr="00561601">
        <w:rPr>
          <w:snapToGrid/>
          <w:szCs w:val="24"/>
          <w:lang w:val="lt-LT" w:eastAsia="de-DE"/>
        </w:rPr>
        <w:t xml:space="preserve">po </w:t>
      </w:r>
      <w:proofErr w:type="spellStart"/>
      <w:r w:rsidRPr="00561601">
        <w:rPr>
          <w:snapToGrid/>
          <w:szCs w:val="24"/>
          <w:lang w:val="lt-LT" w:eastAsia="de-DE"/>
        </w:rPr>
        <w:t>i.v</w:t>
      </w:r>
      <w:proofErr w:type="spellEnd"/>
      <w:r w:rsidRPr="00561601">
        <w:rPr>
          <w:snapToGrid/>
          <w:szCs w:val="24"/>
          <w:lang w:val="lt-LT" w:eastAsia="de-DE"/>
        </w:rPr>
        <w:t xml:space="preserve">. </w:t>
      </w:r>
      <w:proofErr w:type="spellStart"/>
      <w:r w:rsidRPr="00561601">
        <w:rPr>
          <w:snapToGrid/>
          <w:szCs w:val="24"/>
          <w:lang w:val="lt-LT" w:eastAsia="de-DE"/>
        </w:rPr>
        <w:t>Ig</w:t>
      </w:r>
      <w:proofErr w:type="spellEnd"/>
      <w:r w:rsidRPr="00561601">
        <w:rPr>
          <w:snapToGrid/>
          <w:szCs w:val="24"/>
          <w:lang w:val="lt-LT" w:eastAsia="de-DE"/>
        </w:rPr>
        <w:t xml:space="preserve"> vartojimo ir savaime praeina per 7–14 parų.</w:t>
      </w:r>
    </w:p>
    <w:p w14:paraId="37B8A919" w14:textId="77777777" w:rsidR="00F02A87" w:rsidRPr="00561601" w:rsidRDefault="00F02A87" w:rsidP="00F02A87">
      <w:pPr>
        <w:tabs>
          <w:tab w:val="clear" w:pos="567"/>
        </w:tabs>
        <w:overflowPunct w:val="0"/>
        <w:autoSpaceDE w:val="0"/>
        <w:autoSpaceDN w:val="0"/>
        <w:adjustRightInd w:val="0"/>
        <w:spacing w:line="240" w:lineRule="auto"/>
        <w:jc w:val="both"/>
        <w:textAlignment w:val="baseline"/>
        <w:rPr>
          <w:snapToGrid/>
          <w:szCs w:val="22"/>
          <w:lang w:val="lt-LT" w:eastAsia="de-DE"/>
        </w:rPr>
      </w:pPr>
    </w:p>
    <w:p w14:paraId="423BF036" w14:textId="77777777" w:rsidR="00F02A87" w:rsidRPr="00561601" w:rsidRDefault="00F02A87" w:rsidP="00F02A87">
      <w:pPr>
        <w:tabs>
          <w:tab w:val="clear" w:pos="567"/>
        </w:tabs>
        <w:overflowPunct w:val="0"/>
        <w:autoSpaceDE w:val="0"/>
        <w:autoSpaceDN w:val="0"/>
        <w:adjustRightInd w:val="0"/>
        <w:spacing w:line="240" w:lineRule="auto"/>
        <w:jc w:val="both"/>
        <w:textAlignment w:val="baseline"/>
        <w:rPr>
          <w:snapToGrid/>
          <w:szCs w:val="22"/>
          <w:u w:val="single"/>
          <w:lang w:val="lt-LT" w:eastAsia="de-DE"/>
        </w:rPr>
      </w:pPr>
      <w:r w:rsidRPr="00561601">
        <w:rPr>
          <w:snapToGrid/>
          <w:szCs w:val="24"/>
          <w:u w:val="single"/>
          <w:lang w:val="lt-LT" w:eastAsia="de-DE"/>
        </w:rPr>
        <w:t>Su transfuzija susijęs ūm</w:t>
      </w:r>
      <w:r w:rsidR="00553A3C" w:rsidRPr="00561601">
        <w:rPr>
          <w:snapToGrid/>
          <w:szCs w:val="24"/>
          <w:u w:val="single"/>
          <w:lang w:val="lt-LT" w:eastAsia="de-DE"/>
        </w:rPr>
        <w:t>inis</w:t>
      </w:r>
      <w:r w:rsidRPr="00561601">
        <w:rPr>
          <w:snapToGrid/>
          <w:szCs w:val="24"/>
          <w:u w:val="single"/>
          <w:lang w:val="lt-LT" w:eastAsia="de-DE"/>
        </w:rPr>
        <w:t xml:space="preserve"> plaučių pažeidimas (TRALI)</w:t>
      </w:r>
    </w:p>
    <w:p w14:paraId="107B1013" w14:textId="77777777"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proofErr w:type="spellStart"/>
      <w:r w:rsidRPr="00561601">
        <w:rPr>
          <w:snapToGrid/>
          <w:szCs w:val="24"/>
          <w:lang w:val="lt-LT" w:eastAsia="de-DE"/>
        </w:rPr>
        <w:t>I.v</w:t>
      </w:r>
      <w:proofErr w:type="spellEnd"/>
      <w:r w:rsidRPr="00561601">
        <w:rPr>
          <w:snapToGrid/>
          <w:szCs w:val="24"/>
          <w:lang w:val="lt-LT" w:eastAsia="de-DE"/>
        </w:rPr>
        <w:t xml:space="preserve">. </w:t>
      </w:r>
      <w:proofErr w:type="spellStart"/>
      <w:r w:rsidRPr="00561601">
        <w:rPr>
          <w:snapToGrid/>
          <w:szCs w:val="24"/>
          <w:lang w:val="lt-LT" w:eastAsia="de-DE"/>
        </w:rPr>
        <w:t>Ig</w:t>
      </w:r>
      <w:proofErr w:type="spellEnd"/>
      <w:r w:rsidRPr="00561601">
        <w:rPr>
          <w:snapToGrid/>
          <w:szCs w:val="24"/>
          <w:lang w:val="lt-LT" w:eastAsia="de-DE"/>
        </w:rPr>
        <w:t xml:space="preserve"> vaistiniais preparatais gydytiems pacientams buvo registruoti </w:t>
      </w:r>
      <w:proofErr w:type="spellStart"/>
      <w:r w:rsidRPr="00561601">
        <w:rPr>
          <w:snapToGrid/>
          <w:szCs w:val="24"/>
          <w:lang w:val="lt-LT" w:eastAsia="de-DE"/>
        </w:rPr>
        <w:t>nekardiogeninės</w:t>
      </w:r>
      <w:proofErr w:type="spellEnd"/>
      <w:r w:rsidRPr="00561601">
        <w:rPr>
          <w:snapToGrid/>
          <w:szCs w:val="24"/>
          <w:lang w:val="lt-LT" w:eastAsia="de-DE"/>
        </w:rPr>
        <w:t xml:space="preserve"> plaučių edemos atvejai [su transfuzija susijęs ūm</w:t>
      </w:r>
      <w:r w:rsidR="00676633" w:rsidRPr="00561601">
        <w:rPr>
          <w:snapToGrid/>
          <w:szCs w:val="24"/>
          <w:lang w:val="lt-LT" w:eastAsia="de-DE"/>
        </w:rPr>
        <w:t>i</w:t>
      </w:r>
      <w:r w:rsidR="00C27BA1">
        <w:rPr>
          <w:snapToGrid/>
          <w:szCs w:val="24"/>
          <w:lang w:val="lt-LT" w:eastAsia="de-DE"/>
        </w:rPr>
        <w:t>ni</w:t>
      </w:r>
      <w:r w:rsidR="00676633" w:rsidRPr="00561601">
        <w:rPr>
          <w:snapToGrid/>
          <w:szCs w:val="24"/>
          <w:lang w:val="lt-LT" w:eastAsia="de-DE"/>
        </w:rPr>
        <w:t>s</w:t>
      </w:r>
      <w:r w:rsidRPr="00561601">
        <w:rPr>
          <w:snapToGrid/>
          <w:szCs w:val="24"/>
          <w:lang w:val="lt-LT" w:eastAsia="de-DE"/>
        </w:rPr>
        <w:t xml:space="preserve"> plaučių pažeidimas (angl. </w:t>
      </w:r>
      <w:proofErr w:type="spellStart"/>
      <w:r w:rsidRPr="00561601">
        <w:rPr>
          <w:i/>
          <w:iCs/>
          <w:snapToGrid/>
          <w:szCs w:val="24"/>
          <w:lang w:val="lt-LT" w:eastAsia="de-DE"/>
        </w:rPr>
        <w:t>Transfusion</w:t>
      </w:r>
      <w:proofErr w:type="spellEnd"/>
      <w:r w:rsidRPr="00561601">
        <w:rPr>
          <w:i/>
          <w:iCs/>
          <w:snapToGrid/>
          <w:szCs w:val="24"/>
          <w:lang w:val="lt-LT" w:eastAsia="de-DE"/>
        </w:rPr>
        <w:t xml:space="preserve"> </w:t>
      </w:r>
      <w:proofErr w:type="spellStart"/>
      <w:r w:rsidRPr="00561601">
        <w:rPr>
          <w:i/>
          <w:iCs/>
          <w:snapToGrid/>
          <w:szCs w:val="24"/>
          <w:lang w:val="lt-LT" w:eastAsia="de-DE"/>
        </w:rPr>
        <w:t>Related</w:t>
      </w:r>
      <w:proofErr w:type="spellEnd"/>
      <w:r w:rsidRPr="00561601">
        <w:rPr>
          <w:i/>
          <w:iCs/>
          <w:snapToGrid/>
          <w:szCs w:val="24"/>
          <w:lang w:val="lt-LT" w:eastAsia="de-DE"/>
        </w:rPr>
        <w:t xml:space="preserve"> </w:t>
      </w:r>
      <w:proofErr w:type="spellStart"/>
      <w:r w:rsidRPr="00561601">
        <w:rPr>
          <w:i/>
          <w:iCs/>
          <w:snapToGrid/>
          <w:szCs w:val="24"/>
          <w:lang w:val="lt-LT" w:eastAsia="de-DE"/>
        </w:rPr>
        <w:t>Acute</w:t>
      </w:r>
      <w:proofErr w:type="spellEnd"/>
      <w:r w:rsidRPr="00561601">
        <w:rPr>
          <w:i/>
          <w:iCs/>
          <w:snapToGrid/>
          <w:szCs w:val="24"/>
          <w:lang w:val="lt-LT" w:eastAsia="de-DE"/>
        </w:rPr>
        <w:t xml:space="preserve"> </w:t>
      </w:r>
      <w:proofErr w:type="spellStart"/>
      <w:r w:rsidRPr="00561601">
        <w:rPr>
          <w:i/>
          <w:iCs/>
          <w:snapToGrid/>
          <w:szCs w:val="24"/>
          <w:lang w:val="lt-LT" w:eastAsia="de-DE"/>
        </w:rPr>
        <w:t>Lung</w:t>
      </w:r>
      <w:proofErr w:type="spellEnd"/>
      <w:r w:rsidRPr="00561601">
        <w:rPr>
          <w:i/>
          <w:iCs/>
          <w:snapToGrid/>
          <w:szCs w:val="24"/>
          <w:lang w:val="lt-LT" w:eastAsia="de-DE"/>
        </w:rPr>
        <w:t xml:space="preserve"> </w:t>
      </w:r>
      <w:proofErr w:type="spellStart"/>
      <w:r w:rsidRPr="00561601">
        <w:rPr>
          <w:i/>
          <w:iCs/>
          <w:snapToGrid/>
          <w:szCs w:val="24"/>
          <w:lang w:val="lt-LT" w:eastAsia="de-DE"/>
        </w:rPr>
        <w:t>Injury</w:t>
      </w:r>
      <w:proofErr w:type="spellEnd"/>
      <w:r w:rsidRPr="00561601">
        <w:rPr>
          <w:snapToGrid/>
          <w:szCs w:val="24"/>
          <w:lang w:val="lt-LT" w:eastAsia="de-DE"/>
        </w:rPr>
        <w:t xml:space="preserve">, TRALI)]. TRALI būdinga sunki hipoksija, </w:t>
      </w:r>
      <w:proofErr w:type="spellStart"/>
      <w:r w:rsidRPr="00561601">
        <w:rPr>
          <w:snapToGrid/>
          <w:szCs w:val="24"/>
          <w:lang w:val="lt-LT" w:eastAsia="de-DE"/>
        </w:rPr>
        <w:t>dispnėja</w:t>
      </w:r>
      <w:proofErr w:type="spellEnd"/>
      <w:r w:rsidRPr="00561601">
        <w:rPr>
          <w:snapToGrid/>
          <w:szCs w:val="24"/>
          <w:lang w:val="lt-LT" w:eastAsia="de-DE"/>
        </w:rPr>
        <w:t xml:space="preserve">, </w:t>
      </w:r>
      <w:proofErr w:type="spellStart"/>
      <w:r w:rsidRPr="00561601">
        <w:rPr>
          <w:snapToGrid/>
          <w:szCs w:val="24"/>
          <w:lang w:val="lt-LT" w:eastAsia="de-DE"/>
        </w:rPr>
        <w:t>tachipnėja</w:t>
      </w:r>
      <w:proofErr w:type="spellEnd"/>
      <w:r w:rsidRPr="00561601">
        <w:rPr>
          <w:snapToGrid/>
          <w:szCs w:val="24"/>
          <w:lang w:val="lt-LT" w:eastAsia="de-DE"/>
        </w:rPr>
        <w:t xml:space="preserve">, cianozė, karščiavimas ir </w:t>
      </w:r>
      <w:proofErr w:type="spellStart"/>
      <w:r w:rsidRPr="00561601">
        <w:rPr>
          <w:snapToGrid/>
          <w:szCs w:val="24"/>
          <w:lang w:val="lt-LT" w:eastAsia="de-DE"/>
        </w:rPr>
        <w:t>hipotenzija</w:t>
      </w:r>
      <w:proofErr w:type="spellEnd"/>
      <w:r w:rsidRPr="00561601">
        <w:rPr>
          <w:snapToGrid/>
          <w:szCs w:val="24"/>
          <w:lang w:val="lt-LT" w:eastAsia="de-DE"/>
        </w:rPr>
        <w:t xml:space="preserve">. TRALI simptomai paprastai pasireiškia transfuzijos metu arba per 6 valandas po jos, dažnai per 1–2 valandas. Todėl pacientus, kuriems skiriami </w:t>
      </w:r>
      <w:proofErr w:type="spellStart"/>
      <w:r w:rsidRPr="00561601">
        <w:rPr>
          <w:snapToGrid/>
          <w:szCs w:val="24"/>
          <w:lang w:val="lt-LT" w:eastAsia="de-DE"/>
        </w:rPr>
        <w:t>i.v</w:t>
      </w:r>
      <w:proofErr w:type="spellEnd"/>
      <w:r w:rsidRPr="00561601">
        <w:rPr>
          <w:snapToGrid/>
          <w:szCs w:val="24"/>
          <w:lang w:val="lt-LT" w:eastAsia="de-DE"/>
        </w:rPr>
        <w:t xml:space="preserve">. </w:t>
      </w:r>
      <w:proofErr w:type="spellStart"/>
      <w:r w:rsidRPr="00561601">
        <w:rPr>
          <w:snapToGrid/>
          <w:szCs w:val="24"/>
          <w:lang w:val="lt-LT" w:eastAsia="de-DE"/>
        </w:rPr>
        <w:t>Ig</w:t>
      </w:r>
      <w:proofErr w:type="spellEnd"/>
      <w:r w:rsidRPr="00561601">
        <w:rPr>
          <w:snapToGrid/>
          <w:szCs w:val="24"/>
          <w:lang w:val="lt-LT" w:eastAsia="de-DE"/>
        </w:rPr>
        <w:t xml:space="preserve"> preparatai, būtina atidžiai stebėti, ar neatsiras nepageidaujamų plaučių reakcijų, o joms atsiradus – nedelsiant nutraukti infuziją. TRALI yra potencialiai gyvybei pavojinga būklė, reikalaujanti skubaus gydymo intensyviosios terapijos skyriuje.</w:t>
      </w:r>
    </w:p>
    <w:p w14:paraId="5C24752E" w14:textId="77777777"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p>
    <w:p w14:paraId="7DB03C1A" w14:textId="77777777"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u w:val="single"/>
          <w:lang w:val="lt-LT" w:eastAsia="de-DE"/>
        </w:rPr>
      </w:pPr>
      <w:r w:rsidRPr="00561601">
        <w:rPr>
          <w:snapToGrid/>
          <w:szCs w:val="24"/>
          <w:u w:val="single"/>
          <w:lang w:val="lt-LT" w:eastAsia="de-DE"/>
        </w:rPr>
        <w:t>Poveikis serologiniams tyrimams</w:t>
      </w:r>
    </w:p>
    <w:p w14:paraId="6CFE9BD7" w14:textId="77777777"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Pavartojus imunoglobulinų, gali būti stebimas laikinas įvairių pasyviai į paciento kraują perkeltų antikūnų kiekio padidėjimas, todėl galimi klaidingai teigiami serologinių tyrimų rezultatai.</w:t>
      </w:r>
    </w:p>
    <w:p w14:paraId="7EAD849B" w14:textId="193DD069"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 xml:space="preserve">Pasyvus antikūnų perdavimas eritrocitų antigenams, pvz., A, B, D, gali trukdyti atlikti kai kuriuos serologinius eritrocitų antikūnų tyrimus, pvz., </w:t>
      </w:r>
      <w:r w:rsidR="008B04A7" w:rsidRPr="00561601">
        <w:rPr>
          <w:snapToGrid/>
          <w:szCs w:val="24"/>
          <w:lang w:val="lt-LT" w:eastAsia="de-DE"/>
        </w:rPr>
        <w:t>tiesiogin</w:t>
      </w:r>
      <w:r w:rsidR="008B04A7">
        <w:rPr>
          <w:snapToGrid/>
          <w:szCs w:val="24"/>
          <w:lang w:val="lt-LT" w:eastAsia="de-DE"/>
        </w:rPr>
        <w:t>į</w:t>
      </w:r>
      <w:r w:rsidR="008B04A7" w:rsidRPr="00561601">
        <w:rPr>
          <w:snapToGrid/>
          <w:szCs w:val="24"/>
          <w:lang w:val="lt-LT" w:eastAsia="de-DE"/>
        </w:rPr>
        <w:t xml:space="preserve"> </w:t>
      </w:r>
      <w:proofErr w:type="spellStart"/>
      <w:r w:rsidRPr="00561601">
        <w:rPr>
          <w:snapToGrid/>
          <w:szCs w:val="24"/>
          <w:lang w:val="lt-LT" w:eastAsia="de-DE"/>
        </w:rPr>
        <w:t>antiglobulino</w:t>
      </w:r>
      <w:proofErr w:type="spellEnd"/>
      <w:r w:rsidRPr="00561601">
        <w:rPr>
          <w:snapToGrid/>
          <w:szCs w:val="24"/>
          <w:lang w:val="lt-LT" w:eastAsia="de-DE"/>
        </w:rPr>
        <w:t xml:space="preserve"> </w:t>
      </w:r>
      <w:r w:rsidR="008B04A7" w:rsidRPr="00561601">
        <w:rPr>
          <w:snapToGrid/>
          <w:szCs w:val="24"/>
          <w:lang w:val="lt-LT" w:eastAsia="de-DE"/>
        </w:rPr>
        <w:t>tyrim</w:t>
      </w:r>
      <w:r w:rsidR="008B04A7">
        <w:rPr>
          <w:snapToGrid/>
          <w:szCs w:val="24"/>
          <w:lang w:val="lt-LT" w:eastAsia="de-DE"/>
        </w:rPr>
        <w:t>ą</w:t>
      </w:r>
      <w:r w:rsidR="008B04A7" w:rsidRPr="00561601">
        <w:rPr>
          <w:snapToGrid/>
          <w:szCs w:val="24"/>
          <w:lang w:val="lt-LT" w:eastAsia="de-DE"/>
        </w:rPr>
        <w:t xml:space="preserve"> </w:t>
      </w:r>
      <w:r w:rsidRPr="00561601">
        <w:rPr>
          <w:snapToGrid/>
          <w:szCs w:val="24"/>
          <w:lang w:val="lt-LT" w:eastAsia="de-DE"/>
        </w:rPr>
        <w:t>(</w:t>
      </w:r>
      <w:r w:rsidR="008B04A7">
        <w:rPr>
          <w:snapToGrid/>
          <w:szCs w:val="24"/>
          <w:lang w:val="lt-LT" w:eastAsia="de-DE"/>
        </w:rPr>
        <w:t>T</w:t>
      </w:r>
      <w:r w:rsidR="008B04A7" w:rsidRPr="00561601">
        <w:rPr>
          <w:snapToGrid/>
          <w:szCs w:val="24"/>
          <w:lang w:val="lt-LT" w:eastAsia="de-DE"/>
        </w:rPr>
        <w:t>AT</w:t>
      </w:r>
      <w:r w:rsidRPr="00561601">
        <w:rPr>
          <w:snapToGrid/>
          <w:szCs w:val="24"/>
          <w:lang w:val="lt-LT" w:eastAsia="de-DE"/>
        </w:rPr>
        <w:t xml:space="preserve">, tiesioginį </w:t>
      </w:r>
      <w:proofErr w:type="spellStart"/>
      <w:r w:rsidRPr="00561601">
        <w:rPr>
          <w:snapToGrid/>
          <w:szCs w:val="24"/>
          <w:lang w:val="lt-LT" w:eastAsia="de-DE"/>
        </w:rPr>
        <w:t>Kumbso</w:t>
      </w:r>
      <w:proofErr w:type="spellEnd"/>
      <w:r w:rsidRPr="00561601">
        <w:rPr>
          <w:snapToGrid/>
          <w:szCs w:val="24"/>
          <w:lang w:val="lt-LT" w:eastAsia="de-DE"/>
        </w:rPr>
        <w:t xml:space="preserve"> </w:t>
      </w:r>
      <w:r w:rsidR="00042D19" w:rsidRPr="00561601">
        <w:rPr>
          <w:snapToGrid/>
          <w:szCs w:val="24"/>
          <w:lang w:val="lt-LT" w:eastAsia="de-DE"/>
        </w:rPr>
        <w:t>test</w:t>
      </w:r>
      <w:r w:rsidR="00FA669A">
        <w:rPr>
          <w:snapToGrid/>
          <w:szCs w:val="24"/>
          <w:lang w:val="lt-LT" w:eastAsia="de-DE"/>
        </w:rPr>
        <w:t>ą</w:t>
      </w:r>
      <w:r w:rsidRPr="00561601">
        <w:rPr>
          <w:snapToGrid/>
          <w:szCs w:val="24"/>
          <w:lang w:val="lt-LT" w:eastAsia="de-DE"/>
        </w:rPr>
        <w:t>).</w:t>
      </w:r>
    </w:p>
    <w:p w14:paraId="61C5381A" w14:textId="77777777"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p>
    <w:p w14:paraId="660618C8" w14:textId="77777777"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u w:val="single"/>
          <w:lang w:val="lt-LT" w:eastAsia="de-DE"/>
        </w:rPr>
      </w:pPr>
      <w:r w:rsidRPr="00561601">
        <w:rPr>
          <w:snapToGrid/>
          <w:szCs w:val="24"/>
          <w:u w:val="single"/>
          <w:lang w:val="lt-LT" w:eastAsia="de-DE"/>
        </w:rPr>
        <w:t>Perduodami veiksniai</w:t>
      </w:r>
    </w:p>
    <w:p w14:paraId="12F19A9C" w14:textId="73711BF1"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 xml:space="preserve">Norint išvengti infekcijų, kurios gali kilti vartojant vaistinius preparatus, pagamintus iš žmogaus kraujo ar kraujo plazmos, imamasi standartinių apsaugos priemonių: parenkami tinkami donorai, tikrinama, ar </w:t>
      </w:r>
      <w:r w:rsidR="00767747">
        <w:rPr>
          <w:snapToGrid/>
          <w:szCs w:val="24"/>
          <w:lang w:val="lt-LT" w:eastAsia="de-DE"/>
        </w:rPr>
        <w:t>konkretaus donoro</w:t>
      </w:r>
      <w:r w:rsidR="00767747" w:rsidRPr="00561601">
        <w:rPr>
          <w:snapToGrid/>
          <w:szCs w:val="24"/>
          <w:lang w:val="lt-LT" w:eastAsia="de-DE"/>
        </w:rPr>
        <w:t xml:space="preserve"> </w:t>
      </w:r>
      <w:r w:rsidRPr="00561601">
        <w:rPr>
          <w:snapToGrid/>
          <w:szCs w:val="24"/>
          <w:lang w:val="lt-LT" w:eastAsia="de-DE"/>
        </w:rPr>
        <w:t xml:space="preserve">kraujyje ir plazmoje nėra tam tikrų infekcijos žymenų, taip pat gamybos metu </w:t>
      </w:r>
      <w:proofErr w:type="spellStart"/>
      <w:r w:rsidRPr="00561601">
        <w:rPr>
          <w:snapToGrid/>
          <w:szCs w:val="24"/>
          <w:lang w:val="lt-LT" w:eastAsia="de-DE"/>
        </w:rPr>
        <w:t>inaktyvinami</w:t>
      </w:r>
      <w:proofErr w:type="spellEnd"/>
      <w:r w:rsidRPr="00561601">
        <w:rPr>
          <w:snapToGrid/>
          <w:szCs w:val="24"/>
          <w:lang w:val="lt-LT" w:eastAsia="de-DE"/>
        </w:rPr>
        <w:t xml:space="preserve"> arba pašalinami virusai. Nepaisant to, vartojant iš žmogaus kraujo ar plazmos pagamintus vaistinius preparatus, negalima visiškai išvengti tikimybės, kad bus perduota infekuojanti medžiaga. Taip pat yra tikimybė, kad bus perduoti nežinomi ar nauji virusai bei kiti patogenai. </w:t>
      </w:r>
    </w:p>
    <w:p w14:paraId="59C50001" w14:textId="77777777"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p>
    <w:p w14:paraId="759DFC14" w14:textId="5549D78C"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Minėtos priemonės laikomos veiksmingomis nuo tokių apvalkalą turinčių virusų</w:t>
      </w:r>
      <w:r w:rsidR="00767747">
        <w:rPr>
          <w:snapToGrid/>
          <w:szCs w:val="24"/>
          <w:lang w:val="lt-LT" w:eastAsia="de-DE"/>
        </w:rPr>
        <w:t>,</w:t>
      </w:r>
      <w:r w:rsidRPr="00561601">
        <w:rPr>
          <w:snapToGrid/>
          <w:szCs w:val="24"/>
          <w:lang w:val="lt-LT" w:eastAsia="de-DE"/>
        </w:rPr>
        <w:t xml:space="preserve"> kaip žmogaus imunodeficito virusas (ŽIV), hepatito B (HBV) ir hepatito C virusai (HCV), ir tokių apvalkalo neturinčių virusų</w:t>
      </w:r>
      <w:r w:rsidR="00767747">
        <w:rPr>
          <w:snapToGrid/>
          <w:szCs w:val="24"/>
          <w:lang w:val="lt-LT" w:eastAsia="de-DE"/>
        </w:rPr>
        <w:t>,</w:t>
      </w:r>
      <w:r w:rsidRPr="00561601">
        <w:rPr>
          <w:snapToGrid/>
          <w:szCs w:val="24"/>
          <w:lang w:val="lt-LT" w:eastAsia="de-DE"/>
        </w:rPr>
        <w:t xml:space="preserve"> kaip hepatito A</w:t>
      </w:r>
      <w:r w:rsidR="00767747">
        <w:rPr>
          <w:snapToGrid/>
          <w:szCs w:val="24"/>
          <w:lang w:val="lt-LT" w:eastAsia="de-DE"/>
        </w:rPr>
        <w:t xml:space="preserve"> virusai</w:t>
      </w:r>
      <w:r w:rsidRPr="00561601">
        <w:rPr>
          <w:snapToGrid/>
          <w:szCs w:val="24"/>
          <w:lang w:val="lt-LT" w:eastAsia="de-DE"/>
        </w:rPr>
        <w:t xml:space="preserve"> (HAV). Šios priemonių nauda prieš </w:t>
      </w:r>
      <w:r w:rsidR="00767747" w:rsidRPr="00561601">
        <w:rPr>
          <w:snapToGrid/>
          <w:szCs w:val="24"/>
          <w:lang w:val="lt-LT" w:eastAsia="de-DE"/>
        </w:rPr>
        <w:t>apvalkal</w:t>
      </w:r>
      <w:r w:rsidR="00767747">
        <w:rPr>
          <w:snapToGrid/>
          <w:szCs w:val="24"/>
          <w:lang w:val="lt-LT" w:eastAsia="de-DE"/>
        </w:rPr>
        <w:t>o</w:t>
      </w:r>
      <w:r w:rsidR="00767747" w:rsidRPr="00561601">
        <w:rPr>
          <w:snapToGrid/>
          <w:szCs w:val="24"/>
          <w:lang w:val="lt-LT" w:eastAsia="de-DE"/>
        </w:rPr>
        <w:t xml:space="preserve"> </w:t>
      </w:r>
      <w:r w:rsidRPr="00561601">
        <w:rPr>
          <w:snapToGrid/>
          <w:szCs w:val="24"/>
          <w:lang w:val="lt-LT" w:eastAsia="de-DE"/>
        </w:rPr>
        <w:t xml:space="preserve">neturinčius virusus, tokius kaip </w:t>
      </w:r>
      <w:proofErr w:type="spellStart"/>
      <w:r w:rsidRPr="00561601">
        <w:rPr>
          <w:snapToGrid/>
          <w:szCs w:val="24"/>
          <w:lang w:val="lt-LT" w:eastAsia="de-DE"/>
        </w:rPr>
        <w:t>parvovirusas</w:t>
      </w:r>
      <w:proofErr w:type="spellEnd"/>
      <w:r w:rsidRPr="00561601">
        <w:rPr>
          <w:snapToGrid/>
          <w:szCs w:val="24"/>
          <w:lang w:val="lt-LT" w:eastAsia="de-DE"/>
        </w:rPr>
        <w:t xml:space="preserve"> B19, gali būti ribota.</w:t>
      </w:r>
    </w:p>
    <w:p w14:paraId="48DC83AD" w14:textId="77777777"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p>
    <w:p w14:paraId="4EB459CA" w14:textId="0CDEFE63"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 xml:space="preserve">Klinikinė patirtis rodo, kad kartu su imunoglobulinais hepatito A virusas ir </w:t>
      </w:r>
      <w:proofErr w:type="spellStart"/>
      <w:r w:rsidRPr="00561601">
        <w:rPr>
          <w:snapToGrid/>
          <w:szCs w:val="24"/>
          <w:lang w:val="lt-LT" w:eastAsia="de-DE"/>
        </w:rPr>
        <w:t>parvovirusas</w:t>
      </w:r>
      <w:proofErr w:type="spellEnd"/>
      <w:r w:rsidRPr="00561601">
        <w:rPr>
          <w:snapToGrid/>
          <w:szCs w:val="24"/>
          <w:lang w:val="lt-LT" w:eastAsia="de-DE"/>
        </w:rPr>
        <w:t xml:space="preserve"> B19 </w:t>
      </w:r>
      <w:r w:rsidR="00767747" w:rsidRPr="00561601">
        <w:rPr>
          <w:snapToGrid/>
          <w:szCs w:val="24"/>
          <w:lang w:val="lt-LT" w:eastAsia="de-DE"/>
        </w:rPr>
        <w:t>neperduodam</w:t>
      </w:r>
      <w:r w:rsidR="00767747">
        <w:rPr>
          <w:snapToGrid/>
          <w:szCs w:val="24"/>
          <w:lang w:val="lt-LT" w:eastAsia="de-DE"/>
        </w:rPr>
        <w:t>i</w:t>
      </w:r>
      <w:r w:rsidRPr="00561601">
        <w:rPr>
          <w:snapToGrid/>
          <w:szCs w:val="24"/>
          <w:lang w:val="lt-LT" w:eastAsia="de-DE"/>
        </w:rPr>
        <w:t xml:space="preserve">, be to, manoma, kad </w:t>
      </w:r>
      <w:r w:rsidR="00767747">
        <w:rPr>
          <w:snapToGrid/>
          <w:szCs w:val="24"/>
          <w:lang w:val="lt-LT" w:eastAsia="de-DE"/>
        </w:rPr>
        <w:t xml:space="preserve">vaistiniuose </w:t>
      </w:r>
      <w:r w:rsidRPr="00561601">
        <w:rPr>
          <w:snapToGrid/>
          <w:szCs w:val="24"/>
          <w:lang w:val="lt-LT" w:eastAsia="de-DE"/>
        </w:rPr>
        <w:t>preparatuose esantys antikūnai daro didelę įtaką apsisaugant nuo virusų.</w:t>
      </w:r>
    </w:p>
    <w:p w14:paraId="77E58155" w14:textId="77777777" w:rsidR="00F02A87" w:rsidRPr="00561601" w:rsidRDefault="00F02A87" w:rsidP="00F34163">
      <w:pPr>
        <w:rPr>
          <w:szCs w:val="24"/>
          <w:lang w:val="lt-LT"/>
        </w:rPr>
      </w:pPr>
    </w:p>
    <w:p w14:paraId="3A9F89BF" w14:textId="77777777" w:rsidR="00F34163" w:rsidRPr="00561601" w:rsidRDefault="00F34163" w:rsidP="00C30A9B">
      <w:pPr>
        <w:pStyle w:val="Antrat6"/>
        <w:tabs>
          <w:tab w:val="clear" w:pos="-720"/>
          <w:tab w:val="clear" w:pos="4536"/>
        </w:tabs>
        <w:suppressAutoHyphens w:val="0"/>
        <w:rPr>
          <w:rFonts w:eastAsia="Times New Roman"/>
          <w:noProof/>
          <w:snapToGrid w:val="0"/>
          <w:szCs w:val="24"/>
          <w:lang w:val="lt-LT"/>
        </w:rPr>
      </w:pPr>
      <w:r w:rsidRPr="00561601">
        <w:rPr>
          <w:rFonts w:eastAsia="Times New Roman"/>
          <w:noProof/>
          <w:snapToGrid w:val="0"/>
          <w:szCs w:val="24"/>
          <w:lang w:val="lt-LT"/>
        </w:rPr>
        <w:t>Vaikų populiacija</w:t>
      </w:r>
    </w:p>
    <w:p w14:paraId="15744592" w14:textId="77777777" w:rsidR="00F34163" w:rsidRPr="00561601" w:rsidRDefault="00E130E7" w:rsidP="00F34163">
      <w:pPr>
        <w:rPr>
          <w:szCs w:val="24"/>
          <w:lang w:val="lt-LT"/>
        </w:rPr>
      </w:pPr>
      <w:r w:rsidRPr="00561601">
        <w:rPr>
          <w:szCs w:val="24"/>
          <w:lang w:val="lt-LT"/>
        </w:rPr>
        <w:t>Vaikų populiacijoje taip pat reikia atsižvelgti į specialius įspėjimus ir atsargumo priemones, taikomas suaugusiems.</w:t>
      </w:r>
    </w:p>
    <w:p w14:paraId="289DBC12" w14:textId="77777777" w:rsidR="00E130E7" w:rsidRPr="00561601" w:rsidRDefault="00E130E7" w:rsidP="00F34163">
      <w:pPr>
        <w:rPr>
          <w:szCs w:val="24"/>
          <w:lang w:val="lt-LT"/>
        </w:rPr>
      </w:pPr>
    </w:p>
    <w:p w14:paraId="4644C3B3" w14:textId="77777777"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4.5</w:t>
      </w:r>
      <w:r w:rsidRPr="00561601">
        <w:rPr>
          <w:rFonts w:ascii="Times New Roman" w:hAnsi="Times New Roman"/>
          <w:sz w:val="22"/>
          <w:lang w:val="lt-LT"/>
        </w:rPr>
        <w:tab/>
        <w:t>Sąveika su kitais vaistiniais preparatais ir kitokia sąveika</w:t>
      </w:r>
    </w:p>
    <w:p w14:paraId="5714769A" w14:textId="77777777" w:rsidR="00F34163" w:rsidRPr="00561601" w:rsidRDefault="00F34163" w:rsidP="00F34163">
      <w:pPr>
        <w:rPr>
          <w:szCs w:val="24"/>
          <w:lang w:val="lt-LT"/>
        </w:rPr>
      </w:pPr>
    </w:p>
    <w:p w14:paraId="4716E436" w14:textId="77777777" w:rsidR="00F02A87" w:rsidRPr="00561601" w:rsidRDefault="0013062A" w:rsidP="00F02A87">
      <w:pPr>
        <w:tabs>
          <w:tab w:val="clear" w:pos="567"/>
        </w:tabs>
        <w:overflowPunct w:val="0"/>
        <w:autoSpaceDE w:val="0"/>
        <w:autoSpaceDN w:val="0"/>
        <w:adjustRightInd w:val="0"/>
        <w:spacing w:line="240" w:lineRule="auto"/>
        <w:textAlignment w:val="baseline"/>
        <w:rPr>
          <w:snapToGrid/>
          <w:szCs w:val="22"/>
          <w:u w:val="single"/>
          <w:lang w:val="lt-LT" w:eastAsia="de-DE"/>
        </w:rPr>
      </w:pPr>
      <w:r>
        <w:rPr>
          <w:snapToGrid/>
          <w:szCs w:val="24"/>
          <w:u w:val="single"/>
          <w:lang w:val="lt-LT" w:eastAsia="de-DE"/>
        </w:rPr>
        <w:t xml:space="preserve">Gyvos </w:t>
      </w:r>
      <w:proofErr w:type="spellStart"/>
      <w:r>
        <w:rPr>
          <w:snapToGrid/>
          <w:szCs w:val="24"/>
          <w:u w:val="single"/>
          <w:lang w:val="lt-LT" w:eastAsia="de-DE"/>
        </w:rPr>
        <w:t>susilpnintos</w:t>
      </w:r>
      <w:proofErr w:type="spellEnd"/>
      <w:r w:rsidR="00F02A87" w:rsidRPr="00561601">
        <w:rPr>
          <w:snapToGrid/>
          <w:szCs w:val="24"/>
          <w:u w:val="single"/>
          <w:lang w:val="lt-LT" w:eastAsia="de-DE"/>
        </w:rPr>
        <w:t xml:space="preserve"> virusų vakcinos</w:t>
      </w:r>
    </w:p>
    <w:p w14:paraId="543DC588" w14:textId="4B4BF9FD"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 xml:space="preserve">Vartojant imunoglobuliną nuo mažiausiai 6 savaičių iki 3 mėnesių laikotarpį gali sumažėti </w:t>
      </w:r>
      <w:r w:rsidR="0013062A">
        <w:rPr>
          <w:snapToGrid/>
          <w:szCs w:val="24"/>
          <w:lang w:val="lt-LT" w:eastAsia="de-DE"/>
        </w:rPr>
        <w:t xml:space="preserve">gyvų </w:t>
      </w:r>
      <w:r w:rsidRPr="00561601">
        <w:rPr>
          <w:snapToGrid/>
          <w:szCs w:val="24"/>
          <w:lang w:val="lt-LT" w:eastAsia="de-DE"/>
        </w:rPr>
        <w:t xml:space="preserve">susilpnintų virusų vakcinų, pvz., tymų, raudonukės, kiaulytės ir vėjaraupių, veiksmingumas. Nuo šio vaistinio preparato skyrimo iki vakcinavimo gyvomis </w:t>
      </w:r>
      <w:proofErr w:type="spellStart"/>
      <w:r w:rsidRPr="00561601">
        <w:rPr>
          <w:snapToGrid/>
          <w:szCs w:val="24"/>
          <w:lang w:val="lt-LT" w:eastAsia="de-DE"/>
        </w:rPr>
        <w:t>susilpnintomis</w:t>
      </w:r>
      <w:proofErr w:type="spellEnd"/>
      <w:r w:rsidRPr="00561601">
        <w:rPr>
          <w:snapToGrid/>
          <w:szCs w:val="24"/>
          <w:lang w:val="lt-LT" w:eastAsia="de-DE"/>
        </w:rPr>
        <w:t xml:space="preserve"> virusų vakcinomis turi praeiti 3 mėnesiai. Tymų atveju šis susilpnėjimo laikotarpis gali užtrukti iki 1 metų. Todėl pacientams, </w:t>
      </w:r>
      <w:r w:rsidR="007A0B20">
        <w:rPr>
          <w:snapToGrid/>
          <w:szCs w:val="24"/>
          <w:lang w:val="lt-LT" w:eastAsia="de-DE"/>
        </w:rPr>
        <w:t>skiepijamiems</w:t>
      </w:r>
      <w:r w:rsidR="007A0B20" w:rsidRPr="00561601">
        <w:rPr>
          <w:snapToGrid/>
          <w:szCs w:val="24"/>
          <w:lang w:val="lt-LT" w:eastAsia="de-DE"/>
        </w:rPr>
        <w:t xml:space="preserve"> </w:t>
      </w:r>
      <w:r w:rsidRPr="00561601">
        <w:rPr>
          <w:snapToGrid/>
          <w:szCs w:val="24"/>
          <w:lang w:val="lt-LT" w:eastAsia="de-DE"/>
        </w:rPr>
        <w:t>vakcina nuo tymų, reikia atlikti antikūnų tyrimą.</w:t>
      </w:r>
    </w:p>
    <w:p w14:paraId="60CFCB0B" w14:textId="77777777"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p>
    <w:p w14:paraId="1EAD60A1" w14:textId="77777777" w:rsidR="00F02A87" w:rsidRPr="00561601" w:rsidRDefault="00F02A87" w:rsidP="00F02A87">
      <w:pPr>
        <w:tabs>
          <w:tab w:val="clear" w:pos="567"/>
        </w:tabs>
        <w:overflowPunct w:val="0"/>
        <w:autoSpaceDE w:val="0"/>
        <w:autoSpaceDN w:val="0"/>
        <w:adjustRightInd w:val="0"/>
        <w:spacing w:line="240" w:lineRule="auto"/>
        <w:jc w:val="both"/>
        <w:textAlignment w:val="baseline"/>
        <w:rPr>
          <w:snapToGrid/>
          <w:szCs w:val="22"/>
          <w:u w:val="single"/>
          <w:lang w:val="lt-LT" w:eastAsia="de-DE"/>
        </w:rPr>
      </w:pPr>
      <w:r w:rsidRPr="00561601">
        <w:rPr>
          <w:snapToGrid/>
          <w:szCs w:val="24"/>
          <w:u w:val="single"/>
          <w:lang w:val="lt-LT" w:eastAsia="de-DE"/>
        </w:rPr>
        <w:t>Kilpiniai diuretikai</w:t>
      </w:r>
    </w:p>
    <w:p w14:paraId="7C60CF16" w14:textId="77777777"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Vengti kartu vartoti kilpinių diuretikų.</w:t>
      </w:r>
    </w:p>
    <w:p w14:paraId="28F56D97" w14:textId="77777777" w:rsidR="00F02A87" w:rsidRPr="00561601" w:rsidRDefault="00F02A87" w:rsidP="00F34163">
      <w:pPr>
        <w:rPr>
          <w:lang w:val="lt-LT"/>
        </w:rPr>
      </w:pPr>
    </w:p>
    <w:p w14:paraId="6A79F13A" w14:textId="77777777" w:rsidR="00F34163" w:rsidRPr="00561601" w:rsidRDefault="00F34163" w:rsidP="00C30A9B">
      <w:pPr>
        <w:pStyle w:val="Antrat6"/>
        <w:tabs>
          <w:tab w:val="clear" w:pos="-720"/>
          <w:tab w:val="clear" w:pos="4536"/>
        </w:tabs>
        <w:suppressAutoHyphens w:val="0"/>
        <w:rPr>
          <w:rFonts w:eastAsia="Times New Roman"/>
          <w:noProof/>
          <w:snapToGrid w:val="0"/>
          <w:szCs w:val="24"/>
          <w:lang w:val="lt-LT"/>
        </w:rPr>
      </w:pPr>
      <w:r w:rsidRPr="00561601">
        <w:rPr>
          <w:rFonts w:eastAsia="Times New Roman"/>
          <w:noProof/>
          <w:snapToGrid w:val="0"/>
          <w:szCs w:val="24"/>
          <w:lang w:val="lt-LT"/>
        </w:rPr>
        <w:t>Vaikų populiacija</w:t>
      </w:r>
    </w:p>
    <w:p w14:paraId="632820D3" w14:textId="77777777" w:rsidR="00F34163" w:rsidRPr="00561601" w:rsidRDefault="00F02A87" w:rsidP="00F34163">
      <w:pPr>
        <w:rPr>
          <w:lang w:val="lt-LT"/>
        </w:rPr>
      </w:pPr>
      <w:r w:rsidRPr="00561601">
        <w:rPr>
          <w:lang w:val="lt-LT"/>
        </w:rPr>
        <w:t>Tikimasi, kad tokia pati sąveika, kaip minėta suaugusiesiems, gali pasireikšti ir vaikų populiacijoje.</w:t>
      </w:r>
    </w:p>
    <w:p w14:paraId="158027EE" w14:textId="77777777" w:rsidR="00F02A87" w:rsidRPr="00561601" w:rsidRDefault="00F02A87" w:rsidP="00F34163">
      <w:pPr>
        <w:rPr>
          <w:szCs w:val="24"/>
          <w:lang w:val="lt-LT"/>
        </w:rPr>
      </w:pPr>
    </w:p>
    <w:p w14:paraId="708890CD" w14:textId="77777777"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4.6</w:t>
      </w:r>
      <w:r w:rsidRPr="00561601">
        <w:rPr>
          <w:rFonts w:ascii="Times New Roman" w:hAnsi="Times New Roman"/>
          <w:sz w:val="22"/>
          <w:lang w:val="lt-LT"/>
        </w:rPr>
        <w:tab/>
        <w:t>Vaisingumas, nėštumo ir žindymo laikotarpis</w:t>
      </w:r>
    </w:p>
    <w:p w14:paraId="42280348" w14:textId="77777777" w:rsidR="00F34163" w:rsidRPr="00561601" w:rsidRDefault="00F34163" w:rsidP="00F34163">
      <w:pPr>
        <w:rPr>
          <w:szCs w:val="24"/>
          <w:lang w:val="lt-LT"/>
        </w:rPr>
      </w:pPr>
    </w:p>
    <w:p w14:paraId="1412AFE9" w14:textId="77777777" w:rsidR="00F34163" w:rsidRPr="00561601" w:rsidRDefault="00F34163" w:rsidP="00F34163">
      <w:pPr>
        <w:rPr>
          <w:color w:val="0D0D0D"/>
          <w:u w:val="single"/>
          <w:lang w:val="lt-LT"/>
        </w:rPr>
      </w:pPr>
      <w:r w:rsidRPr="00561601">
        <w:rPr>
          <w:color w:val="0D0D0D"/>
          <w:u w:val="single"/>
          <w:lang w:val="lt-LT"/>
        </w:rPr>
        <w:t>Nėštuma</w:t>
      </w:r>
      <w:r w:rsidR="00F02A87" w:rsidRPr="00561601">
        <w:rPr>
          <w:color w:val="0D0D0D"/>
          <w:u w:val="single"/>
          <w:lang w:val="lt-LT"/>
        </w:rPr>
        <w:t>s</w:t>
      </w:r>
    </w:p>
    <w:p w14:paraId="2BF32D73" w14:textId="7FCBE927"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 xml:space="preserve">Kontroliuojamais klinikiniais tyrimais nenustatyta, ar saugu vartoti šį vaistinį preparatą nėštumo laikotarpiu, todėl nėščioms moterims ir žindyvėms </w:t>
      </w:r>
      <w:r w:rsidR="001757A0" w:rsidRPr="00561601">
        <w:rPr>
          <w:snapToGrid/>
          <w:szCs w:val="24"/>
          <w:lang w:val="lt-LT" w:eastAsia="de-DE"/>
        </w:rPr>
        <w:t>j</w:t>
      </w:r>
      <w:r w:rsidR="001757A0">
        <w:rPr>
          <w:snapToGrid/>
          <w:szCs w:val="24"/>
          <w:lang w:val="lt-LT" w:eastAsia="de-DE"/>
        </w:rPr>
        <w:t>o</w:t>
      </w:r>
      <w:r w:rsidR="001757A0" w:rsidRPr="00561601">
        <w:rPr>
          <w:snapToGrid/>
          <w:szCs w:val="24"/>
          <w:lang w:val="lt-LT" w:eastAsia="de-DE"/>
        </w:rPr>
        <w:t xml:space="preserve"> </w:t>
      </w:r>
      <w:r w:rsidRPr="00561601">
        <w:rPr>
          <w:snapToGrid/>
          <w:szCs w:val="24"/>
          <w:lang w:val="lt-LT" w:eastAsia="de-DE"/>
        </w:rPr>
        <w:t xml:space="preserve">turi būti skiriama labai atsargiai. </w:t>
      </w:r>
    </w:p>
    <w:p w14:paraId="2B236A46" w14:textId="77777777"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p>
    <w:p w14:paraId="08B0BC93" w14:textId="77777777"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 xml:space="preserve">Nustatyta, kad </w:t>
      </w:r>
      <w:proofErr w:type="spellStart"/>
      <w:r w:rsidRPr="00561601">
        <w:rPr>
          <w:snapToGrid/>
          <w:szCs w:val="24"/>
          <w:lang w:val="lt-LT" w:eastAsia="de-DE"/>
        </w:rPr>
        <w:t>i.v</w:t>
      </w:r>
      <w:proofErr w:type="spellEnd"/>
      <w:r w:rsidRPr="00561601">
        <w:rPr>
          <w:snapToGrid/>
          <w:szCs w:val="24"/>
          <w:lang w:val="lt-LT" w:eastAsia="de-DE"/>
        </w:rPr>
        <w:t xml:space="preserve">. </w:t>
      </w:r>
      <w:proofErr w:type="spellStart"/>
      <w:r w:rsidRPr="00561601">
        <w:rPr>
          <w:snapToGrid/>
          <w:szCs w:val="24"/>
          <w:lang w:val="lt-LT" w:eastAsia="de-DE"/>
        </w:rPr>
        <w:t>Ig</w:t>
      </w:r>
      <w:proofErr w:type="spellEnd"/>
      <w:r w:rsidRPr="00561601">
        <w:rPr>
          <w:snapToGrid/>
          <w:szCs w:val="24"/>
          <w:lang w:val="lt-LT" w:eastAsia="de-DE"/>
        </w:rPr>
        <w:t xml:space="preserve"> vaistiniai preparatai prasiskverbia pro placentą, ypač trečiojo trimestro metu. Klinikinė patirtis vartojant imunoglobulinus, kuri vėliau patvirtinta duomenimis, gautais vartojant CMVIG, rodo, kad žalingas poveikis nėštumo eigai, vaisiui ir naujagimiui nėra tikėtinas. </w:t>
      </w:r>
    </w:p>
    <w:p w14:paraId="7F3F0F44" w14:textId="77777777" w:rsidR="00F02A87" w:rsidRPr="00561601" w:rsidRDefault="00F02A87" w:rsidP="00F34163">
      <w:pPr>
        <w:rPr>
          <w:color w:val="0D0D0D"/>
          <w:szCs w:val="24"/>
          <w:lang w:val="lt-LT"/>
        </w:rPr>
      </w:pPr>
    </w:p>
    <w:p w14:paraId="3139A8ED" w14:textId="77777777" w:rsidR="00F34163" w:rsidRPr="00561601" w:rsidRDefault="00F34163" w:rsidP="00F34163">
      <w:pPr>
        <w:rPr>
          <w:color w:val="0D0D0D"/>
          <w:u w:val="single"/>
          <w:lang w:val="lt-LT"/>
        </w:rPr>
      </w:pPr>
      <w:r w:rsidRPr="00561601">
        <w:rPr>
          <w:color w:val="0D0D0D"/>
          <w:u w:val="single"/>
          <w:lang w:val="lt-LT"/>
        </w:rPr>
        <w:t>Žindymas</w:t>
      </w:r>
    </w:p>
    <w:p w14:paraId="0C126471" w14:textId="4CBC8B62"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Imunoglobulinai išskiria</w:t>
      </w:r>
      <w:r w:rsidR="001757A0">
        <w:rPr>
          <w:snapToGrid/>
          <w:szCs w:val="24"/>
          <w:lang w:val="lt-LT" w:eastAsia="de-DE"/>
        </w:rPr>
        <w:t>mi</w:t>
      </w:r>
      <w:r w:rsidRPr="00561601">
        <w:rPr>
          <w:snapToGrid/>
          <w:szCs w:val="24"/>
          <w:lang w:val="lt-LT" w:eastAsia="de-DE"/>
        </w:rPr>
        <w:t xml:space="preserve"> į motinos pieną. Neigiamo poveikio žindomiems naujagimiams / kūdikiams nesitikima.</w:t>
      </w:r>
    </w:p>
    <w:p w14:paraId="38A3FC72" w14:textId="77777777" w:rsidR="00F02A87" w:rsidRPr="00561601" w:rsidRDefault="00F02A87" w:rsidP="00F34163">
      <w:pPr>
        <w:rPr>
          <w:color w:val="0D0D0D"/>
          <w:szCs w:val="24"/>
          <w:lang w:val="lt-LT"/>
        </w:rPr>
      </w:pPr>
    </w:p>
    <w:p w14:paraId="06188080" w14:textId="77777777" w:rsidR="00F34163" w:rsidRPr="00561601" w:rsidRDefault="00F34163" w:rsidP="00F34163">
      <w:pPr>
        <w:rPr>
          <w:color w:val="0D0D0D"/>
          <w:u w:val="single"/>
          <w:lang w:val="lt-LT"/>
        </w:rPr>
      </w:pPr>
      <w:r w:rsidRPr="00561601">
        <w:rPr>
          <w:color w:val="0D0D0D"/>
          <w:u w:val="single"/>
          <w:lang w:val="lt-LT"/>
        </w:rPr>
        <w:t>Vaisingumas</w:t>
      </w:r>
    </w:p>
    <w:p w14:paraId="7506753B" w14:textId="77777777" w:rsidR="00F02A87" w:rsidRPr="00561601" w:rsidRDefault="00F02A87" w:rsidP="00F02A87">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 xml:space="preserve">Klinikiniai imunoglobulinų tyrimai </w:t>
      </w:r>
      <w:r w:rsidR="00337870">
        <w:rPr>
          <w:snapToGrid/>
          <w:szCs w:val="24"/>
          <w:lang w:val="lt-LT" w:eastAsia="de-DE"/>
        </w:rPr>
        <w:t>r</w:t>
      </w:r>
      <w:r w:rsidRPr="00561601">
        <w:rPr>
          <w:snapToGrid/>
          <w:szCs w:val="24"/>
          <w:lang w:val="lt-LT" w:eastAsia="de-DE"/>
        </w:rPr>
        <w:t>odo, kad žalingas poveikis vaisingumui nėra tikėtinas.</w:t>
      </w:r>
    </w:p>
    <w:p w14:paraId="13CC4442" w14:textId="77777777" w:rsidR="00F34163" w:rsidRPr="00561601" w:rsidRDefault="00F34163" w:rsidP="00F34163">
      <w:pPr>
        <w:rPr>
          <w:szCs w:val="24"/>
          <w:lang w:val="lt-LT"/>
        </w:rPr>
      </w:pPr>
    </w:p>
    <w:p w14:paraId="1E635A24" w14:textId="77777777"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4.7</w:t>
      </w:r>
      <w:r w:rsidRPr="00561601">
        <w:rPr>
          <w:rFonts w:ascii="Times New Roman" w:hAnsi="Times New Roman"/>
          <w:sz w:val="22"/>
          <w:lang w:val="lt-LT"/>
        </w:rPr>
        <w:tab/>
        <w:t>Poveikis gebėjimui vairuoti ir valdyti mechanizmus</w:t>
      </w:r>
    </w:p>
    <w:p w14:paraId="6485D976" w14:textId="77777777" w:rsidR="00F34163" w:rsidRPr="00561601" w:rsidRDefault="00F34163" w:rsidP="00F34163">
      <w:pPr>
        <w:rPr>
          <w:szCs w:val="24"/>
          <w:lang w:val="lt-LT"/>
        </w:rPr>
      </w:pPr>
    </w:p>
    <w:p w14:paraId="7DF48185" w14:textId="783BFF25" w:rsidR="00F34163" w:rsidRPr="00561601" w:rsidRDefault="00E47068" w:rsidP="00F34163">
      <w:pPr>
        <w:rPr>
          <w:szCs w:val="24"/>
          <w:lang w:val="lt-LT"/>
        </w:rPr>
      </w:pPr>
      <w:proofErr w:type="spellStart"/>
      <w:r>
        <w:rPr>
          <w:lang w:val="lt-LT"/>
        </w:rPr>
        <w:t>Cymvigo</w:t>
      </w:r>
      <w:proofErr w:type="spellEnd"/>
      <w:r w:rsidR="00F02A87" w:rsidRPr="00561601">
        <w:rPr>
          <w:lang w:val="lt-LT"/>
        </w:rPr>
        <w:t xml:space="preserve"> gebėjimą vairuoti ir valdyti mechanizmus veikia silpnai. Prieš vairuodami arba valdydami mechanizmus pacientai, kuriems gydymo metu pasireiškia nepageidaujamos reakcijos, turi palaukti, kol jos praeis.</w:t>
      </w:r>
    </w:p>
    <w:p w14:paraId="2819BC9C" w14:textId="77777777" w:rsidR="00F34163" w:rsidRPr="00561601" w:rsidRDefault="00F34163" w:rsidP="00F34163">
      <w:pPr>
        <w:rPr>
          <w:szCs w:val="24"/>
          <w:lang w:val="lt-LT"/>
        </w:rPr>
      </w:pPr>
    </w:p>
    <w:p w14:paraId="7E6578B8" w14:textId="77777777" w:rsidR="00F34163" w:rsidRPr="00561601" w:rsidRDefault="00F34163" w:rsidP="00F34163">
      <w:pPr>
        <w:spacing w:line="240" w:lineRule="auto"/>
        <w:outlineLvl w:val="0"/>
        <w:rPr>
          <w:lang w:val="lt-LT"/>
        </w:rPr>
      </w:pPr>
      <w:r w:rsidRPr="00561601">
        <w:rPr>
          <w:b/>
          <w:lang w:val="lt-LT"/>
        </w:rPr>
        <w:t>4.8</w:t>
      </w:r>
      <w:r w:rsidRPr="00561601">
        <w:rPr>
          <w:b/>
          <w:lang w:val="lt-LT"/>
        </w:rPr>
        <w:tab/>
        <w:t>Nepageidaujamas poveikis</w:t>
      </w:r>
    </w:p>
    <w:p w14:paraId="15D53910" w14:textId="77777777" w:rsidR="00F34163" w:rsidRPr="00561601" w:rsidRDefault="00F34163" w:rsidP="00F34163">
      <w:pPr>
        <w:rPr>
          <w:u w:val="single"/>
          <w:lang w:val="lt-LT"/>
        </w:rPr>
      </w:pPr>
    </w:p>
    <w:p w14:paraId="2FFAC500" w14:textId="77777777" w:rsidR="00F34163" w:rsidRPr="00561601" w:rsidRDefault="00F34163" w:rsidP="00F34163">
      <w:pPr>
        <w:rPr>
          <w:iCs/>
          <w:szCs w:val="22"/>
          <w:u w:val="single"/>
          <w:lang w:val="lt-LT" w:eastAsia="lt-LT"/>
        </w:rPr>
      </w:pPr>
      <w:r w:rsidRPr="00561601">
        <w:rPr>
          <w:iCs/>
          <w:szCs w:val="22"/>
          <w:u w:val="single"/>
          <w:lang w:val="lt-LT" w:eastAsia="lt-LT"/>
        </w:rPr>
        <w:t>Saugumo duomenų santrauka</w:t>
      </w:r>
    </w:p>
    <w:p w14:paraId="42644E97" w14:textId="2666504E" w:rsidR="00530EE0" w:rsidRPr="00561601" w:rsidRDefault="00530EE0" w:rsidP="00530EE0">
      <w:pPr>
        <w:shd w:val="clear" w:color="auto" w:fill="FFFFFF"/>
        <w:rPr>
          <w:szCs w:val="22"/>
          <w:lang w:val="lt-LT"/>
        </w:rPr>
      </w:pPr>
      <w:r w:rsidRPr="00561601">
        <w:rPr>
          <w:lang w:val="lt-LT"/>
        </w:rPr>
        <w:t>Nepageidaujamos reakcijos, kurias sukelia žmogaus normalieji imunoglobulinai (mažėjančio dažnio tvarka) (taip pat žr. 4.4 skyrių):</w:t>
      </w:r>
    </w:p>
    <w:p w14:paraId="1D27DC89" w14:textId="77777777" w:rsidR="00530EE0" w:rsidRPr="00561601" w:rsidRDefault="00530EE0" w:rsidP="00530EE0">
      <w:pPr>
        <w:pStyle w:val="Sraopastraipa"/>
        <w:numPr>
          <w:ilvl w:val="0"/>
          <w:numId w:val="9"/>
        </w:numPr>
        <w:shd w:val="clear" w:color="auto" w:fill="FFFFFF"/>
        <w:spacing w:after="0" w:line="240" w:lineRule="auto"/>
        <w:ind w:left="426"/>
        <w:rPr>
          <w:rFonts w:ascii="Times New Roman" w:eastAsia="Times New Roman" w:hAnsi="Times New Roman"/>
        </w:rPr>
      </w:pPr>
      <w:proofErr w:type="spellStart"/>
      <w:r w:rsidRPr="00561601">
        <w:rPr>
          <w:rFonts w:ascii="Times New Roman" w:hAnsi="Times New Roman"/>
        </w:rPr>
        <w:t>šaltkrėtis</w:t>
      </w:r>
      <w:proofErr w:type="spellEnd"/>
      <w:r w:rsidRPr="00561601">
        <w:rPr>
          <w:rFonts w:ascii="Times New Roman" w:hAnsi="Times New Roman"/>
        </w:rPr>
        <w:t>, galvos skausmas, svaigulys, karščiavimas, vėmimas, alerginės reakcijos, pykinimas, sąnarių skausmas, žemas kraujospūdis ir vidutinio stiprumo juosmens skausmas;</w:t>
      </w:r>
    </w:p>
    <w:p w14:paraId="1D4439E8" w14:textId="3E239468" w:rsidR="00530EE0" w:rsidRPr="00561601" w:rsidRDefault="00260E86" w:rsidP="00530EE0">
      <w:pPr>
        <w:pStyle w:val="Sraopastraipa"/>
        <w:numPr>
          <w:ilvl w:val="0"/>
          <w:numId w:val="9"/>
        </w:numPr>
        <w:shd w:val="clear" w:color="auto" w:fill="FFFFFF"/>
        <w:spacing w:after="0" w:line="240" w:lineRule="auto"/>
        <w:ind w:left="426"/>
        <w:rPr>
          <w:rFonts w:ascii="Times New Roman" w:eastAsia="Times New Roman" w:hAnsi="Times New Roman"/>
        </w:rPr>
      </w:pPr>
      <w:r>
        <w:rPr>
          <w:rFonts w:ascii="Times New Roman" w:hAnsi="Times New Roman"/>
        </w:rPr>
        <w:t>laikinos</w:t>
      </w:r>
      <w:r w:rsidRPr="00561601">
        <w:rPr>
          <w:rFonts w:ascii="Times New Roman" w:hAnsi="Times New Roman"/>
        </w:rPr>
        <w:t xml:space="preserve"> </w:t>
      </w:r>
      <w:r w:rsidR="00530EE0" w:rsidRPr="00561601">
        <w:rPr>
          <w:rFonts w:ascii="Times New Roman" w:hAnsi="Times New Roman"/>
        </w:rPr>
        <w:t>hemolizinės reakcijos, ypač pacientams, kurių kraujo grupė yra A, B, arba AB, ir (retai) hemolizinė anemija, dėl kurios reikia kraujo perpylimo;</w:t>
      </w:r>
    </w:p>
    <w:p w14:paraId="5D6E2D5B" w14:textId="76012BFA" w:rsidR="00530EE0" w:rsidRPr="00561601" w:rsidRDefault="00530EE0" w:rsidP="00530EE0">
      <w:pPr>
        <w:pStyle w:val="Sraopastraipa"/>
        <w:numPr>
          <w:ilvl w:val="0"/>
          <w:numId w:val="9"/>
        </w:numPr>
        <w:shd w:val="clear" w:color="auto" w:fill="FFFFFF"/>
        <w:spacing w:after="0" w:line="240" w:lineRule="auto"/>
        <w:ind w:left="426"/>
        <w:rPr>
          <w:rFonts w:ascii="Times New Roman" w:eastAsia="Times New Roman" w:hAnsi="Times New Roman"/>
        </w:rPr>
      </w:pPr>
      <w:r w:rsidRPr="00561601">
        <w:rPr>
          <w:rFonts w:ascii="Times New Roman" w:hAnsi="Times New Roman"/>
        </w:rPr>
        <w:t xml:space="preserve">(retai) staigus kraujospūdžio kritimas, pavieniais atvejais anafilaksinis šokas, net jei anksčiau vartojant </w:t>
      </w:r>
      <w:r w:rsidR="001757A0">
        <w:rPr>
          <w:rFonts w:ascii="Times New Roman" w:hAnsi="Times New Roman"/>
        </w:rPr>
        <w:t xml:space="preserve">vaistinio </w:t>
      </w:r>
      <w:r w:rsidR="001757A0" w:rsidRPr="00561601">
        <w:rPr>
          <w:rFonts w:ascii="Times New Roman" w:hAnsi="Times New Roman"/>
        </w:rPr>
        <w:t>preparat</w:t>
      </w:r>
      <w:r w:rsidR="001757A0">
        <w:rPr>
          <w:rFonts w:ascii="Times New Roman" w:hAnsi="Times New Roman"/>
        </w:rPr>
        <w:t>o</w:t>
      </w:r>
      <w:r w:rsidR="001757A0" w:rsidRPr="00561601">
        <w:rPr>
          <w:rFonts w:ascii="Times New Roman" w:hAnsi="Times New Roman"/>
        </w:rPr>
        <w:t xml:space="preserve"> </w:t>
      </w:r>
      <w:r w:rsidRPr="00561601">
        <w:rPr>
          <w:rFonts w:ascii="Times New Roman" w:hAnsi="Times New Roman"/>
        </w:rPr>
        <w:t>nebuvo nustatytas padidėjęs paciento jautrumas;</w:t>
      </w:r>
    </w:p>
    <w:p w14:paraId="66CEDF1D" w14:textId="77777777" w:rsidR="00530EE0" w:rsidRPr="00561601" w:rsidRDefault="00530EE0" w:rsidP="00530EE0">
      <w:pPr>
        <w:pStyle w:val="Sraopastraipa"/>
        <w:numPr>
          <w:ilvl w:val="0"/>
          <w:numId w:val="9"/>
        </w:numPr>
        <w:shd w:val="clear" w:color="auto" w:fill="FFFFFF"/>
        <w:spacing w:after="0" w:line="240" w:lineRule="auto"/>
        <w:ind w:left="426"/>
        <w:rPr>
          <w:rFonts w:ascii="Times New Roman" w:eastAsia="Times New Roman" w:hAnsi="Times New Roman"/>
        </w:rPr>
      </w:pPr>
      <w:r w:rsidRPr="00561601">
        <w:rPr>
          <w:rFonts w:ascii="Times New Roman" w:hAnsi="Times New Roman"/>
        </w:rPr>
        <w:t>(retai) trumpalaikės odos reakcijos (įskaitant odos raudonąją vilkligę</w:t>
      </w:r>
      <w:r w:rsidR="005C5CB6">
        <w:rPr>
          <w:rFonts w:ascii="Times New Roman" w:hAnsi="Times New Roman"/>
        </w:rPr>
        <w:t xml:space="preserve">, </w:t>
      </w:r>
      <w:r w:rsidRPr="00561601">
        <w:rPr>
          <w:rFonts w:ascii="Times New Roman" w:hAnsi="Times New Roman"/>
        </w:rPr>
        <w:t>dažnis nežinomas);</w:t>
      </w:r>
    </w:p>
    <w:p w14:paraId="29523A52" w14:textId="77777777" w:rsidR="00530EE0" w:rsidRPr="00561601" w:rsidRDefault="00530EE0" w:rsidP="00530EE0">
      <w:pPr>
        <w:pStyle w:val="Sraopastraipa"/>
        <w:numPr>
          <w:ilvl w:val="0"/>
          <w:numId w:val="9"/>
        </w:numPr>
        <w:shd w:val="clear" w:color="auto" w:fill="FFFFFF"/>
        <w:spacing w:after="0" w:line="240" w:lineRule="auto"/>
        <w:ind w:left="426"/>
        <w:rPr>
          <w:rFonts w:ascii="Times New Roman" w:eastAsia="Times New Roman" w:hAnsi="Times New Roman"/>
        </w:rPr>
      </w:pPr>
      <w:r w:rsidRPr="00561601">
        <w:rPr>
          <w:rFonts w:ascii="Times New Roman" w:hAnsi="Times New Roman"/>
        </w:rPr>
        <w:t xml:space="preserve">(labai retai) </w:t>
      </w:r>
      <w:proofErr w:type="spellStart"/>
      <w:r w:rsidRPr="00561601">
        <w:rPr>
          <w:rFonts w:ascii="Times New Roman" w:hAnsi="Times New Roman"/>
        </w:rPr>
        <w:t>tromboembolinės</w:t>
      </w:r>
      <w:proofErr w:type="spellEnd"/>
      <w:r w:rsidRPr="00561601">
        <w:rPr>
          <w:rFonts w:ascii="Times New Roman" w:hAnsi="Times New Roman"/>
        </w:rPr>
        <w:t xml:space="preserve"> reakcijos, pvz., miokardo infarktas, insultas, plaučių embolija, giliųjų venų trombozė;</w:t>
      </w:r>
    </w:p>
    <w:p w14:paraId="52942D03" w14:textId="2600F9A0" w:rsidR="00530EE0" w:rsidRPr="00561601" w:rsidRDefault="00260E86" w:rsidP="00530EE0">
      <w:pPr>
        <w:pStyle w:val="Sraopastraipa"/>
        <w:numPr>
          <w:ilvl w:val="0"/>
          <w:numId w:val="9"/>
        </w:numPr>
        <w:shd w:val="clear" w:color="auto" w:fill="FFFFFF"/>
        <w:spacing w:after="0" w:line="240" w:lineRule="auto"/>
        <w:ind w:left="426"/>
        <w:rPr>
          <w:rFonts w:ascii="Times New Roman" w:eastAsia="Times New Roman" w:hAnsi="Times New Roman"/>
        </w:rPr>
      </w:pPr>
      <w:r>
        <w:rPr>
          <w:rFonts w:ascii="Times New Roman" w:hAnsi="Times New Roman"/>
        </w:rPr>
        <w:t>laikino</w:t>
      </w:r>
      <w:r w:rsidRPr="00561601">
        <w:rPr>
          <w:rFonts w:ascii="Times New Roman" w:hAnsi="Times New Roman"/>
        </w:rPr>
        <w:t xml:space="preserve"> </w:t>
      </w:r>
      <w:proofErr w:type="spellStart"/>
      <w:r w:rsidR="00530EE0" w:rsidRPr="00561601">
        <w:rPr>
          <w:rFonts w:ascii="Times New Roman" w:hAnsi="Times New Roman"/>
        </w:rPr>
        <w:t>aseptinio</w:t>
      </w:r>
      <w:proofErr w:type="spellEnd"/>
      <w:r w:rsidR="00530EE0" w:rsidRPr="00561601">
        <w:rPr>
          <w:rFonts w:ascii="Times New Roman" w:hAnsi="Times New Roman"/>
        </w:rPr>
        <w:t xml:space="preserve"> meningito atvejai;</w:t>
      </w:r>
    </w:p>
    <w:p w14:paraId="198FA209" w14:textId="77777777" w:rsidR="00530EE0" w:rsidRPr="00561601" w:rsidRDefault="00530EE0" w:rsidP="00530EE0">
      <w:pPr>
        <w:pStyle w:val="Sraopastraipa"/>
        <w:numPr>
          <w:ilvl w:val="0"/>
          <w:numId w:val="9"/>
        </w:numPr>
        <w:shd w:val="clear" w:color="auto" w:fill="FFFFFF"/>
        <w:spacing w:after="0" w:line="240" w:lineRule="auto"/>
        <w:ind w:left="426"/>
        <w:rPr>
          <w:rFonts w:ascii="Times New Roman" w:eastAsia="Times New Roman" w:hAnsi="Times New Roman"/>
        </w:rPr>
      </w:pPr>
      <w:r w:rsidRPr="00561601">
        <w:rPr>
          <w:rFonts w:ascii="Times New Roman" w:hAnsi="Times New Roman"/>
        </w:rPr>
        <w:t>kreatinino koncentracijos padidėjimo kraujo serume ir (arba) ūmaus inkstų nepakankamumo atvejai;</w:t>
      </w:r>
    </w:p>
    <w:p w14:paraId="3647F3DC" w14:textId="77777777" w:rsidR="00530EE0" w:rsidRPr="00561601" w:rsidRDefault="00530EE0" w:rsidP="00530EE0">
      <w:pPr>
        <w:pStyle w:val="Sraopastraipa"/>
        <w:numPr>
          <w:ilvl w:val="0"/>
          <w:numId w:val="9"/>
        </w:numPr>
        <w:shd w:val="clear" w:color="auto" w:fill="FFFFFF"/>
        <w:spacing w:after="0" w:line="240" w:lineRule="auto"/>
        <w:ind w:left="426"/>
        <w:rPr>
          <w:rFonts w:ascii="Times New Roman" w:eastAsia="Times New Roman" w:hAnsi="Times New Roman"/>
        </w:rPr>
      </w:pPr>
      <w:r w:rsidRPr="00561601">
        <w:rPr>
          <w:rFonts w:ascii="Times New Roman" w:hAnsi="Times New Roman"/>
        </w:rPr>
        <w:t>su transfuzija susijusio ūmaus plaučių pažeidimo (TRALI) atvejai.</w:t>
      </w:r>
    </w:p>
    <w:p w14:paraId="0163086E" w14:textId="77777777" w:rsidR="00530EE0" w:rsidRPr="00561601" w:rsidRDefault="00530EE0" w:rsidP="00530EE0">
      <w:pPr>
        <w:pStyle w:val="Sraopastraipa"/>
        <w:shd w:val="clear" w:color="auto" w:fill="FFFFFF"/>
        <w:spacing w:after="0" w:line="240" w:lineRule="auto"/>
        <w:ind w:left="0"/>
        <w:rPr>
          <w:rFonts w:ascii="Times New Roman" w:hAnsi="Times New Roman"/>
        </w:rPr>
      </w:pPr>
      <w:r w:rsidRPr="00561601">
        <w:rPr>
          <w:rFonts w:ascii="Times New Roman" w:hAnsi="Times New Roman"/>
        </w:rPr>
        <w:t>Saugumo informaciją, susijusią su užkrečiamųjų ligų sukėlėjais, žr. 4.4 skyriuje.</w:t>
      </w:r>
    </w:p>
    <w:p w14:paraId="4F471EB4" w14:textId="77777777" w:rsidR="00F02A87" w:rsidRPr="00561601" w:rsidRDefault="00F02A87" w:rsidP="00F34163">
      <w:pPr>
        <w:rPr>
          <w:iCs/>
          <w:szCs w:val="22"/>
          <w:lang w:val="lt-LT" w:eastAsia="lt-LT"/>
        </w:rPr>
      </w:pPr>
    </w:p>
    <w:p w14:paraId="7671C8D0" w14:textId="77777777" w:rsidR="00F34163" w:rsidRPr="00561601" w:rsidRDefault="00F34163" w:rsidP="00F34163">
      <w:pPr>
        <w:rPr>
          <w:iCs/>
          <w:szCs w:val="22"/>
          <w:u w:val="single"/>
          <w:lang w:val="lt-LT" w:eastAsia="lt-LT"/>
        </w:rPr>
      </w:pPr>
      <w:r w:rsidRPr="00561601">
        <w:rPr>
          <w:iCs/>
          <w:szCs w:val="22"/>
          <w:u w:val="single"/>
          <w:lang w:val="lt-LT" w:eastAsia="lt-LT"/>
        </w:rPr>
        <w:t>Nepageidaujamų reakcijų santrauka lentelėj</w:t>
      </w:r>
      <w:r w:rsidR="00530EE0" w:rsidRPr="00561601">
        <w:rPr>
          <w:iCs/>
          <w:szCs w:val="22"/>
          <w:u w:val="single"/>
          <w:lang w:val="lt-LT" w:eastAsia="lt-LT"/>
        </w:rPr>
        <w:t>e</w:t>
      </w:r>
    </w:p>
    <w:p w14:paraId="0631CEAC" w14:textId="442C8106" w:rsidR="00530EE0" w:rsidRPr="00561601" w:rsidRDefault="00530EE0" w:rsidP="00530EE0">
      <w:pPr>
        <w:tabs>
          <w:tab w:val="clear" w:pos="567"/>
        </w:tabs>
        <w:overflowPunct w:val="0"/>
        <w:autoSpaceDE w:val="0"/>
        <w:autoSpaceDN w:val="0"/>
        <w:adjustRightInd w:val="0"/>
        <w:spacing w:line="240" w:lineRule="auto"/>
        <w:textAlignment w:val="baseline"/>
        <w:rPr>
          <w:snapToGrid/>
          <w:szCs w:val="24"/>
          <w:lang w:val="lt-LT" w:eastAsia="de-DE"/>
        </w:rPr>
      </w:pPr>
      <w:r w:rsidRPr="00561601">
        <w:rPr>
          <w:snapToGrid/>
          <w:szCs w:val="24"/>
          <w:lang w:val="lt-LT" w:eastAsia="de-DE"/>
        </w:rPr>
        <w:t xml:space="preserve">Toliau pateikta lentelė sudaryta pagal </w:t>
      </w:r>
      <w:proofErr w:type="spellStart"/>
      <w:r w:rsidRPr="00561601">
        <w:rPr>
          <w:snapToGrid/>
          <w:szCs w:val="24"/>
          <w:lang w:val="lt-LT" w:eastAsia="de-DE"/>
        </w:rPr>
        <w:t>MedDRA</w:t>
      </w:r>
      <w:proofErr w:type="spellEnd"/>
      <w:r w:rsidRPr="00561601">
        <w:rPr>
          <w:snapToGrid/>
          <w:szCs w:val="24"/>
          <w:lang w:val="lt-LT" w:eastAsia="de-DE"/>
        </w:rPr>
        <w:t xml:space="preserve"> organų sistemų klases (OSK) ir </w:t>
      </w:r>
      <w:r w:rsidR="00260E86">
        <w:rPr>
          <w:snapToGrid/>
          <w:szCs w:val="24"/>
          <w:lang w:val="lt-LT" w:eastAsia="de-DE"/>
        </w:rPr>
        <w:t>tinkamiausią</w:t>
      </w:r>
      <w:r w:rsidR="00260E86" w:rsidRPr="00561601">
        <w:rPr>
          <w:snapToGrid/>
          <w:szCs w:val="24"/>
          <w:lang w:val="lt-LT" w:eastAsia="de-DE"/>
        </w:rPr>
        <w:t xml:space="preserve"> </w:t>
      </w:r>
      <w:r w:rsidRPr="00561601">
        <w:rPr>
          <w:snapToGrid/>
          <w:szCs w:val="24"/>
          <w:lang w:val="lt-LT" w:eastAsia="de-DE"/>
        </w:rPr>
        <w:t>terminą (</w:t>
      </w:r>
      <w:r w:rsidR="00260E86">
        <w:rPr>
          <w:snapToGrid/>
          <w:szCs w:val="24"/>
          <w:lang w:val="lt-LT" w:eastAsia="de-DE"/>
        </w:rPr>
        <w:t>T</w:t>
      </w:r>
      <w:r w:rsidR="00260E86" w:rsidRPr="00561601">
        <w:rPr>
          <w:snapToGrid/>
          <w:szCs w:val="24"/>
          <w:lang w:val="lt-LT" w:eastAsia="de-DE"/>
        </w:rPr>
        <w:t>T</w:t>
      </w:r>
      <w:r w:rsidRPr="00561601">
        <w:rPr>
          <w:snapToGrid/>
          <w:szCs w:val="24"/>
          <w:lang w:val="lt-LT" w:eastAsia="de-DE"/>
        </w:rPr>
        <w:t>).</w:t>
      </w:r>
    </w:p>
    <w:p w14:paraId="3FD260BF" w14:textId="77777777"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lang w:val="lt-LT" w:eastAsia="de-DE"/>
        </w:rPr>
      </w:pPr>
      <w:r w:rsidRPr="00561601">
        <w:rPr>
          <w:szCs w:val="22"/>
          <w:lang w:val="lt-LT"/>
        </w:rPr>
        <w:t xml:space="preserve">Nepageidaujamo poveikio </w:t>
      </w:r>
      <w:r w:rsidRPr="00561601">
        <w:rPr>
          <w:lang w:val="lt-LT"/>
        </w:rPr>
        <w:t>dažnis apibūdinamas taip: labai dažnas (≥ 1/10), dažnas (nuo ≥ 1/100 iki &lt; 1/10), nedažnas (nuo ≥ 1/1</w:t>
      </w:r>
      <w:r w:rsidR="00571571">
        <w:rPr>
          <w:lang w:val="lt-LT"/>
        </w:rPr>
        <w:t> </w:t>
      </w:r>
      <w:r w:rsidRPr="00561601">
        <w:rPr>
          <w:lang w:val="lt-LT"/>
        </w:rPr>
        <w:t>000 iki &lt; 1/100), retas (nuo ≥ 1/10</w:t>
      </w:r>
      <w:r w:rsidR="00571571">
        <w:rPr>
          <w:lang w:val="lt-LT"/>
        </w:rPr>
        <w:t> </w:t>
      </w:r>
      <w:r w:rsidRPr="00561601">
        <w:rPr>
          <w:lang w:val="lt-LT"/>
        </w:rPr>
        <w:t>000 iki &lt; 1/1</w:t>
      </w:r>
      <w:r w:rsidR="00571571">
        <w:rPr>
          <w:lang w:val="lt-LT"/>
        </w:rPr>
        <w:t> </w:t>
      </w:r>
      <w:r w:rsidRPr="00561601">
        <w:rPr>
          <w:lang w:val="lt-LT"/>
        </w:rPr>
        <w:t>000), labai retas (&lt; 1/10</w:t>
      </w:r>
      <w:r w:rsidR="00571571">
        <w:rPr>
          <w:lang w:val="lt-LT"/>
        </w:rPr>
        <w:t> </w:t>
      </w:r>
      <w:r w:rsidRPr="00561601">
        <w:rPr>
          <w:lang w:val="lt-LT"/>
        </w:rPr>
        <w:t>000) ir nežinomas (negali būti apskaičiuotas pagal turimus duomenis). Kiekvienoje dažnio grupėje nepageidaujamas poveikis pateikiama mažėjančio sunkumo tvarka.</w:t>
      </w:r>
    </w:p>
    <w:p w14:paraId="04D64513" w14:textId="77777777" w:rsidR="00530EE0" w:rsidRPr="00561601" w:rsidRDefault="00530EE0" w:rsidP="00F34163">
      <w:pPr>
        <w:rPr>
          <w:lang w:val="lt-LT"/>
        </w:rPr>
      </w:pPr>
    </w:p>
    <w:p w14:paraId="2B249A88" w14:textId="77777777" w:rsidR="00F34163" w:rsidRPr="00561601" w:rsidRDefault="00F34163" w:rsidP="00F34163">
      <w:pPr>
        <w:spacing w:line="240" w:lineRule="auto"/>
        <w:contextualSpacing/>
        <w:outlineLvl w:val="0"/>
        <w:rPr>
          <w:i/>
          <w:szCs w:val="22"/>
          <w:lang w:val="lt-LT"/>
        </w:rPr>
      </w:pPr>
      <w:r w:rsidRPr="00561601">
        <w:rPr>
          <w:i/>
          <w:szCs w:val="22"/>
          <w:lang w:val="lt-LT"/>
        </w:rPr>
        <w:t>Nepageidaujamos reakcijos, pastebėtos klinikinių tyrimų metu</w:t>
      </w:r>
    </w:p>
    <w:p w14:paraId="364928D3" w14:textId="77777777"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 xml:space="preserve">Su </w:t>
      </w:r>
      <w:proofErr w:type="spellStart"/>
      <w:r w:rsidRPr="00561601">
        <w:rPr>
          <w:snapToGrid/>
          <w:szCs w:val="24"/>
          <w:lang w:val="lt-LT" w:eastAsia="de-DE"/>
        </w:rPr>
        <w:t>Biotest</w:t>
      </w:r>
      <w:proofErr w:type="spellEnd"/>
      <w:r w:rsidRPr="00561601">
        <w:rPr>
          <w:snapToGrid/>
          <w:szCs w:val="24"/>
          <w:lang w:val="lt-LT" w:eastAsia="de-DE"/>
        </w:rPr>
        <w:t xml:space="preserve"> CMVIG vaistiniais preparatais atliktų </w:t>
      </w:r>
      <w:r w:rsidR="00571571">
        <w:rPr>
          <w:snapToGrid/>
          <w:szCs w:val="24"/>
          <w:lang w:val="lt-LT" w:eastAsia="de-DE"/>
        </w:rPr>
        <w:t>k</w:t>
      </w:r>
      <w:r w:rsidRPr="00561601">
        <w:rPr>
          <w:snapToGrid/>
          <w:szCs w:val="24"/>
          <w:lang w:val="lt-LT" w:eastAsia="de-DE"/>
        </w:rPr>
        <w:t xml:space="preserve">linikinių tyrimų programoje (3 klinikiniai tyrimai, viena dozė), kurioje iš viso dalyvavo 33 pacientai, su </w:t>
      </w:r>
      <w:proofErr w:type="spellStart"/>
      <w:r w:rsidRPr="00561601">
        <w:rPr>
          <w:snapToGrid/>
          <w:szCs w:val="24"/>
          <w:lang w:val="lt-LT" w:eastAsia="de-DE"/>
        </w:rPr>
        <w:t>Biotest</w:t>
      </w:r>
      <w:proofErr w:type="spellEnd"/>
      <w:r w:rsidRPr="00561601">
        <w:rPr>
          <w:snapToGrid/>
          <w:szCs w:val="24"/>
          <w:lang w:val="lt-LT" w:eastAsia="de-DE"/>
        </w:rPr>
        <w:t xml:space="preserve"> CMVIG vaistiniais preparatais susijusių nepageidaujamų reakcijų į vaistą nenustatyta.</w:t>
      </w:r>
    </w:p>
    <w:p w14:paraId="2FB00331" w14:textId="77777777" w:rsidR="00530EE0" w:rsidRPr="00561601" w:rsidRDefault="00530EE0" w:rsidP="00F34163">
      <w:pPr>
        <w:tabs>
          <w:tab w:val="clear" w:pos="567"/>
        </w:tabs>
        <w:autoSpaceDE w:val="0"/>
        <w:spacing w:line="240" w:lineRule="auto"/>
        <w:contextualSpacing/>
        <w:rPr>
          <w:lang w:val="lt-LT"/>
        </w:rPr>
      </w:pPr>
    </w:p>
    <w:p w14:paraId="0E772ECB" w14:textId="77777777" w:rsidR="00530EE0" w:rsidRPr="00561601" w:rsidRDefault="00530EE0" w:rsidP="00530EE0">
      <w:pPr>
        <w:tabs>
          <w:tab w:val="clear" w:pos="567"/>
        </w:tabs>
        <w:overflowPunct w:val="0"/>
        <w:autoSpaceDE w:val="0"/>
        <w:autoSpaceDN w:val="0"/>
        <w:adjustRightInd w:val="0"/>
        <w:spacing w:line="240" w:lineRule="auto"/>
        <w:textAlignment w:val="baseline"/>
        <w:rPr>
          <w:i/>
          <w:snapToGrid/>
          <w:szCs w:val="24"/>
          <w:lang w:val="lt-LT" w:eastAsia="de-DE"/>
        </w:rPr>
      </w:pPr>
      <w:r w:rsidRPr="00561601">
        <w:rPr>
          <w:i/>
          <w:snapToGrid/>
          <w:szCs w:val="24"/>
          <w:lang w:val="lt-LT" w:eastAsia="de-DE"/>
        </w:rPr>
        <w:t>Nepageidaujamos reakcijos, nustatytos vaistinį preparatą pateikus į rinką (dažnis nežinomas – negali būti apskaičiuotas pagal turimus duomenis):</w:t>
      </w:r>
    </w:p>
    <w:p w14:paraId="0D4AD9DF" w14:textId="77777777"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lang w:val="lt-LT" w:eastAsia="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8"/>
        <w:gridCol w:w="4920"/>
      </w:tblGrid>
      <w:tr w:rsidR="00530EE0" w:rsidRPr="00561601" w14:paraId="45AE5A49" w14:textId="77777777" w:rsidTr="004979B2">
        <w:trPr>
          <w:trHeight w:val="516"/>
        </w:trPr>
        <w:tc>
          <w:tcPr>
            <w:tcW w:w="3588" w:type="dxa"/>
            <w:shd w:val="clear" w:color="auto" w:fill="auto"/>
          </w:tcPr>
          <w:p w14:paraId="0B94F55D" w14:textId="77777777" w:rsidR="00530EE0" w:rsidRPr="00561601" w:rsidRDefault="00530EE0" w:rsidP="00AD6D6C">
            <w:pPr>
              <w:rPr>
                <w:rFonts w:cs="Calibri"/>
                <w:b/>
                <w:szCs w:val="22"/>
                <w:lang w:val="lt-LT"/>
              </w:rPr>
            </w:pPr>
            <w:proofErr w:type="spellStart"/>
            <w:r w:rsidRPr="00561601">
              <w:rPr>
                <w:rFonts w:cs="Calibri"/>
                <w:b/>
                <w:lang w:val="lt-LT"/>
              </w:rPr>
              <w:t>MedDRA</w:t>
            </w:r>
            <w:proofErr w:type="spellEnd"/>
            <w:r w:rsidRPr="00561601">
              <w:rPr>
                <w:rFonts w:cs="Calibri"/>
                <w:b/>
                <w:lang w:val="lt-LT"/>
              </w:rPr>
              <w:t xml:space="preserve"> organų sistemų klasė</w:t>
            </w:r>
          </w:p>
        </w:tc>
        <w:tc>
          <w:tcPr>
            <w:tcW w:w="4920" w:type="dxa"/>
            <w:shd w:val="clear" w:color="auto" w:fill="auto"/>
          </w:tcPr>
          <w:p w14:paraId="6C95B0D9" w14:textId="77777777" w:rsidR="00530EE0" w:rsidRPr="00561601" w:rsidRDefault="00530EE0" w:rsidP="00AD6D6C">
            <w:pPr>
              <w:rPr>
                <w:rFonts w:cs="Calibri"/>
                <w:b/>
                <w:szCs w:val="22"/>
                <w:lang w:val="lt-LT"/>
              </w:rPr>
            </w:pPr>
            <w:r w:rsidRPr="00561601">
              <w:rPr>
                <w:rFonts w:cs="Calibri"/>
                <w:b/>
                <w:lang w:val="lt-LT"/>
              </w:rPr>
              <w:t>Nepageidaujamos reakcijos</w:t>
            </w:r>
          </w:p>
        </w:tc>
      </w:tr>
      <w:tr w:rsidR="00530EE0" w:rsidRPr="00561601" w14:paraId="2390882C" w14:textId="77777777" w:rsidTr="004979B2">
        <w:trPr>
          <w:trHeight w:val="516"/>
        </w:trPr>
        <w:tc>
          <w:tcPr>
            <w:tcW w:w="3588" w:type="dxa"/>
            <w:shd w:val="clear" w:color="auto" w:fill="auto"/>
          </w:tcPr>
          <w:p w14:paraId="4CCA7A43" w14:textId="77777777" w:rsidR="00530EE0" w:rsidRPr="00561601" w:rsidRDefault="00530EE0" w:rsidP="00AD6D6C">
            <w:pPr>
              <w:rPr>
                <w:rFonts w:cs="Calibri"/>
                <w:szCs w:val="22"/>
                <w:lang w:val="lt-LT"/>
              </w:rPr>
            </w:pPr>
            <w:r w:rsidRPr="00561601">
              <w:rPr>
                <w:rFonts w:cs="Calibri"/>
                <w:lang w:val="lt-LT"/>
              </w:rPr>
              <w:t>Kraujo ir limfinės sistemos sutrikimai</w:t>
            </w:r>
          </w:p>
        </w:tc>
        <w:tc>
          <w:tcPr>
            <w:tcW w:w="4920" w:type="dxa"/>
            <w:shd w:val="clear" w:color="auto" w:fill="auto"/>
          </w:tcPr>
          <w:p w14:paraId="0EC12AB8" w14:textId="77777777" w:rsidR="00530EE0" w:rsidRPr="00561601" w:rsidRDefault="00530EE0" w:rsidP="00AD6D6C">
            <w:pPr>
              <w:rPr>
                <w:rFonts w:cs="Calibri"/>
                <w:szCs w:val="22"/>
                <w:lang w:val="lt-LT"/>
              </w:rPr>
            </w:pPr>
            <w:r w:rsidRPr="00561601">
              <w:rPr>
                <w:rFonts w:cs="Calibri"/>
                <w:lang w:val="lt-LT"/>
              </w:rPr>
              <w:t>Hemolizinė anemija</w:t>
            </w:r>
          </w:p>
        </w:tc>
      </w:tr>
      <w:tr w:rsidR="00530EE0" w:rsidRPr="00227A69" w14:paraId="262DC8C7" w14:textId="77777777" w:rsidTr="004979B2">
        <w:trPr>
          <w:trHeight w:val="516"/>
        </w:trPr>
        <w:tc>
          <w:tcPr>
            <w:tcW w:w="3588" w:type="dxa"/>
            <w:shd w:val="clear" w:color="auto" w:fill="auto"/>
          </w:tcPr>
          <w:p w14:paraId="7AC4C3B7" w14:textId="77777777" w:rsidR="00530EE0" w:rsidRPr="00561601" w:rsidRDefault="00530EE0" w:rsidP="00AD6D6C">
            <w:pPr>
              <w:rPr>
                <w:rFonts w:cs="Calibri"/>
                <w:szCs w:val="22"/>
                <w:lang w:val="lt-LT"/>
              </w:rPr>
            </w:pPr>
            <w:r w:rsidRPr="00561601">
              <w:rPr>
                <w:rFonts w:cs="Calibri"/>
                <w:lang w:val="lt-LT"/>
              </w:rPr>
              <w:t>Imuninės sistemos sutrikimai</w:t>
            </w:r>
          </w:p>
        </w:tc>
        <w:tc>
          <w:tcPr>
            <w:tcW w:w="4920" w:type="dxa"/>
            <w:shd w:val="clear" w:color="auto" w:fill="auto"/>
          </w:tcPr>
          <w:p w14:paraId="69954B79" w14:textId="77777777" w:rsidR="00530EE0" w:rsidRPr="00561601" w:rsidRDefault="00530EE0" w:rsidP="00AD6D6C">
            <w:pPr>
              <w:rPr>
                <w:rFonts w:cs="Calibri"/>
                <w:szCs w:val="22"/>
                <w:lang w:val="lt-LT"/>
              </w:rPr>
            </w:pPr>
            <w:r w:rsidRPr="00561601">
              <w:rPr>
                <w:rFonts w:cs="Calibri"/>
                <w:lang w:val="lt-LT"/>
              </w:rPr>
              <w:t xml:space="preserve">Anafilaksinis šokas, anafilaksinė reakcija, </w:t>
            </w:r>
            <w:proofErr w:type="spellStart"/>
            <w:r w:rsidRPr="00561601">
              <w:rPr>
                <w:rFonts w:cs="Calibri"/>
                <w:lang w:val="lt-LT"/>
              </w:rPr>
              <w:t>anafilaktoidinė</w:t>
            </w:r>
            <w:proofErr w:type="spellEnd"/>
            <w:r w:rsidRPr="00561601">
              <w:rPr>
                <w:rFonts w:cs="Calibri"/>
                <w:lang w:val="lt-LT"/>
              </w:rPr>
              <w:t xml:space="preserve"> reakcija, padidėjęs jautrumas </w:t>
            </w:r>
          </w:p>
          <w:p w14:paraId="1F7D54E0" w14:textId="77777777" w:rsidR="00530EE0" w:rsidRPr="00561601" w:rsidRDefault="00530EE0" w:rsidP="00AD6D6C">
            <w:pPr>
              <w:rPr>
                <w:rFonts w:cs="Calibri"/>
                <w:szCs w:val="22"/>
                <w:lang w:val="lt-LT"/>
              </w:rPr>
            </w:pPr>
          </w:p>
        </w:tc>
      </w:tr>
      <w:tr w:rsidR="00530EE0" w:rsidRPr="00561601" w14:paraId="1A5E27A8" w14:textId="77777777" w:rsidTr="004979B2">
        <w:trPr>
          <w:trHeight w:val="516"/>
        </w:trPr>
        <w:tc>
          <w:tcPr>
            <w:tcW w:w="3588" w:type="dxa"/>
            <w:shd w:val="clear" w:color="auto" w:fill="auto"/>
          </w:tcPr>
          <w:p w14:paraId="457C44FF" w14:textId="77777777" w:rsidR="00530EE0" w:rsidRPr="00561601" w:rsidRDefault="00530EE0" w:rsidP="00AD6D6C">
            <w:pPr>
              <w:rPr>
                <w:rFonts w:cs="Calibri"/>
                <w:szCs w:val="22"/>
                <w:lang w:val="lt-LT"/>
              </w:rPr>
            </w:pPr>
            <w:r w:rsidRPr="00561601">
              <w:rPr>
                <w:rFonts w:cs="Calibri"/>
                <w:lang w:val="lt-LT"/>
              </w:rPr>
              <w:t>Nervų sistemos sutrikimai</w:t>
            </w:r>
          </w:p>
        </w:tc>
        <w:tc>
          <w:tcPr>
            <w:tcW w:w="4920" w:type="dxa"/>
            <w:shd w:val="clear" w:color="auto" w:fill="auto"/>
          </w:tcPr>
          <w:p w14:paraId="4B6FC826" w14:textId="77777777" w:rsidR="00530EE0" w:rsidRPr="00561601" w:rsidRDefault="00530EE0" w:rsidP="00AD6D6C">
            <w:pPr>
              <w:rPr>
                <w:rFonts w:cs="Calibri"/>
                <w:szCs w:val="22"/>
                <w:lang w:val="lt-LT"/>
              </w:rPr>
            </w:pPr>
            <w:r w:rsidRPr="00561601">
              <w:rPr>
                <w:rFonts w:cs="Calibri"/>
                <w:lang w:val="lt-LT"/>
              </w:rPr>
              <w:t>Galvos skausmas, svaigulys</w:t>
            </w:r>
          </w:p>
        </w:tc>
      </w:tr>
      <w:tr w:rsidR="00530EE0" w:rsidRPr="00561601" w14:paraId="2FAA0562" w14:textId="77777777" w:rsidTr="004979B2">
        <w:trPr>
          <w:trHeight w:val="516"/>
        </w:trPr>
        <w:tc>
          <w:tcPr>
            <w:tcW w:w="3588" w:type="dxa"/>
            <w:shd w:val="clear" w:color="auto" w:fill="auto"/>
          </w:tcPr>
          <w:p w14:paraId="2924274F" w14:textId="77777777" w:rsidR="00530EE0" w:rsidRPr="00561601" w:rsidRDefault="00530EE0" w:rsidP="00AD6D6C">
            <w:pPr>
              <w:rPr>
                <w:rFonts w:cs="Calibri"/>
                <w:szCs w:val="22"/>
                <w:lang w:val="lt-LT"/>
              </w:rPr>
            </w:pPr>
            <w:r w:rsidRPr="00561601">
              <w:rPr>
                <w:rFonts w:cs="Calibri"/>
                <w:lang w:val="lt-LT"/>
              </w:rPr>
              <w:t>Virškinimo trakto sutrikimai</w:t>
            </w:r>
          </w:p>
        </w:tc>
        <w:tc>
          <w:tcPr>
            <w:tcW w:w="4920" w:type="dxa"/>
            <w:shd w:val="clear" w:color="auto" w:fill="auto"/>
          </w:tcPr>
          <w:p w14:paraId="6B04BBEB" w14:textId="77777777" w:rsidR="00530EE0" w:rsidRPr="00561601" w:rsidRDefault="00530EE0" w:rsidP="00AD6D6C">
            <w:pPr>
              <w:rPr>
                <w:rFonts w:cs="Calibri"/>
                <w:szCs w:val="22"/>
                <w:lang w:val="lt-LT"/>
              </w:rPr>
            </w:pPr>
            <w:r w:rsidRPr="00561601">
              <w:rPr>
                <w:rFonts w:cs="Calibri"/>
                <w:lang w:val="lt-LT"/>
              </w:rPr>
              <w:t>Vėmimas</w:t>
            </w:r>
          </w:p>
        </w:tc>
      </w:tr>
      <w:tr w:rsidR="00530EE0" w:rsidRPr="00227A69" w14:paraId="2CBD0AA6" w14:textId="77777777" w:rsidTr="004979B2">
        <w:trPr>
          <w:trHeight w:val="516"/>
        </w:trPr>
        <w:tc>
          <w:tcPr>
            <w:tcW w:w="3588" w:type="dxa"/>
            <w:shd w:val="clear" w:color="auto" w:fill="auto"/>
          </w:tcPr>
          <w:p w14:paraId="289D405E" w14:textId="77777777" w:rsidR="00530EE0" w:rsidRPr="00561601" w:rsidRDefault="00530EE0" w:rsidP="00AD6D6C">
            <w:pPr>
              <w:rPr>
                <w:rFonts w:cs="Calibri"/>
                <w:szCs w:val="22"/>
                <w:lang w:val="lt-LT"/>
              </w:rPr>
            </w:pPr>
            <w:r w:rsidRPr="00561601">
              <w:rPr>
                <w:rFonts w:cs="Calibri"/>
                <w:lang w:val="lt-LT"/>
              </w:rPr>
              <w:t>Odos ir poodinio audinio sutrikimai</w:t>
            </w:r>
          </w:p>
        </w:tc>
        <w:tc>
          <w:tcPr>
            <w:tcW w:w="4920" w:type="dxa"/>
            <w:shd w:val="clear" w:color="auto" w:fill="auto"/>
          </w:tcPr>
          <w:p w14:paraId="33BB1FBB" w14:textId="2738B305" w:rsidR="00530EE0" w:rsidRPr="00561601" w:rsidRDefault="00260E86" w:rsidP="00AD6D6C">
            <w:pPr>
              <w:rPr>
                <w:rFonts w:cs="Calibri"/>
                <w:szCs w:val="22"/>
                <w:lang w:val="lt-LT"/>
              </w:rPr>
            </w:pPr>
            <w:r>
              <w:rPr>
                <w:rFonts w:cs="Calibri"/>
                <w:lang w:val="lt-LT"/>
              </w:rPr>
              <w:t>Išb</w:t>
            </w:r>
            <w:r w:rsidR="00530EE0" w:rsidRPr="00561601">
              <w:rPr>
                <w:rFonts w:cs="Calibri"/>
                <w:lang w:val="lt-LT"/>
              </w:rPr>
              <w:t xml:space="preserve">ėrimas, </w:t>
            </w:r>
            <w:proofErr w:type="spellStart"/>
            <w:r w:rsidR="00530EE0" w:rsidRPr="00561601">
              <w:rPr>
                <w:rFonts w:cs="Calibri"/>
                <w:lang w:val="lt-LT"/>
              </w:rPr>
              <w:t>eritema</w:t>
            </w:r>
            <w:proofErr w:type="spellEnd"/>
            <w:r w:rsidR="00530EE0" w:rsidRPr="00561601">
              <w:rPr>
                <w:rFonts w:cs="Calibri"/>
                <w:lang w:val="lt-LT"/>
              </w:rPr>
              <w:t xml:space="preserve">, </w:t>
            </w:r>
            <w:r w:rsidRPr="00561601">
              <w:rPr>
                <w:rFonts w:cs="Calibri"/>
                <w:lang w:val="lt-LT"/>
              </w:rPr>
              <w:t>vaistini</w:t>
            </w:r>
            <w:r>
              <w:rPr>
                <w:rFonts w:cs="Calibri"/>
                <w:lang w:val="lt-LT"/>
              </w:rPr>
              <w:t>o</w:t>
            </w:r>
            <w:r w:rsidRPr="00561601">
              <w:rPr>
                <w:rFonts w:cs="Calibri"/>
                <w:lang w:val="lt-LT"/>
              </w:rPr>
              <w:t xml:space="preserve"> preparat</w:t>
            </w:r>
            <w:r>
              <w:rPr>
                <w:rFonts w:cs="Calibri"/>
                <w:lang w:val="lt-LT"/>
              </w:rPr>
              <w:t>o</w:t>
            </w:r>
            <w:r w:rsidRPr="00561601">
              <w:rPr>
                <w:rFonts w:cs="Calibri"/>
                <w:lang w:val="lt-LT"/>
              </w:rPr>
              <w:t xml:space="preserve"> </w:t>
            </w:r>
            <w:r w:rsidR="00530EE0" w:rsidRPr="00561601">
              <w:rPr>
                <w:rFonts w:cs="Calibri"/>
                <w:lang w:val="lt-LT"/>
              </w:rPr>
              <w:t xml:space="preserve">sukeltas išbėrimas, niežėjimas </w:t>
            </w:r>
          </w:p>
        </w:tc>
      </w:tr>
      <w:tr w:rsidR="00530EE0" w:rsidRPr="00561601" w14:paraId="352F5767" w14:textId="77777777" w:rsidTr="004979B2">
        <w:trPr>
          <w:trHeight w:val="516"/>
        </w:trPr>
        <w:tc>
          <w:tcPr>
            <w:tcW w:w="3588" w:type="dxa"/>
            <w:shd w:val="clear" w:color="auto" w:fill="auto"/>
          </w:tcPr>
          <w:p w14:paraId="6B4E413E" w14:textId="77777777" w:rsidR="00530EE0" w:rsidRPr="00561601" w:rsidRDefault="00530EE0" w:rsidP="00AD6D6C">
            <w:pPr>
              <w:rPr>
                <w:rFonts w:cs="Calibri"/>
                <w:szCs w:val="22"/>
                <w:lang w:val="lt-LT"/>
              </w:rPr>
            </w:pPr>
            <w:r w:rsidRPr="00561601">
              <w:rPr>
                <w:rFonts w:cs="Calibri"/>
                <w:lang w:val="lt-LT"/>
              </w:rPr>
              <w:t>Skeleto, raumenų ir jungiamojo audinio sutrikimai</w:t>
            </w:r>
          </w:p>
        </w:tc>
        <w:tc>
          <w:tcPr>
            <w:tcW w:w="4920" w:type="dxa"/>
            <w:shd w:val="clear" w:color="auto" w:fill="auto"/>
          </w:tcPr>
          <w:p w14:paraId="3429D78B" w14:textId="77777777" w:rsidR="00530EE0" w:rsidRPr="00561601" w:rsidRDefault="00530EE0" w:rsidP="00AD6D6C">
            <w:pPr>
              <w:rPr>
                <w:rFonts w:cs="Calibri"/>
                <w:szCs w:val="22"/>
                <w:lang w:val="lt-LT"/>
              </w:rPr>
            </w:pPr>
            <w:proofErr w:type="spellStart"/>
            <w:r w:rsidRPr="00561601">
              <w:rPr>
                <w:rFonts w:cs="Calibri"/>
                <w:lang w:val="lt-LT"/>
              </w:rPr>
              <w:t>Artralgija</w:t>
            </w:r>
            <w:proofErr w:type="spellEnd"/>
          </w:p>
          <w:p w14:paraId="443EB840" w14:textId="77777777" w:rsidR="00530EE0" w:rsidRPr="00561601" w:rsidRDefault="00530EE0" w:rsidP="00AD6D6C">
            <w:pPr>
              <w:rPr>
                <w:rFonts w:cs="Calibri"/>
                <w:szCs w:val="22"/>
                <w:lang w:val="lt-LT"/>
              </w:rPr>
            </w:pPr>
          </w:p>
        </w:tc>
      </w:tr>
      <w:tr w:rsidR="00530EE0" w:rsidRPr="00561601" w14:paraId="191877C8" w14:textId="77777777" w:rsidTr="004979B2">
        <w:trPr>
          <w:trHeight w:val="516"/>
        </w:trPr>
        <w:tc>
          <w:tcPr>
            <w:tcW w:w="3588" w:type="dxa"/>
            <w:shd w:val="clear" w:color="auto" w:fill="auto"/>
          </w:tcPr>
          <w:p w14:paraId="7438D053" w14:textId="77777777" w:rsidR="00530EE0" w:rsidRPr="00561601" w:rsidRDefault="00530EE0" w:rsidP="00AD6D6C">
            <w:pPr>
              <w:rPr>
                <w:rFonts w:cs="Calibri"/>
                <w:szCs w:val="22"/>
                <w:lang w:val="lt-LT"/>
              </w:rPr>
            </w:pPr>
            <w:r w:rsidRPr="00561601">
              <w:rPr>
                <w:rFonts w:cs="Calibri"/>
                <w:lang w:val="lt-LT"/>
              </w:rPr>
              <w:t>Inkstų ir šlapimo takų sutrikimai</w:t>
            </w:r>
          </w:p>
        </w:tc>
        <w:tc>
          <w:tcPr>
            <w:tcW w:w="4920" w:type="dxa"/>
            <w:shd w:val="clear" w:color="auto" w:fill="auto"/>
          </w:tcPr>
          <w:p w14:paraId="429CEC0D" w14:textId="77777777" w:rsidR="00530EE0" w:rsidRPr="00561601" w:rsidRDefault="00530EE0" w:rsidP="00AD6D6C">
            <w:pPr>
              <w:rPr>
                <w:rFonts w:cs="Calibri"/>
                <w:szCs w:val="22"/>
                <w:lang w:val="lt-LT"/>
              </w:rPr>
            </w:pPr>
            <w:r w:rsidRPr="00561601">
              <w:rPr>
                <w:rFonts w:cs="Calibri"/>
                <w:lang w:val="lt-LT"/>
              </w:rPr>
              <w:t>Ūmus inkstų nepakankamumas</w:t>
            </w:r>
          </w:p>
        </w:tc>
      </w:tr>
      <w:tr w:rsidR="00530EE0" w:rsidRPr="00561601" w14:paraId="25C19747" w14:textId="77777777" w:rsidTr="004979B2">
        <w:trPr>
          <w:trHeight w:val="516"/>
        </w:trPr>
        <w:tc>
          <w:tcPr>
            <w:tcW w:w="3588" w:type="dxa"/>
            <w:shd w:val="clear" w:color="auto" w:fill="auto"/>
          </w:tcPr>
          <w:p w14:paraId="5AB7EAF4" w14:textId="77777777" w:rsidR="00530EE0" w:rsidRPr="00561601" w:rsidRDefault="00530EE0" w:rsidP="00AD6D6C">
            <w:pPr>
              <w:rPr>
                <w:rFonts w:cs="Calibri"/>
                <w:szCs w:val="22"/>
                <w:lang w:val="lt-LT"/>
              </w:rPr>
            </w:pPr>
            <w:r w:rsidRPr="00561601">
              <w:rPr>
                <w:rFonts w:cs="Calibri"/>
                <w:lang w:val="lt-LT"/>
              </w:rPr>
              <w:t>Bendrieji sutrikimai ir vartojimo vietos pažeidimai</w:t>
            </w:r>
          </w:p>
          <w:p w14:paraId="5CBD6E6D" w14:textId="77777777" w:rsidR="00530EE0" w:rsidRPr="00561601" w:rsidRDefault="00530EE0" w:rsidP="00AD6D6C">
            <w:pPr>
              <w:rPr>
                <w:rFonts w:cs="Calibri"/>
                <w:szCs w:val="22"/>
                <w:lang w:val="lt-LT"/>
              </w:rPr>
            </w:pPr>
          </w:p>
        </w:tc>
        <w:tc>
          <w:tcPr>
            <w:tcW w:w="4920" w:type="dxa"/>
            <w:shd w:val="clear" w:color="auto" w:fill="auto"/>
          </w:tcPr>
          <w:p w14:paraId="6A4238FE" w14:textId="77777777" w:rsidR="00530EE0" w:rsidRPr="00561601" w:rsidRDefault="00530EE0" w:rsidP="00AD6D6C">
            <w:pPr>
              <w:rPr>
                <w:rFonts w:cs="Calibri"/>
                <w:szCs w:val="22"/>
                <w:lang w:val="lt-LT"/>
              </w:rPr>
            </w:pPr>
            <w:proofErr w:type="spellStart"/>
            <w:r w:rsidRPr="00561601">
              <w:rPr>
                <w:rFonts w:cs="Calibri"/>
                <w:lang w:val="lt-LT"/>
              </w:rPr>
              <w:t>Šaltkrėtis</w:t>
            </w:r>
            <w:proofErr w:type="spellEnd"/>
            <w:r w:rsidRPr="00561601">
              <w:rPr>
                <w:rFonts w:cs="Calibri"/>
                <w:lang w:val="lt-LT"/>
              </w:rPr>
              <w:t>, karščiavimas, nuovargis</w:t>
            </w:r>
          </w:p>
          <w:p w14:paraId="0991499C" w14:textId="77777777" w:rsidR="00530EE0" w:rsidRPr="00561601" w:rsidRDefault="00530EE0" w:rsidP="00AD6D6C">
            <w:pPr>
              <w:rPr>
                <w:rFonts w:cs="Calibri"/>
                <w:szCs w:val="22"/>
                <w:lang w:val="lt-LT"/>
              </w:rPr>
            </w:pPr>
          </w:p>
        </w:tc>
      </w:tr>
      <w:tr w:rsidR="00530EE0" w:rsidRPr="00561601" w14:paraId="02791447" w14:textId="77777777" w:rsidTr="004979B2">
        <w:trPr>
          <w:trHeight w:val="516"/>
        </w:trPr>
        <w:tc>
          <w:tcPr>
            <w:tcW w:w="3588" w:type="dxa"/>
            <w:shd w:val="clear" w:color="auto" w:fill="auto"/>
          </w:tcPr>
          <w:p w14:paraId="0ED53BB7" w14:textId="77777777" w:rsidR="00530EE0" w:rsidRPr="00561601" w:rsidRDefault="00530EE0" w:rsidP="00AD6D6C">
            <w:pPr>
              <w:rPr>
                <w:rFonts w:cs="Calibri"/>
                <w:szCs w:val="22"/>
                <w:lang w:val="lt-LT"/>
              </w:rPr>
            </w:pPr>
            <w:r w:rsidRPr="00561601">
              <w:rPr>
                <w:rFonts w:cs="Calibri"/>
                <w:lang w:val="lt-LT"/>
              </w:rPr>
              <w:t>Tyrimai</w:t>
            </w:r>
          </w:p>
        </w:tc>
        <w:tc>
          <w:tcPr>
            <w:tcW w:w="4920" w:type="dxa"/>
            <w:shd w:val="clear" w:color="auto" w:fill="auto"/>
          </w:tcPr>
          <w:p w14:paraId="25608272" w14:textId="77777777" w:rsidR="00530EE0" w:rsidRPr="00561601" w:rsidRDefault="00530EE0" w:rsidP="00AD6D6C">
            <w:pPr>
              <w:rPr>
                <w:rFonts w:cs="Calibri"/>
                <w:szCs w:val="22"/>
                <w:lang w:val="lt-LT"/>
              </w:rPr>
            </w:pPr>
            <w:r w:rsidRPr="00561601">
              <w:rPr>
                <w:rFonts w:cs="Calibri"/>
                <w:lang w:val="lt-LT"/>
              </w:rPr>
              <w:t>Padidėjusi kreatinino koncentracija kraujyje</w:t>
            </w:r>
          </w:p>
        </w:tc>
      </w:tr>
    </w:tbl>
    <w:p w14:paraId="7A0B987E" w14:textId="77777777" w:rsidR="00530EE0" w:rsidRPr="00561601" w:rsidRDefault="00530EE0" w:rsidP="00530EE0">
      <w:pPr>
        <w:rPr>
          <w:szCs w:val="22"/>
          <w:u w:val="single"/>
          <w:lang w:val="lt-LT"/>
        </w:rPr>
      </w:pPr>
    </w:p>
    <w:p w14:paraId="29E61C87" w14:textId="77777777" w:rsidR="00F34163" w:rsidRPr="00561601" w:rsidRDefault="00F34163" w:rsidP="00F34163">
      <w:pPr>
        <w:autoSpaceDE w:val="0"/>
        <w:autoSpaceDN w:val="0"/>
        <w:adjustRightInd w:val="0"/>
        <w:jc w:val="both"/>
        <w:rPr>
          <w:szCs w:val="24"/>
          <w:u w:val="single"/>
          <w:lang w:val="lt-LT"/>
        </w:rPr>
      </w:pPr>
      <w:r w:rsidRPr="00561601">
        <w:rPr>
          <w:noProof/>
          <w:szCs w:val="24"/>
          <w:u w:val="single"/>
          <w:lang w:val="lt-LT"/>
        </w:rPr>
        <w:t>Pranešimas apie įtariamas nepageidaujamas reakcijas</w:t>
      </w:r>
    </w:p>
    <w:p w14:paraId="7BE13018" w14:textId="02F8FB11" w:rsidR="00F34163" w:rsidRPr="00561601" w:rsidRDefault="00D73BCB" w:rsidP="00774CA4">
      <w:pPr>
        <w:autoSpaceDE w:val="0"/>
        <w:autoSpaceDN w:val="0"/>
        <w:adjustRightInd w:val="0"/>
        <w:rPr>
          <w:noProof/>
          <w:szCs w:val="24"/>
          <w:lang w:val="lt-LT"/>
        </w:rPr>
      </w:pPr>
      <w:r w:rsidRPr="00E7565F">
        <w:rPr>
          <w:noProof/>
          <w:szCs w:val="24"/>
          <w:lang w:val="lt-LT"/>
        </w:rPr>
        <w:t>Svarbu pranešti apie įtariamas nepageidaujamas reakcijas, pastebėtas po vaistinio preparato registracijos, nes tai leidžia nuolat stebėti vaistinio preparato naudos ir rizikos santykį.</w:t>
      </w:r>
      <w:r w:rsidRPr="00E7565F">
        <w:rPr>
          <w:szCs w:val="24"/>
          <w:lang w:val="lt-LT"/>
        </w:rPr>
        <w:t xml:space="preserve"> </w:t>
      </w:r>
      <w:r w:rsidRPr="00E7565F">
        <w:rPr>
          <w:noProof/>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6" w:history="1">
        <w:r w:rsidRPr="00E7565F">
          <w:rPr>
            <w:noProof/>
            <w:color w:val="0000FF"/>
            <w:szCs w:val="24"/>
            <w:u w:val="single"/>
            <w:lang w:val="lt-LT"/>
          </w:rPr>
          <w:t>https://vapris.vvkt.lt/vvkt-web/public/nrvSpecialist</w:t>
        </w:r>
      </w:hyperlink>
      <w:r w:rsidRPr="00E7565F">
        <w:rPr>
          <w:noProof/>
          <w:szCs w:val="24"/>
          <w:lang w:val="lt-LT"/>
        </w:rPr>
        <w:t xml:space="preserve"> arba užpildę Sveikatos priežiūros ar farmacijos specialisto pranešimo apie įtariamą nepageidaujamą reakciją (ĮNR) formą, kuri skelbiama </w:t>
      </w:r>
      <w:hyperlink r:id="rId7" w:history="1">
        <w:r w:rsidRPr="00E7565F">
          <w:rPr>
            <w:noProof/>
            <w:color w:val="0000FF"/>
            <w:szCs w:val="24"/>
            <w:u w:val="single"/>
            <w:lang w:val="lt-LT"/>
          </w:rPr>
          <w:t>https://www.vvkt.lt/index.php?1399030386</w:t>
        </w:r>
      </w:hyperlink>
      <w:r w:rsidRPr="00E7565F">
        <w:rPr>
          <w:noProof/>
          <w:szCs w:val="24"/>
          <w:lang w:val="lt-LT"/>
        </w:rPr>
        <w:t>, ir atsiųsti elektroniniu paštu (adresu NepageidaujamaR@vvkt.lt).</w:t>
      </w:r>
    </w:p>
    <w:p w14:paraId="08FF0CBF" w14:textId="77777777" w:rsidR="00F34163" w:rsidRPr="00561601" w:rsidRDefault="00F34163" w:rsidP="00F34163">
      <w:pPr>
        <w:rPr>
          <w:szCs w:val="24"/>
          <w:lang w:val="lt-LT"/>
        </w:rPr>
      </w:pPr>
    </w:p>
    <w:p w14:paraId="3B98B0F6" w14:textId="77777777"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4.9</w:t>
      </w:r>
      <w:r w:rsidRPr="00561601">
        <w:rPr>
          <w:rFonts w:ascii="Times New Roman" w:hAnsi="Times New Roman"/>
          <w:sz w:val="22"/>
          <w:lang w:val="lt-LT"/>
        </w:rPr>
        <w:tab/>
        <w:t>Perdozavimas</w:t>
      </w:r>
    </w:p>
    <w:p w14:paraId="6BC9A255" w14:textId="77777777" w:rsidR="00F34163" w:rsidRPr="00561601" w:rsidRDefault="00F34163" w:rsidP="00F34163">
      <w:pPr>
        <w:rPr>
          <w:szCs w:val="24"/>
          <w:lang w:val="lt-LT"/>
        </w:rPr>
      </w:pPr>
    </w:p>
    <w:p w14:paraId="31659655" w14:textId="269DD40B"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 xml:space="preserve">Perdozavimas gali sukelti </w:t>
      </w:r>
      <w:r w:rsidR="00D60D86" w:rsidRPr="00561601">
        <w:rPr>
          <w:snapToGrid/>
          <w:szCs w:val="24"/>
          <w:lang w:val="lt-LT" w:eastAsia="de-DE"/>
        </w:rPr>
        <w:t>skysči</w:t>
      </w:r>
      <w:r w:rsidR="00D60D86">
        <w:rPr>
          <w:snapToGrid/>
          <w:szCs w:val="24"/>
          <w:lang w:val="lt-LT" w:eastAsia="de-DE"/>
        </w:rPr>
        <w:t>o</w:t>
      </w:r>
      <w:r w:rsidR="00D60D86" w:rsidRPr="00561601">
        <w:rPr>
          <w:snapToGrid/>
          <w:szCs w:val="24"/>
          <w:lang w:val="lt-LT" w:eastAsia="de-DE"/>
        </w:rPr>
        <w:t xml:space="preserve"> </w:t>
      </w:r>
      <w:r w:rsidRPr="00561601">
        <w:rPr>
          <w:snapToGrid/>
          <w:szCs w:val="24"/>
          <w:lang w:val="lt-LT" w:eastAsia="de-DE"/>
        </w:rPr>
        <w:t>perteklių organizme ir kraujo klampumo padidėjimą, ypač rizikos grupėje esantiems pacientams, įskaitant senyv</w:t>
      </w:r>
      <w:r w:rsidR="00D60D86">
        <w:rPr>
          <w:snapToGrid/>
          <w:szCs w:val="24"/>
          <w:lang w:val="lt-LT" w:eastAsia="de-DE"/>
        </w:rPr>
        <w:t>us</w:t>
      </w:r>
      <w:r w:rsidRPr="00561601">
        <w:rPr>
          <w:snapToGrid/>
          <w:szCs w:val="24"/>
          <w:lang w:val="lt-LT" w:eastAsia="de-DE"/>
        </w:rPr>
        <w:t xml:space="preserve"> pacientus arba pacientus, kurių širdies ar inkstų funkcija sutrikusi (žr. 4.4 skyrių).</w:t>
      </w:r>
    </w:p>
    <w:p w14:paraId="214513AC" w14:textId="77777777" w:rsidR="00F34163" w:rsidRPr="00561601" w:rsidRDefault="00F34163" w:rsidP="00F34163">
      <w:pPr>
        <w:rPr>
          <w:szCs w:val="24"/>
          <w:lang w:val="lt-LT"/>
        </w:rPr>
      </w:pPr>
    </w:p>
    <w:p w14:paraId="72106A53" w14:textId="77777777" w:rsidR="00F34163" w:rsidRPr="00561601" w:rsidRDefault="00F34163" w:rsidP="00F34163">
      <w:pPr>
        <w:rPr>
          <w:szCs w:val="24"/>
          <w:lang w:val="lt-LT"/>
        </w:rPr>
      </w:pPr>
    </w:p>
    <w:p w14:paraId="7ACBDEDF" w14:textId="77777777" w:rsidR="00F34163" w:rsidRPr="00561601" w:rsidRDefault="00F34163" w:rsidP="00F34163">
      <w:pPr>
        <w:pStyle w:val="Antrat3"/>
        <w:spacing w:before="0" w:after="0" w:line="240" w:lineRule="auto"/>
        <w:rPr>
          <w:rFonts w:ascii="Times New Roman" w:hAnsi="Times New Roman"/>
          <w:sz w:val="22"/>
          <w:lang w:val="lt-LT"/>
        </w:rPr>
      </w:pPr>
      <w:r w:rsidRPr="00561601">
        <w:rPr>
          <w:rFonts w:ascii="Times New Roman" w:hAnsi="Times New Roman"/>
          <w:sz w:val="22"/>
          <w:lang w:val="lt-LT"/>
        </w:rPr>
        <w:t>5.</w:t>
      </w:r>
      <w:r w:rsidRPr="00561601">
        <w:rPr>
          <w:rFonts w:ascii="Times New Roman" w:hAnsi="Times New Roman"/>
          <w:sz w:val="22"/>
          <w:lang w:val="lt-LT"/>
        </w:rPr>
        <w:tab/>
        <w:t>FARMAKOLOGINĖS SAVYBĖS</w:t>
      </w:r>
    </w:p>
    <w:p w14:paraId="7A32006D" w14:textId="77777777" w:rsidR="00F34163" w:rsidRPr="00561601" w:rsidRDefault="00F34163" w:rsidP="00F34163">
      <w:pPr>
        <w:rPr>
          <w:szCs w:val="24"/>
          <w:lang w:val="lt-LT"/>
        </w:rPr>
      </w:pPr>
    </w:p>
    <w:p w14:paraId="6B4759B2" w14:textId="77777777"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5.1</w:t>
      </w:r>
      <w:r w:rsidRPr="00561601">
        <w:rPr>
          <w:rFonts w:ascii="Times New Roman" w:hAnsi="Times New Roman"/>
          <w:bCs w:val="0"/>
          <w:sz w:val="22"/>
          <w:szCs w:val="24"/>
          <w:lang w:val="lt-LT"/>
        </w:rPr>
        <w:t xml:space="preserve"> </w:t>
      </w:r>
      <w:r w:rsidRPr="00561601">
        <w:rPr>
          <w:rFonts w:ascii="Times New Roman" w:hAnsi="Times New Roman"/>
          <w:sz w:val="22"/>
          <w:lang w:val="lt-LT"/>
        </w:rPr>
        <w:tab/>
      </w:r>
      <w:proofErr w:type="spellStart"/>
      <w:r w:rsidRPr="00561601">
        <w:rPr>
          <w:rFonts w:ascii="Times New Roman" w:hAnsi="Times New Roman"/>
          <w:sz w:val="22"/>
          <w:lang w:val="lt-LT"/>
        </w:rPr>
        <w:t>Farmakodinaminės</w:t>
      </w:r>
      <w:proofErr w:type="spellEnd"/>
      <w:r w:rsidRPr="00561601">
        <w:rPr>
          <w:rFonts w:ascii="Times New Roman" w:hAnsi="Times New Roman"/>
          <w:sz w:val="22"/>
          <w:lang w:val="lt-LT"/>
        </w:rPr>
        <w:t xml:space="preserve"> savybės</w:t>
      </w:r>
    </w:p>
    <w:p w14:paraId="2B48E47F" w14:textId="77777777" w:rsidR="00F34163" w:rsidRPr="00561601" w:rsidRDefault="00F34163" w:rsidP="00F34163">
      <w:pPr>
        <w:rPr>
          <w:szCs w:val="24"/>
          <w:lang w:val="lt-LT"/>
        </w:rPr>
      </w:pPr>
    </w:p>
    <w:p w14:paraId="2672A618" w14:textId="77777777" w:rsidR="00530EE0" w:rsidRPr="00561601" w:rsidRDefault="00530EE0" w:rsidP="00530EE0">
      <w:pPr>
        <w:rPr>
          <w:noProof/>
          <w:szCs w:val="24"/>
          <w:lang w:val="lt-LT"/>
        </w:rPr>
      </w:pPr>
      <w:r w:rsidRPr="00561601">
        <w:rPr>
          <w:noProof/>
          <w:szCs w:val="24"/>
          <w:lang w:val="lt-LT"/>
        </w:rPr>
        <w:t>Farmakoterapinė grupė – imuniniai serumai ir imunoglobulinai: specifiniai imunoglobulinai, ATC kodas – J06BB09.</w:t>
      </w:r>
    </w:p>
    <w:p w14:paraId="175AA4E9" w14:textId="77777777" w:rsidR="00530EE0" w:rsidRPr="00561601" w:rsidRDefault="00530EE0" w:rsidP="00530EE0">
      <w:pPr>
        <w:rPr>
          <w:noProof/>
          <w:szCs w:val="24"/>
          <w:lang w:val="lt-LT"/>
        </w:rPr>
      </w:pPr>
    </w:p>
    <w:p w14:paraId="0B754F59" w14:textId="4F883FF8" w:rsidR="00F34163" w:rsidRPr="00561601" w:rsidRDefault="00E47068" w:rsidP="00530EE0">
      <w:pPr>
        <w:rPr>
          <w:szCs w:val="24"/>
          <w:lang w:val="lt-LT"/>
        </w:rPr>
      </w:pPr>
      <w:r>
        <w:rPr>
          <w:noProof/>
          <w:szCs w:val="24"/>
          <w:lang w:val="lt-LT"/>
        </w:rPr>
        <w:t>Cymvigo</w:t>
      </w:r>
      <w:r w:rsidR="00530EE0" w:rsidRPr="00561601">
        <w:rPr>
          <w:noProof/>
          <w:szCs w:val="24"/>
          <w:lang w:val="lt-LT"/>
        </w:rPr>
        <w:t xml:space="preserve"> yra donorų plazmos imunoglobulino vaistinis preparatas, turintis didelį antikūnų titrą prieš CMV. Jame yra aiškus ir aukštas didelio avidiškumo antikūnų prieš CMV titras. Taip pat jame yra IgG antikūnų prieš kitus ligų sukėlėjus, aptinkamų pas daugelį normalių žmonių, kurie prisidėjo prie plazmos kaupinių, iš kurių buvo pagamintas šis vaist</w:t>
      </w:r>
      <w:r w:rsidR="00D60D86">
        <w:rPr>
          <w:noProof/>
          <w:szCs w:val="24"/>
          <w:lang w:val="lt-LT"/>
        </w:rPr>
        <w:t>i</w:t>
      </w:r>
      <w:r w:rsidR="00530EE0" w:rsidRPr="00561601">
        <w:rPr>
          <w:noProof/>
          <w:szCs w:val="24"/>
          <w:lang w:val="lt-LT"/>
        </w:rPr>
        <w:t>nis preparatas. Jo IgG poklasių pasiskirstymas yra artimas ir proporcingas natūralioje žmogaus plazmoje aptinkamai sudėčiai</w:t>
      </w:r>
      <w:r w:rsidR="001E037F">
        <w:rPr>
          <w:noProof/>
          <w:szCs w:val="24"/>
          <w:lang w:val="lt-LT"/>
        </w:rPr>
        <w:t>.</w:t>
      </w:r>
    </w:p>
    <w:p w14:paraId="2E71AE7F" w14:textId="77777777" w:rsidR="00F34163" w:rsidRPr="00561601" w:rsidRDefault="00F34163" w:rsidP="00F34163">
      <w:pPr>
        <w:rPr>
          <w:szCs w:val="24"/>
          <w:lang w:val="lt-LT"/>
        </w:rPr>
      </w:pPr>
    </w:p>
    <w:p w14:paraId="5A401B92" w14:textId="77777777" w:rsidR="00530EE0" w:rsidRPr="00561601" w:rsidRDefault="00530EE0" w:rsidP="00530EE0">
      <w:pPr>
        <w:tabs>
          <w:tab w:val="clear" w:pos="567"/>
        </w:tabs>
        <w:overflowPunct w:val="0"/>
        <w:autoSpaceDE w:val="0"/>
        <w:autoSpaceDN w:val="0"/>
        <w:adjustRightInd w:val="0"/>
        <w:spacing w:line="240" w:lineRule="auto"/>
        <w:textAlignment w:val="baseline"/>
        <w:rPr>
          <w:b/>
          <w:bCs/>
          <w:snapToGrid/>
          <w:szCs w:val="22"/>
          <w:lang w:val="lt-LT" w:eastAsia="de-DE"/>
        </w:rPr>
      </w:pPr>
      <w:r w:rsidRPr="00561601">
        <w:rPr>
          <w:b/>
          <w:bCs/>
          <w:snapToGrid/>
          <w:szCs w:val="24"/>
          <w:lang w:val="lt-LT" w:eastAsia="de-DE"/>
        </w:rPr>
        <w:t>Veikimo mechanizmas</w:t>
      </w:r>
    </w:p>
    <w:p w14:paraId="686E9D48" w14:textId="73CB5F2A" w:rsidR="00530EE0" w:rsidRPr="00561601" w:rsidRDefault="00E47068" w:rsidP="00530EE0">
      <w:pPr>
        <w:tabs>
          <w:tab w:val="clear" w:pos="567"/>
        </w:tabs>
        <w:overflowPunct w:val="0"/>
        <w:autoSpaceDE w:val="0"/>
        <w:autoSpaceDN w:val="0"/>
        <w:adjustRightInd w:val="0"/>
        <w:spacing w:line="240" w:lineRule="auto"/>
        <w:textAlignment w:val="baseline"/>
        <w:rPr>
          <w:snapToGrid/>
          <w:szCs w:val="22"/>
          <w:lang w:val="lt-LT" w:eastAsia="de-DE"/>
        </w:rPr>
      </w:pPr>
      <w:proofErr w:type="spellStart"/>
      <w:r>
        <w:rPr>
          <w:snapToGrid/>
          <w:szCs w:val="24"/>
          <w:lang w:val="lt-LT" w:eastAsia="de-DE"/>
        </w:rPr>
        <w:t>Cymvigo</w:t>
      </w:r>
      <w:proofErr w:type="spellEnd"/>
      <w:r w:rsidR="00530EE0" w:rsidRPr="00561601">
        <w:rPr>
          <w:snapToGrid/>
          <w:szCs w:val="24"/>
          <w:lang w:val="lt-LT" w:eastAsia="de-DE"/>
        </w:rPr>
        <w:t xml:space="preserve"> yra CMV specifinis </w:t>
      </w:r>
      <w:proofErr w:type="spellStart"/>
      <w:r w:rsidR="00530EE0" w:rsidRPr="00561601">
        <w:rPr>
          <w:snapToGrid/>
          <w:szCs w:val="24"/>
          <w:lang w:val="lt-LT" w:eastAsia="de-DE"/>
        </w:rPr>
        <w:t>polikloninis</w:t>
      </w:r>
      <w:proofErr w:type="spellEnd"/>
      <w:r w:rsidR="00530EE0" w:rsidRPr="00561601">
        <w:rPr>
          <w:snapToGrid/>
          <w:szCs w:val="24"/>
          <w:lang w:val="lt-LT" w:eastAsia="de-DE"/>
        </w:rPr>
        <w:t xml:space="preserve"> imunoglobulinas, kuris jungiasi prie CMV paviršiaus antigenų, taip neutralizuodamas CMV gebėjimą patekti į šeimininko ląsteles ir pateikti CMV dalelę </w:t>
      </w:r>
      <w:proofErr w:type="spellStart"/>
      <w:r w:rsidR="00530EE0" w:rsidRPr="00561601">
        <w:rPr>
          <w:snapToGrid/>
          <w:szCs w:val="24"/>
          <w:lang w:val="lt-LT" w:eastAsia="de-DE"/>
        </w:rPr>
        <w:t>fagocitozei</w:t>
      </w:r>
      <w:proofErr w:type="spellEnd"/>
      <w:r w:rsidR="00530EE0" w:rsidRPr="00561601">
        <w:rPr>
          <w:snapToGrid/>
          <w:szCs w:val="24"/>
          <w:lang w:val="lt-LT" w:eastAsia="de-DE"/>
        </w:rPr>
        <w:t xml:space="preserve">. </w:t>
      </w:r>
      <w:proofErr w:type="spellStart"/>
      <w:r>
        <w:rPr>
          <w:snapToGrid/>
          <w:szCs w:val="24"/>
          <w:lang w:val="lt-LT" w:eastAsia="de-DE"/>
        </w:rPr>
        <w:t>Cymvigo</w:t>
      </w:r>
      <w:proofErr w:type="spellEnd"/>
      <w:r w:rsidR="00530EE0" w:rsidRPr="00561601">
        <w:rPr>
          <w:snapToGrid/>
          <w:szCs w:val="24"/>
          <w:lang w:val="lt-LT" w:eastAsia="de-DE"/>
        </w:rPr>
        <w:t xml:space="preserve"> antikūnai taip pat moduliuoja ir sąveikauja su imuninėmis ląstelėmis (</w:t>
      </w:r>
      <w:proofErr w:type="spellStart"/>
      <w:r w:rsidR="00530EE0" w:rsidRPr="00561601">
        <w:rPr>
          <w:snapToGrid/>
          <w:szCs w:val="24"/>
          <w:lang w:val="lt-LT" w:eastAsia="de-DE"/>
        </w:rPr>
        <w:t>dendritinėmis</w:t>
      </w:r>
      <w:proofErr w:type="spellEnd"/>
      <w:r w:rsidR="00530EE0" w:rsidRPr="00561601">
        <w:rPr>
          <w:snapToGrid/>
          <w:szCs w:val="24"/>
          <w:lang w:val="lt-LT" w:eastAsia="de-DE"/>
        </w:rPr>
        <w:t xml:space="preserve"> ląstelėmis, </w:t>
      </w:r>
      <w:proofErr w:type="spellStart"/>
      <w:r w:rsidR="00530EE0" w:rsidRPr="00561601">
        <w:rPr>
          <w:snapToGrid/>
          <w:szCs w:val="24"/>
          <w:lang w:val="lt-LT" w:eastAsia="de-DE"/>
        </w:rPr>
        <w:t>monocitais</w:t>
      </w:r>
      <w:proofErr w:type="spellEnd"/>
      <w:r w:rsidR="00530EE0" w:rsidRPr="00561601">
        <w:rPr>
          <w:snapToGrid/>
          <w:szCs w:val="24"/>
          <w:lang w:val="lt-LT" w:eastAsia="de-DE"/>
        </w:rPr>
        <w:t xml:space="preserve">, B ir T ląstelėmis) sukurdami palankią imunologinę pusiausvyrą, taip pat </w:t>
      </w:r>
      <w:proofErr w:type="spellStart"/>
      <w:r w:rsidR="00530EE0" w:rsidRPr="00561601">
        <w:rPr>
          <w:snapToGrid/>
          <w:szCs w:val="24"/>
          <w:lang w:val="lt-LT" w:eastAsia="de-DE"/>
        </w:rPr>
        <w:t>virostatiniu</w:t>
      </w:r>
      <w:proofErr w:type="spellEnd"/>
      <w:r w:rsidR="00530EE0" w:rsidRPr="00561601">
        <w:rPr>
          <w:snapToGrid/>
          <w:szCs w:val="24"/>
          <w:lang w:val="lt-LT" w:eastAsia="de-DE"/>
        </w:rPr>
        <w:t xml:space="preserve"> būdu slopindami CMV replikaciją.</w:t>
      </w:r>
    </w:p>
    <w:p w14:paraId="7694CCE9" w14:textId="77777777"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lang w:val="lt-LT" w:eastAsia="de-DE"/>
        </w:rPr>
      </w:pPr>
    </w:p>
    <w:p w14:paraId="45860D37" w14:textId="77777777" w:rsidR="00530EE0" w:rsidRPr="00561601" w:rsidRDefault="00530EE0" w:rsidP="00530EE0">
      <w:pPr>
        <w:tabs>
          <w:tab w:val="clear" w:pos="567"/>
        </w:tabs>
        <w:overflowPunct w:val="0"/>
        <w:autoSpaceDE w:val="0"/>
        <w:autoSpaceDN w:val="0"/>
        <w:adjustRightInd w:val="0"/>
        <w:spacing w:line="240" w:lineRule="auto"/>
        <w:textAlignment w:val="baseline"/>
        <w:rPr>
          <w:b/>
          <w:bCs/>
          <w:snapToGrid/>
          <w:szCs w:val="22"/>
          <w:lang w:val="lt-LT" w:eastAsia="de-DE"/>
        </w:rPr>
      </w:pPr>
      <w:proofErr w:type="spellStart"/>
      <w:r w:rsidRPr="00561601">
        <w:rPr>
          <w:b/>
          <w:bCs/>
          <w:snapToGrid/>
          <w:szCs w:val="24"/>
          <w:lang w:val="lt-LT" w:eastAsia="de-DE"/>
        </w:rPr>
        <w:t>Farmakodinaminis</w:t>
      </w:r>
      <w:proofErr w:type="spellEnd"/>
      <w:r w:rsidRPr="00561601">
        <w:rPr>
          <w:b/>
          <w:bCs/>
          <w:snapToGrid/>
          <w:szCs w:val="24"/>
          <w:lang w:val="lt-LT" w:eastAsia="de-DE"/>
        </w:rPr>
        <w:t xml:space="preserve"> poveikis</w:t>
      </w:r>
    </w:p>
    <w:p w14:paraId="42B5D983" w14:textId="746E3B13" w:rsidR="00530EE0" w:rsidRPr="00561601" w:rsidRDefault="00530EE0" w:rsidP="00530EE0">
      <w:pPr>
        <w:tabs>
          <w:tab w:val="clear" w:pos="567"/>
        </w:tabs>
        <w:spacing w:line="240" w:lineRule="auto"/>
        <w:rPr>
          <w:rFonts w:eastAsia="Calibri"/>
          <w:snapToGrid/>
          <w:szCs w:val="22"/>
          <w:lang w:val="lt-LT" w:eastAsia="de-DE"/>
        </w:rPr>
      </w:pPr>
      <w:r w:rsidRPr="00561601">
        <w:rPr>
          <w:snapToGrid/>
          <w:szCs w:val="24"/>
          <w:lang w:val="lt-LT" w:eastAsia="de-DE"/>
        </w:rPr>
        <w:t xml:space="preserve">Pagrindinis </w:t>
      </w:r>
      <w:proofErr w:type="spellStart"/>
      <w:r w:rsidR="00E47068">
        <w:rPr>
          <w:snapToGrid/>
          <w:szCs w:val="24"/>
          <w:lang w:val="lt-LT" w:eastAsia="de-DE"/>
        </w:rPr>
        <w:t>Cymvigo</w:t>
      </w:r>
      <w:proofErr w:type="spellEnd"/>
      <w:r w:rsidRPr="00561601">
        <w:rPr>
          <w:snapToGrid/>
          <w:szCs w:val="24"/>
          <w:lang w:val="lt-LT" w:eastAsia="de-DE"/>
        </w:rPr>
        <w:t xml:space="preserve"> veikimo principas yra cirkuliuojančio viruso surišimas. Šie CMV specifiniai antikūnai blokuoja skirtingų ląstelių tipų, įskaitant visus CMV genotipus, ir viruso variantų, kurie yra atsparūs virusus stabdantiems preparatams, infekciją. Be to, </w:t>
      </w:r>
      <w:proofErr w:type="spellStart"/>
      <w:r w:rsidR="00E47068">
        <w:rPr>
          <w:snapToGrid/>
          <w:szCs w:val="24"/>
          <w:lang w:val="lt-LT" w:eastAsia="de-DE"/>
        </w:rPr>
        <w:t>Cymvigo</w:t>
      </w:r>
      <w:proofErr w:type="spellEnd"/>
      <w:r w:rsidRPr="00561601">
        <w:rPr>
          <w:snapToGrid/>
          <w:szCs w:val="24"/>
          <w:lang w:val="lt-LT" w:eastAsia="de-DE"/>
        </w:rPr>
        <w:t xml:space="preserve"> gali suaktyvinti su CMV reaguojančias imunines ląsteles, taip užtikrindamas ilgalaikį specifinį imuninį atsaką prieš CMV. Jis taip pat turi papildomų nuo CMV nepriklausomų </w:t>
      </w:r>
      <w:proofErr w:type="spellStart"/>
      <w:r w:rsidRPr="00561601">
        <w:rPr>
          <w:snapToGrid/>
          <w:szCs w:val="24"/>
          <w:lang w:val="lt-LT" w:eastAsia="de-DE"/>
        </w:rPr>
        <w:t>imunomoduliuojančių</w:t>
      </w:r>
      <w:proofErr w:type="spellEnd"/>
      <w:r w:rsidRPr="00561601">
        <w:rPr>
          <w:snapToGrid/>
          <w:szCs w:val="24"/>
          <w:lang w:val="lt-LT" w:eastAsia="de-DE"/>
        </w:rPr>
        <w:t xml:space="preserve"> savybių, kurios siejamos su </w:t>
      </w:r>
      <w:r w:rsidR="00D60D86" w:rsidRPr="00561601">
        <w:rPr>
          <w:snapToGrid/>
          <w:szCs w:val="24"/>
          <w:lang w:val="lt-LT" w:eastAsia="de-DE"/>
        </w:rPr>
        <w:t>organ</w:t>
      </w:r>
      <w:r w:rsidR="00D60D86">
        <w:rPr>
          <w:snapToGrid/>
          <w:szCs w:val="24"/>
          <w:lang w:val="lt-LT" w:eastAsia="de-DE"/>
        </w:rPr>
        <w:t>o</w:t>
      </w:r>
      <w:r w:rsidR="00D60D86" w:rsidRPr="00561601">
        <w:rPr>
          <w:snapToGrid/>
          <w:szCs w:val="24"/>
          <w:lang w:val="lt-LT" w:eastAsia="de-DE"/>
        </w:rPr>
        <w:t xml:space="preserve"> </w:t>
      </w:r>
      <w:r w:rsidRPr="00561601">
        <w:rPr>
          <w:snapToGrid/>
          <w:szCs w:val="24"/>
          <w:lang w:val="lt-LT" w:eastAsia="de-DE"/>
        </w:rPr>
        <w:t xml:space="preserve">atmetimo </w:t>
      </w:r>
      <w:r w:rsidR="00D60D86" w:rsidRPr="00561601">
        <w:rPr>
          <w:snapToGrid/>
          <w:szCs w:val="24"/>
          <w:lang w:val="lt-LT" w:eastAsia="de-DE"/>
        </w:rPr>
        <w:t>reakcij</w:t>
      </w:r>
      <w:r w:rsidR="00D60D86">
        <w:rPr>
          <w:snapToGrid/>
          <w:szCs w:val="24"/>
          <w:lang w:val="lt-LT" w:eastAsia="de-DE"/>
        </w:rPr>
        <w:t>os</w:t>
      </w:r>
      <w:r w:rsidR="00D60D86" w:rsidRPr="00561601">
        <w:rPr>
          <w:snapToGrid/>
          <w:szCs w:val="24"/>
          <w:lang w:val="lt-LT" w:eastAsia="de-DE"/>
        </w:rPr>
        <w:t xml:space="preserve"> </w:t>
      </w:r>
      <w:r w:rsidRPr="00561601">
        <w:rPr>
          <w:snapToGrid/>
          <w:szCs w:val="24"/>
          <w:lang w:val="lt-LT" w:eastAsia="de-DE"/>
        </w:rPr>
        <w:t xml:space="preserve">sumažėjimu. </w:t>
      </w:r>
    </w:p>
    <w:p w14:paraId="55664AF5" w14:textId="77777777" w:rsidR="00530EE0" w:rsidRPr="00561601" w:rsidRDefault="00530EE0" w:rsidP="00530EE0">
      <w:pPr>
        <w:tabs>
          <w:tab w:val="clear" w:pos="567"/>
        </w:tabs>
        <w:spacing w:line="240" w:lineRule="auto"/>
        <w:rPr>
          <w:rFonts w:eastAsia="Calibri"/>
          <w:snapToGrid/>
          <w:szCs w:val="22"/>
          <w:lang w:val="lt-LT"/>
        </w:rPr>
      </w:pPr>
    </w:p>
    <w:p w14:paraId="50568713" w14:textId="77777777" w:rsidR="00530EE0" w:rsidRPr="00561601" w:rsidRDefault="00530EE0" w:rsidP="00530EE0">
      <w:pPr>
        <w:tabs>
          <w:tab w:val="clear" w:pos="567"/>
        </w:tabs>
        <w:overflowPunct w:val="0"/>
        <w:autoSpaceDE w:val="0"/>
        <w:autoSpaceDN w:val="0"/>
        <w:adjustRightInd w:val="0"/>
        <w:spacing w:line="240" w:lineRule="auto"/>
        <w:textAlignment w:val="baseline"/>
        <w:rPr>
          <w:b/>
          <w:bCs/>
          <w:snapToGrid/>
          <w:szCs w:val="22"/>
          <w:lang w:val="lt-LT" w:eastAsia="de-DE"/>
        </w:rPr>
      </w:pPr>
      <w:r w:rsidRPr="00561601">
        <w:rPr>
          <w:b/>
          <w:bCs/>
          <w:snapToGrid/>
          <w:szCs w:val="24"/>
          <w:lang w:val="lt-LT" w:eastAsia="de-DE"/>
        </w:rPr>
        <w:t>Klinikinis veiksmingumas ir saugumas</w:t>
      </w:r>
    </w:p>
    <w:p w14:paraId="2288B73A" w14:textId="1C660A69" w:rsidR="00530EE0" w:rsidRPr="00561601" w:rsidRDefault="00530EE0" w:rsidP="00530EE0">
      <w:pPr>
        <w:tabs>
          <w:tab w:val="clear" w:pos="567"/>
        </w:tabs>
        <w:overflowPunct w:val="0"/>
        <w:autoSpaceDE w:val="0"/>
        <w:autoSpaceDN w:val="0"/>
        <w:adjustRightInd w:val="0"/>
        <w:spacing w:line="240" w:lineRule="auto"/>
        <w:textAlignment w:val="baseline"/>
        <w:rPr>
          <w:rFonts w:eastAsia="Calibri"/>
          <w:snapToGrid/>
          <w:szCs w:val="22"/>
          <w:lang w:val="lt-LT" w:eastAsia="de-DE"/>
        </w:rPr>
      </w:pPr>
      <w:r w:rsidRPr="00561601">
        <w:rPr>
          <w:snapToGrid/>
          <w:szCs w:val="24"/>
          <w:lang w:val="lt-LT" w:eastAsia="de-DE"/>
        </w:rPr>
        <w:t xml:space="preserve">Klinikinis CMVIG veiksmingumas buvo tiriamas įvairiose sąlygose, įskaitant tyrimus, atliktus su pacientais, kuriems buvo atlikta </w:t>
      </w:r>
      <w:proofErr w:type="spellStart"/>
      <w:r w:rsidRPr="00561601">
        <w:rPr>
          <w:snapToGrid/>
          <w:szCs w:val="24"/>
          <w:lang w:val="lt-LT" w:eastAsia="de-DE"/>
        </w:rPr>
        <w:t>solidini</w:t>
      </w:r>
      <w:r w:rsidR="00D60D86">
        <w:rPr>
          <w:snapToGrid/>
          <w:szCs w:val="24"/>
          <w:lang w:val="lt-LT" w:eastAsia="de-DE"/>
        </w:rPr>
        <w:t>o</w:t>
      </w:r>
      <w:proofErr w:type="spellEnd"/>
      <w:r w:rsidRPr="00561601">
        <w:rPr>
          <w:snapToGrid/>
          <w:szCs w:val="24"/>
          <w:lang w:val="lt-LT" w:eastAsia="de-DE"/>
        </w:rPr>
        <w:t xml:space="preserve"> </w:t>
      </w:r>
      <w:r w:rsidR="00D60D86" w:rsidRPr="00561601">
        <w:rPr>
          <w:snapToGrid/>
          <w:szCs w:val="24"/>
          <w:lang w:val="lt-LT" w:eastAsia="de-DE"/>
        </w:rPr>
        <w:t>organ</w:t>
      </w:r>
      <w:r w:rsidR="00D60D86">
        <w:rPr>
          <w:snapToGrid/>
          <w:szCs w:val="24"/>
          <w:lang w:val="lt-LT" w:eastAsia="de-DE"/>
        </w:rPr>
        <w:t>o</w:t>
      </w:r>
      <w:r w:rsidR="00D60D86" w:rsidRPr="00561601">
        <w:rPr>
          <w:snapToGrid/>
          <w:szCs w:val="24"/>
          <w:lang w:val="lt-LT" w:eastAsia="de-DE"/>
        </w:rPr>
        <w:t xml:space="preserve"> </w:t>
      </w:r>
      <w:r w:rsidRPr="00561601">
        <w:rPr>
          <w:snapToGrid/>
          <w:szCs w:val="24"/>
          <w:lang w:val="lt-LT" w:eastAsia="de-DE"/>
        </w:rPr>
        <w:t xml:space="preserve">ir kamieninių ląstelių transplantacija. </w:t>
      </w:r>
      <w:r w:rsidR="00D60D86" w:rsidRPr="00561601">
        <w:rPr>
          <w:snapToGrid/>
          <w:szCs w:val="24"/>
          <w:lang w:val="lt-LT" w:eastAsia="de-DE"/>
        </w:rPr>
        <w:t>Inkst</w:t>
      </w:r>
      <w:r w:rsidR="00D60D86">
        <w:rPr>
          <w:snapToGrid/>
          <w:szCs w:val="24"/>
          <w:lang w:val="lt-LT" w:eastAsia="de-DE"/>
        </w:rPr>
        <w:t>o</w:t>
      </w:r>
      <w:r w:rsidR="00D60D86" w:rsidRPr="00561601">
        <w:rPr>
          <w:snapToGrid/>
          <w:szCs w:val="24"/>
          <w:lang w:val="lt-LT" w:eastAsia="de-DE"/>
        </w:rPr>
        <w:t xml:space="preserve"> </w:t>
      </w:r>
      <w:r w:rsidRPr="00561601">
        <w:rPr>
          <w:snapToGrid/>
          <w:szCs w:val="24"/>
          <w:lang w:val="lt-LT" w:eastAsia="de-DE"/>
        </w:rPr>
        <w:t>transplantacijos atveju CMVIG sumažino CMV infekcijos dažnį nuo 41,7 % (kontrolinė grupė) iki 21,1 % (</w:t>
      </w:r>
      <w:r w:rsidR="00D524D7">
        <w:rPr>
          <w:snapToGrid/>
          <w:szCs w:val="24"/>
          <w:lang w:val="lt-LT" w:eastAsia="de-DE"/>
        </w:rPr>
        <w:t>CMVIG</w:t>
      </w:r>
      <w:r w:rsidRPr="00561601">
        <w:rPr>
          <w:snapToGrid/>
          <w:szCs w:val="24"/>
          <w:lang w:val="lt-LT" w:eastAsia="de-DE"/>
        </w:rPr>
        <w:t xml:space="preserve"> grupė). Kiti pavyzdžiai: plaučių transplantacija, kai CMV ligos pasireiškimo dažnis sumažėjo nuo 43,3 % (kontrolinė grupė) iki 13,2 % (</w:t>
      </w:r>
      <w:r w:rsidR="00D524D7" w:rsidRPr="00D524D7">
        <w:rPr>
          <w:snapToGrid/>
          <w:szCs w:val="24"/>
          <w:lang w:val="lt-LT" w:eastAsia="de-DE"/>
        </w:rPr>
        <w:t>CMVIG</w:t>
      </w:r>
      <w:r w:rsidRPr="00561601">
        <w:rPr>
          <w:snapToGrid/>
          <w:szCs w:val="24"/>
          <w:lang w:val="lt-LT" w:eastAsia="de-DE"/>
        </w:rPr>
        <w:t xml:space="preserve"> grupė), ir kaulų čiulpų transplantacija, kai </w:t>
      </w:r>
      <w:proofErr w:type="spellStart"/>
      <w:r w:rsidRPr="00561601">
        <w:rPr>
          <w:snapToGrid/>
          <w:szCs w:val="24"/>
          <w:lang w:val="lt-LT" w:eastAsia="de-DE"/>
        </w:rPr>
        <w:t>intersticinio</w:t>
      </w:r>
      <w:proofErr w:type="spellEnd"/>
      <w:r w:rsidRPr="00561601">
        <w:rPr>
          <w:snapToGrid/>
          <w:szCs w:val="24"/>
          <w:lang w:val="lt-LT" w:eastAsia="de-DE"/>
        </w:rPr>
        <w:t xml:space="preserve"> </w:t>
      </w:r>
      <w:proofErr w:type="spellStart"/>
      <w:r w:rsidRPr="00561601">
        <w:rPr>
          <w:snapToGrid/>
          <w:szCs w:val="24"/>
          <w:lang w:val="lt-LT" w:eastAsia="de-DE"/>
        </w:rPr>
        <w:t>pneumonito</w:t>
      </w:r>
      <w:proofErr w:type="spellEnd"/>
      <w:r w:rsidRPr="00561601">
        <w:rPr>
          <w:snapToGrid/>
          <w:szCs w:val="24"/>
          <w:lang w:val="lt-LT" w:eastAsia="de-DE"/>
        </w:rPr>
        <w:t xml:space="preserve"> dažnis sumažėjo nuo 26,1 % iki 3,8 %.</w:t>
      </w:r>
    </w:p>
    <w:p w14:paraId="71E9DEF2" w14:textId="77777777" w:rsidR="00530EE0" w:rsidRPr="00561601" w:rsidRDefault="00530EE0" w:rsidP="00530EE0">
      <w:pPr>
        <w:tabs>
          <w:tab w:val="clear" w:pos="567"/>
        </w:tabs>
        <w:overflowPunct w:val="0"/>
        <w:autoSpaceDE w:val="0"/>
        <w:autoSpaceDN w:val="0"/>
        <w:adjustRightInd w:val="0"/>
        <w:spacing w:line="240" w:lineRule="auto"/>
        <w:textAlignment w:val="baseline"/>
        <w:rPr>
          <w:b/>
          <w:snapToGrid/>
          <w:szCs w:val="22"/>
          <w:lang w:val="lt-LT" w:eastAsia="de-DE"/>
        </w:rPr>
      </w:pPr>
    </w:p>
    <w:p w14:paraId="341AD091" w14:textId="77777777"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u w:val="single"/>
          <w:lang w:val="lt-LT" w:eastAsia="de-DE"/>
        </w:rPr>
      </w:pPr>
      <w:r w:rsidRPr="00561601">
        <w:rPr>
          <w:snapToGrid/>
          <w:szCs w:val="24"/>
          <w:u w:val="single"/>
          <w:lang w:val="lt-LT" w:eastAsia="de-DE"/>
        </w:rPr>
        <w:t>Inkstų transplantacija</w:t>
      </w:r>
    </w:p>
    <w:p w14:paraId="03C01ED3" w14:textId="1DB24367"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 xml:space="preserve">Perspektyvinio, atsitiktinių imčių kontroliuojamo tyrimo metu buvo stebimas </w:t>
      </w:r>
      <w:proofErr w:type="spellStart"/>
      <w:r w:rsidRPr="00561601">
        <w:rPr>
          <w:snapToGrid/>
          <w:szCs w:val="24"/>
          <w:lang w:val="lt-LT" w:eastAsia="de-DE"/>
        </w:rPr>
        <w:t>hiperimunoglobulino</w:t>
      </w:r>
      <w:proofErr w:type="spellEnd"/>
      <w:r w:rsidRPr="00561601">
        <w:rPr>
          <w:snapToGrid/>
          <w:szCs w:val="24"/>
          <w:lang w:val="lt-LT" w:eastAsia="de-DE"/>
        </w:rPr>
        <w:t xml:space="preserve"> profilaktikos</w:t>
      </w:r>
      <w:r w:rsidR="00C14E62">
        <w:rPr>
          <w:snapToGrid/>
          <w:szCs w:val="24"/>
          <w:lang w:val="lt-LT" w:eastAsia="de-DE"/>
        </w:rPr>
        <w:t xml:space="preserve"> nuo</w:t>
      </w:r>
      <w:r w:rsidRPr="00561601">
        <w:rPr>
          <w:snapToGrid/>
          <w:szCs w:val="24"/>
          <w:lang w:val="lt-LT" w:eastAsia="de-DE"/>
        </w:rPr>
        <w:t xml:space="preserve"> </w:t>
      </w:r>
      <w:r w:rsidR="00C14E62" w:rsidRPr="00561601">
        <w:rPr>
          <w:snapToGrid/>
          <w:szCs w:val="24"/>
          <w:lang w:val="lt-LT" w:eastAsia="de-DE"/>
        </w:rPr>
        <w:t xml:space="preserve">CMV infekcijos </w:t>
      </w:r>
      <w:r w:rsidRPr="00561601">
        <w:rPr>
          <w:snapToGrid/>
          <w:szCs w:val="24"/>
          <w:lang w:val="lt-LT" w:eastAsia="de-DE"/>
        </w:rPr>
        <w:t xml:space="preserve">veiksmingumas pacientams, kuriems atlikta inkstų transplantacija. Buvo įtraukti 74 pacientai, kuriems pirmą kartą buvo atlikta </w:t>
      </w:r>
      <w:proofErr w:type="spellStart"/>
      <w:r w:rsidRPr="00561601">
        <w:rPr>
          <w:snapToGrid/>
          <w:szCs w:val="24"/>
          <w:lang w:val="lt-LT" w:eastAsia="de-DE"/>
        </w:rPr>
        <w:t>kadaverinio</w:t>
      </w:r>
      <w:proofErr w:type="spellEnd"/>
      <w:r w:rsidRPr="00561601">
        <w:rPr>
          <w:snapToGrid/>
          <w:szCs w:val="24"/>
          <w:lang w:val="lt-LT" w:eastAsia="de-DE"/>
        </w:rPr>
        <w:t xml:space="preserve"> inksto transplantacija. Vidutiniškai stebėjimas truko 45 mėnesius. Pacientams taikyta imunosupresinio gydymo schema, pagal ją buvo skiriamas </w:t>
      </w:r>
      <w:proofErr w:type="spellStart"/>
      <w:r w:rsidRPr="00561601">
        <w:rPr>
          <w:snapToGrid/>
          <w:szCs w:val="24"/>
          <w:lang w:val="lt-LT" w:eastAsia="de-DE"/>
        </w:rPr>
        <w:t>metilprednizolonas</w:t>
      </w:r>
      <w:proofErr w:type="spellEnd"/>
      <w:r w:rsidRPr="00561601">
        <w:rPr>
          <w:snapToGrid/>
          <w:szCs w:val="24"/>
          <w:lang w:val="lt-LT" w:eastAsia="de-DE"/>
        </w:rPr>
        <w:t xml:space="preserve"> ir </w:t>
      </w:r>
      <w:proofErr w:type="spellStart"/>
      <w:r w:rsidRPr="00561601">
        <w:rPr>
          <w:snapToGrid/>
          <w:szCs w:val="24"/>
          <w:lang w:val="lt-LT" w:eastAsia="de-DE"/>
        </w:rPr>
        <w:t>ciklosporinas</w:t>
      </w:r>
      <w:proofErr w:type="spellEnd"/>
      <w:r w:rsidRPr="00561601">
        <w:rPr>
          <w:snapToGrid/>
          <w:szCs w:val="24"/>
          <w:lang w:val="lt-LT" w:eastAsia="de-DE"/>
        </w:rPr>
        <w:t xml:space="preserve"> A. Gydymo grupėje 38 pacientams suleista 2 ml/kg </w:t>
      </w:r>
      <w:r w:rsidR="00D524D7" w:rsidRPr="00D524D7">
        <w:rPr>
          <w:snapToGrid/>
          <w:szCs w:val="24"/>
          <w:lang w:val="lt-LT" w:eastAsia="de-DE"/>
        </w:rPr>
        <w:t>CMVIG</w:t>
      </w:r>
      <w:r w:rsidRPr="00561601">
        <w:rPr>
          <w:snapToGrid/>
          <w:szCs w:val="24"/>
          <w:lang w:val="lt-LT" w:eastAsia="de-DE"/>
        </w:rPr>
        <w:t xml:space="preserve"> dozė į veną prieš pat transplantaciją ir vėliau, praėjus 1, 2, 4, 18, 32, 46, 60, 74 ir 88 </w:t>
      </w:r>
      <w:r w:rsidR="00C14E62">
        <w:rPr>
          <w:snapToGrid/>
          <w:szCs w:val="24"/>
          <w:lang w:val="lt-LT" w:eastAsia="de-DE"/>
        </w:rPr>
        <w:t>paroms</w:t>
      </w:r>
      <w:r w:rsidR="00C14E62" w:rsidRPr="00561601">
        <w:rPr>
          <w:snapToGrid/>
          <w:szCs w:val="24"/>
          <w:lang w:val="lt-LT" w:eastAsia="de-DE"/>
        </w:rPr>
        <w:t xml:space="preserve"> </w:t>
      </w:r>
      <w:r w:rsidRPr="00561601">
        <w:rPr>
          <w:snapToGrid/>
          <w:szCs w:val="24"/>
          <w:lang w:val="lt-LT" w:eastAsia="de-DE"/>
        </w:rPr>
        <w:t xml:space="preserve">po transplantacijos. Kontrolinėje grupėje buvo 36 pacientai, kurie nevartojo </w:t>
      </w:r>
      <w:r w:rsidR="00D524D7" w:rsidRPr="00D524D7">
        <w:rPr>
          <w:snapToGrid/>
          <w:szCs w:val="24"/>
          <w:lang w:val="lt-LT" w:eastAsia="de-DE"/>
        </w:rPr>
        <w:t>CMVIG</w:t>
      </w:r>
      <w:r w:rsidRPr="00561601">
        <w:rPr>
          <w:snapToGrid/>
          <w:szCs w:val="24"/>
          <w:lang w:val="lt-LT" w:eastAsia="de-DE"/>
        </w:rPr>
        <w:t>. Gydymo grupėje iš viso 8 iš 38 pacientų (21,1 %) nustatyta CMV infekcija, 5 iš 38 pacientų (13,2 %) sirgo CMV liga, tuo tarpu kontrolinėje grupėje CMV infekcija nustatyta 15 iš 36 pacientų (41,7 %) ir 6 iš 36 pacientų (16,7 %) sirgo CMV liga.</w:t>
      </w:r>
    </w:p>
    <w:p w14:paraId="7C6B3773" w14:textId="77777777"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lang w:val="lt-LT" w:eastAsia="de-DE"/>
        </w:rPr>
      </w:pPr>
    </w:p>
    <w:p w14:paraId="383B3CD3" w14:textId="77777777" w:rsidR="00530EE0" w:rsidRPr="00561601" w:rsidRDefault="00530EE0" w:rsidP="00530EE0">
      <w:pPr>
        <w:tabs>
          <w:tab w:val="clear" w:pos="567"/>
        </w:tabs>
        <w:overflowPunct w:val="0"/>
        <w:autoSpaceDE w:val="0"/>
        <w:autoSpaceDN w:val="0"/>
        <w:adjustRightInd w:val="0"/>
        <w:spacing w:line="240" w:lineRule="auto"/>
        <w:textAlignment w:val="baseline"/>
        <w:rPr>
          <w:i/>
          <w:iCs/>
          <w:snapToGrid/>
          <w:szCs w:val="22"/>
          <w:lang w:val="lt-LT" w:eastAsia="de-DE"/>
        </w:rPr>
      </w:pPr>
      <w:r w:rsidRPr="00561601">
        <w:rPr>
          <w:i/>
          <w:iCs/>
          <w:snapToGrid/>
          <w:szCs w:val="24"/>
          <w:lang w:val="lt-LT" w:eastAsia="de-DE"/>
        </w:rPr>
        <w:t>Vaikų populiacija</w:t>
      </w:r>
    </w:p>
    <w:p w14:paraId="539942D8" w14:textId="4FA49072" w:rsidR="00530EE0" w:rsidRPr="00561601" w:rsidRDefault="00530EE0" w:rsidP="00530EE0">
      <w:pPr>
        <w:tabs>
          <w:tab w:val="clear" w:pos="567"/>
        </w:tabs>
        <w:spacing w:before="20" w:after="20" w:line="240" w:lineRule="auto"/>
        <w:rPr>
          <w:snapToGrid/>
          <w:kern w:val="24"/>
          <w:szCs w:val="22"/>
          <w:lang w:val="lt-LT" w:eastAsia="de-DE"/>
        </w:rPr>
      </w:pPr>
      <w:r w:rsidRPr="00561601">
        <w:rPr>
          <w:snapToGrid/>
          <w:kern w:val="24"/>
          <w:szCs w:val="24"/>
          <w:lang w:val="lt-LT" w:eastAsia="de-DE"/>
        </w:rPr>
        <w:t xml:space="preserve">Atliekant retrospektyvinį tyrimą, buvo tiriamas </w:t>
      </w:r>
      <w:proofErr w:type="spellStart"/>
      <w:r w:rsidRPr="00561601">
        <w:rPr>
          <w:snapToGrid/>
          <w:kern w:val="24"/>
          <w:szCs w:val="24"/>
          <w:lang w:val="lt-LT" w:eastAsia="de-DE"/>
        </w:rPr>
        <w:t>acikloviro</w:t>
      </w:r>
      <w:proofErr w:type="spellEnd"/>
      <w:r w:rsidRPr="00561601">
        <w:rPr>
          <w:snapToGrid/>
          <w:kern w:val="24"/>
          <w:szCs w:val="24"/>
          <w:lang w:val="lt-LT" w:eastAsia="de-DE"/>
        </w:rPr>
        <w:t xml:space="preserve"> ir </w:t>
      </w:r>
      <w:r w:rsidR="00D524D7" w:rsidRPr="00D524D7">
        <w:rPr>
          <w:snapToGrid/>
          <w:kern w:val="24"/>
          <w:szCs w:val="24"/>
          <w:lang w:val="lt-LT" w:eastAsia="de-DE"/>
        </w:rPr>
        <w:t>CMVIG</w:t>
      </w:r>
      <w:r w:rsidRPr="00561601">
        <w:rPr>
          <w:snapToGrid/>
          <w:kern w:val="24"/>
          <w:szCs w:val="24"/>
          <w:lang w:val="lt-LT" w:eastAsia="de-DE"/>
        </w:rPr>
        <w:t xml:space="preserve"> profilaktinio ir ankstyvo gydymo </w:t>
      </w:r>
      <w:proofErr w:type="spellStart"/>
      <w:r w:rsidRPr="00561601">
        <w:rPr>
          <w:snapToGrid/>
          <w:kern w:val="24"/>
          <w:szCs w:val="24"/>
          <w:lang w:val="lt-LT" w:eastAsia="de-DE"/>
        </w:rPr>
        <w:t>gancikloviru</w:t>
      </w:r>
      <w:proofErr w:type="spellEnd"/>
      <w:r w:rsidRPr="00561601">
        <w:rPr>
          <w:snapToGrid/>
          <w:kern w:val="24"/>
          <w:szCs w:val="24"/>
          <w:lang w:val="lt-LT" w:eastAsia="de-DE"/>
        </w:rPr>
        <w:t xml:space="preserve"> veiksmingumas ir saugumas didelės CMV rizikos grupės vaikams, kuriems persodintas inkstas (79 pacientai, kurių vidutinis amžius buvo 14,1 ± 4,9 metų, intervalas: 2,5–20 metų). Trumpiausias stebėjimo laikotarpis buvo 12 mėnesių. Imunosupresinio gydymo schemoje buvo </w:t>
      </w:r>
      <w:proofErr w:type="spellStart"/>
      <w:r w:rsidRPr="00561601">
        <w:rPr>
          <w:snapToGrid/>
          <w:kern w:val="24"/>
          <w:szCs w:val="24"/>
          <w:lang w:val="lt-LT" w:eastAsia="de-DE"/>
        </w:rPr>
        <w:t>ciklosporinas</w:t>
      </w:r>
      <w:proofErr w:type="spellEnd"/>
      <w:r w:rsidRPr="00561601">
        <w:rPr>
          <w:snapToGrid/>
          <w:kern w:val="24"/>
          <w:szCs w:val="24"/>
          <w:lang w:val="lt-LT" w:eastAsia="de-DE"/>
        </w:rPr>
        <w:t xml:space="preserve"> A ir steroidai, </w:t>
      </w:r>
      <w:proofErr w:type="spellStart"/>
      <w:r w:rsidRPr="00561601">
        <w:rPr>
          <w:snapToGrid/>
          <w:kern w:val="24"/>
          <w:szCs w:val="24"/>
          <w:lang w:val="lt-LT" w:eastAsia="de-DE"/>
        </w:rPr>
        <w:t>azatioprinas</w:t>
      </w:r>
      <w:proofErr w:type="spellEnd"/>
      <w:r w:rsidRPr="00561601">
        <w:rPr>
          <w:snapToGrid/>
          <w:kern w:val="24"/>
          <w:szCs w:val="24"/>
          <w:lang w:val="lt-LT" w:eastAsia="de-DE"/>
        </w:rPr>
        <w:t xml:space="preserve"> papildomai buvo skiriamas 4 pacientams, kuriems buvo persodintas gyvo donoro inkstas. Ūmaus atmetimo reakcijų pasireiškimo atvejais buvo taikoma </w:t>
      </w:r>
      <w:proofErr w:type="spellStart"/>
      <w:r w:rsidRPr="00561601">
        <w:rPr>
          <w:snapToGrid/>
          <w:kern w:val="24"/>
          <w:szCs w:val="24"/>
          <w:lang w:val="lt-LT" w:eastAsia="de-DE"/>
        </w:rPr>
        <w:t>i.v</w:t>
      </w:r>
      <w:proofErr w:type="spellEnd"/>
      <w:r w:rsidRPr="00561601">
        <w:rPr>
          <w:snapToGrid/>
          <w:kern w:val="24"/>
          <w:szCs w:val="24"/>
          <w:lang w:val="lt-LT" w:eastAsia="de-DE"/>
        </w:rPr>
        <w:t xml:space="preserve">. </w:t>
      </w:r>
      <w:proofErr w:type="spellStart"/>
      <w:r w:rsidRPr="00561601">
        <w:rPr>
          <w:snapToGrid/>
          <w:kern w:val="24"/>
          <w:szCs w:val="24"/>
          <w:lang w:val="lt-LT" w:eastAsia="de-DE"/>
        </w:rPr>
        <w:t>metilprednizolono</w:t>
      </w:r>
      <w:proofErr w:type="spellEnd"/>
      <w:r w:rsidRPr="00561601">
        <w:rPr>
          <w:snapToGrid/>
          <w:kern w:val="24"/>
          <w:szCs w:val="24"/>
          <w:lang w:val="lt-LT" w:eastAsia="de-DE"/>
        </w:rPr>
        <w:t xml:space="preserve"> pulsinė terapija. 39 R- pacientams pirmą </w:t>
      </w:r>
      <w:r w:rsidR="00C14E62">
        <w:rPr>
          <w:snapToGrid/>
          <w:kern w:val="24"/>
          <w:szCs w:val="24"/>
          <w:lang w:val="lt-LT" w:eastAsia="de-DE"/>
        </w:rPr>
        <w:t>parą</w:t>
      </w:r>
      <w:r w:rsidR="00C14E62" w:rsidRPr="00561601">
        <w:rPr>
          <w:snapToGrid/>
          <w:kern w:val="24"/>
          <w:szCs w:val="24"/>
          <w:lang w:val="lt-LT" w:eastAsia="de-DE"/>
        </w:rPr>
        <w:t xml:space="preserve"> </w:t>
      </w:r>
      <w:r w:rsidRPr="00561601">
        <w:rPr>
          <w:snapToGrid/>
          <w:kern w:val="24"/>
          <w:szCs w:val="24"/>
          <w:lang w:val="lt-LT" w:eastAsia="de-DE"/>
        </w:rPr>
        <w:t>po operacijos buvo suleista 150 mg/kg, 15 ir 30 </w:t>
      </w:r>
      <w:r w:rsidR="00C14E62">
        <w:rPr>
          <w:snapToGrid/>
          <w:kern w:val="24"/>
          <w:szCs w:val="24"/>
          <w:lang w:val="lt-LT" w:eastAsia="de-DE"/>
        </w:rPr>
        <w:t>parą</w:t>
      </w:r>
      <w:r w:rsidR="00C14E62" w:rsidRPr="00561601">
        <w:rPr>
          <w:snapToGrid/>
          <w:kern w:val="24"/>
          <w:szCs w:val="24"/>
          <w:lang w:val="lt-LT" w:eastAsia="de-DE"/>
        </w:rPr>
        <w:t xml:space="preserve"> </w:t>
      </w:r>
      <w:r w:rsidRPr="00561601">
        <w:rPr>
          <w:snapToGrid/>
          <w:kern w:val="24"/>
          <w:szCs w:val="24"/>
          <w:lang w:val="lt-LT" w:eastAsia="de-DE"/>
        </w:rPr>
        <w:t>– 100 mg/kg, 45, 60 ir 120 </w:t>
      </w:r>
      <w:r w:rsidR="00C14E62">
        <w:rPr>
          <w:snapToGrid/>
          <w:kern w:val="24"/>
          <w:szCs w:val="24"/>
          <w:lang w:val="lt-LT" w:eastAsia="de-DE"/>
        </w:rPr>
        <w:t>parą</w:t>
      </w:r>
      <w:r w:rsidR="00C14E62" w:rsidRPr="00561601">
        <w:rPr>
          <w:snapToGrid/>
          <w:kern w:val="24"/>
          <w:szCs w:val="24"/>
          <w:lang w:val="lt-LT" w:eastAsia="de-DE"/>
        </w:rPr>
        <w:t xml:space="preserve"> </w:t>
      </w:r>
      <w:r w:rsidRPr="00561601">
        <w:rPr>
          <w:snapToGrid/>
          <w:kern w:val="24"/>
          <w:szCs w:val="24"/>
          <w:lang w:val="lt-LT" w:eastAsia="de-DE"/>
        </w:rPr>
        <w:t xml:space="preserve">– 50 mg/kg </w:t>
      </w:r>
      <w:r w:rsidR="00D524D7" w:rsidRPr="00D524D7">
        <w:rPr>
          <w:snapToGrid/>
          <w:kern w:val="24"/>
          <w:szCs w:val="24"/>
          <w:lang w:val="lt-LT" w:eastAsia="de-DE"/>
        </w:rPr>
        <w:t>CMVIG</w:t>
      </w:r>
      <w:r w:rsidRPr="00561601">
        <w:rPr>
          <w:snapToGrid/>
          <w:kern w:val="24"/>
          <w:szCs w:val="24"/>
          <w:lang w:val="lt-LT" w:eastAsia="de-DE"/>
        </w:rPr>
        <w:t xml:space="preserve"> dozė ir skirta geriamojo </w:t>
      </w:r>
      <w:proofErr w:type="spellStart"/>
      <w:r w:rsidRPr="00561601">
        <w:rPr>
          <w:snapToGrid/>
          <w:kern w:val="24"/>
          <w:szCs w:val="24"/>
          <w:lang w:val="lt-LT" w:eastAsia="de-DE"/>
        </w:rPr>
        <w:t>acikloviro</w:t>
      </w:r>
      <w:proofErr w:type="spellEnd"/>
      <w:r w:rsidRPr="00561601">
        <w:rPr>
          <w:snapToGrid/>
          <w:kern w:val="24"/>
          <w:szCs w:val="24"/>
          <w:lang w:val="lt-LT" w:eastAsia="de-DE"/>
        </w:rPr>
        <w:t xml:space="preserve">. 40 R+ pacientų vartojo tik </w:t>
      </w:r>
      <w:r w:rsidR="00C14E62" w:rsidRPr="00561601">
        <w:rPr>
          <w:snapToGrid/>
          <w:kern w:val="24"/>
          <w:szCs w:val="24"/>
          <w:lang w:val="lt-LT" w:eastAsia="de-DE"/>
        </w:rPr>
        <w:t>geriam</w:t>
      </w:r>
      <w:r w:rsidR="00C14E62">
        <w:rPr>
          <w:snapToGrid/>
          <w:kern w:val="24"/>
          <w:szCs w:val="24"/>
          <w:lang w:val="lt-LT" w:eastAsia="de-DE"/>
        </w:rPr>
        <w:t>ojo</w:t>
      </w:r>
      <w:r w:rsidR="00C14E62" w:rsidRPr="00561601">
        <w:rPr>
          <w:snapToGrid/>
          <w:kern w:val="24"/>
          <w:szCs w:val="24"/>
          <w:lang w:val="lt-LT" w:eastAsia="de-DE"/>
        </w:rPr>
        <w:t xml:space="preserve"> </w:t>
      </w:r>
      <w:proofErr w:type="spellStart"/>
      <w:r w:rsidRPr="00561601">
        <w:rPr>
          <w:snapToGrid/>
          <w:kern w:val="24"/>
          <w:szCs w:val="24"/>
          <w:lang w:val="lt-LT" w:eastAsia="de-DE"/>
        </w:rPr>
        <w:t>aciklovir</w:t>
      </w:r>
      <w:r w:rsidR="008C7DEF">
        <w:rPr>
          <w:snapToGrid/>
          <w:kern w:val="24"/>
          <w:szCs w:val="24"/>
          <w:lang w:val="lt-LT" w:eastAsia="de-DE"/>
        </w:rPr>
        <w:t>o</w:t>
      </w:r>
      <w:proofErr w:type="spellEnd"/>
      <w:r w:rsidRPr="00561601">
        <w:rPr>
          <w:snapToGrid/>
          <w:kern w:val="24"/>
          <w:szCs w:val="24"/>
          <w:lang w:val="lt-LT" w:eastAsia="de-DE"/>
        </w:rPr>
        <w:t xml:space="preserve"> tokiomis pačiomis dozėmis kaip ir R- grupės pacientai. CMV infekcijos atveju buvo skiriamas </w:t>
      </w:r>
      <w:proofErr w:type="spellStart"/>
      <w:r w:rsidRPr="00561601">
        <w:rPr>
          <w:snapToGrid/>
          <w:kern w:val="24"/>
          <w:szCs w:val="24"/>
          <w:lang w:val="lt-LT" w:eastAsia="de-DE"/>
        </w:rPr>
        <w:t>i.v</w:t>
      </w:r>
      <w:proofErr w:type="spellEnd"/>
      <w:r w:rsidRPr="00561601">
        <w:rPr>
          <w:snapToGrid/>
          <w:kern w:val="24"/>
          <w:szCs w:val="24"/>
          <w:lang w:val="lt-LT" w:eastAsia="de-DE"/>
        </w:rPr>
        <w:t xml:space="preserve">. </w:t>
      </w:r>
      <w:proofErr w:type="spellStart"/>
      <w:r w:rsidRPr="00561601">
        <w:rPr>
          <w:snapToGrid/>
          <w:kern w:val="24"/>
          <w:szCs w:val="24"/>
          <w:lang w:val="lt-LT" w:eastAsia="de-DE"/>
        </w:rPr>
        <w:t>gancikloviras</w:t>
      </w:r>
      <w:proofErr w:type="spellEnd"/>
      <w:r w:rsidRPr="00561601">
        <w:rPr>
          <w:snapToGrid/>
          <w:kern w:val="24"/>
          <w:szCs w:val="24"/>
          <w:lang w:val="lt-LT" w:eastAsia="de-DE"/>
        </w:rPr>
        <w:t xml:space="preserve">, po 10 mg/kg kūno svorio per parą, gydoma mažiausiai 2 savaites arba tol, kol </w:t>
      </w:r>
      <w:r w:rsidR="00C14E62">
        <w:rPr>
          <w:snapToGrid/>
          <w:kern w:val="24"/>
          <w:szCs w:val="24"/>
          <w:lang w:val="lt-LT" w:eastAsia="de-DE"/>
        </w:rPr>
        <w:t xml:space="preserve">kraujyje </w:t>
      </w:r>
      <w:r w:rsidRPr="00561601">
        <w:rPr>
          <w:snapToGrid/>
          <w:kern w:val="24"/>
          <w:szCs w:val="24"/>
          <w:lang w:val="lt-LT" w:eastAsia="de-DE"/>
        </w:rPr>
        <w:t xml:space="preserve">nebebuvo aptinkama antigenų. R grupėje, kurioje buvo skiriamas </w:t>
      </w:r>
      <w:r w:rsidR="00D524D7" w:rsidRPr="00D524D7">
        <w:rPr>
          <w:snapToGrid/>
          <w:kern w:val="24"/>
          <w:szCs w:val="24"/>
          <w:lang w:val="lt-LT" w:eastAsia="de-DE"/>
        </w:rPr>
        <w:t>CMVIG</w:t>
      </w:r>
      <w:r w:rsidRPr="00561601">
        <w:rPr>
          <w:snapToGrid/>
          <w:kern w:val="24"/>
          <w:szCs w:val="24"/>
          <w:lang w:val="lt-LT" w:eastAsia="de-DE"/>
        </w:rPr>
        <w:t xml:space="preserve">, iš 33 CMV </w:t>
      </w:r>
      <w:proofErr w:type="spellStart"/>
      <w:r w:rsidRPr="00561601">
        <w:rPr>
          <w:snapToGrid/>
          <w:kern w:val="24"/>
          <w:szCs w:val="24"/>
          <w:lang w:val="lt-LT" w:eastAsia="de-DE"/>
        </w:rPr>
        <w:t>seronegatyvių</w:t>
      </w:r>
      <w:proofErr w:type="spellEnd"/>
      <w:r w:rsidRPr="00561601">
        <w:rPr>
          <w:snapToGrid/>
          <w:kern w:val="24"/>
          <w:szCs w:val="24"/>
          <w:lang w:val="lt-LT" w:eastAsia="de-DE"/>
        </w:rPr>
        <w:t xml:space="preserve"> recipientų (R-), kuriems buvo transplantuotas CMV </w:t>
      </w:r>
      <w:proofErr w:type="spellStart"/>
      <w:r w:rsidRPr="00561601">
        <w:rPr>
          <w:snapToGrid/>
          <w:kern w:val="24"/>
          <w:szCs w:val="24"/>
          <w:lang w:val="lt-LT" w:eastAsia="de-DE"/>
        </w:rPr>
        <w:t>seropozityvaus</w:t>
      </w:r>
      <w:proofErr w:type="spellEnd"/>
      <w:r w:rsidRPr="00561601">
        <w:rPr>
          <w:snapToGrid/>
          <w:kern w:val="24"/>
          <w:szCs w:val="24"/>
          <w:lang w:val="lt-LT" w:eastAsia="de-DE"/>
        </w:rPr>
        <w:t xml:space="preserve"> donoro (D+) organas, 18 (54,5 %) nustatyta CMV infekcija, o 6 CMV </w:t>
      </w:r>
      <w:proofErr w:type="spellStart"/>
      <w:r w:rsidRPr="00561601">
        <w:rPr>
          <w:snapToGrid/>
          <w:kern w:val="24"/>
          <w:szCs w:val="24"/>
          <w:lang w:val="lt-LT" w:eastAsia="de-DE"/>
        </w:rPr>
        <w:t>seronegatyviems</w:t>
      </w:r>
      <w:proofErr w:type="spellEnd"/>
      <w:r w:rsidRPr="00561601">
        <w:rPr>
          <w:snapToGrid/>
          <w:kern w:val="24"/>
          <w:szCs w:val="24"/>
          <w:lang w:val="lt-LT" w:eastAsia="de-DE"/>
        </w:rPr>
        <w:t xml:space="preserve"> recipientams (R-), kuriems persodintas CMV </w:t>
      </w:r>
      <w:proofErr w:type="spellStart"/>
      <w:r w:rsidR="00C14E62">
        <w:rPr>
          <w:snapToGrid/>
          <w:kern w:val="24"/>
          <w:szCs w:val="24"/>
          <w:lang w:val="lt-LT" w:eastAsia="de-DE"/>
        </w:rPr>
        <w:t>seronegatyvaus</w:t>
      </w:r>
      <w:proofErr w:type="spellEnd"/>
      <w:r w:rsidR="00C14E62" w:rsidRPr="00561601">
        <w:rPr>
          <w:snapToGrid/>
          <w:kern w:val="24"/>
          <w:szCs w:val="24"/>
          <w:lang w:val="lt-LT" w:eastAsia="de-DE"/>
        </w:rPr>
        <w:t xml:space="preserve"> </w:t>
      </w:r>
      <w:r w:rsidRPr="00561601">
        <w:rPr>
          <w:snapToGrid/>
          <w:kern w:val="24"/>
          <w:szCs w:val="24"/>
          <w:lang w:val="lt-LT" w:eastAsia="de-DE"/>
        </w:rPr>
        <w:t xml:space="preserve">donoro organas, infekcija nenustatyta. R+ grupėje, vartojusioje tik </w:t>
      </w:r>
      <w:proofErr w:type="spellStart"/>
      <w:r w:rsidRPr="00561601">
        <w:rPr>
          <w:snapToGrid/>
          <w:kern w:val="24"/>
          <w:szCs w:val="24"/>
          <w:lang w:val="lt-LT" w:eastAsia="de-DE"/>
        </w:rPr>
        <w:t>aciklovirą</w:t>
      </w:r>
      <w:proofErr w:type="spellEnd"/>
      <w:r w:rsidRPr="00561601">
        <w:rPr>
          <w:snapToGrid/>
          <w:kern w:val="24"/>
          <w:szCs w:val="24"/>
          <w:lang w:val="lt-LT" w:eastAsia="de-DE"/>
        </w:rPr>
        <w:t xml:space="preserve">, iš 28 CMV R+ pacientų, kuriems buvo transplantuotas CMV D+ organas, 11 (39,3 %) nustatyta CMV infekcija ir iš 12 R+ pacientų, kuriems buvo transplantuotas CMV D- donoro organas, vienam recipientui nustatyta CMV infekcija (8,3 %). </w:t>
      </w:r>
    </w:p>
    <w:p w14:paraId="39A62A4B" w14:textId="77777777"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lang w:val="lt-LT" w:eastAsia="de-DE"/>
        </w:rPr>
      </w:pPr>
    </w:p>
    <w:p w14:paraId="36B14036" w14:textId="77777777"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u w:val="single"/>
          <w:lang w:val="lt-LT" w:eastAsia="de-DE"/>
        </w:rPr>
      </w:pPr>
      <w:r w:rsidRPr="00561601">
        <w:rPr>
          <w:snapToGrid/>
          <w:szCs w:val="24"/>
          <w:u w:val="single"/>
          <w:lang w:val="lt-LT" w:eastAsia="de-DE"/>
        </w:rPr>
        <w:t>Širdies transplantacija</w:t>
      </w:r>
    </w:p>
    <w:p w14:paraId="48F91D9A" w14:textId="6FE3065D" w:rsidR="00530EE0" w:rsidRPr="00561601" w:rsidRDefault="00530EE0" w:rsidP="00530EE0">
      <w:pPr>
        <w:tabs>
          <w:tab w:val="clear" w:pos="567"/>
        </w:tabs>
        <w:spacing w:line="240" w:lineRule="auto"/>
        <w:rPr>
          <w:snapToGrid/>
          <w:kern w:val="24"/>
          <w:szCs w:val="22"/>
          <w:lang w:val="lt-LT" w:eastAsia="de-DE"/>
        </w:rPr>
      </w:pPr>
      <w:r w:rsidRPr="00561601">
        <w:rPr>
          <w:snapToGrid/>
          <w:kern w:val="24"/>
          <w:szCs w:val="24"/>
          <w:lang w:val="lt-LT" w:eastAsia="de-DE"/>
        </w:rPr>
        <w:t xml:space="preserve">Atvirojo, lyginamojo, retrospektyvinio tyrimo metu buvo lyginama profilaktika vartojant </w:t>
      </w:r>
      <w:r w:rsidR="00D524D7" w:rsidRPr="00D524D7">
        <w:rPr>
          <w:snapToGrid/>
          <w:kern w:val="24"/>
          <w:szCs w:val="24"/>
          <w:lang w:val="lt-LT" w:eastAsia="de-DE"/>
        </w:rPr>
        <w:t>CMVIG</w:t>
      </w:r>
      <w:r w:rsidRPr="00561601">
        <w:rPr>
          <w:snapToGrid/>
          <w:kern w:val="24"/>
          <w:szCs w:val="24"/>
          <w:lang w:val="lt-LT" w:eastAsia="de-DE"/>
        </w:rPr>
        <w:t xml:space="preserve"> deriniu su </w:t>
      </w:r>
      <w:proofErr w:type="spellStart"/>
      <w:r w:rsidRPr="00561601">
        <w:rPr>
          <w:snapToGrid/>
          <w:kern w:val="24"/>
          <w:szCs w:val="24"/>
          <w:lang w:val="lt-LT" w:eastAsia="de-DE"/>
        </w:rPr>
        <w:t>gancikloviru</w:t>
      </w:r>
      <w:proofErr w:type="spellEnd"/>
      <w:r w:rsidRPr="00561601">
        <w:rPr>
          <w:snapToGrid/>
          <w:kern w:val="24"/>
          <w:szCs w:val="24"/>
          <w:lang w:val="lt-LT" w:eastAsia="de-DE"/>
        </w:rPr>
        <w:t xml:space="preserve"> ir vartojant </w:t>
      </w:r>
      <w:r w:rsidR="00D524D7" w:rsidRPr="00D524D7">
        <w:rPr>
          <w:snapToGrid/>
          <w:kern w:val="24"/>
          <w:szCs w:val="24"/>
          <w:lang w:val="lt-LT" w:eastAsia="de-DE"/>
        </w:rPr>
        <w:t>CMVIG</w:t>
      </w:r>
      <w:r w:rsidR="00D524D7">
        <w:rPr>
          <w:snapToGrid/>
          <w:kern w:val="24"/>
          <w:szCs w:val="24"/>
          <w:lang w:val="lt-LT" w:eastAsia="de-DE"/>
        </w:rPr>
        <w:t xml:space="preserve"> </w:t>
      </w:r>
      <w:r w:rsidRPr="00561601">
        <w:rPr>
          <w:snapToGrid/>
          <w:kern w:val="24"/>
          <w:szCs w:val="24"/>
          <w:lang w:val="lt-LT" w:eastAsia="de-DE"/>
        </w:rPr>
        <w:t xml:space="preserve">atskirai 207 suaugusiems didelės rizikos grupės pacientams po širdies transplantacijos (vidutinis amžius – 52,2 metų), kuriems buvo persodintas alogeninis </w:t>
      </w:r>
      <w:proofErr w:type="spellStart"/>
      <w:r w:rsidRPr="00561601">
        <w:rPr>
          <w:snapToGrid/>
          <w:kern w:val="24"/>
          <w:szCs w:val="24"/>
          <w:lang w:val="lt-LT" w:eastAsia="de-DE"/>
        </w:rPr>
        <w:t>seropozityvaus</w:t>
      </w:r>
      <w:proofErr w:type="spellEnd"/>
      <w:r w:rsidRPr="00561601">
        <w:rPr>
          <w:snapToGrid/>
          <w:kern w:val="24"/>
          <w:szCs w:val="24"/>
          <w:lang w:val="lt-LT" w:eastAsia="de-DE"/>
        </w:rPr>
        <w:t xml:space="preserve"> donoro (D+/R-) </w:t>
      </w:r>
      <w:proofErr w:type="spellStart"/>
      <w:r w:rsidRPr="00561601">
        <w:rPr>
          <w:snapToGrid/>
          <w:kern w:val="24"/>
          <w:szCs w:val="24"/>
          <w:lang w:val="lt-LT" w:eastAsia="de-DE"/>
        </w:rPr>
        <w:t>transplantatas</w:t>
      </w:r>
      <w:proofErr w:type="spellEnd"/>
      <w:r w:rsidRPr="00561601">
        <w:rPr>
          <w:snapToGrid/>
          <w:kern w:val="24"/>
          <w:szCs w:val="24"/>
          <w:lang w:val="lt-LT" w:eastAsia="de-DE"/>
        </w:rPr>
        <w:t xml:space="preserve"> Visiems </w:t>
      </w:r>
      <w:proofErr w:type="spellStart"/>
      <w:r w:rsidRPr="00561601">
        <w:rPr>
          <w:snapToGrid/>
          <w:kern w:val="24"/>
          <w:szCs w:val="24"/>
          <w:lang w:val="lt-LT" w:eastAsia="de-DE"/>
        </w:rPr>
        <w:t>pacientaims</w:t>
      </w:r>
      <w:proofErr w:type="spellEnd"/>
      <w:r w:rsidRPr="00561601">
        <w:rPr>
          <w:snapToGrid/>
          <w:kern w:val="24"/>
          <w:szCs w:val="24"/>
          <w:lang w:val="lt-LT" w:eastAsia="de-DE"/>
        </w:rPr>
        <w:t xml:space="preserve"> indukciniam gydymui buvo skiriamas </w:t>
      </w:r>
      <w:proofErr w:type="spellStart"/>
      <w:r w:rsidRPr="00561601">
        <w:rPr>
          <w:snapToGrid/>
          <w:kern w:val="24"/>
          <w:szCs w:val="24"/>
          <w:lang w:val="lt-LT" w:eastAsia="de-DE"/>
        </w:rPr>
        <w:t>polikloninis</w:t>
      </w:r>
      <w:proofErr w:type="spellEnd"/>
      <w:r w:rsidRPr="00561601">
        <w:rPr>
          <w:snapToGrid/>
          <w:kern w:val="24"/>
          <w:szCs w:val="24"/>
          <w:lang w:val="lt-LT" w:eastAsia="de-DE"/>
        </w:rPr>
        <w:t xml:space="preserve"> triušių imunoglobulinas prieš žmogaus </w:t>
      </w:r>
      <w:proofErr w:type="spellStart"/>
      <w:r w:rsidRPr="00561601">
        <w:rPr>
          <w:snapToGrid/>
          <w:kern w:val="24"/>
          <w:szCs w:val="24"/>
          <w:lang w:val="lt-LT" w:eastAsia="de-DE"/>
        </w:rPr>
        <w:t>timocitus</w:t>
      </w:r>
      <w:proofErr w:type="spellEnd"/>
      <w:r w:rsidRPr="00561601">
        <w:rPr>
          <w:snapToGrid/>
          <w:kern w:val="24"/>
          <w:szCs w:val="24"/>
          <w:lang w:val="lt-LT" w:eastAsia="de-DE"/>
        </w:rPr>
        <w:t xml:space="preserve">. </w:t>
      </w:r>
      <w:proofErr w:type="spellStart"/>
      <w:r w:rsidRPr="00561601">
        <w:rPr>
          <w:snapToGrid/>
          <w:kern w:val="24"/>
          <w:szCs w:val="24"/>
          <w:lang w:val="lt-LT" w:eastAsia="de-DE"/>
        </w:rPr>
        <w:t>Ciklosporinas</w:t>
      </w:r>
      <w:proofErr w:type="spellEnd"/>
      <w:r w:rsidRPr="00561601">
        <w:rPr>
          <w:snapToGrid/>
          <w:kern w:val="24"/>
          <w:szCs w:val="24"/>
          <w:lang w:val="lt-LT" w:eastAsia="de-DE"/>
        </w:rPr>
        <w:t xml:space="preserve"> A, </w:t>
      </w:r>
      <w:proofErr w:type="spellStart"/>
      <w:r w:rsidRPr="00561601">
        <w:rPr>
          <w:snapToGrid/>
          <w:kern w:val="24"/>
          <w:szCs w:val="24"/>
          <w:lang w:val="lt-LT" w:eastAsia="de-DE"/>
        </w:rPr>
        <w:t>azatioprinas</w:t>
      </w:r>
      <w:proofErr w:type="spellEnd"/>
      <w:r w:rsidRPr="00561601">
        <w:rPr>
          <w:snapToGrid/>
          <w:kern w:val="24"/>
          <w:szCs w:val="24"/>
          <w:lang w:val="lt-LT" w:eastAsia="de-DE"/>
        </w:rPr>
        <w:t xml:space="preserve"> ir prednizonas buvo </w:t>
      </w:r>
      <w:r w:rsidR="008D3F3C">
        <w:rPr>
          <w:snapToGrid/>
          <w:kern w:val="24"/>
          <w:szCs w:val="24"/>
          <w:lang w:val="lt-LT" w:eastAsia="de-DE"/>
        </w:rPr>
        <w:t>vartojami</w:t>
      </w:r>
      <w:r w:rsidR="008D3F3C" w:rsidRPr="00561601">
        <w:rPr>
          <w:snapToGrid/>
          <w:kern w:val="24"/>
          <w:szCs w:val="24"/>
          <w:lang w:val="lt-LT" w:eastAsia="de-DE"/>
        </w:rPr>
        <w:t xml:space="preserve"> </w:t>
      </w:r>
      <w:r w:rsidRPr="00561601">
        <w:rPr>
          <w:snapToGrid/>
          <w:kern w:val="24"/>
          <w:szCs w:val="24"/>
          <w:lang w:val="lt-LT" w:eastAsia="de-DE"/>
        </w:rPr>
        <w:t xml:space="preserve">kaip palaikomasis imunosupresinis gydymas. Ūmaus </w:t>
      </w:r>
      <w:proofErr w:type="spellStart"/>
      <w:r w:rsidRPr="00561601">
        <w:rPr>
          <w:snapToGrid/>
          <w:kern w:val="24"/>
          <w:szCs w:val="24"/>
          <w:lang w:val="lt-LT" w:eastAsia="de-DE"/>
        </w:rPr>
        <w:t>transplantato</w:t>
      </w:r>
      <w:proofErr w:type="spellEnd"/>
      <w:r w:rsidRPr="00561601">
        <w:rPr>
          <w:snapToGrid/>
          <w:kern w:val="24"/>
          <w:szCs w:val="24"/>
          <w:lang w:val="lt-LT" w:eastAsia="de-DE"/>
        </w:rPr>
        <w:t xml:space="preserve"> atmetimo reakcijų atveju buvo taikomas gydymas kasdien skiriant prednizono </w:t>
      </w:r>
      <w:proofErr w:type="spellStart"/>
      <w:r w:rsidRPr="00561601">
        <w:rPr>
          <w:snapToGrid/>
          <w:kern w:val="24"/>
          <w:szCs w:val="24"/>
          <w:lang w:val="lt-LT" w:eastAsia="de-DE"/>
        </w:rPr>
        <w:t>boliusą</w:t>
      </w:r>
      <w:proofErr w:type="spellEnd"/>
      <w:r w:rsidRPr="00561601">
        <w:rPr>
          <w:snapToGrid/>
          <w:kern w:val="24"/>
          <w:szCs w:val="24"/>
          <w:lang w:val="lt-LT" w:eastAsia="de-DE"/>
        </w:rPr>
        <w:t xml:space="preserve"> 3 paras iš eilės. A grupėje 96 p</w:t>
      </w:r>
      <w:r w:rsidR="00776466" w:rsidRPr="00561601">
        <w:rPr>
          <w:snapToGrid/>
          <w:kern w:val="24"/>
          <w:szCs w:val="24"/>
          <w:lang w:val="lt-LT" w:eastAsia="de-DE"/>
        </w:rPr>
        <w:t xml:space="preserve">acientams skirtas vien </w:t>
      </w:r>
      <w:r w:rsidR="00D524D7" w:rsidRPr="00D524D7">
        <w:rPr>
          <w:snapToGrid/>
          <w:kern w:val="24"/>
          <w:szCs w:val="24"/>
          <w:lang w:val="lt-LT" w:eastAsia="de-DE"/>
        </w:rPr>
        <w:t>CMVIG</w:t>
      </w:r>
      <w:r w:rsidRPr="00561601">
        <w:rPr>
          <w:snapToGrid/>
          <w:kern w:val="24"/>
          <w:szCs w:val="24"/>
          <w:lang w:val="lt-LT" w:eastAsia="de-DE"/>
        </w:rPr>
        <w:t xml:space="preserve">, o B grupėje 111 pacientui skirtas </w:t>
      </w:r>
      <w:r w:rsidR="00D524D7" w:rsidRPr="00D524D7">
        <w:rPr>
          <w:snapToGrid/>
          <w:kern w:val="24"/>
          <w:szCs w:val="24"/>
          <w:lang w:val="lt-LT" w:eastAsia="de-DE"/>
        </w:rPr>
        <w:t>CMVIG</w:t>
      </w:r>
      <w:r w:rsidRPr="00561601">
        <w:rPr>
          <w:snapToGrid/>
          <w:kern w:val="24"/>
          <w:szCs w:val="24"/>
          <w:lang w:val="lt-LT" w:eastAsia="de-DE"/>
        </w:rPr>
        <w:t xml:space="preserve"> ir </w:t>
      </w:r>
      <w:proofErr w:type="spellStart"/>
      <w:r w:rsidRPr="00561601">
        <w:rPr>
          <w:snapToGrid/>
          <w:kern w:val="24"/>
          <w:szCs w:val="24"/>
          <w:lang w:val="lt-LT" w:eastAsia="de-DE"/>
        </w:rPr>
        <w:t>gancikloviro</w:t>
      </w:r>
      <w:proofErr w:type="spellEnd"/>
      <w:r w:rsidRPr="00561601">
        <w:rPr>
          <w:snapToGrid/>
          <w:kern w:val="24"/>
          <w:szCs w:val="24"/>
          <w:lang w:val="lt-LT" w:eastAsia="de-DE"/>
        </w:rPr>
        <w:t xml:space="preserve"> derinys. 100 mg/kg </w:t>
      </w:r>
      <w:r w:rsidR="00D524D7" w:rsidRPr="00D524D7">
        <w:rPr>
          <w:snapToGrid/>
          <w:kern w:val="24"/>
          <w:szCs w:val="24"/>
          <w:lang w:val="lt-LT" w:eastAsia="de-DE"/>
        </w:rPr>
        <w:t>CMVIG</w:t>
      </w:r>
      <w:r w:rsidRPr="00561601">
        <w:rPr>
          <w:snapToGrid/>
          <w:kern w:val="24"/>
          <w:szCs w:val="24"/>
          <w:lang w:val="lt-LT" w:eastAsia="de-DE"/>
        </w:rPr>
        <w:t xml:space="preserve"> dozė buvo leidžiama į veną prieš transplantacijos operaciją ir po operacijos 1, 7, 14, 21 ir 28 </w:t>
      </w:r>
      <w:r w:rsidR="008D3F3C">
        <w:rPr>
          <w:snapToGrid/>
          <w:kern w:val="24"/>
          <w:szCs w:val="24"/>
          <w:lang w:val="lt-LT" w:eastAsia="de-DE"/>
        </w:rPr>
        <w:t>parą</w:t>
      </w:r>
      <w:r w:rsidRPr="00561601">
        <w:rPr>
          <w:snapToGrid/>
          <w:kern w:val="24"/>
          <w:szCs w:val="24"/>
          <w:lang w:val="lt-LT" w:eastAsia="de-DE"/>
        </w:rPr>
        <w:t>. CMV liga sergantiems pacientams 21 </w:t>
      </w:r>
      <w:r w:rsidR="008D3F3C">
        <w:rPr>
          <w:snapToGrid/>
          <w:kern w:val="24"/>
          <w:szCs w:val="24"/>
          <w:lang w:val="lt-LT" w:eastAsia="de-DE"/>
        </w:rPr>
        <w:t>parą</w:t>
      </w:r>
      <w:r w:rsidR="008D3F3C" w:rsidRPr="00561601">
        <w:rPr>
          <w:snapToGrid/>
          <w:kern w:val="24"/>
          <w:szCs w:val="24"/>
          <w:lang w:val="lt-LT" w:eastAsia="de-DE"/>
        </w:rPr>
        <w:t xml:space="preserve"> </w:t>
      </w:r>
      <w:r w:rsidRPr="00561601">
        <w:rPr>
          <w:snapToGrid/>
          <w:kern w:val="24"/>
          <w:szCs w:val="24"/>
          <w:lang w:val="lt-LT" w:eastAsia="de-DE"/>
        </w:rPr>
        <w:t xml:space="preserve">buvo skiriamas </w:t>
      </w:r>
      <w:proofErr w:type="spellStart"/>
      <w:r w:rsidRPr="00561601">
        <w:rPr>
          <w:snapToGrid/>
          <w:kern w:val="24"/>
          <w:szCs w:val="24"/>
          <w:lang w:val="lt-LT" w:eastAsia="de-DE"/>
        </w:rPr>
        <w:t>gancikloviras</w:t>
      </w:r>
      <w:proofErr w:type="spellEnd"/>
      <w:r w:rsidRPr="00561601">
        <w:rPr>
          <w:snapToGrid/>
          <w:kern w:val="24"/>
          <w:szCs w:val="24"/>
          <w:lang w:val="lt-LT" w:eastAsia="de-DE"/>
        </w:rPr>
        <w:t xml:space="preserve">, tuo pačiu mažinant imunosupresinio gydymo dozę. Papildomai kartą per savaitę buvo skiriamas </w:t>
      </w:r>
      <w:r w:rsidR="009C7441" w:rsidRPr="009C7441">
        <w:rPr>
          <w:snapToGrid/>
          <w:kern w:val="24"/>
          <w:szCs w:val="24"/>
          <w:lang w:val="lt-LT" w:eastAsia="de-DE"/>
        </w:rPr>
        <w:t>CMVIG</w:t>
      </w:r>
      <w:r w:rsidRPr="00561601">
        <w:rPr>
          <w:snapToGrid/>
          <w:kern w:val="24"/>
          <w:szCs w:val="24"/>
          <w:lang w:val="lt-LT" w:eastAsia="de-DE"/>
        </w:rPr>
        <w:t xml:space="preserve">. A grupėje 53,1 % pacientų nustatyta CMV infekcija, o 32,3 % (31 iš 96 pacientų) susirgo CMV liga. B grupėje 65,8 % pacientų nustatyta CMV infekcija, o 11,7 % (13 iš 111 pacientų) susirgo CMV liga. A grupėje buvo keturios su CMV susijusios mirtys; 3 pacientai mirė nuo sunkaus CMV sepsio, 1 pacientas mirė nuo CMV encefalito. B grupėje su CMV susijusių mirčių nebuvo, tai rodo statistiškai reikšmingą gydymo </w:t>
      </w:r>
      <w:r w:rsidR="009C7441" w:rsidRPr="009C7441">
        <w:rPr>
          <w:snapToGrid/>
          <w:kern w:val="24"/>
          <w:szCs w:val="24"/>
          <w:lang w:val="lt-LT" w:eastAsia="de-DE"/>
        </w:rPr>
        <w:t>CMVIG</w:t>
      </w:r>
      <w:r w:rsidRPr="00561601">
        <w:rPr>
          <w:snapToGrid/>
          <w:kern w:val="24"/>
          <w:szCs w:val="24"/>
          <w:lang w:val="lt-LT" w:eastAsia="de-DE"/>
        </w:rPr>
        <w:t xml:space="preserve"> ir </w:t>
      </w:r>
      <w:proofErr w:type="spellStart"/>
      <w:r w:rsidRPr="00561601">
        <w:rPr>
          <w:snapToGrid/>
          <w:kern w:val="24"/>
          <w:szCs w:val="24"/>
          <w:lang w:val="lt-LT" w:eastAsia="de-DE"/>
        </w:rPr>
        <w:t>gancikloviro</w:t>
      </w:r>
      <w:proofErr w:type="spellEnd"/>
      <w:r w:rsidRPr="00561601">
        <w:rPr>
          <w:snapToGrid/>
          <w:kern w:val="24"/>
          <w:szCs w:val="24"/>
          <w:lang w:val="lt-LT" w:eastAsia="de-DE"/>
        </w:rPr>
        <w:t xml:space="preserve"> deriniu naudą, lyginant su profilaktiniu gydymu vien tik </w:t>
      </w:r>
      <w:r w:rsidR="009C7441" w:rsidRPr="009C7441">
        <w:rPr>
          <w:snapToGrid/>
          <w:kern w:val="24"/>
          <w:szCs w:val="24"/>
          <w:lang w:val="lt-LT" w:eastAsia="de-DE"/>
        </w:rPr>
        <w:t>CMVIG</w:t>
      </w:r>
      <w:r w:rsidRPr="00561601">
        <w:rPr>
          <w:snapToGrid/>
          <w:kern w:val="24"/>
          <w:szCs w:val="24"/>
          <w:lang w:val="lt-LT" w:eastAsia="de-DE"/>
        </w:rPr>
        <w:t xml:space="preserve"> (P = 0,0326). </w:t>
      </w:r>
    </w:p>
    <w:p w14:paraId="17F16973" w14:textId="77777777" w:rsidR="00530EE0" w:rsidRPr="00561601" w:rsidRDefault="00530EE0" w:rsidP="00530EE0">
      <w:pPr>
        <w:tabs>
          <w:tab w:val="clear" w:pos="567"/>
        </w:tabs>
        <w:spacing w:before="20" w:after="20" w:line="240" w:lineRule="auto"/>
        <w:rPr>
          <w:snapToGrid/>
          <w:kern w:val="24"/>
          <w:szCs w:val="22"/>
          <w:lang w:val="lt-LT" w:eastAsia="de-DE"/>
        </w:rPr>
      </w:pPr>
    </w:p>
    <w:p w14:paraId="236725B7" w14:textId="4998CDE8" w:rsidR="00530EE0" w:rsidRPr="00561601" w:rsidRDefault="00530EE0" w:rsidP="00530EE0">
      <w:pPr>
        <w:tabs>
          <w:tab w:val="clear" w:pos="567"/>
        </w:tabs>
        <w:spacing w:before="20" w:after="20" w:line="240" w:lineRule="auto"/>
        <w:rPr>
          <w:snapToGrid/>
          <w:kern w:val="24"/>
          <w:szCs w:val="22"/>
          <w:lang w:val="lt-LT" w:eastAsia="de-DE"/>
        </w:rPr>
      </w:pPr>
      <w:r w:rsidRPr="00561601">
        <w:rPr>
          <w:snapToGrid/>
          <w:kern w:val="24"/>
          <w:szCs w:val="24"/>
          <w:lang w:val="lt-LT" w:eastAsia="de-DE"/>
        </w:rPr>
        <w:t xml:space="preserve">Atvirojo, viename centre atlikto tyrimo metu buvo vertinama suaugusiųjų </w:t>
      </w:r>
      <w:proofErr w:type="spellStart"/>
      <w:r w:rsidRPr="00561601">
        <w:rPr>
          <w:snapToGrid/>
          <w:kern w:val="24"/>
          <w:szCs w:val="24"/>
          <w:lang w:val="lt-LT" w:eastAsia="de-DE"/>
        </w:rPr>
        <w:t>transplantato</w:t>
      </w:r>
      <w:proofErr w:type="spellEnd"/>
      <w:r w:rsidRPr="00561601">
        <w:rPr>
          <w:snapToGrid/>
          <w:kern w:val="24"/>
          <w:szCs w:val="24"/>
          <w:lang w:val="lt-LT" w:eastAsia="de-DE"/>
        </w:rPr>
        <w:t xml:space="preserve"> recipientų pasyvi imunizacija CMV (146 pacientai, kuriems 1984–1991 m. buvo atlikta širdies transplantacija, jų amžiaus mediana buvo 47 metai). Stebėjimo laikotarpio trukmė buvo 13</w:t>
      </w:r>
      <w:r w:rsidRPr="00561601">
        <w:rPr>
          <w:snapToGrid/>
          <w:kern w:val="24"/>
          <w:szCs w:val="24"/>
          <w:lang w:val="lt-LT" w:eastAsia="de-DE"/>
        </w:rPr>
        <w:noBreakHyphen/>
        <w:t xml:space="preserve">73 mėnesiai (mediana – 43 mėnesiai). </w:t>
      </w:r>
      <w:proofErr w:type="spellStart"/>
      <w:r w:rsidRPr="00561601">
        <w:rPr>
          <w:snapToGrid/>
          <w:kern w:val="24"/>
          <w:szCs w:val="24"/>
          <w:lang w:val="lt-LT" w:eastAsia="de-DE"/>
        </w:rPr>
        <w:t>Imunosupresijai</w:t>
      </w:r>
      <w:proofErr w:type="spellEnd"/>
      <w:r w:rsidRPr="00561601">
        <w:rPr>
          <w:snapToGrid/>
          <w:kern w:val="24"/>
          <w:szCs w:val="24"/>
          <w:lang w:val="lt-LT" w:eastAsia="de-DE"/>
        </w:rPr>
        <w:t xml:space="preserve"> palaikyti buvo skiriamas </w:t>
      </w:r>
      <w:proofErr w:type="spellStart"/>
      <w:r w:rsidRPr="00561601">
        <w:rPr>
          <w:snapToGrid/>
          <w:kern w:val="24"/>
          <w:szCs w:val="24"/>
          <w:lang w:val="lt-LT" w:eastAsia="de-DE"/>
        </w:rPr>
        <w:t>ciklosporinas</w:t>
      </w:r>
      <w:proofErr w:type="spellEnd"/>
      <w:r w:rsidRPr="00561601">
        <w:rPr>
          <w:snapToGrid/>
          <w:kern w:val="24"/>
          <w:szCs w:val="24"/>
          <w:lang w:val="lt-LT" w:eastAsia="de-DE"/>
        </w:rPr>
        <w:t xml:space="preserve"> A ir prednizonas. Dėl pirmaisiais metais pasikartojančių atmetimo reakcijų 11 pacientų, prie šios schemos buvo pridėtas </w:t>
      </w:r>
      <w:proofErr w:type="spellStart"/>
      <w:r w:rsidRPr="00561601">
        <w:rPr>
          <w:snapToGrid/>
          <w:kern w:val="24"/>
          <w:szCs w:val="24"/>
          <w:lang w:val="lt-LT" w:eastAsia="de-DE"/>
        </w:rPr>
        <w:t>azatioprinas</w:t>
      </w:r>
      <w:proofErr w:type="spellEnd"/>
      <w:r w:rsidRPr="00561601">
        <w:rPr>
          <w:snapToGrid/>
          <w:kern w:val="24"/>
          <w:szCs w:val="24"/>
          <w:lang w:val="lt-LT" w:eastAsia="de-DE"/>
        </w:rPr>
        <w:t xml:space="preserve">. Gydymo grupėje 65 CMV (R-) pacientams operacijos metu skirta 150 mg/kg </w:t>
      </w:r>
      <w:r w:rsidR="009C7441" w:rsidRPr="009C7441">
        <w:rPr>
          <w:snapToGrid/>
          <w:kern w:val="24"/>
          <w:szCs w:val="24"/>
          <w:lang w:val="lt-LT" w:eastAsia="de-DE"/>
        </w:rPr>
        <w:t>CMVIG</w:t>
      </w:r>
      <w:r w:rsidRPr="00561601">
        <w:rPr>
          <w:snapToGrid/>
          <w:kern w:val="24"/>
          <w:szCs w:val="24"/>
          <w:lang w:val="lt-LT" w:eastAsia="de-DE"/>
        </w:rPr>
        <w:t>, o 2, 7, 14, 28, 42, 56 ir 72 </w:t>
      </w:r>
      <w:r w:rsidR="008D3F3C">
        <w:rPr>
          <w:snapToGrid/>
          <w:kern w:val="24"/>
          <w:szCs w:val="24"/>
          <w:lang w:val="lt-LT" w:eastAsia="de-DE"/>
        </w:rPr>
        <w:t>parą</w:t>
      </w:r>
      <w:r w:rsidR="008D3F3C" w:rsidRPr="00561601">
        <w:rPr>
          <w:snapToGrid/>
          <w:kern w:val="24"/>
          <w:szCs w:val="24"/>
          <w:lang w:val="lt-LT" w:eastAsia="de-DE"/>
        </w:rPr>
        <w:t xml:space="preserve"> </w:t>
      </w:r>
      <w:r w:rsidRPr="00561601">
        <w:rPr>
          <w:snapToGrid/>
          <w:kern w:val="24"/>
          <w:szCs w:val="24"/>
          <w:lang w:val="lt-LT" w:eastAsia="de-DE"/>
        </w:rPr>
        <w:t xml:space="preserve">po transplantacijos – 100 mg/kg </w:t>
      </w:r>
      <w:r w:rsidR="009C7441" w:rsidRPr="009C7441">
        <w:rPr>
          <w:snapToGrid/>
          <w:kern w:val="24"/>
          <w:szCs w:val="24"/>
          <w:lang w:val="lt-LT" w:eastAsia="de-DE"/>
        </w:rPr>
        <w:t>CMVIG</w:t>
      </w:r>
      <w:r w:rsidRPr="00561601">
        <w:rPr>
          <w:snapToGrid/>
          <w:kern w:val="24"/>
          <w:szCs w:val="24"/>
          <w:lang w:val="lt-LT" w:eastAsia="de-DE"/>
        </w:rPr>
        <w:t xml:space="preserve">, kontrolinėje grupėje buvo 81 CMV (R+) pacientas, kuriam nebuvo taikoma CMV profilaktika. Gydymo grupėje 21 iš 65 (R-) pacientų (32,3 %) nustatyta CMV infekcija, o 11 iš 65 (R-) pacientų (16,9 %) susirgo CMV liga. Kontrolinėje grupėje 40 iš 81 (R+) pacientų (49,4 %) nustatyta CMV infekcija ir 10 iš 81 (R+) pacientų (12,3 %) susirgo CMV liga. </w:t>
      </w:r>
    </w:p>
    <w:p w14:paraId="471E9527" w14:textId="77777777" w:rsidR="00530EE0" w:rsidRPr="00561601" w:rsidRDefault="00530EE0" w:rsidP="00530EE0">
      <w:pPr>
        <w:tabs>
          <w:tab w:val="clear" w:pos="567"/>
        </w:tabs>
        <w:spacing w:before="20" w:after="20" w:line="240" w:lineRule="auto"/>
        <w:rPr>
          <w:snapToGrid/>
          <w:kern w:val="24"/>
          <w:szCs w:val="22"/>
          <w:lang w:val="lt-LT"/>
        </w:rPr>
      </w:pPr>
    </w:p>
    <w:p w14:paraId="7B4CD16E" w14:textId="77777777" w:rsidR="00530EE0" w:rsidRPr="00561601" w:rsidRDefault="00530EE0" w:rsidP="00530EE0">
      <w:pPr>
        <w:tabs>
          <w:tab w:val="clear" w:pos="567"/>
        </w:tabs>
        <w:spacing w:before="20" w:after="20" w:line="240" w:lineRule="auto"/>
        <w:rPr>
          <w:snapToGrid/>
          <w:kern w:val="24"/>
          <w:szCs w:val="22"/>
          <w:u w:val="single"/>
          <w:lang w:val="lt-LT" w:eastAsia="de-DE"/>
        </w:rPr>
      </w:pPr>
      <w:r w:rsidRPr="00561601">
        <w:rPr>
          <w:snapToGrid/>
          <w:kern w:val="24"/>
          <w:szCs w:val="24"/>
          <w:u w:val="single"/>
          <w:lang w:val="lt-LT" w:eastAsia="de-DE"/>
        </w:rPr>
        <w:t>Plaučių transplantacija</w:t>
      </w:r>
    </w:p>
    <w:p w14:paraId="4D0B681D" w14:textId="7463223C"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 xml:space="preserve">Retrospektyvinio, viename centre atlikto tyrimo metu buvo vertinamas CMV imunoglobulino vartojimas CMV infekcijos profilaktikai ir gydymui (stebėti 156 suaugę pacientai, kuriems 2007–2011 m. buvo </w:t>
      </w:r>
      <w:r w:rsidR="008D3F3C">
        <w:rPr>
          <w:snapToGrid/>
          <w:szCs w:val="24"/>
          <w:lang w:val="lt-LT" w:eastAsia="de-DE"/>
        </w:rPr>
        <w:t>transplantuoti</w:t>
      </w:r>
      <w:r w:rsidR="008D3F3C" w:rsidRPr="00561601">
        <w:rPr>
          <w:snapToGrid/>
          <w:szCs w:val="24"/>
          <w:lang w:val="lt-LT" w:eastAsia="de-DE"/>
        </w:rPr>
        <w:t xml:space="preserve"> </w:t>
      </w:r>
      <w:r w:rsidRPr="00561601">
        <w:rPr>
          <w:snapToGrid/>
          <w:szCs w:val="24"/>
          <w:lang w:val="lt-LT" w:eastAsia="de-DE"/>
        </w:rPr>
        <w:t xml:space="preserve">plaučiai, jų vidutinis amžius buvo 52 metai (diapazonas: 17–67 metai)). Stebėjimo trukmės mediana buvo 19,2 mėnesio. Visiems pacientams buvo skirta </w:t>
      </w:r>
      <w:proofErr w:type="spellStart"/>
      <w:r w:rsidRPr="00561601">
        <w:rPr>
          <w:snapToGrid/>
          <w:szCs w:val="24"/>
          <w:lang w:val="lt-LT" w:eastAsia="de-DE"/>
        </w:rPr>
        <w:t>baziliksimabo</w:t>
      </w:r>
      <w:proofErr w:type="spellEnd"/>
      <w:r w:rsidRPr="00561601">
        <w:rPr>
          <w:snapToGrid/>
          <w:szCs w:val="24"/>
          <w:lang w:val="lt-LT" w:eastAsia="de-DE"/>
        </w:rPr>
        <w:t xml:space="preserve"> indukcija ir triguba </w:t>
      </w:r>
      <w:proofErr w:type="spellStart"/>
      <w:r w:rsidRPr="00561601">
        <w:rPr>
          <w:snapToGrid/>
          <w:szCs w:val="24"/>
          <w:lang w:val="lt-LT" w:eastAsia="de-DE"/>
        </w:rPr>
        <w:t>imunosupresija</w:t>
      </w:r>
      <w:proofErr w:type="spellEnd"/>
      <w:r w:rsidRPr="00561601">
        <w:rPr>
          <w:snapToGrid/>
          <w:szCs w:val="24"/>
          <w:lang w:val="lt-LT" w:eastAsia="de-DE"/>
        </w:rPr>
        <w:t xml:space="preserve"> (</w:t>
      </w:r>
      <w:proofErr w:type="spellStart"/>
      <w:r w:rsidRPr="00561601">
        <w:rPr>
          <w:snapToGrid/>
          <w:szCs w:val="24"/>
          <w:lang w:val="lt-LT" w:eastAsia="de-DE"/>
        </w:rPr>
        <w:t>takrolimuzas</w:t>
      </w:r>
      <w:proofErr w:type="spellEnd"/>
      <w:r w:rsidRPr="00561601">
        <w:rPr>
          <w:snapToGrid/>
          <w:szCs w:val="24"/>
          <w:lang w:val="lt-LT" w:eastAsia="de-DE"/>
        </w:rPr>
        <w:t xml:space="preserve">, </w:t>
      </w:r>
      <w:proofErr w:type="spellStart"/>
      <w:r w:rsidRPr="00561601">
        <w:rPr>
          <w:snapToGrid/>
          <w:szCs w:val="24"/>
          <w:lang w:val="lt-LT" w:eastAsia="de-DE"/>
        </w:rPr>
        <w:t>mikofenolato</w:t>
      </w:r>
      <w:proofErr w:type="spellEnd"/>
      <w:r w:rsidRPr="00561601">
        <w:rPr>
          <w:snapToGrid/>
          <w:szCs w:val="24"/>
          <w:lang w:val="lt-LT" w:eastAsia="de-DE"/>
        </w:rPr>
        <w:t xml:space="preserve"> </w:t>
      </w:r>
      <w:proofErr w:type="spellStart"/>
      <w:r w:rsidRPr="00561601">
        <w:rPr>
          <w:snapToGrid/>
          <w:szCs w:val="24"/>
          <w:lang w:val="lt-LT" w:eastAsia="de-DE"/>
        </w:rPr>
        <w:t>mofetilas</w:t>
      </w:r>
      <w:proofErr w:type="spellEnd"/>
      <w:r w:rsidRPr="00561601">
        <w:rPr>
          <w:snapToGrid/>
          <w:szCs w:val="24"/>
          <w:lang w:val="lt-LT" w:eastAsia="de-DE"/>
        </w:rPr>
        <w:t xml:space="preserve">, </w:t>
      </w:r>
      <w:proofErr w:type="spellStart"/>
      <w:r w:rsidRPr="00561601">
        <w:rPr>
          <w:snapToGrid/>
          <w:szCs w:val="24"/>
          <w:lang w:val="lt-LT" w:eastAsia="de-DE"/>
        </w:rPr>
        <w:t>metilprednizolonas</w:t>
      </w:r>
      <w:proofErr w:type="spellEnd"/>
      <w:r w:rsidRPr="00561601">
        <w:rPr>
          <w:snapToGrid/>
          <w:szCs w:val="24"/>
          <w:lang w:val="lt-LT" w:eastAsia="de-DE"/>
        </w:rPr>
        <w:t xml:space="preserve">, po to prednizolonas). Gydymas </w:t>
      </w:r>
      <w:proofErr w:type="spellStart"/>
      <w:r w:rsidRPr="00561601">
        <w:rPr>
          <w:snapToGrid/>
          <w:szCs w:val="24"/>
          <w:lang w:val="lt-LT" w:eastAsia="de-DE"/>
        </w:rPr>
        <w:t>gancikloviru</w:t>
      </w:r>
      <w:proofErr w:type="spellEnd"/>
      <w:r w:rsidRPr="00561601">
        <w:rPr>
          <w:snapToGrid/>
          <w:szCs w:val="24"/>
          <w:lang w:val="lt-LT" w:eastAsia="de-DE"/>
        </w:rPr>
        <w:t xml:space="preserve"> </w:t>
      </w:r>
      <w:proofErr w:type="spellStart"/>
      <w:r w:rsidRPr="00561601">
        <w:rPr>
          <w:snapToGrid/>
          <w:szCs w:val="24"/>
          <w:lang w:val="lt-LT" w:eastAsia="de-DE"/>
        </w:rPr>
        <w:t>i.v</w:t>
      </w:r>
      <w:proofErr w:type="spellEnd"/>
      <w:r w:rsidRPr="00561601">
        <w:rPr>
          <w:snapToGrid/>
          <w:szCs w:val="24"/>
          <w:lang w:val="lt-LT" w:eastAsia="de-DE"/>
        </w:rPr>
        <w:t xml:space="preserve">. buvo pradėtas visiems rizikos grupės pacientams (D+/R– arba R+) pirmąją savaitę po transplantacijos. Gydymo grupėje 23 D+/R– pacientams skirta 2 ml/kg </w:t>
      </w:r>
      <w:r w:rsidR="009C7441" w:rsidRPr="009C7441">
        <w:rPr>
          <w:snapToGrid/>
          <w:szCs w:val="24"/>
          <w:lang w:val="lt-LT" w:eastAsia="de-DE"/>
        </w:rPr>
        <w:t>CMVIG</w:t>
      </w:r>
      <w:r w:rsidRPr="00561601">
        <w:rPr>
          <w:snapToGrid/>
          <w:szCs w:val="24"/>
          <w:lang w:val="lt-LT" w:eastAsia="de-DE"/>
        </w:rPr>
        <w:t xml:space="preserve"> 1, 4, 8, 15 ir 30 </w:t>
      </w:r>
      <w:r w:rsidR="008D3F3C">
        <w:rPr>
          <w:snapToGrid/>
          <w:szCs w:val="24"/>
          <w:lang w:val="lt-LT" w:eastAsia="de-DE"/>
        </w:rPr>
        <w:t>parą</w:t>
      </w:r>
      <w:r w:rsidR="008D3F3C" w:rsidRPr="00561601">
        <w:rPr>
          <w:snapToGrid/>
          <w:szCs w:val="24"/>
          <w:lang w:val="lt-LT" w:eastAsia="de-DE"/>
        </w:rPr>
        <w:t xml:space="preserve"> </w:t>
      </w:r>
      <w:r w:rsidRPr="00561601">
        <w:rPr>
          <w:snapToGrid/>
          <w:szCs w:val="24"/>
          <w:lang w:val="lt-LT" w:eastAsia="de-DE"/>
        </w:rPr>
        <w:t xml:space="preserve">po transplantacijos, vėliau kas mėnesį ištisus metus, ir 6 mėnesius skirtas </w:t>
      </w:r>
      <w:proofErr w:type="spellStart"/>
      <w:r w:rsidRPr="00561601">
        <w:rPr>
          <w:snapToGrid/>
          <w:szCs w:val="24"/>
          <w:lang w:val="lt-LT" w:eastAsia="de-DE"/>
        </w:rPr>
        <w:t>valgancikloviras</w:t>
      </w:r>
      <w:proofErr w:type="spellEnd"/>
      <w:r w:rsidRPr="00561601">
        <w:rPr>
          <w:snapToGrid/>
          <w:szCs w:val="24"/>
          <w:lang w:val="lt-LT" w:eastAsia="de-DE"/>
        </w:rPr>
        <w:t xml:space="preserve">. Kontrolinėje grupėje 133 R+ pacientai 3 mėnesius vartojo </w:t>
      </w:r>
      <w:proofErr w:type="spellStart"/>
      <w:r w:rsidR="008D3F3C" w:rsidRPr="00561601">
        <w:rPr>
          <w:snapToGrid/>
          <w:szCs w:val="24"/>
          <w:lang w:val="lt-LT" w:eastAsia="de-DE"/>
        </w:rPr>
        <w:t>valganciklovir</w:t>
      </w:r>
      <w:r w:rsidR="008D3F3C">
        <w:rPr>
          <w:snapToGrid/>
          <w:szCs w:val="24"/>
          <w:lang w:val="lt-LT" w:eastAsia="de-DE"/>
        </w:rPr>
        <w:t>o</w:t>
      </w:r>
      <w:proofErr w:type="spellEnd"/>
      <w:r w:rsidRPr="00561601">
        <w:rPr>
          <w:snapToGrid/>
          <w:szCs w:val="24"/>
          <w:lang w:val="lt-LT" w:eastAsia="de-DE"/>
        </w:rPr>
        <w:t>. Gydymo grupėje 14 iš 23 (D+/R-) pacientų (61 %) nustatyta CMV infekcija</w:t>
      </w:r>
      <w:r w:rsidR="008D3F3C">
        <w:rPr>
          <w:snapToGrid/>
          <w:szCs w:val="24"/>
          <w:lang w:val="lt-LT" w:eastAsia="de-DE"/>
        </w:rPr>
        <w:t xml:space="preserve"> ir</w:t>
      </w:r>
      <w:r w:rsidRPr="00561601">
        <w:rPr>
          <w:snapToGrid/>
          <w:szCs w:val="24"/>
          <w:lang w:val="lt-LT" w:eastAsia="de-DE"/>
        </w:rPr>
        <w:t xml:space="preserve"> 4 iš 23 (D+/R-) pacientų (17,4 %) susirgo CMV liga, o kontrolinėje grupėje 46 iš 133 (R+) pacientų (35 %) nustatyta CMV infekcija,</w:t>
      </w:r>
      <w:r w:rsidR="008D3F3C">
        <w:rPr>
          <w:snapToGrid/>
          <w:szCs w:val="24"/>
          <w:lang w:val="lt-LT" w:eastAsia="de-DE"/>
        </w:rPr>
        <w:t xml:space="preserve"> ir</w:t>
      </w:r>
      <w:r w:rsidRPr="00561601">
        <w:rPr>
          <w:snapToGrid/>
          <w:szCs w:val="24"/>
          <w:lang w:val="lt-LT" w:eastAsia="de-DE"/>
        </w:rPr>
        <w:t xml:space="preserve"> 6 iš 133 (R+) pacientų (4 %) susirgo CMV liga. Mirtingumas buvo 4 iš 23 (D+R-) pacientų (17,4 %) gydymo grupėje ir 40 iš 133 (R+) pacientų (30 %) kontrolinėje grupėje.</w:t>
      </w:r>
    </w:p>
    <w:p w14:paraId="49A603D1" w14:textId="77777777"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lang w:val="lt-LT" w:eastAsia="de-DE"/>
        </w:rPr>
      </w:pPr>
    </w:p>
    <w:p w14:paraId="00ED3642" w14:textId="2940AFA4" w:rsidR="00530EE0" w:rsidRPr="00561601" w:rsidRDefault="00530EE0" w:rsidP="00530EE0">
      <w:pPr>
        <w:tabs>
          <w:tab w:val="clear" w:pos="567"/>
        </w:tabs>
        <w:spacing w:before="20" w:after="20" w:line="240" w:lineRule="auto"/>
        <w:rPr>
          <w:snapToGrid/>
          <w:kern w:val="24"/>
          <w:szCs w:val="22"/>
          <w:lang w:val="lt-LT" w:eastAsia="de-DE"/>
        </w:rPr>
      </w:pPr>
      <w:r w:rsidRPr="00561601">
        <w:rPr>
          <w:snapToGrid/>
          <w:kern w:val="24"/>
          <w:szCs w:val="24"/>
          <w:lang w:val="lt-LT" w:eastAsia="de-DE"/>
        </w:rPr>
        <w:t xml:space="preserve">Lyginamojo, retrospektyvinio tyrimo metu buvo vertinama CMV derinio profilaktinis gydymas, kuris buvo skiriamas 68  suaugusiems pacientams po plaučių transplantacijos, kurių alogeninio </w:t>
      </w:r>
      <w:proofErr w:type="spellStart"/>
      <w:r w:rsidRPr="00561601">
        <w:rPr>
          <w:snapToGrid/>
          <w:kern w:val="24"/>
          <w:szCs w:val="24"/>
          <w:lang w:val="lt-LT" w:eastAsia="de-DE"/>
        </w:rPr>
        <w:t>transplantato</w:t>
      </w:r>
      <w:proofErr w:type="spellEnd"/>
      <w:r w:rsidRPr="00561601">
        <w:rPr>
          <w:snapToGrid/>
          <w:kern w:val="24"/>
          <w:szCs w:val="24"/>
          <w:lang w:val="lt-LT" w:eastAsia="de-DE"/>
        </w:rPr>
        <w:t xml:space="preserve"> serumo CMV buvo teigiamas (vidutinis amžius gydymo grupėje buvo 55,8 metų, o kontrolinėje grupėje – 49,2 metų). Stebėjimo laikotarpio mediana kontrolinėje grupėje buvo 16,5 mėnesio (5,3–69,5 mėnesio), o tiriamojoje grupėje – 23,8 mėnesio (11,9–35 mėnesiai). Kontrolinėje grupėje 30 pacientų (kuriems transplantacija atlikta nuo 1994 iki 2000 m.) pirmuosius 3 pooperacinius mėnesius skirta </w:t>
      </w:r>
      <w:r w:rsidR="00996576">
        <w:rPr>
          <w:snapToGrid/>
          <w:kern w:val="24"/>
          <w:szCs w:val="24"/>
          <w:lang w:val="lt-LT" w:eastAsia="de-DE"/>
        </w:rPr>
        <w:t xml:space="preserve">tik </w:t>
      </w:r>
      <w:proofErr w:type="spellStart"/>
      <w:r w:rsidR="00996576" w:rsidRPr="00561601">
        <w:rPr>
          <w:snapToGrid/>
          <w:kern w:val="24"/>
          <w:szCs w:val="24"/>
          <w:lang w:val="lt-LT" w:eastAsia="de-DE"/>
        </w:rPr>
        <w:t>ganciklovir</w:t>
      </w:r>
      <w:r w:rsidR="00996576">
        <w:rPr>
          <w:snapToGrid/>
          <w:kern w:val="24"/>
          <w:szCs w:val="24"/>
          <w:lang w:val="lt-LT" w:eastAsia="de-DE"/>
        </w:rPr>
        <w:t>o</w:t>
      </w:r>
      <w:proofErr w:type="spellEnd"/>
      <w:r w:rsidRPr="00561601">
        <w:rPr>
          <w:snapToGrid/>
          <w:kern w:val="24"/>
          <w:szCs w:val="24"/>
          <w:lang w:val="lt-LT" w:eastAsia="de-DE"/>
        </w:rPr>
        <w:t>, gydymo grupėje 38 pacientams (kuriems transplantacija atlikta nuo 2000 iki 2004 m.) pirmąjį mėnesį po transplantacijos papildomai skirt</w:t>
      </w:r>
      <w:r w:rsidR="008C7DEF">
        <w:rPr>
          <w:snapToGrid/>
          <w:kern w:val="24"/>
          <w:szCs w:val="24"/>
          <w:lang w:val="lt-LT" w:eastAsia="de-DE"/>
        </w:rPr>
        <w:t>os</w:t>
      </w:r>
      <w:r w:rsidRPr="00561601">
        <w:rPr>
          <w:snapToGrid/>
          <w:kern w:val="24"/>
          <w:szCs w:val="24"/>
          <w:lang w:val="lt-LT" w:eastAsia="de-DE"/>
        </w:rPr>
        <w:t xml:space="preserve"> </w:t>
      </w:r>
      <w:r w:rsidR="00996576" w:rsidRPr="00561601">
        <w:rPr>
          <w:snapToGrid/>
          <w:kern w:val="24"/>
          <w:szCs w:val="24"/>
          <w:lang w:val="lt-LT" w:eastAsia="de-DE"/>
        </w:rPr>
        <w:t xml:space="preserve">7 dozės </w:t>
      </w:r>
      <w:r w:rsidRPr="00561601">
        <w:rPr>
          <w:snapToGrid/>
          <w:kern w:val="24"/>
          <w:szCs w:val="24"/>
          <w:lang w:val="lt-LT" w:eastAsia="de-DE"/>
        </w:rPr>
        <w:t xml:space="preserve">1 ml/kg </w:t>
      </w:r>
      <w:r w:rsidR="009C7441" w:rsidRPr="009C7441">
        <w:rPr>
          <w:snapToGrid/>
          <w:kern w:val="24"/>
          <w:szCs w:val="24"/>
          <w:lang w:val="lt-LT" w:eastAsia="de-DE"/>
        </w:rPr>
        <w:t>CMVIG</w:t>
      </w:r>
      <w:r w:rsidRPr="00561601">
        <w:rPr>
          <w:snapToGrid/>
          <w:kern w:val="24"/>
          <w:szCs w:val="24"/>
          <w:lang w:val="lt-LT" w:eastAsia="de-DE"/>
        </w:rPr>
        <w:t xml:space="preserve">. </w:t>
      </w:r>
    </w:p>
    <w:p w14:paraId="27472079" w14:textId="77777777" w:rsidR="00530EE0" w:rsidRPr="00561601" w:rsidRDefault="00530EE0" w:rsidP="00530EE0">
      <w:pPr>
        <w:tabs>
          <w:tab w:val="clear" w:pos="567"/>
        </w:tabs>
        <w:spacing w:before="20" w:after="20" w:line="240" w:lineRule="auto"/>
        <w:rPr>
          <w:snapToGrid/>
          <w:kern w:val="24"/>
          <w:szCs w:val="22"/>
          <w:lang w:val="lt-LT"/>
        </w:rPr>
      </w:pPr>
    </w:p>
    <w:p w14:paraId="6EB59906" w14:textId="77777777" w:rsidR="00530EE0" w:rsidRPr="00561601" w:rsidRDefault="00530EE0" w:rsidP="00530EE0">
      <w:pPr>
        <w:tabs>
          <w:tab w:val="clear" w:pos="567"/>
        </w:tabs>
        <w:spacing w:before="20" w:after="20" w:line="240" w:lineRule="auto"/>
        <w:rPr>
          <w:snapToGrid/>
          <w:kern w:val="24"/>
          <w:szCs w:val="22"/>
          <w:lang w:val="lt-LT" w:eastAsia="de-DE"/>
        </w:rPr>
      </w:pPr>
      <w:r w:rsidRPr="00561601">
        <w:rPr>
          <w:snapToGrid/>
          <w:kern w:val="24"/>
          <w:szCs w:val="24"/>
          <w:lang w:val="lt-LT" w:eastAsia="de-DE"/>
        </w:rPr>
        <w:t>1 lentelė. Tyrimo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6"/>
        <w:gridCol w:w="1905"/>
        <w:gridCol w:w="1889"/>
      </w:tblGrid>
      <w:tr w:rsidR="00530EE0" w:rsidRPr="00227A69" w14:paraId="7E34298D" w14:textId="77777777" w:rsidTr="004979B2">
        <w:trPr>
          <w:tblHeader/>
        </w:trPr>
        <w:tc>
          <w:tcPr>
            <w:tcW w:w="5388" w:type="dxa"/>
            <w:shd w:val="clear" w:color="auto" w:fill="auto"/>
          </w:tcPr>
          <w:p w14:paraId="47BC6311" w14:textId="77777777" w:rsidR="00530EE0" w:rsidRPr="00561601" w:rsidRDefault="00530EE0" w:rsidP="00AD6D6C">
            <w:pPr>
              <w:tabs>
                <w:tab w:val="clear" w:pos="567"/>
              </w:tabs>
              <w:spacing w:before="20" w:after="20" w:line="240" w:lineRule="auto"/>
              <w:rPr>
                <w:rFonts w:cs="Calibri"/>
                <w:snapToGrid/>
                <w:kern w:val="24"/>
                <w:szCs w:val="22"/>
                <w:lang w:val="lt-LT"/>
              </w:rPr>
            </w:pPr>
          </w:p>
        </w:tc>
        <w:tc>
          <w:tcPr>
            <w:tcW w:w="1920" w:type="dxa"/>
            <w:shd w:val="clear" w:color="auto" w:fill="auto"/>
          </w:tcPr>
          <w:p w14:paraId="21316A5B" w14:textId="319EE18C" w:rsidR="00530EE0" w:rsidRPr="00561601" w:rsidRDefault="00530EE0" w:rsidP="00576739">
            <w:pPr>
              <w:tabs>
                <w:tab w:val="clear" w:pos="567"/>
              </w:tabs>
              <w:spacing w:before="20" w:after="20" w:line="240" w:lineRule="auto"/>
              <w:rPr>
                <w:rFonts w:cs="Calibri"/>
                <w:snapToGrid/>
                <w:kern w:val="24"/>
                <w:szCs w:val="22"/>
                <w:lang w:val="lt-LT" w:eastAsia="de-DE"/>
              </w:rPr>
            </w:pPr>
            <w:r w:rsidRPr="00561601">
              <w:rPr>
                <w:rFonts w:cs="Calibri"/>
                <w:snapToGrid/>
                <w:kern w:val="24"/>
                <w:szCs w:val="24"/>
                <w:lang w:val="lt-LT" w:eastAsia="de-DE"/>
              </w:rPr>
              <w:t>Gydymo grupė (</w:t>
            </w:r>
            <w:proofErr w:type="spellStart"/>
            <w:r w:rsidRPr="00561601">
              <w:rPr>
                <w:rFonts w:cs="Calibri"/>
                <w:snapToGrid/>
                <w:kern w:val="24"/>
                <w:szCs w:val="24"/>
                <w:lang w:val="lt-LT" w:eastAsia="de-DE"/>
              </w:rPr>
              <w:t>gancicloviras</w:t>
            </w:r>
            <w:proofErr w:type="spellEnd"/>
            <w:r w:rsidRPr="00561601">
              <w:rPr>
                <w:rFonts w:cs="Calibri"/>
                <w:snapToGrid/>
                <w:kern w:val="24"/>
                <w:szCs w:val="24"/>
                <w:lang w:val="lt-LT" w:eastAsia="de-DE"/>
              </w:rPr>
              <w:t xml:space="preserve"> + </w:t>
            </w:r>
            <w:r w:rsidR="009C7441" w:rsidRPr="009C7441">
              <w:rPr>
                <w:rFonts w:cs="Calibri"/>
                <w:snapToGrid/>
                <w:kern w:val="24"/>
                <w:szCs w:val="24"/>
                <w:lang w:val="lt-LT" w:eastAsia="de-DE"/>
              </w:rPr>
              <w:t>CMVIG</w:t>
            </w:r>
            <w:r w:rsidRPr="00561601">
              <w:rPr>
                <w:rFonts w:cs="Calibri"/>
                <w:snapToGrid/>
                <w:kern w:val="24"/>
                <w:szCs w:val="24"/>
                <w:lang w:val="lt-LT" w:eastAsia="de-DE"/>
              </w:rPr>
              <w:t>) (N = 38)</w:t>
            </w:r>
          </w:p>
        </w:tc>
        <w:tc>
          <w:tcPr>
            <w:tcW w:w="1903" w:type="dxa"/>
            <w:shd w:val="clear" w:color="auto" w:fill="auto"/>
          </w:tcPr>
          <w:p w14:paraId="7FC9DD1A" w14:textId="77777777" w:rsidR="00530EE0" w:rsidRPr="00561601" w:rsidRDefault="00530EE0" w:rsidP="00AD6D6C">
            <w:pPr>
              <w:tabs>
                <w:tab w:val="clear" w:pos="567"/>
              </w:tabs>
              <w:spacing w:before="20" w:after="20" w:line="240" w:lineRule="auto"/>
              <w:rPr>
                <w:rFonts w:cs="Calibri"/>
                <w:snapToGrid/>
                <w:kern w:val="24"/>
                <w:szCs w:val="22"/>
                <w:lang w:val="lt-LT" w:eastAsia="de-DE"/>
              </w:rPr>
            </w:pPr>
            <w:r w:rsidRPr="00561601">
              <w:rPr>
                <w:rFonts w:cs="Calibri"/>
                <w:snapToGrid/>
                <w:kern w:val="24"/>
                <w:szCs w:val="24"/>
                <w:lang w:val="lt-LT" w:eastAsia="de-DE"/>
              </w:rPr>
              <w:t xml:space="preserve">Kontrolinė grupė (tik </w:t>
            </w:r>
            <w:proofErr w:type="spellStart"/>
            <w:r w:rsidRPr="00561601">
              <w:rPr>
                <w:rFonts w:cs="Calibri"/>
                <w:snapToGrid/>
                <w:kern w:val="24"/>
                <w:szCs w:val="24"/>
                <w:lang w:val="lt-LT" w:eastAsia="de-DE"/>
              </w:rPr>
              <w:t>gancicloviras</w:t>
            </w:r>
            <w:proofErr w:type="spellEnd"/>
            <w:r w:rsidRPr="00561601">
              <w:rPr>
                <w:rFonts w:cs="Calibri"/>
                <w:snapToGrid/>
                <w:kern w:val="24"/>
                <w:szCs w:val="24"/>
                <w:lang w:val="lt-LT" w:eastAsia="de-DE"/>
              </w:rPr>
              <w:t>) (N = 30)</w:t>
            </w:r>
          </w:p>
        </w:tc>
      </w:tr>
      <w:tr w:rsidR="00530EE0" w:rsidRPr="00561601" w14:paraId="0E4CB33A" w14:textId="77777777" w:rsidTr="004979B2">
        <w:trPr>
          <w:tblHeader/>
        </w:trPr>
        <w:tc>
          <w:tcPr>
            <w:tcW w:w="5388" w:type="dxa"/>
            <w:shd w:val="clear" w:color="auto" w:fill="auto"/>
          </w:tcPr>
          <w:p w14:paraId="322AF0D9" w14:textId="77777777" w:rsidR="00530EE0" w:rsidRPr="00561601" w:rsidRDefault="00530EE0" w:rsidP="00AD6D6C">
            <w:pPr>
              <w:tabs>
                <w:tab w:val="clear" w:pos="567"/>
              </w:tabs>
              <w:spacing w:before="20" w:after="20" w:line="240" w:lineRule="auto"/>
              <w:rPr>
                <w:rFonts w:cs="Calibri"/>
                <w:snapToGrid/>
                <w:kern w:val="24"/>
                <w:szCs w:val="22"/>
                <w:lang w:val="lt-LT" w:eastAsia="de-DE"/>
              </w:rPr>
            </w:pPr>
            <w:r w:rsidRPr="00561601">
              <w:rPr>
                <w:rFonts w:cs="Calibri"/>
                <w:snapToGrid/>
                <w:kern w:val="24"/>
                <w:szCs w:val="24"/>
                <w:lang w:val="lt-LT" w:eastAsia="de-DE"/>
              </w:rPr>
              <w:t>1 metų išgyvenamumas</w:t>
            </w:r>
          </w:p>
        </w:tc>
        <w:tc>
          <w:tcPr>
            <w:tcW w:w="1920" w:type="dxa"/>
            <w:shd w:val="clear" w:color="auto" w:fill="auto"/>
          </w:tcPr>
          <w:p w14:paraId="34667A97" w14:textId="77777777" w:rsidR="00530EE0" w:rsidRPr="00561601" w:rsidRDefault="00530EE0" w:rsidP="00AD6D6C">
            <w:pPr>
              <w:tabs>
                <w:tab w:val="clear" w:pos="567"/>
              </w:tabs>
              <w:spacing w:before="20" w:after="20" w:line="240" w:lineRule="auto"/>
              <w:rPr>
                <w:rFonts w:cs="Calibri"/>
                <w:snapToGrid/>
                <w:kern w:val="24"/>
                <w:szCs w:val="22"/>
                <w:lang w:val="lt-LT" w:eastAsia="de-DE"/>
              </w:rPr>
            </w:pPr>
            <w:r w:rsidRPr="00561601">
              <w:rPr>
                <w:rFonts w:cs="Calibri"/>
                <w:snapToGrid/>
                <w:kern w:val="24"/>
                <w:szCs w:val="24"/>
                <w:lang w:val="lt-LT" w:eastAsia="de-DE"/>
              </w:rPr>
              <w:t>81,6 %</w:t>
            </w:r>
          </w:p>
        </w:tc>
        <w:tc>
          <w:tcPr>
            <w:tcW w:w="1903" w:type="dxa"/>
            <w:shd w:val="clear" w:color="auto" w:fill="auto"/>
          </w:tcPr>
          <w:p w14:paraId="5A79D0D0" w14:textId="77777777" w:rsidR="00530EE0" w:rsidRPr="00561601" w:rsidRDefault="00530EE0" w:rsidP="00AD6D6C">
            <w:pPr>
              <w:tabs>
                <w:tab w:val="clear" w:pos="567"/>
              </w:tabs>
              <w:spacing w:before="20" w:after="20" w:line="240" w:lineRule="auto"/>
              <w:rPr>
                <w:rFonts w:cs="Calibri"/>
                <w:snapToGrid/>
                <w:kern w:val="24"/>
                <w:szCs w:val="22"/>
                <w:lang w:val="lt-LT" w:eastAsia="de-DE"/>
              </w:rPr>
            </w:pPr>
            <w:r w:rsidRPr="00561601">
              <w:rPr>
                <w:rFonts w:cs="Calibri"/>
                <w:snapToGrid/>
                <w:kern w:val="24"/>
                <w:szCs w:val="24"/>
                <w:lang w:val="lt-LT" w:eastAsia="de-DE"/>
              </w:rPr>
              <w:t>63,3 %</w:t>
            </w:r>
          </w:p>
        </w:tc>
      </w:tr>
      <w:tr w:rsidR="00530EE0" w:rsidRPr="00561601" w14:paraId="73658DA5" w14:textId="77777777" w:rsidTr="004979B2">
        <w:trPr>
          <w:tblHeader/>
        </w:trPr>
        <w:tc>
          <w:tcPr>
            <w:tcW w:w="5388" w:type="dxa"/>
            <w:shd w:val="clear" w:color="auto" w:fill="auto"/>
          </w:tcPr>
          <w:p w14:paraId="2F846E9F" w14:textId="77777777" w:rsidR="00530EE0" w:rsidRPr="00561601" w:rsidRDefault="00530EE0" w:rsidP="00AD6D6C">
            <w:pPr>
              <w:tabs>
                <w:tab w:val="clear" w:pos="567"/>
              </w:tabs>
              <w:spacing w:before="20" w:after="20" w:line="240" w:lineRule="auto"/>
              <w:rPr>
                <w:rFonts w:cs="Calibri"/>
                <w:snapToGrid/>
                <w:kern w:val="24"/>
                <w:szCs w:val="22"/>
                <w:lang w:val="lt-LT" w:eastAsia="de-DE"/>
              </w:rPr>
            </w:pPr>
            <w:r w:rsidRPr="00561601">
              <w:rPr>
                <w:rFonts w:cs="Calibri"/>
                <w:snapToGrid/>
                <w:kern w:val="24"/>
                <w:szCs w:val="24"/>
                <w:lang w:val="lt-LT" w:eastAsia="de-DE"/>
              </w:rPr>
              <w:t>3 metų išgyvenamumas</w:t>
            </w:r>
          </w:p>
        </w:tc>
        <w:tc>
          <w:tcPr>
            <w:tcW w:w="1920" w:type="dxa"/>
            <w:shd w:val="clear" w:color="auto" w:fill="auto"/>
          </w:tcPr>
          <w:p w14:paraId="0694863C" w14:textId="77777777" w:rsidR="00530EE0" w:rsidRPr="00561601" w:rsidRDefault="00530EE0" w:rsidP="00AD6D6C">
            <w:pPr>
              <w:tabs>
                <w:tab w:val="clear" w:pos="567"/>
              </w:tabs>
              <w:spacing w:before="20" w:after="20" w:line="240" w:lineRule="auto"/>
              <w:rPr>
                <w:rFonts w:cs="Calibri"/>
                <w:snapToGrid/>
                <w:kern w:val="24"/>
                <w:szCs w:val="22"/>
                <w:lang w:val="lt-LT" w:eastAsia="de-DE"/>
              </w:rPr>
            </w:pPr>
            <w:r w:rsidRPr="00561601">
              <w:rPr>
                <w:rFonts w:cs="Calibri"/>
                <w:snapToGrid/>
                <w:kern w:val="24"/>
                <w:szCs w:val="24"/>
                <w:lang w:val="lt-LT" w:eastAsia="de-DE"/>
              </w:rPr>
              <w:t>71,5 %</w:t>
            </w:r>
          </w:p>
        </w:tc>
        <w:tc>
          <w:tcPr>
            <w:tcW w:w="1903" w:type="dxa"/>
            <w:shd w:val="clear" w:color="auto" w:fill="auto"/>
          </w:tcPr>
          <w:p w14:paraId="0AEE4F51" w14:textId="77777777" w:rsidR="00530EE0" w:rsidRPr="00561601" w:rsidRDefault="00530EE0" w:rsidP="00AD6D6C">
            <w:pPr>
              <w:tabs>
                <w:tab w:val="clear" w:pos="567"/>
              </w:tabs>
              <w:spacing w:before="20" w:after="20" w:line="240" w:lineRule="auto"/>
              <w:rPr>
                <w:rFonts w:cs="Calibri"/>
                <w:snapToGrid/>
                <w:kern w:val="24"/>
                <w:szCs w:val="22"/>
                <w:lang w:val="lt-LT" w:eastAsia="de-DE"/>
              </w:rPr>
            </w:pPr>
            <w:r w:rsidRPr="00561601">
              <w:rPr>
                <w:rFonts w:cs="Calibri"/>
                <w:snapToGrid/>
                <w:kern w:val="24"/>
                <w:szCs w:val="24"/>
                <w:lang w:val="lt-LT" w:eastAsia="de-DE"/>
              </w:rPr>
              <w:t>40 %</w:t>
            </w:r>
          </w:p>
        </w:tc>
      </w:tr>
      <w:tr w:rsidR="00530EE0" w:rsidRPr="00561601" w14:paraId="547FE5BD" w14:textId="77777777" w:rsidTr="004979B2">
        <w:trPr>
          <w:tblHeader/>
        </w:trPr>
        <w:tc>
          <w:tcPr>
            <w:tcW w:w="5388" w:type="dxa"/>
            <w:shd w:val="clear" w:color="auto" w:fill="auto"/>
          </w:tcPr>
          <w:p w14:paraId="19F7EE20" w14:textId="77777777" w:rsidR="00530EE0" w:rsidRPr="00561601" w:rsidRDefault="00530EE0" w:rsidP="00AD6D6C">
            <w:pPr>
              <w:tabs>
                <w:tab w:val="clear" w:pos="567"/>
              </w:tabs>
              <w:spacing w:before="20" w:after="20" w:line="240" w:lineRule="auto"/>
              <w:rPr>
                <w:rFonts w:cs="Calibri"/>
                <w:snapToGrid/>
                <w:kern w:val="24"/>
                <w:szCs w:val="22"/>
                <w:lang w:val="lt-LT" w:eastAsia="de-DE"/>
              </w:rPr>
            </w:pPr>
            <w:r w:rsidRPr="00561601">
              <w:rPr>
                <w:rFonts w:cs="Calibri"/>
                <w:snapToGrid/>
                <w:kern w:val="24"/>
                <w:szCs w:val="24"/>
                <w:lang w:val="lt-LT" w:eastAsia="de-DE"/>
              </w:rPr>
              <w:t xml:space="preserve">1 metus nebuvo CMV </w:t>
            </w:r>
            <w:proofErr w:type="spellStart"/>
            <w:r w:rsidRPr="00561601">
              <w:rPr>
                <w:rFonts w:cs="Calibri"/>
                <w:snapToGrid/>
                <w:kern w:val="24"/>
                <w:szCs w:val="24"/>
                <w:lang w:val="lt-LT" w:eastAsia="de-DE"/>
              </w:rPr>
              <w:t>reaktyvacijos</w:t>
            </w:r>
            <w:proofErr w:type="spellEnd"/>
            <w:r w:rsidRPr="00561601">
              <w:rPr>
                <w:rFonts w:cs="Calibri"/>
                <w:snapToGrid/>
                <w:kern w:val="24"/>
                <w:szCs w:val="24"/>
                <w:lang w:val="lt-LT" w:eastAsia="de-DE"/>
              </w:rPr>
              <w:t xml:space="preserve"> ar naujos infekcijos</w:t>
            </w:r>
          </w:p>
        </w:tc>
        <w:tc>
          <w:tcPr>
            <w:tcW w:w="1920" w:type="dxa"/>
            <w:shd w:val="clear" w:color="auto" w:fill="auto"/>
          </w:tcPr>
          <w:p w14:paraId="57770CC7" w14:textId="77777777" w:rsidR="00530EE0" w:rsidRPr="00561601" w:rsidRDefault="00530EE0" w:rsidP="00AD6D6C">
            <w:pPr>
              <w:tabs>
                <w:tab w:val="clear" w:pos="567"/>
              </w:tabs>
              <w:spacing w:before="20" w:after="20" w:line="240" w:lineRule="auto"/>
              <w:rPr>
                <w:rFonts w:cs="Calibri"/>
                <w:snapToGrid/>
                <w:kern w:val="24"/>
                <w:szCs w:val="22"/>
                <w:lang w:val="lt-LT" w:eastAsia="de-DE"/>
              </w:rPr>
            </w:pPr>
            <w:r w:rsidRPr="00561601">
              <w:rPr>
                <w:rFonts w:cs="Calibri"/>
                <w:snapToGrid/>
                <w:kern w:val="24"/>
                <w:szCs w:val="24"/>
                <w:lang w:val="lt-LT" w:eastAsia="de-DE"/>
              </w:rPr>
              <w:t xml:space="preserve">71,5 % </w:t>
            </w:r>
          </w:p>
        </w:tc>
        <w:tc>
          <w:tcPr>
            <w:tcW w:w="1903" w:type="dxa"/>
            <w:shd w:val="clear" w:color="auto" w:fill="auto"/>
          </w:tcPr>
          <w:p w14:paraId="0D320F41" w14:textId="77777777" w:rsidR="00530EE0" w:rsidRPr="00561601" w:rsidRDefault="00530EE0" w:rsidP="00AD6D6C">
            <w:pPr>
              <w:tabs>
                <w:tab w:val="clear" w:pos="567"/>
              </w:tabs>
              <w:spacing w:before="20" w:after="20" w:line="240" w:lineRule="auto"/>
              <w:rPr>
                <w:rFonts w:cs="Calibri"/>
                <w:snapToGrid/>
                <w:kern w:val="24"/>
                <w:szCs w:val="22"/>
                <w:lang w:val="lt-LT" w:eastAsia="de-DE"/>
              </w:rPr>
            </w:pPr>
            <w:r w:rsidRPr="00561601">
              <w:rPr>
                <w:rFonts w:cs="Calibri"/>
                <w:snapToGrid/>
                <w:kern w:val="24"/>
                <w:szCs w:val="24"/>
                <w:lang w:val="lt-LT" w:eastAsia="de-DE"/>
              </w:rPr>
              <w:t>51,1 %</w:t>
            </w:r>
          </w:p>
        </w:tc>
      </w:tr>
      <w:tr w:rsidR="00530EE0" w:rsidRPr="00561601" w14:paraId="59B54898" w14:textId="77777777" w:rsidTr="004979B2">
        <w:trPr>
          <w:tblHeader/>
        </w:trPr>
        <w:tc>
          <w:tcPr>
            <w:tcW w:w="5388" w:type="dxa"/>
            <w:shd w:val="clear" w:color="auto" w:fill="auto"/>
          </w:tcPr>
          <w:p w14:paraId="499D552F" w14:textId="77777777" w:rsidR="00530EE0" w:rsidRPr="00561601" w:rsidRDefault="00530EE0" w:rsidP="00AD6D6C">
            <w:pPr>
              <w:tabs>
                <w:tab w:val="clear" w:pos="567"/>
              </w:tabs>
              <w:spacing w:before="20" w:after="20" w:line="240" w:lineRule="auto"/>
              <w:rPr>
                <w:rFonts w:cs="Calibri"/>
                <w:snapToGrid/>
                <w:kern w:val="24"/>
                <w:szCs w:val="22"/>
                <w:lang w:val="lt-LT" w:eastAsia="de-DE"/>
              </w:rPr>
            </w:pPr>
            <w:r w:rsidRPr="00561601">
              <w:rPr>
                <w:rFonts w:cs="Calibri"/>
                <w:snapToGrid/>
                <w:kern w:val="24"/>
                <w:szCs w:val="24"/>
                <w:lang w:val="lt-LT" w:eastAsia="de-DE"/>
              </w:rPr>
              <w:t xml:space="preserve">3 metus nebuvo CMV </w:t>
            </w:r>
            <w:proofErr w:type="spellStart"/>
            <w:r w:rsidRPr="00561601">
              <w:rPr>
                <w:rFonts w:cs="Calibri"/>
                <w:snapToGrid/>
                <w:kern w:val="24"/>
                <w:szCs w:val="24"/>
                <w:lang w:val="lt-LT" w:eastAsia="de-DE"/>
              </w:rPr>
              <w:t>reaktyvacijos</w:t>
            </w:r>
            <w:proofErr w:type="spellEnd"/>
            <w:r w:rsidRPr="00561601">
              <w:rPr>
                <w:rFonts w:cs="Calibri"/>
                <w:snapToGrid/>
                <w:kern w:val="24"/>
                <w:szCs w:val="24"/>
                <w:lang w:val="lt-LT" w:eastAsia="de-DE"/>
              </w:rPr>
              <w:t xml:space="preserve"> ar naujos infekcijos</w:t>
            </w:r>
          </w:p>
        </w:tc>
        <w:tc>
          <w:tcPr>
            <w:tcW w:w="1920" w:type="dxa"/>
            <w:shd w:val="clear" w:color="auto" w:fill="auto"/>
          </w:tcPr>
          <w:p w14:paraId="33D9B787" w14:textId="77777777" w:rsidR="00530EE0" w:rsidRPr="00561601" w:rsidRDefault="00530EE0" w:rsidP="00AD6D6C">
            <w:pPr>
              <w:tabs>
                <w:tab w:val="clear" w:pos="567"/>
              </w:tabs>
              <w:spacing w:before="20" w:after="20" w:line="240" w:lineRule="auto"/>
              <w:rPr>
                <w:rFonts w:cs="Calibri"/>
                <w:snapToGrid/>
                <w:kern w:val="24"/>
                <w:szCs w:val="22"/>
                <w:lang w:val="lt-LT" w:eastAsia="de-DE"/>
              </w:rPr>
            </w:pPr>
            <w:r w:rsidRPr="00561601">
              <w:rPr>
                <w:rFonts w:cs="Calibri"/>
                <w:snapToGrid/>
                <w:kern w:val="24"/>
                <w:szCs w:val="24"/>
                <w:lang w:val="lt-LT" w:eastAsia="de-DE"/>
              </w:rPr>
              <w:t>66,4 %</w:t>
            </w:r>
          </w:p>
        </w:tc>
        <w:tc>
          <w:tcPr>
            <w:tcW w:w="1903" w:type="dxa"/>
            <w:shd w:val="clear" w:color="auto" w:fill="auto"/>
          </w:tcPr>
          <w:p w14:paraId="42628C83" w14:textId="77777777" w:rsidR="00530EE0" w:rsidRPr="00561601" w:rsidRDefault="00530EE0" w:rsidP="00AD6D6C">
            <w:pPr>
              <w:tabs>
                <w:tab w:val="clear" w:pos="567"/>
              </w:tabs>
              <w:spacing w:before="20" w:after="20" w:line="240" w:lineRule="auto"/>
              <w:rPr>
                <w:rFonts w:cs="Calibri"/>
                <w:snapToGrid/>
                <w:kern w:val="24"/>
                <w:szCs w:val="22"/>
                <w:lang w:val="lt-LT" w:eastAsia="de-DE"/>
              </w:rPr>
            </w:pPr>
            <w:r w:rsidRPr="00561601">
              <w:rPr>
                <w:rFonts w:cs="Calibri"/>
                <w:snapToGrid/>
                <w:kern w:val="24"/>
                <w:szCs w:val="24"/>
                <w:lang w:val="lt-LT" w:eastAsia="de-DE"/>
              </w:rPr>
              <w:t>30 %</w:t>
            </w:r>
          </w:p>
        </w:tc>
      </w:tr>
      <w:tr w:rsidR="00530EE0" w:rsidRPr="00561601" w14:paraId="27E75E71" w14:textId="77777777" w:rsidTr="004979B2">
        <w:trPr>
          <w:tblHeader/>
        </w:trPr>
        <w:tc>
          <w:tcPr>
            <w:tcW w:w="5388" w:type="dxa"/>
            <w:shd w:val="clear" w:color="auto" w:fill="auto"/>
          </w:tcPr>
          <w:p w14:paraId="1AAEC23E" w14:textId="77777777" w:rsidR="00530EE0" w:rsidRPr="00561601" w:rsidRDefault="00530EE0" w:rsidP="00AD6D6C">
            <w:pPr>
              <w:tabs>
                <w:tab w:val="clear" w:pos="567"/>
              </w:tabs>
              <w:spacing w:before="20" w:after="20" w:line="240" w:lineRule="auto"/>
              <w:rPr>
                <w:rFonts w:cs="Calibri"/>
                <w:snapToGrid/>
                <w:kern w:val="24"/>
                <w:szCs w:val="22"/>
                <w:lang w:val="lt-LT" w:eastAsia="de-DE"/>
              </w:rPr>
            </w:pPr>
            <w:r w:rsidRPr="00561601">
              <w:rPr>
                <w:rFonts w:cs="Calibri"/>
                <w:snapToGrid/>
                <w:kern w:val="24"/>
                <w:szCs w:val="24"/>
                <w:lang w:val="lt-LT" w:eastAsia="de-DE"/>
              </w:rPr>
              <w:t>CMV ligos išsivystymas stebėjimo laikotarpiu</w:t>
            </w:r>
          </w:p>
        </w:tc>
        <w:tc>
          <w:tcPr>
            <w:tcW w:w="1920" w:type="dxa"/>
            <w:shd w:val="clear" w:color="auto" w:fill="auto"/>
          </w:tcPr>
          <w:p w14:paraId="3D5E81E4" w14:textId="77777777" w:rsidR="00530EE0" w:rsidRPr="00561601" w:rsidRDefault="00530EE0" w:rsidP="00AD6D6C">
            <w:pPr>
              <w:tabs>
                <w:tab w:val="clear" w:pos="567"/>
              </w:tabs>
              <w:spacing w:before="20" w:after="20" w:line="240" w:lineRule="auto"/>
              <w:rPr>
                <w:rFonts w:cs="Calibri"/>
                <w:snapToGrid/>
                <w:kern w:val="24"/>
                <w:szCs w:val="22"/>
                <w:lang w:val="lt-LT" w:eastAsia="de-DE"/>
              </w:rPr>
            </w:pPr>
            <w:r w:rsidRPr="00561601">
              <w:rPr>
                <w:rFonts w:cs="Calibri"/>
                <w:snapToGrid/>
                <w:kern w:val="24"/>
                <w:szCs w:val="24"/>
                <w:lang w:val="lt-LT" w:eastAsia="de-DE"/>
              </w:rPr>
              <w:t>13,2 %</w:t>
            </w:r>
          </w:p>
        </w:tc>
        <w:tc>
          <w:tcPr>
            <w:tcW w:w="1903" w:type="dxa"/>
            <w:shd w:val="clear" w:color="auto" w:fill="auto"/>
          </w:tcPr>
          <w:p w14:paraId="6DA9D899" w14:textId="77777777" w:rsidR="00530EE0" w:rsidRPr="00561601" w:rsidRDefault="00530EE0" w:rsidP="00AD6D6C">
            <w:pPr>
              <w:tabs>
                <w:tab w:val="clear" w:pos="567"/>
              </w:tabs>
              <w:spacing w:before="20" w:after="20" w:line="240" w:lineRule="auto"/>
              <w:rPr>
                <w:rFonts w:cs="Calibri"/>
                <w:snapToGrid/>
                <w:kern w:val="24"/>
                <w:szCs w:val="22"/>
                <w:lang w:val="lt-LT" w:eastAsia="de-DE"/>
              </w:rPr>
            </w:pPr>
            <w:r w:rsidRPr="00561601">
              <w:rPr>
                <w:rFonts w:cs="Calibri"/>
                <w:snapToGrid/>
                <w:kern w:val="24"/>
                <w:szCs w:val="24"/>
                <w:lang w:val="lt-LT" w:eastAsia="de-DE"/>
              </w:rPr>
              <w:t>43,3 %</w:t>
            </w:r>
          </w:p>
        </w:tc>
      </w:tr>
      <w:tr w:rsidR="00530EE0" w:rsidRPr="00561601" w14:paraId="3D8C24D6" w14:textId="77777777" w:rsidTr="004979B2">
        <w:trPr>
          <w:tblHeader/>
        </w:trPr>
        <w:tc>
          <w:tcPr>
            <w:tcW w:w="5388" w:type="dxa"/>
            <w:shd w:val="clear" w:color="auto" w:fill="auto"/>
          </w:tcPr>
          <w:p w14:paraId="721EEE70" w14:textId="77777777" w:rsidR="00530EE0" w:rsidRPr="00561601" w:rsidRDefault="00530EE0" w:rsidP="00AD6D6C">
            <w:pPr>
              <w:tabs>
                <w:tab w:val="clear" w:pos="567"/>
              </w:tabs>
              <w:spacing w:before="20" w:after="20" w:line="240" w:lineRule="auto"/>
              <w:rPr>
                <w:rFonts w:cs="Calibri"/>
                <w:snapToGrid/>
                <w:kern w:val="24"/>
                <w:szCs w:val="22"/>
                <w:lang w:val="lt-LT" w:eastAsia="de-DE"/>
              </w:rPr>
            </w:pPr>
            <w:r w:rsidRPr="00561601">
              <w:rPr>
                <w:rFonts w:cs="Calibri"/>
                <w:snapToGrid/>
                <w:kern w:val="24"/>
                <w:szCs w:val="24"/>
                <w:lang w:val="lt-LT" w:eastAsia="de-DE"/>
              </w:rPr>
              <w:t xml:space="preserve">CMV </w:t>
            </w:r>
            <w:proofErr w:type="spellStart"/>
            <w:r w:rsidRPr="00561601">
              <w:rPr>
                <w:rFonts w:cs="Calibri"/>
                <w:snapToGrid/>
                <w:kern w:val="24"/>
                <w:szCs w:val="24"/>
                <w:lang w:val="lt-LT" w:eastAsia="de-DE"/>
              </w:rPr>
              <w:t>pneumonito</w:t>
            </w:r>
            <w:proofErr w:type="spellEnd"/>
            <w:r w:rsidRPr="00561601">
              <w:rPr>
                <w:rFonts w:cs="Calibri"/>
                <w:snapToGrid/>
                <w:kern w:val="24"/>
                <w:szCs w:val="24"/>
                <w:lang w:val="lt-LT" w:eastAsia="de-DE"/>
              </w:rPr>
              <w:t xml:space="preserve"> išsivystymas</w:t>
            </w:r>
          </w:p>
        </w:tc>
        <w:tc>
          <w:tcPr>
            <w:tcW w:w="1920" w:type="dxa"/>
            <w:shd w:val="clear" w:color="auto" w:fill="auto"/>
          </w:tcPr>
          <w:p w14:paraId="27AE3347" w14:textId="77777777" w:rsidR="00530EE0" w:rsidRPr="00561601" w:rsidRDefault="00530EE0" w:rsidP="00AD6D6C">
            <w:pPr>
              <w:tabs>
                <w:tab w:val="clear" w:pos="567"/>
              </w:tabs>
              <w:spacing w:before="20" w:after="20" w:line="240" w:lineRule="auto"/>
              <w:rPr>
                <w:rFonts w:cs="Calibri"/>
                <w:snapToGrid/>
                <w:kern w:val="24"/>
                <w:szCs w:val="22"/>
                <w:lang w:val="lt-LT" w:eastAsia="de-DE"/>
              </w:rPr>
            </w:pPr>
            <w:r w:rsidRPr="00561601">
              <w:rPr>
                <w:rFonts w:cs="Calibri"/>
                <w:snapToGrid/>
                <w:kern w:val="24"/>
                <w:szCs w:val="24"/>
                <w:lang w:val="lt-LT" w:eastAsia="de-DE"/>
              </w:rPr>
              <w:t>13,2 %</w:t>
            </w:r>
          </w:p>
        </w:tc>
        <w:tc>
          <w:tcPr>
            <w:tcW w:w="1903" w:type="dxa"/>
            <w:shd w:val="clear" w:color="auto" w:fill="auto"/>
          </w:tcPr>
          <w:p w14:paraId="60F1F68B" w14:textId="77777777" w:rsidR="00530EE0" w:rsidRPr="00561601" w:rsidRDefault="00530EE0" w:rsidP="00AD6D6C">
            <w:pPr>
              <w:tabs>
                <w:tab w:val="clear" w:pos="567"/>
              </w:tabs>
              <w:spacing w:before="20" w:after="20" w:line="240" w:lineRule="auto"/>
              <w:rPr>
                <w:rFonts w:cs="Calibri"/>
                <w:snapToGrid/>
                <w:kern w:val="24"/>
                <w:szCs w:val="22"/>
                <w:lang w:val="lt-LT" w:eastAsia="de-DE"/>
              </w:rPr>
            </w:pPr>
            <w:r w:rsidRPr="00561601">
              <w:rPr>
                <w:rFonts w:cs="Calibri"/>
                <w:snapToGrid/>
                <w:kern w:val="24"/>
                <w:szCs w:val="24"/>
                <w:lang w:val="lt-LT" w:eastAsia="de-DE"/>
              </w:rPr>
              <w:t>33,3 %</w:t>
            </w:r>
          </w:p>
        </w:tc>
      </w:tr>
      <w:tr w:rsidR="00530EE0" w:rsidRPr="00561601" w14:paraId="75D41491" w14:textId="77777777" w:rsidTr="004979B2">
        <w:trPr>
          <w:tblHeader/>
        </w:trPr>
        <w:tc>
          <w:tcPr>
            <w:tcW w:w="5388" w:type="dxa"/>
            <w:shd w:val="clear" w:color="auto" w:fill="auto"/>
          </w:tcPr>
          <w:p w14:paraId="446E06A0" w14:textId="77777777" w:rsidR="00530EE0" w:rsidRPr="00561601" w:rsidRDefault="00530EE0" w:rsidP="00AD6D6C">
            <w:pPr>
              <w:tabs>
                <w:tab w:val="clear" w:pos="567"/>
              </w:tabs>
              <w:spacing w:before="20" w:after="20" w:line="240" w:lineRule="auto"/>
              <w:rPr>
                <w:rFonts w:cs="Calibri"/>
                <w:snapToGrid/>
                <w:kern w:val="24"/>
                <w:szCs w:val="22"/>
                <w:lang w:val="lt-LT" w:eastAsia="de-DE"/>
              </w:rPr>
            </w:pPr>
            <w:r w:rsidRPr="00561601">
              <w:rPr>
                <w:rFonts w:cs="Calibri"/>
                <w:snapToGrid/>
                <w:kern w:val="24"/>
                <w:szCs w:val="24"/>
                <w:lang w:val="lt-LT" w:eastAsia="de-DE"/>
              </w:rPr>
              <w:t>CMV sindromo pasireiškimas</w:t>
            </w:r>
          </w:p>
        </w:tc>
        <w:tc>
          <w:tcPr>
            <w:tcW w:w="1920" w:type="dxa"/>
            <w:shd w:val="clear" w:color="auto" w:fill="auto"/>
          </w:tcPr>
          <w:p w14:paraId="4C00FCA5" w14:textId="77777777" w:rsidR="00530EE0" w:rsidRPr="00561601" w:rsidRDefault="00530EE0" w:rsidP="00AD6D6C">
            <w:pPr>
              <w:tabs>
                <w:tab w:val="clear" w:pos="567"/>
              </w:tabs>
              <w:spacing w:before="20" w:after="20" w:line="240" w:lineRule="auto"/>
              <w:rPr>
                <w:rFonts w:cs="Calibri"/>
                <w:snapToGrid/>
                <w:kern w:val="24"/>
                <w:szCs w:val="22"/>
                <w:lang w:val="lt-LT" w:eastAsia="de-DE"/>
              </w:rPr>
            </w:pPr>
            <w:r w:rsidRPr="00561601">
              <w:rPr>
                <w:rFonts w:cs="Calibri"/>
                <w:snapToGrid/>
                <w:kern w:val="24"/>
                <w:szCs w:val="24"/>
                <w:lang w:val="lt-LT" w:eastAsia="de-DE"/>
              </w:rPr>
              <w:t>0 %</w:t>
            </w:r>
          </w:p>
        </w:tc>
        <w:tc>
          <w:tcPr>
            <w:tcW w:w="1903" w:type="dxa"/>
            <w:shd w:val="clear" w:color="auto" w:fill="auto"/>
          </w:tcPr>
          <w:p w14:paraId="5CE91B95" w14:textId="77777777" w:rsidR="00530EE0" w:rsidRPr="00561601" w:rsidRDefault="00530EE0" w:rsidP="00AD6D6C">
            <w:pPr>
              <w:tabs>
                <w:tab w:val="clear" w:pos="567"/>
              </w:tabs>
              <w:spacing w:before="20" w:after="20" w:line="240" w:lineRule="auto"/>
              <w:rPr>
                <w:rFonts w:cs="Calibri"/>
                <w:snapToGrid/>
                <w:kern w:val="24"/>
                <w:szCs w:val="22"/>
                <w:lang w:val="lt-LT" w:eastAsia="de-DE"/>
              </w:rPr>
            </w:pPr>
            <w:r w:rsidRPr="00561601">
              <w:rPr>
                <w:rFonts w:cs="Calibri"/>
                <w:snapToGrid/>
                <w:kern w:val="24"/>
                <w:szCs w:val="24"/>
                <w:lang w:val="lt-LT" w:eastAsia="de-DE"/>
              </w:rPr>
              <w:t>10 %</w:t>
            </w:r>
          </w:p>
        </w:tc>
      </w:tr>
      <w:tr w:rsidR="00530EE0" w:rsidRPr="00561601" w14:paraId="0E5D084B" w14:textId="77777777" w:rsidTr="004979B2">
        <w:trPr>
          <w:tblHeader/>
        </w:trPr>
        <w:tc>
          <w:tcPr>
            <w:tcW w:w="5388" w:type="dxa"/>
            <w:shd w:val="clear" w:color="auto" w:fill="auto"/>
          </w:tcPr>
          <w:p w14:paraId="6425FF07" w14:textId="77777777" w:rsidR="00530EE0" w:rsidRPr="00561601" w:rsidRDefault="00530EE0" w:rsidP="00AD6D6C">
            <w:pPr>
              <w:tabs>
                <w:tab w:val="clear" w:pos="567"/>
              </w:tabs>
              <w:spacing w:before="20" w:after="20" w:line="240" w:lineRule="auto"/>
              <w:rPr>
                <w:rFonts w:cs="Calibri"/>
                <w:snapToGrid/>
                <w:kern w:val="24"/>
                <w:szCs w:val="22"/>
                <w:lang w:val="lt-LT" w:eastAsia="de-DE"/>
              </w:rPr>
            </w:pPr>
            <w:r w:rsidRPr="00561601">
              <w:rPr>
                <w:rFonts w:cs="Calibri"/>
                <w:snapToGrid/>
                <w:kern w:val="24"/>
                <w:szCs w:val="24"/>
                <w:lang w:val="lt-LT" w:eastAsia="de-DE"/>
              </w:rPr>
              <w:t xml:space="preserve">1 metai be </w:t>
            </w:r>
            <w:proofErr w:type="spellStart"/>
            <w:r w:rsidRPr="00561601">
              <w:rPr>
                <w:rFonts w:cs="Calibri"/>
                <w:snapToGrid/>
                <w:kern w:val="24"/>
                <w:szCs w:val="24"/>
                <w:lang w:val="lt-LT" w:eastAsia="de-DE"/>
              </w:rPr>
              <w:t>obliteruojančio</w:t>
            </w:r>
            <w:proofErr w:type="spellEnd"/>
            <w:r w:rsidRPr="00561601">
              <w:rPr>
                <w:rFonts w:cs="Calibri"/>
                <w:snapToGrid/>
                <w:kern w:val="24"/>
                <w:szCs w:val="24"/>
                <w:lang w:val="lt-LT" w:eastAsia="de-DE"/>
              </w:rPr>
              <w:t xml:space="preserve"> </w:t>
            </w:r>
            <w:proofErr w:type="spellStart"/>
            <w:r w:rsidRPr="00561601">
              <w:rPr>
                <w:rFonts w:cs="Calibri"/>
                <w:snapToGrid/>
                <w:kern w:val="24"/>
                <w:szCs w:val="24"/>
                <w:lang w:val="lt-LT" w:eastAsia="de-DE"/>
              </w:rPr>
              <w:t>bronchiolito</w:t>
            </w:r>
            <w:proofErr w:type="spellEnd"/>
            <w:r w:rsidRPr="00561601">
              <w:rPr>
                <w:rFonts w:cs="Calibri"/>
                <w:snapToGrid/>
                <w:kern w:val="24"/>
                <w:szCs w:val="24"/>
                <w:lang w:val="lt-LT" w:eastAsia="de-DE"/>
              </w:rPr>
              <w:t xml:space="preserve"> sindromo (OBS)</w:t>
            </w:r>
          </w:p>
        </w:tc>
        <w:tc>
          <w:tcPr>
            <w:tcW w:w="1920" w:type="dxa"/>
            <w:shd w:val="clear" w:color="auto" w:fill="auto"/>
          </w:tcPr>
          <w:p w14:paraId="20B58F3B" w14:textId="77777777" w:rsidR="00530EE0" w:rsidRPr="00561601" w:rsidRDefault="00530EE0" w:rsidP="00AD6D6C">
            <w:pPr>
              <w:tabs>
                <w:tab w:val="clear" w:pos="567"/>
              </w:tabs>
              <w:spacing w:before="20" w:after="20" w:line="240" w:lineRule="auto"/>
              <w:rPr>
                <w:rFonts w:cs="Calibri"/>
                <w:snapToGrid/>
                <w:kern w:val="24"/>
                <w:szCs w:val="22"/>
                <w:lang w:val="lt-LT" w:eastAsia="de-DE"/>
              </w:rPr>
            </w:pPr>
            <w:r w:rsidRPr="00561601">
              <w:rPr>
                <w:rFonts w:cs="Calibri"/>
                <w:snapToGrid/>
                <w:kern w:val="24"/>
                <w:szCs w:val="24"/>
                <w:lang w:val="lt-LT" w:eastAsia="de-DE"/>
              </w:rPr>
              <w:t>91,0 %</w:t>
            </w:r>
          </w:p>
        </w:tc>
        <w:tc>
          <w:tcPr>
            <w:tcW w:w="1903" w:type="dxa"/>
            <w:shd w:val="clear" w:color="auto" w:fill="auto"/>
          </w:tcPr>
          <w:p w14:paraId="70447C2F" w14:textId="77777777" w:rsidR="00530EE0" w:rsidRPr="00561601" w:rsidRDefault="00530EE0" w:rsidP="00AD6D6C">
            <w:pPr>
              <w:tabs>
                <w:tab w:val="clear" w:pos="567"/>
              </w:tabs>
              <w:spacing w:before="20" w:after="20" w:line="240" w:lineRule="auto"/>
              <w:rPr>
                <w:rFonts w:cs="Calibri"/>
                <w:snapToGrid/>
                <w:kern w:val="24"/>
                <w:szCs w:val="22"/>
                <w:lang w:val="lt-LT" w:eastAsia="de-DE"/>
              </w:rPr>
            </w:pPr>
            <w:r w:rsidRPr="00561601">
              <w:rPr>
                <w:rFonts w:cs="Calibri"/>
                <w:snapToGrid/>
                <w:kern w:val="24"/>
                <w:szCs w:val="24"/>
                <w:lang w:val="lt-LT" w:eastAsia="de-DE"/>
              </w:rPr>
              <w:t>69,7 %</w:t>
            </w:r>
          </w:p>
        </w:tc>
      </w:tr>
      <w:tr w:rsidR="00530EE0" w:rsidRPr="00561601" w14:paraId="58B5EF24" w14:textId="77777777" w:rsidTr="004979B2">
        <w:trPr>
          <w:tblHeader/>
        </w:trPr>
        <w:tc>
          <w:tcPr>
            <w:tcW w:w="5388" w:type="dxa"/>
            <w:shd w:val="clear" w:color="auto" w:fill="auto"/>
          </w:tcPr>
          <w:p w14:paraId="2213EA68" w14:textId="77777777" w:rsidR="00530EE0" w:rsidRPr="00561601" w:rsidRDefault="00530EE0" w:rsidP="00AD6D6C">
            <w:pPr>
              <w:tabs>
                <w:tab w:val="clear" w:pos="567"/>
              </w:tabs>
              <w:spacing w:before="20" w:after="20" w:line="240" w:lineRule="auto"/>
              <w:rPr>
                <w:rFonts w:cs="Calibri"/>
                <w:snapToGrid/>
                <w:kern w:val="24"/>
                <w:szCs w:val="22"/>
                <w:lang w:val="lt-LT" w:eastAsia="de-DE"/>
              </w:rPr>
            </w:pPr>
            <w:r w:rsidRPr="00561601">
              <w:rPr>
                <w:rFonts w:cs="Calibri"/>
                <w:snapToGrid/>
                <w:kern w:val="24"/>
                <w:szCs w:val="24"/>
                <w:lang w:val="lt-LT" w:eastAsia="de-DE"/>
              </w:rPr>
              <w:t>3 metai be OBS</w:t>
            </w:r>
          </w:p>
        </w:tc>
        <w:tc>
          <w:tcPr>
            <w:tcW w:w="1920" w:type="dxa"/>
            <w:shd w:val="clear" w:color="auto" w:fill="auto"/>
          </w:tcPr>
          <w:p w14:paraId="7114645B" w14:textId="77777777" w:rsidR="00530EE0" w:rsidRPr="00561601" w:rsidRDefault="00530EE0" w:rsidP="00AD6D6C">
            <w:pPr>
              <w:tabs>
                <w:tab w:val="clear" w:pos="567"/>
              </w:tabs>
              <w:spacing w:before="20" w:after="20" w:line="240" w:lineRule="auto"/>
              <w:rPr>
                <w:rFonts w:cs="Calibri"/>
                <w:snapToGrid/>
                <w:kern w:val="24"/>
                <w:szCs w:val="22"/>
                <w:lang w:val="lt-LT" w:eastAsia="de-DE"/>
              </w:rPr>
            </w:pPr>
            <w:r w:rsidRPr="00561601">
              <w:rPr>
                <w:rFonts w:cs="Calibri"/>
                <w:snapToGrid/>
                <w:kern w:val="24"/>
                <w:szCs w:val="24"/>
                <w:lang w:val="lt-LT" w:eastAsia="de-DE"/>
              </w:rPr>
              <w:t>82 %</w:t>
            </w:r>
          </w:p>
        </w:tc>
        <w:tc>
          <w:tcPr>
            <w:tcW w:w="1903" w:type="dxa"/>
            <w:shd w:val="clear" w:color="auto" w:fill="auto"/>
          </w:tcPr>
          <w:p w14:paraId="365AE953" w14:textId="77777777" w:rsidR="00530EE0" w:rsidRPr="00561601" w:rsidRDefault="00530EE0" w:rsidP="00AD6D6C">
            <w:pPr>
              <w:tabs>
                <w:tab w:val="clear" w:pos="567"/>
              </w:tabs>
              <w:spacing w:before="20" w:after="20" w:line="240" w:lineRule="auto"/>
              <w:rPr>
                <w:rFonts w:cs="Calibri"/>
                <w:snapToGrid/>
                <w:kern w:val="24"/>
                <w:szCs w:val="22"/>
                <w:lang w:val="lt-LT" w:eastAsia="de-DE"/>
              </w:rPr>
            </w:pPr>
            <w:r w:rsidRPr="00561601">
              <w:rPr>
                <w:rFonts w:cs="Calibri"/>
                <w:snapToGrid/>
                <w:kern w:val="24"/>
                <w:szCs w:val="24"/>
                <w:lang w:val="lt-LT" w:eastAsia="de-DE"/>
              </w:rPr>
              <w:t>54,3 %</w:t>
            </w:r>
          </w:p>
        </w:tc>
      </w:tr>
      <w:tr w:rsidR="00530EE0" w:rsidRPr="00561601" w14:paraId="7C064CF3" w14:textId="77777777" w:rsidTr="004979B2">
        <w:trPr>
          <w:tblHeader/>
        </w:trPr>
        <w:tc>
          <w:tcPr>
            <w:tcW w:w="5388" w:type="dxa"/>
            <w:shd w:val="clear" w:color="auto" w:fill="auto"/>
          </w:tcPr>
          <w:p w14:paraId="56A417B0" w14:textId="77777777" w:rsidR="00530EE0" w:rsidRPr="00561601" w:rsidDel="003F023D" w:rsidRDefault="00530EE0" w:rsidP="00AD6D6C">
            <w:pPr>
              <w:tabs>
                <w:tab w:val="clear" w:pos="567"/>
              </w:tabs>
              <w:spacing w:before="20" w:after="20" w:line="240" w:lineRule="auto"/>
              <w:rPr>
                <w:rFonts w:cs="Calibri"/>
                <w:snapToGrid/>
                <w:kern w:val="24"/>
                <w:szCs w:val="22"/>
                <w:lang w:val="lt-LT" w:eastAsia="de-DE"/>
              </w:rPr>
            </w:pPr>
            <w:r w:rsidRPr="00561601">
              <w:rPr>
                <w:rFonts w:cs="Calibri"/>
                <w:snapToGrid/>
                <w:kern w:val="24"/>
                <w:szCs w:val="24"/>
                <w:lang w:val="lt-LT" w:eastAsia="de-DE"/>
              </w:rPr>
              <w:t>Su CMV susijusi mirtis</w:t>
            </w:r>
          </w:p>
        </w:tc>
        <w:tc>
          <w:tcPr>
            <w:tcW w:w="1920" w:type="dxa"/>
            <w:shd w:val="clear" w:color="auto" w:fill="auto"/>
          </w:tcPr>
          <w:p w14:paraId="702D8C15" w14:textId="77777777" w:rsidR="00530EE0" w:rsidRPr="00561601" w:rsidRDefault="00530EE0" w:rsidP="00AD6D6C">
            <w:pPr>
              <w:tabs>
                <w:tab w:val="clear" w:pos="567"/>
              </w:tabs>
              <w:spacing w:before="20" w:after="20" w:line="240" w:lineRule="auto"/>
              <w:rPr>
                <w:rFonts w:cs="Calibri"/>
                <w:snapToGrid/>
                <w:kern w:val="24"/>
                <w:szCs w:val="22"/>
                <w:lang w:val="lt-LT" w:eastAsia="de-DE"/>
              </w:rPr>
            </w:pPr>
            <w:r w:rsidRPr="00561601">
              <w:rPr>
                <w:rFonts w:cs="Calibri"/>
                <w:snapToGrid/>
                <w:kern w:val="24"/>
                <w:szCs w:val="24"/>
                <w:lang w:val="lt-LT" w:eastAsia="de-DE"/>
              </w:rPr>
              <w:t>0 %</w:t>
            </w:r>
          </w:p>
        </w:tc>
        <w:tc>
          <w:tcPr>
            <w:tcW w:w="1903" w:type="dxa"/>
            <w:shd w:val="clear" w:color="auto" w:fill="auto"/>
          </w:tcPr>
          <w:p w14:paraId="1E63F6F8" w14:textId="77777777" w:rsidR="00530EE0" w:rsidRPr="00561601" w:rsidRDefault="00530EE0" w:rsidP="00AD6D6C">
            <w:pPr>
              <w:tabs>
                <w:tab w:val="clear" w:pos="567"/>
              </w:tabs>
              <w:spacing w:before="20" w:after="20" w:line="240" w:lineRule="auto"/>
              <w:rPr>
                <w:rFonts w:cs="Calibri"/>
                <w:snapToGrid/>
                <w:kern w:val="24"/>
                <w:szCs w:val="22"/>
                <w:lang w:val="lt-LT" w:eastAsia="de-DE"/>
              </w:rPr>
            </w:pPr>
            <w:r w:rsidRPr="00561601">
              <w:rPr>
                <w:rFonts w:cs="Calibri"/>
                <w:snapToGrid/>
                <w:kern w:val="24"/>
                <w:szCs w:val="24"/>
                <w:lang w:val="lt-LT" w:eastAsia="de-DE"/>
              </w:rPr>
              <w:t>16,7 %</w:t>
            </w:r>
          </w:p>
        </w:tc>
      </w:tr>
    </w:tbl>
    <w:p w14:paraId="18C303B6" w14:textId="77777777" w:rsidR="00530EE0" w:rsidRPr="00561601" w:rsidRDefault="00530EE0" w:rsidP="00530EE0">
      <w:pPr>
        <w:tabs>
          <w:tab w:val="clear" w:pos="567"/>
        </w:tabs>
        <w:spacing w:before="20" w:after="20" w:line="240" w:lineRule="auto"/>
        <w:rPr>
          <w:snapToGrid/>
          <w:kern w:val="24"/>
          <w:szCs w:val="22"/>
          <w:lang w:val="lt-LT"/>
        </w:rPr>
      </w:pPr>
    </w:p>
    <w:p w14:paraId="0C72134B" w14:textId="35B4C30C" w:rsidR="00530EE0" w:rsidRPr="00561601" w:rsidRDefault="00530EE0" w:rsidP="00530EE0">
      <w:pPr>
        <w:tabs>
          <w:tab w:val="clear" w:pos="567"/>
        </w:tabs>
        <w:spacing w:before="20" w:after="20" w:line="240" w:lineRule="auto"/>
        <w:rPr>
          <w:snapToGrid/>
          <w:kern w:val="24"/>
          <w:szCs w:val="22"/>
          <w:u w:val="single"/>
          <w:lang w:val="lt-LT" w:eastAsia="de-DE"/>
        </w:rPr>
      </w:pPr>
      <w:r w:rsidRPr="00561601">
        <w:rPr>
          <w:snapToGrid/>
          <w:kern w:val="24"/>
          <w:szCs w:val="24"/>
          <w:u w:val="single"/>
          <w:lang w:val="lt-LT" w:eastAsia="de-DE"/>
        </w:rPr>
        <w:t xml:space="preserve">Kaulų čiulpų transplantacija (KČT) </w:t>
      </w:r>
    </w:p>
    <w:p w14:paraId="0F5AE43D" w14:textId="3C541707" w:rsidR="00530EE0" w:rsidRPr="00561601" w:rsidRDefault="00530EE0" w:rsidP="00530EE0">
      <w:pPr>
        <w:tabs>
          <w:tab w:val="clear" w:pos="567"/>
        </w:tabs>
        <w:spacing w:before="20" w:after="20" w:line="240" w:lineRule="auto"/>
        <w:rPr>
          <w:snapToGrid/>
          <w:kern w:val="24"/>
          <w:szCs w:val="22"/>
          <w:lang w:val="lt-LT" w:eastAsia="de-DE"/>
        </w:rPr>
      </w:pPr>
      <w:r w:rsidRPr="00561601">
        <w:rPr>
          <w:snapToGrid/>
          <w:kern w:val="24"/>
          <w:szCs w:val="24"/>
          <w:lang w:val="lt-LT" w:eastAsia="de-DE"/>
        </w:rPr>
        <w:t xml:space="preserve">Atsitiktinių imčių, lyginamojo tyrimo metu buvo vertinamas į veną leidžiamo </w:t>
      </w:r>
      <w:proofErr w:type="spellStart"/>
      <w:r w:rsidRPr="00561601">
        <w:rPr>
          <w:snapToGrid/>
          <w:kern w:val="24"/>
          <w:szCs w:val="24"/>
          <w:lang w:val="lt-LT" w:eastAsia="de-DE"/>
        </w:rPr>
        <w:t>hiperimunoglobulino</w:t>
      </w:r>
      <w:proofErr w:type="spellEnd"/>
      <w:r w:rsidRPr="00561601">
        <w:rPr>
          <w:snapToGrid/>
          <w:kern w:val="24"/>
          <w:szCs w:val="24"/>
          <w:lang w:val="lt-LT" w:eastAsia="de-DE"/>
        </w:rPr>
        <w:t xml:space="preserve"> vartojimas CMV infekcijos prevencijai 49 suaugusiems leukemija sergantiems pacientams, kuriems buvo atlikta alogeninė KČT iš HLA tapačių brolių ir seserų (amžiaus vidurkis – 22 metai </w:t>
      </w:r>
      <w:r w:rsidR="00996576">
        <w:rPr>
          <w:snapToGrid/>
          <w:kern w:val="24"/>
          <w:szCs w:val="24"/>
          <w:lang w:val="lt-LT" w:eastAsia="de-DE"/>
        </w:rPr>
        <w:t>[</w:t>
      </w:r>
      <w:r w:rsidR="009C7441" w:rsidRPr="009C7441">
        <w:rPr>
          <w:snapToGrid/>
          <w:kern w:val="24"/>
          <w:szCs w:val="24"/>
          <w:lang w:val="lt-LT" w:eastAsia="de-DE"/>
        </w:rPr>
        <w:t>CMVIG</w:t>
      </w:r>
      <w:r w:rsidR="00996576">
        <w:rPr>
          <w:snapToGrid/>
          <w:kern w:val="24"/>
          <w:szCs w:val="24"/>
          <w:lang w:val="lt-LT" w:eastAsia="de-DE"/>
        </w:rPr>
        <w:t>]</w:t>
      </w:r>
      <w:r w:rsidR="00996576" w:rsidRPr="00561601">
        <w:rPr>
          <w:snapToGrid/>
          <w:kern w:val="24"/>
          <w:szCs w:val="24"/>
          <w:lang w:val="lt-LT" w:eastAsia="de-DE"/>
        </w:rPr>
        <w:t xml:space="preserve"> </w:t>
      </w:r>
      <w:r w:rsidRPr="00561601">
        <w:rPr>
          <w:snapToGrid/>
          <w:kern w:val="24"/>
          <w:szCs w:val="24"/>
          <w:lang w:val="lt-LT" w:eastAsia="de-DE"/>
        </w:rPr>
        <w:t xml:space="preserve">ir 22,5 metų </w:t>
      </w:r>
      <w:r w:rsidR="00996576">
        <w:rPr>
          <w:snapToGrid/>
          <w:kern w:val="24"/>
          <w:szCs w:val="24"/>
          <w:lang w:val="lt-LT" w:eastAsia="de-DE"/>
        </w:rPr>
        <w:t>[</w:t>
      </w:r>
      <w:r w:rsidRPr="00561601">
        <w:rPr>
          <w:snapToGrid/>
          <w:kern w:val="24"/>
          <w:szCs w:val="24"/>
          <w:lang w:val="lt-LT" w:eastAsia="de-DE"/>
        </w:rPr>
        <w:t>kontrolinė grupė</w:t>
      </w:r>
      <w:r w:rsidR="00996576">
        <w:rPr>
          <w:snapToGrid/>
          <w:kern w:val="24"/>
          <w:szCs w:val="24"/>
          <w:lang w:val="lt-LT" w:eastAsia="de-DE"/>
        </w:rPr>
        <w:t>]</w:t>
      </w:r>
      <w:r w:rsidR="00996576" w:rsidRPr="00561601">
        <w:rPr>
          <w:snapToGrid/>
          <w:kern w:val="24"/>
          <w:szCs w:val="24"/>
          <w:lang w:val="lt-LT" w:eastAsia="de-DE"/>
        </w:rPr>
        <w:t xml:space="preserve">). </w:t>
      </w:r>
      <w:r w:rsidRPr="00561601">
        <w:rPr>
          <w:snapToGrid/>
          <w:kern w:val="24"/>
          <w:szCs w:val="24"/>
          <w:lang w:val="lt-LT" w:eastAsia="de-DE"/>
        </w:rPr>
        <w:t>Stebėjimas truko 110 </w:t>
      </w:r>
      <w:r w:rsidR="00996576">
        <w:rPr>
          <w:snapToGrid/>
          <w:kern w:val="24"/>
          <w:szCs w:val="24"/>
          <w:lang w:val="lt-LT" w:eastAsia="de-DE"/>
        </w:rPr>
        <w:t>parų</w:t>
      </w:r>
      <w:r w:rsidRPr="00561601">
        <w:rPr>
          <w:snapToGrid/>
          <w:kern w:val="24"/>
          <w:szCs w:val="24"/>
          <w:lang w:val="lt-LT" w:eastAsia="de-DE"/>
        </w:rPr>
        <w:t xml:space="preserve">. Visiems pacientams buvo taikomas kondicionavimas </w:t>
      </w:r>
      <w:proofErr w:type="spellStart"/>
      <w:r w:rsidRPr="00561601">
        <w:rPr>
          <w:snapToGrid/>
          <w:kern w:val="24"/>
          <w:szCs w:val="24"/>
          <w:lang w:val="lt-LT" w:eastAsia="de-DE"/>
        </w:rPr>
        <w:t>ciklofosfamidu</w:t>
      </w:r>
      <w:proofErr w:type="spellEnd"/>
      <w:r w:rsidRPr="00561601">
        <w:rPr>
          <w:snapToGrid/>
          <w:kern w:val="24"/>
          <w:szCs w:val="24"/>
          <w:lang w:val="lt-LT" w:eastAsia="de-DE"/>
        </w:rPr>
        <w:t xml:space="preserve"> ir viso kūno švitinimas. Gydymo grupėje 26 pacientams skirta 1 ml/kg </w:t>
      </w:r>
      <w:r w:rsidR="009C7441" w:rsidRPr="009C7441">
        <w:rPr>
          <w:snapToGrid/>
          <w:kern w:val="24"/>
          <w:szCs w:val="24"/>
          <w:lang w:val="lt-LT" w:eastAsia="de-DE"/>
        </w:rPr>
        <w:t>CMVIG</w:t>
      </w:r>
      <w:r w:rsidRPr="00561601">
        <w:rPr>
          <w:snapToGrid/>
          <w:kern w:val="24"/>
          <w:szCs w:val="24"/>
          <w:lang w:val="lt-LT" w:eastAsia="de-DE"/>
        </w:rPr>
        <w:t xml:space="preserve"> dozė, o kontrolinėje grupėje 23 pacientams skirta 2 ml/kg normalaus žmogaus imunoglobulino dozė -7 </w:t>
      </w:r>
      <w:r w:rsidR="007F3D3B">
        <w:rPr>
          <w:snapToGrid/>
          <w:kern w:val="24"/>
          <w:szCs w:val="24"/>
          <w:lang w:val="lt-LT" w:eastAsia="de-DE"/>
        </w:rPr>
        <w:t>parą</w:t>
      </w:r>
      <w:r w:rsidR="007F3D3B" w:rsidRPr="00561601">
        <w:rPr>
          <w:snapToGrid/>
          <w:kern w:val="24"/>
          <w:szCs w:val="24"/>
          <w:lang w:val="lt-LT" w:eastAsia="de-DE"/>
        </w:rPr>
        <w:t xml:space="preserve"> </w:t>
      </w:r>
      <w:r w:rsidRPr="00561601">
        <w:rPr>
          <w:snapToGrid/>
          <w:kern w:val="24"/>
          <w:szCs w:val="24"/>
          <w:lang w:val="lt-LT" w:eastAsia="de-DE"/>
        </w:rPr>
        <w:t>ir 13, 33, 73 ir 93 </w:t>
      </w:r>
      <w:r w:rsidR="008C7DEF">
        <w:rPr>
          <w:snapToGrid/>
          <w:kern w:val="24"/>
          <w:szCs w:val="24"/>
          <w:lang w:val="lt-LT" w:eastAsia="de-DE"/>
        </w:rPr>
        <w:t>parą</w:t>
      </w:r>
      <w:r w:rsidR="00996576" w:rsidRPr="00561601">
        <w:rPr>
          <w:snapToGrid/>
          <w:kern w:val="24"/>
          <w:szCs w:val="24"/>
          <w:lang w:val="lt-LT" w:eastAsia="de-DE"/>
        </w:rPr>
        <w:t xml:space="preserve"> </w:t>
      </w:r>
      <w:r w:rsidRPr="00561601">
        <w:rPr>
          <w:snapToGrid/>
          <w:kern w:val="24"/>
          <w:szCs w:val="24"/>
          <w:lang w:val="lt-LT" w:eastAsia="de-DE"/>
        </w:rPr>
        <w:t xml:space="preserve">po KČT. Per pirmąsias 110 dienų po KČT vienam iš 26 pacientų (4 %) gydymo grupėje išsivystė su CMV susijęs </w:t>
      </w:r>
      <w:proofErr w:type="spellStart"/>
      <w:r w:rsidRPr="00561601">
        <w:rPr>
          <w:snapToGrid/>
          <w:kern w:val="24"/>
          <w:szCs w:val="24"/>
          <w:lang w:val="lt-LT" w:eastAsia="de-DE"/>
        </w:rPr>
        <w:t>intersticinis</w:t>
      </w:r>
      <w:proofErr w:type="spellEnd"/>
      <w:r w:rsidRPr="00561601">
        <w:rPr>
          <w:snapToGrid/>
          <w:kern w:val="24"/>
          <w:szCs w:val="24"/>
          <w:lang w:val="lt-LT" w:eastAsia="de-DE"/>
        </w:rPr>
        <w:t xml:space="preserve"> </w:t>
      </w:r>
      <w:proofErr w:type="spellStart"/>
      <w:r w:rsidRPr="00561601">
        <w:rPr>
          <w:snapToGrid/>
          <w:kern w:val="24"/>
          <w:szCs w:val="24"/>
          <w:lang w:val="lt-LT" w:eastAsia="de-DE"/>
        </w:rPr>
        <w:t>pneumonitas</w:t>
      </w:r>
      <w:proofErr w:type="spellEnd"/>
      <w:r w:rsidRPr="00561601">
        <w:rPr>
          <w:snapToGrid/>
          <w:kern w:val="24"/>
          <w:szCs w:val="24"/>
          <w:lang w:val="lt-LT" w:eastAsia="de-DE"/>
        </w:rPr>
        <w:t>, o kontrolinėje grupėje – šešiems iš 23 pacientų (26 %). Nutraukus gydymą (143 ir 153 </w:t>
      </w:r>
      <w:r w:rsidR="007F3D3B">
        <w:rPr>
          <w:snapToGrid/>
          <w:kern w:val="24"/>
          <w:szCs w:val="24"/>
          <w:lang w:val="lt-LT" w:eastAsia="de-DE"/>
        </w:rPr>
        <w:t>parą</w:t>
      </w:r>
      <w:r w:rsidRPr="00561601">
        <w:rPr>
          <w:snapToGrid/>
          <w:kern w:val="24"/>
          <w:szCs w:val="24"/>
          <w:lang w:val="lt-LT" w:eastAsia="de-DE"/>
        </w:rPr>
        <w:t xml:space="preserve">), </w:t>
      </w:r>
      <w:proofErr w:type="spellStart"/>
      <w:r w:rsidRPr="00561601">
        <w:rPr>
          <w:snapToGrid/>
          <w:kern w:val="24"/>
          <w:szCs w:val="24"/>
          <w:lang w:val="lt-LT" w:eastAsia="de-DE"/>
        </w:rPr>
        <w:t>dviems</w:t>
      </w:r>
      <w:proofErr w:type="spellEnd"/>
      <w:r w:rsidRPr="00561601">
        <w:rPr>
          <w:snapToGrid/>
          <w:kern w:val="24"/>
          <w:szCs w:val="24"/>
          <w:lang w:val="lt-LT" w:eastAsia="de-DE"/>
        </w:rPr>
        <w:t xml:space="preserve"> </w:t>
      </w:r>
      <w:r w:rsidR="009C7441" w:rsidRPr="009C7441">
        <w:rPr>
          <w:snapToGrid/>
          <w:kern w:val="24"/>
          <w:szCs w:val="24"/>
          <w:lang w:val="lt-LT" w:eastAsia="de-DE"/>
        </w:rPr>
        <w:t>CMVIG</w:t>
      </w:r>
      <w:r w:rsidRPr="00561601">
        <w:rPr>
          <w:snapToGrid/>
          <w:kern w:val="24"/>
          <w:szCs w:val="24"/>
          <w:lang w:val="lt-LT" w:eastAsia="de-DE"/>
        </w:rPr>
        <w:t xml:space="preserve"> gydytų pacientų grupės pacientams išsivystė su CMV susijęs </w:t>
      </w:r>
      <w:proofErr w:type="spellStart"/>
      <w:r w:rsidRPr="00561601">
        <w:rPr>
          <w:snapToGrid/>
          <w:kern w:val="24"/>
          <w:szCs w:val="24"/>
          <w:lang w:val="lt-LT" w:eastAsia="de-DE"/>
        </w:rPr>
        <w:t>intersticinis</w:t>
      </w:r>
      <w:proofErr w:type="spellEnd"/>
      <w:r w:rsidRPr="00561601">
        <w:rPr>
          <w:snapToGrid/>
          <w:kern w:val="24"/>
          <w:szCs w:val="24"/>
          <w:lang w:val="lt-LT" w:eastAsia="de-DE"/>
        </w:rPr>
        <w:t xml:space="preserve"> </w:t>
      </w:r>
      <w:proofErr w:type="spellStart"/>
      <w:r w:rsidRPr="00561601">
        <w:rPr>
          <w:snapToGrid/>
          <w:kern w:val="24"/>
          <w:szCs w:val="24"/>
          <w:lang w:val="lt-LT" w:eastAsia="de-DE"/>
        </w:rPr>
        <w:t>pneumonitas</w:t>
      </w:r>
      <w:proofErr w:type="spellEnd"/>
      <w:r w:rsidRPr="00561601">
        <w:rPr>
          <w:snapToGrid/>
          <w:kern w:val="24"/>
          <w:szCs w:val="24"/>
          <w:lang w:val="lt-LT" w:eastAsia="de-DE"/>
        </w:rPr>
        <w:t xml:space="preserve">. </w:t>
      </w:r>
    </w:p>
    <w:p w14:paraId="2CF2B048" w14:textId="77777777" w:rsidR="00530EE0" w:rsidRPr="00561601" w:rsidRDefault="00530EE0" w:rsidP="00530EE0">
      <w:pPr>
        <w:tabs>
          <w:tab w:val="clear" w:pos="567"/>
        </w:tabs>
        <w:spacing w:before="20" w:after="20" w:line="240" w:lineRule="auto"/>
        <w:rPr>
          <w:snapToGrid/>
          <w:kern w:val="24"/>
          <w:szCs w:val="22"/>
          <w:lang w:val="lt-LT"/>
        </w:rPr>
      </w:pPr>
    </w:p>
    <w:p w14:paraId="756195DE" w14:textId="0861EEDF" w:rsidR="00530EE0" w:rsidRPr="00561601" w:rsidRDefault="00530EE0" w:rsidP="00530EE0">
      <w:pPr>
        <w:tabs>
          <w:tab w:val="clear" w:pos="567"/>
        </w:tabs>
        <w:spacing w:before="20" w:after="20" w:line="240" w:lineRule="auto"/>
        <w:rPr>
          <w:snapToGrid/>
          <w:kern w:val="24"/>
          <w:szCs w:val="22"/>
          <w:lang w:val="lt-LT" w:eastAsia="de-DE"/>
        </w:rPr>
      </w:pPr>
      <w:r w:rsidRPr="00561601">
        <w:rPr>
          <w:snapToGrid/>
          <w:kern w:val="24"/>
          <w:szCs w:val="24"/>
          <w:lang w:val="lt-LT" w:eastAsia="de-DE"/>
        </w:rPr>
        <w:t xml:space="preserve">Atviro, nelyginamojo tyrimo metu buvo vertinamas CMV ligos atvejų mažėjimas, profilaktiniam gydymui skiriant CMV </w:t>
      </w:r>
      <w:proofErr w:type="spellStart"/>
      <w:r w:rsidR="00996576" w:rsidRPr="00561601">
        <w:rPr>
          <w:snapToGrid/>
          <w:kern w:val="24"/>
          <w:szCs w:val="24"/>
          <w:lang w:val="lt-LT" w:eastAsia="de-DE"/>
        </w:rPr>
        <w:t>hiperimunoglobulin</w:t>
      </w:r>
      <w:r w:rsidR="00996576">
        <w:rPr>
          <w:snapToGrid/>
          <w:kern w:val="24"/>
          <w:szCs w:val="24"/>
          <w:lang w:val="lt-LT" w:eastAsia="de-DE"/>
        </w:rPr>
        <w:t>o</w:t>
      </w:r>
      <w:proofErr w:type="spellEnd"/>
      <w:r w:rsidR="00996576" w:rsidRPr="00561601">
        <w:rPr>
          <w:snapToGrid/>
          <w:kern w:val="24"/>
          <w:szCs w:val="24"/>
          <w:lang w:val="lt-LT" w:eastAsia="de-DE"/>
        </w:rPr>
        <w:t xml:space="preserve"> </w:t>
      </w:r>
      <w:r w:rsidRPr="00561601">
        <w:rPr>
          <w:snapToGrid/>
          <w:kern w:val="24"/>
          <w:szCs w:val="24"/>
          <w:lang w:val="lt-LT" w:eastAsia="de-DE"/>
        </w:rPr>
        <w:t xml:space="preserve">ir </w:t>
      </w:r>
      <w:r w:rsidR="00996576" w:rsidRPr="00561601">
        <w:rPr>
          <w:snapToGrid/>
          <w:kern w:val="24"/>
          <w:szCs w:val="24"/>
          <w:lang w:val="lt-LT" w:eastAsia="de-DE"/>
        </w:rPr>
        <w:t>geriam</w:t>
      </w:r>
      <w:r w:rsidR="00996576">
        <w:rPr>
          <w:snapToGrid/>
          <w:kern w:val="24"/>
          <w:szCs w:val="24"/>
          <w:lang w:val="lt-LT" w:eastAsia="de-DE"/>
        </w:rPr>
        <w:t>ojo</w:t>
      </w:r>
      <w:r w:rsidR="00996576" w:rsidRPr="00561601">
        <w:rPr>
          <w:snapToGrid/>
          <w:kern w:val="24"/>
          <w:szCs w:val="24"/>
          <w:lang w:val="lt-LT" w:eastAsia="de-DE"/>
        </w:rPr>
        <w:t xml:space="preserve"> </w:t>
      </w:r>
      <w:proofErr w:type="spellStart"/>
      <w:r w:rsidR="00996576" w:rsidRPr="00561601">
        <w:rPr>
          <w:snapToGrid/>
          <w:kern w:val="24"/>
          <w:szCs w:val="24"/>
          <w:lang w:val="lt-LT" w:eastAsia="de-DE"/>
        </w:rPr>
        <w:t>aciklovir</w:t>
      </w:r>
      <w:r w:rsidR="00996576">
        <w:rPr>
          <w:snapToGrid/>
          <w:kern w:val="24"/>
          <w:szCs w:val="24"/>
          <w:lang w:val="lt-LT" w:eastAsia="de-DE"/>
        </w:rPr>
        <w:t>o</w:t>
      </w:r>
      <w:proofErr w:type="spellEnd"/>
      <w:r w:rsidR="00996576" w:rsidRPr="00561601">
        <w:rPr>
          <w:snapToGrid/>
          <w:kern w:val="24"/>
          <w:szCs w:val="24"/>
          <w:lang w:val="lt-LT" w:eastAsia="de-DE"/>
        </w:rPr>
        <w:t xml:space="preserve"> </w:t>
      </w:r>
      <w:r w:rsidRPr="00561601">
        <w:rPr>
          <w:snapToGrid/>
          <w:kern w:val="24"/>
          <w:szCs w:val="24"/>
          <w:lang w:val="lt-LT" w:eastAsia="de-DE"/>
        </w:rPr>
        <w:t xml:space="preserve">93 suaugusiems KČT recipientams (amžiaus mediana – 22 metai, diapazonas – 1–49 metai). Ūmi </w:t>
      </w:r>
      <w:proofErr w:type="spellStart"/>
      <w:r w:rsidRPr="00561601">
        <w:rPr>
          <w:snapToGrid/>
          <w:kern w:val="24"/>
          <w:szCs w:val="24"/>
          <w:lang w:val="lt-LT" w:eastAsia="de-DE"/>
        </w:rPr>
        <w:t>transplantato</w:t>
      </w:r>
      <w:proofErr w:type="spellEnd"/>
      <w:r w:rsidRPr="00561601">
        <w:rPr>
          <w:snapToGrid/>
          <w:kern w:val="24"/>
          <w:szCs w:val="24"/>
          <w:lang w:val="lt-LT" w:eastAsia="de-DE"/>
        </w:rPr>
        <w:t xml:space="preserve"> prieš šeimininką liga (TPŠL) pasireiškė 43 (48,3 %) (&lt; II laipsnio), 18 (20,2 %) (II laipsnio) ir 28 (34,3 %) (III–IV laipsnio) pacientams. Visas kūno švitinimas taikant </w:t>
      </w:r>
      <w:proofErr w:type="spellStart"/>
      <w:r w:rsidRPr="00561601">
        <w:rPr>
          <w:snapToGrid/>
          <w:kern w:val="24"/>
          <w:szCs w:val="24"/>
          <w:lang w:val="lt-LT" w:eastAsia="de-DE"/>
        </w:rPr>
        <w:t>frakcionavimo</w:t>
      </w:r>
      <w:proofErr w:type="spellEnd"/>
      <w:r w:rsidRPr="00561601">
        <w:rPr>
          <w:snapToGrid/>
          <w:kern w:val="24"/>
          <w:szCs w:val="24"/>
          <w:lang w:val="lt-LT" w:eastAsia="de-DE"/>
        </w:rPr>
        <w:t xml:space="preserve"> metodą truko nuo -3 iki -1 dienos. 100 mg/kg </w:t>
      </w:r>
      <w:r w:rsidR="009C7441" w:rsidRPr="009C7441">
        <w:rPr>
          <w:snapToGrid/>
          <w:kern w:val="24"/>
          <w:szCs w:val="24"/>
          <w:lang w:val="lt-LT" w:eastAsia="de-DE"/>
        </w:rPr>
        <w:t>CMVIG</w:t>
      </w:r>
      <w:r w:rsidRPr="00561601">
        <w:rPr>
          <w:snapToGrid/>
          <w:kern w:val="24"/>
          <w:szCs w:val="24"/>
          <w:lang w:val="lt-LT" w:eastAsia="de-DE"/>
        </w:rPr>
        <w:t xml:space="preserve"> buvo skiriama du kartus prieš KČT ir vėliau kas trečią savaitę iki 100 </w:t>
      </w:r>
      <w:r w:rsidR="009C2773">
        <w:rPr>
          <w:snapToGrid/>
          <w:kern w:val="24"/>
          <w:szCs w:val="24"/>
          <w:lang w:val="lt-LT" w:eastAsia="de-DE"/>
        </w:rPr>
        <w:t>paros</w:t>
      </w:r>
      <w:r w:rsidR="009C2773" w:rsidRPr="00561601">
        <w:rPr>
          <w:snapToGrid/>
          <w:kern w:val="24"/>
          <w:szCs w:val="24"/>
          <w:lang w:val="lt-LT" w:eastAsia="de-DE"/>
        </w:rPr>
        <w:t xml:space="preserve"> </w:t>
      </w:r>
      <w:r w:rsidRPr="00561601">
        <w:rPr>
          <w:snapToGrid/>
          <w:kern w:val="24"/>
          <w:szCs w:val="24"/>
          <w:lang w:val="lt-LT" w:eastAsia="de-DE"/>
        </w:rPr>
        <w:t xml:space="preserve">po KČT. 11 iš 93 pacientų (11,8 %) atvejais nustatyti CMV infekcijos požymiai, 6 pacientams CMV infekcija pasireiškė tuo metu, kai jiems profilaktikai buvo skiriamas CMV </w:t>
      </w:r>
      <w:proofErr w:type="spellStart"/>
      <w:r w:rsidRPr="00561601">
        <w:rPr>
          <w:snapToGrid/>
          <w:kern w:val="24"/>
          <w:szCs w:val="24"/>
          <w:lang w:val="lt-LT" w:eastAsia="de-DE"/>
        </w:rPr>
        <w:t>hiperimunoglobulinas</w:t>
      </w:r>
      <w:proofErr w:type="spellEnd"/>
      <w:r w:rsidRPr="00561601">
        <w:rPr>
          <w:snapToGrid/>
          <w:kern w:val="24"/>
          <w:szCs w:val="24"/>
          <w:lang w:val="lt-LT" w:eastAsia="de-DE"/>
        </w:rPr>
        <w:t xml:space="preserve">, o 5 pacientams virusas vėl suaktyvėjo nutraukus </w:t>
      </w:r>
      <w:r w:rsidR="009C7441" w:rsidRPr="009C7441">
        <w:rPr>
          <w:snapToGrid/>
          <w:kern w:val="24"/>
          <w:szCs w:val="24"/>
          <w:lang w:val="lt-LT" w:eastAsia="de-DE"/>
        </w:rPr>
        <w:t>CMVIG</w:t>
      </w:r>
      <w:r w:rsidRPr="00561601">
        <w:rPr>
          <w:snapToGrid/>
          <w:kern w:val="24"/>
          <w:szCs w:val="24"/>
          <w:lang w:val="lt-LT" w:eastAsia="de-DE"/>
        </w:rPr>
        <w:t xml:space="preserve"> vartojimą. </w:t>
      </w:r>
      <w:r w:rsidR="009C2773">
        <w:rPr>
          <w:snapToGrid/>
          <w:kern w:val="24"/>
          <w:szCs w:val="24"/>
          <w:lang w:val="lt-LT" w:eastAsia="de-DE"/>
        </w:rPr>
        <w:t>Iš s</w:t>
      </w:r>
      <w:r w:rsidRPr="00561601">
        <w:rPr>
          <w:snapToGrid/>
          <w:kern w:val="24"/>
          <w:szCs w:val="24"/>
          <w:lang w:val="lt-LT" w:eastAsia="de-DE"/>
        </w:rPr>
        <w:t xml:space="preserve">unkia TPŠL sergančiųjų 10 iš 38 pacientų (26,2 %) pasireiškė CMV infekcija, tuo tarpu tik 1 iš 55 pacientų (1,8 %) pasireiškė lengvos formos TPŠL. </w:t>
      </w:r>
    </w:p>
    <w:p w14:paraId="3BBF4C13" w14:textId="77777777" w:rsidR="00530EE0" w:rsidRPr="00561601" w:rsidRDefault="00530EE0" w:rsidP="00530EE0">
      <w:pPr>
        <w:tabs>
          <w:tab w:val="clear" w:pos="567"/>
        </w:tabs>
        <w:spacing w:before="20" w:after="20" w:line="240" w:lineRule="auto"/>
        <w:rPr>
          <w:snapToGrid/>
          <w:kern w:val="24"/>
          <w:szCs w:val="22"/>
          <w:lang w:val="lt-LT"/>
        </w:rPr>
      </w:pPr>
    </w:p>
    <w:p w14:paraId="34D65A6E" w14:textId="77777777" w:rsidR="00530EE0" w:rsidRPr="00561601" w:rsidRDefault="00530EE0" w:rsidP="00530EE0">
      <w:pPr>
        <w:tabs>
          <w:tab w:val="clear" w:pos="567"/>
        </w:tabs>
        <w:spacing w:before="20" w:after="20" w:line="240" w:lineRule="auto"/>
        <w:rPr>
          <w:snapToGrid/>
          <w:kern w:val="24"/>
          <w:szCs w:val="22"/>
          <w:u w:val="single"/>
          <w:lang w:val="lt-LT" w:eastAsia="de-DE"/>
        </w:rPr>
      </w:pPr>
      <w:proofErr w:type="spellStart"/>
      <w:r w:rsidRPr="00561601">
        <w:rPr>
          <w:snapToGrid/>
          <w:kern w:val="24"/>
          <w:szCs w:val="24"/>
          <w:u w:val="single"/>
          <w:lang w:val="lt-LT" w:eastAsia="de-DE"/>
        </w:rPr>
        <w:t>Metaanalizės</w:t>
      </w:r>
      <w:proofErr w:type="spellEnd"/>
      <w:r w:rsidRPr="00561601">
        <w:rPr>
          <w:snapToGrid/>
          <w:kern w:val="24"/>
          <w:szCs w:val="24"/>
          <w:u w:val="single"/>
          <w:lang w:val="lt-LT" w:eastAsia="de-DE"/>
        </w:rPr>
        <w:t xml:space="preserve"> rezultatai</w:t>
      </w:r>
    </w:p>
    <w:p w14:paraId="1E580C86" w14:textId="30158684" w:rsidR="00530EE0" w:rsidRPr="00561601" w:rsidRDefault="00530EE0" w:rsidP="00530EE0">
      <w:pPr>
        <w:tabs>
          <w:tab w:val="clear" w:pos="567"/>
        </w:tabs>
        <w:spacing w:before="20" w:after="20" w:line="240" w:lineRule="auto"/>
        <w:rPr>
          <w:snapToGrid/>
          <w:kern w:val="24"/>
          <w:szCs w:val="22"/>
          <w:lang w:val="lt-LT" w:eastAsia="de-DE"/>
        </w:rPr>
      </w:pPr>
      <w:r w:rsidRPr="00561601">
        <w:rPr>
          <w:snapToGrid/>
          <w:kern w:val="24"/>
          <w:szCs w:val="24"/>
          <w:lang w:val="lt-LT" w:eastAsia="de-DE"/>
        </w:rPr>
        <w:t xml:space="preserve">Literatūros duomenų apie klinikinį veiksmingumą </w:t>
      </w:r>
      <w:proofErr w:type="spellStart"/>
      <w:r w:rsidRPr="00561601">
        <w:rPr>
          <w:snapToGrid/>
          <w:kern w:val="24"/>
          <w:szCs w:val="24"/>
          <w:lang w:val="lt-LT" w:eastAsia="de-DE"/>
        </w:rPr>
        <w:t>metaanalizė</w:t>
      </w:r>
      <w:proofErr w:type="spellEnd"/>
      <w:r w:rsidRPr="00561601">
        <w:rPr>
          <w:snapToGrid/>
          <w:kern w:val="24"/>
          <w:szCs w:val="24"/>
          <w:lang w:val="lt-LT" w:eastAsia="de-DE"/>
        </w:rPr>
        <w:t xml:space="preserve"> buvo atlikta siekiant išanalizuoti visus paskelbtus duomenis, kuriuose </w:t>
      </w:r>
      <w:r w:rsidR="009C7441" w:rsidRPr="009C7441">
        <w:rPr>
          <w:snapToGrid/>
          <w:kern w:val="24"/>
          <w:szCs w:val="24"/>
          <w:lang w:val="lt-LT" w:eastAsia="de-DE"/>
        </w:rPr>
        <w:t>CMVIG</w:t>
      </w:r>
      <w:r w:rsidRPr="00561601">
        <w:rPr>
          <w:snapToGrid/>
          <w:kern w:val="24"/>
          <w:szCs w:val="24"/>
          <w:lang w:val="lt-LT" w:eastAsia="de-DE"/>
        </w:rPr>
        <w:t xml:space="preserve"> buvo vartojamas patvirtintos indikacijos profilaktikai, nepriklausomai nuo tyrimo plano. CMV infekcijos dažnis buvo nustatytas kaip analizuojamas </w:t>
      </w:r>
      <w:r w:rsidR="009C2773">
        <w:rPr>
          <w:snapToGrid/>
          <w:kern w:val="24"/>
          <w:szCs w:val="24"/>
          <w:lang w:val="lt-LT" w:eastAsia="de-DE"/>
        </w:rPr>
        <w:t xml:space="preserve">pagrindinės </w:t>
      </w:r>
      <w:r w:rsidRPr="00561601">
        <w:rPr>
          <w:snapToGrid/>
          <w:kern w:val="24"/>
          <w:szCs w:val="24"/>
          <w:lang w:val="lt-LT" w:eastAsia="de-DE"/>
        </w:rPr>
        <w:t xml:space="preserve">vertinamosios baigties parametras. Viena </w:t>
      </w:r>
      <w:proofErr w:type="spellStart"/>
      <w:r w:rsidRPr="00561601">
        <w:rPr>
          <w:snapToGrid/>
          <w:kern w:val="24"/>
          <w:szCs w:val="24"/>
          <w:lang w:val="lt-LT" w:eastAsia="de-DE"/>
        </w:rPr>
        <w:t>metaanalizė</w:t>
      </w:r>
      <w:proofErr w:type="spellEnd"/>
      <w:r w:rsidRPr="00561601">
        <w:rPr>
          <w:snapToGrid/>
          <w:kern w:val="24"/>
          <w:szCs w:val="24"/>
          <w:lang w:val="lt-LT" w:eastAsia="de-DE"/>
        </w:rPr>
        <w:t xml:space="preserve"> apima visus tyrimus, neatsižvelgiant į transplantacijos tipą, o kita – tik </w:t>
      </w:r>
      <w:proofErr w:type="spellStart"/>
      <w:r w:rsidR="009C2773">
        <w:rPr>
          <w:snapToGrid/>
          <w:kern w:val="24"/>
          <w:szCs w:val="24"/>
          <w:lang w:val="lt-LT" w:eastAsia="de-DE"/>
        </w:rPr>
        <w:t>solidinių</w:t>
      </w:r>
      <w:proofErr w:type="spellEnd"/>
      <w:r w:rsidR="009C2773" w:rsidRPr="00561601">
        <w:rPr>
          <w:snapToGrid/>
          <w:kern w:val="24"/>
          <w:szCs w:val="24"/>
          <w:lang w:val="lt-LT" w:eastAsia="de-DE"/>
        </w:rPr>
        <w:t xml:space="preserve"> </w:t>
      </w:r>
      <w:r w:rsidRPr="00561601">
        <w:rPr>
          <w:snapToGrid/>
          <w:kern w:val="24"/>
          <w:szCs w:val="24"/>
          <w:lang w:val="lt-LT" w:eastAsia="de-DE"/>
        </w:rPr>
        <w:t xml:space="preserve">organų transplantacijas (neįtraukiama kaulų čiulpų transplantacija / leukemija), rezultatus žr. 2 lentelėje. </w:t>
      </w:r>
    </w:p>
    <w:p w14:paraId="32E52D00" w14:textId="77777777" w:rsidR="00530EE0" w:rsidRPr="00561601" w:rsidRDefault="00530EE0" w:rsidP="00530EE0">
      <w:pPr>
        <w:tabs>
          <w:tab w:val="clear" w:pos="567"/>
        </w:tabs>
        <w:spacing w:before="20" w:after="20" w:line="240" w:lineRule="auto"/>
        <w:rPr>
          <w:snapToGrid/>
          <w:kern w:val="24"/>
          <w:szCs w:val="22"/>
          <w:lang w:val="lt-LT"/>
        </w:rPr>
      </w:pPr>
    </w:p>
    <w:p w14:paraId="1CFC14F2" w14:textId="77777777" w:rsidR="00530EE0" w:rsidRPr="00561601" w:rsidRDefault="00530EE0" w:rsidP="00530EE0">
      <w:pPr>
        <w:tabs>
          <w:tab w:val="clear" w:pos="567"/>
        </w:tabs>
        <w:spacing w:line="240" w:lineRule="auto"/>
        <w:jc w:val="both"/>
        <w:rPr>
          <w:snapToGrid/>
          <w:szCs w:val="22"/>
          <w:lang w:val="lt-LT" w:eastAsia="de-DE"/>
        </w:rPr>
      </w:pPr>
      <w:r w:rsidRPr="00561601">
        <w:rPr>
          <w:snapToGrid/>
          <w:lang w:val="lt-LT" w:eastAsia="de-DE"/>
        </w:rPr>
        <w:t xml:space="preserve">2 lentelė. </w:t>
      </w:r>
      <w:proofErr w:type="spellStart"/>
      <w:r w:rsidRPr="00561601">
        <w:rPr>
          <w:snapToGrid/>
          <w:lang w:val="lt-LT" w:eastAsia="de-DE"/>
        </w:rPr>
        <w:t>Metaanalizės</w:t>
      </w:r>
      <w:proofErr w:type="spellEnd"/>
      <w:r w:rsidRPr="00561601">
        <w:rPr>
          <w:snapToGrid/>
          <w:lang w:val="lt-LT" w:eastAsia="de-DE"/>
        </w:rPr>
        <w:t xml:space="preserve"> rezultatai</w:t>
      </w:r>
    </w:p>
    <w:tbl>
      <w:tblPr>
        <w:tblW w:w="47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3218"/>
        <w:gridCol w:w="3259"/>
      </w:tblGrid>
      <w:tr w:rsidR="00530EE0" w:rsidRPr="00561601" w14:paraId="6BF68091" w14:textId="77777777" w:rsidTr="004979B2">
        <w:trPr>
          <w:tblHeader/>
        </w:trPr>
        <w:tc>
          <w:tcPr>
            <w:tcW w:w="1222" w:type="pct"/>
          </w:tcPr>
          <w:p w14:paraId="0DBC4762" w14:textId="77777777"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lang w:val="lt-LT" w:eastAsia="de-DE"/>
              </w:rPr>
            </w:pPr>
          </w:p>
        </w:tc>
        <w:tc>
          <w:tcPr>
            <w:tcW w:w="1877" w:type="pct"/>
          </w:tcPr>
          <w:p w14:paraId="0B0B2850" w14:textId="44D63934" w:rsidR="00530EE0" w:rsidRPr="00561601" w:rsidRDefault="009C7441" w:rsidP="00530EE0">
            <w:pPr>
              <w:tabs>
                <w:tab w:val="clear" w:pos="567"/>
              </w:tabs>
              <w:overflowPunct w:val="0"/>
              <w:autoSpaceDE w:val="0"/>
              <w:autoSpaceDN w:val="0"/>
              <w:adjustRightInd w:val="0"/>
              <w:spacing w:line="240" w:lineRule="auto"/>
              <w:textAlignment w:val="baseline"/>
              <w:rPr>
                <w:b/>
                <w:snapToGrid/>
                <w:szCs w:val="22"/>
                <w:lang w:val="lt-LT" w:eastAsia="de-DE"/>
              </w:rPr>
            </w:pPr>
            <w:r w:rsidRPr="009C7441">
              <w:rPr>
                <w:b/>
                <w:snapToGrid/>
                <w:szCs w:val="24"/>
                <w:lang w:val="lt-LT" w:eastAsia="de-DE"/>
              </w:rPr>
              <w:t>CMVIG</w:t>
            </w:r>
          </w:p>
          <w:p w14:paraId="461630E5" w14:textId="77777777"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n/N</w:t>
            </w:r>
          </w:p>
          <w:p w14:paraId="5C5EA4FF" w14:textId="77777777"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w:t>
            </w:r>
          </w:p>
          <w:p w14:paraId="35ECA261" w14:textId="77777777"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 xml:space="preserve">95 % </w:t>
            </w:r>
            <w:proofErr w:type="spellStart"/>
            <w:r w:rsidRPr="00561601">
              <w:rPr>
                <w:snapToGrid/>
                <w:szCs w:val="24"/>
                <w:lang w:val="lt-LT" w:eastAsia="de-DE"/>
              </w:rPr>
              <w:t>Clopper-Pearson</w:t>
            </w:r>
            <w:proofErr w:type="spellEnd"/>
            <w:r w:rsidRPr="00561601">
              <w:rPr>
                <w:snapToGrid/>
                <w:szCs w:val="24"/>
                <w:lang w:val="lt-LT" w:eastAsia="de-DE"/>
              </w:rPr>
              <w:t xml:space="preserve"> PI</w:t>
            </w:r>
          </w:p>
        </w:tc>
        <w:tc>
          <w:tcPr>
            <w:tcW w:w="1900" w:type="pct"/>
          </w:tcPr>
          <w:p w14:paraId="521E319D" w14:textId="77777777" w:rsidR="00530EE0" w:rsidRPr="00561601" w:rsidRDefault="00530EE0" w:rsidP="00530EE0">
            <w:pPr>
              <w:tabs>
                <w:tab w:val="clear" w:pos="567"/>
              </w:tabs>
              <w:overflowPunct w:val="0"/>
              <w:autoSpaceDE w:val="0"/>
              <w:autoSpaceDN w:val="0"/>
              <w:adjustRightInd w:val="0"/>
              <w:spacing w:line="240" w:lineRule="auto"/>
              <w:textAlignment w:val="baseline"/>
              <w:rPr>
                <w:b/>
                <w:snapToGrid/>
                <w:szCs w:val="22"/>
                <w:lang w:val="lt-LT" w:eastAsia="de-DE"/>
              </w:rPr>
            </w:pPr>
            <w:r w:rsidRPr="00561601">
              <w:rPr>
                <w:b/>
                <w:snapToGrid/>
                <w:szCs w:val="24"/>
                <w:lang w:val="lt-LT" w:eastAsia="de-DE"/>
              </w:rPr>
              <w:t>Kontrolinė grupė</w:t>
            </w:r>
          </w:p>
          <w:p w14:paraId="6B622DB9" w14:textId="77777777"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n/N</w:t>
            </w:r>
          </w:p>
          <w:p w14:paraId="3080FC4F" w14:textId="77777777"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w:t>
            </w:r>
          </w:p>
          <w:p w14:paraId="5F5C1DF7" w14:textId="77777777"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 xml:space="preserve">95 % </w:t>
            </w:r>
            <w:proofErr w:type="spellStart"/>
            <w:r w:rsidRPr="00561601">
              <w:rPr>
                <w:snapToGrid/>
                <w:szCs w:val="24"/>
                <w:lang w:val="lt-LT" w:eastAsia="de-DE"/>
              </w:rPr>
              <w:t>Clopper-Pearson</w:t>
            </w:r>
            <w:proofErr w:type="spellEnd"/>
            <w:r w:rsidRPr="00561601">
              <w:rPr>
                <w:snapToGrid/>
                <w:szCs w:val="24"/>
                <w:lang w:val="lt-LT" w:eastAsia="de-DE"/>
              </w:rPr>
              <w:t xml:space="preserve"> PI</w:t>
            </w:r>
          </w:p>
        </w:tc>
      </w:tr>
      <w:tr w:rsidR="00530EE0" w:rsidRPr="00561601" w14:paraId="7018EFED" w14:textId="77777777" w:rsidTr="004979B2">
        <w:trPr>
          <w:tblHeader/>
        </w:trPr>
        <w:tc>
          <w:tcPr>
            <w:tcW w:w="1222" w:type="pct"/>
            <w:vMerge w:val="restart"/>
          </w:tcPr>
          <w:p w14:paraId="6AAF33D5" w14:textId="77777777"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lang w:val="lt-LT" w:eastAsia="de-DE"/>
              </w:rPr>
            </w:pPr>
            <w:proofErr w:type="spellStart"/>
            <w:r w:rsidRPr="00561601">
              <w:rPr>
                <w:snapToGrid/>
                <w:szCs w:val="24"/>
                <w:lang w:val="lt-LT" w:eastAsia="de-DE"/>
              </w:rPr>
              <w:t>Metaanalizė</w:t>
            </w:r>
            <w:proofErr w:type="spellEnd"/>
          </w:p>
          <w:p w14:paraId="5E6467A4" w14:textId="77777777" w:rsidR="00530EE0" w:rsidRPr="00561601" w:rsidRDefault="00530EE0" w:rsidP="00530EE0">
            <w:pPr>
              <w:tabs>
                <w:tab w:val="clear" w:pos="567"/>
              </w:tabs>
              <w:overflowPunct w:val="0"/>
              <w:autoSpaceDE w:val="0"/>
              <w:autoSpaceDN w:val="0"/>
              <w:adjustRightInd w:val="0"/>
              <w:spacing w:line="240" w:lineRule="auto"/>
              <w:jc w:val="both"/>
              <w:textAlignment w:val="baseline"/>
              <w:rPr>
                <w:snapToGrid/>
                <w:szCs w:val="22"/>
                <w:lang w:val="lt-LT" w:eastAsia="de-DE"/>
              </w:rPr>
            </w:pPr>
            <w:r w:rsidRPr="00561601">
              <w:rPr>
                <w:snapToGrid/>
                <w:szCs w:val="24"/>
                <w:lang w:val="lt-LT" w:eastAsia="de-DE"/>
              </w:rPr>
              <w:t>(visos indikacijos)</w:t>
            </w:r>
          </w:p>
        </w:tc>
        <w:tc>
          <w:tcPr>
            <w:tcW w:w="1877" w:type="pct"/>
          </w:tcPr>
          <w:p w14:paraId="4CE8E2AF" w14:textId="77777777"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422 iš 1137</w:t>
            </w:r>
          </w:p>
          <w:p w14:paraId="1D4D20D4" w14:textId="77777777"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37,1 %</w:t>
            </w:r>
          </w:p>
          <w:p w14:paraId="32F122E8" w14:textId="77777777"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34,3 % </w:t>
            </w:r>
            <w:r w:rsidRPr="00561601">
              <w:rPr>
                <w:snapToGrid/>
                <w:szCs w:val="24"/>
                <w:lang w:val="lt-LT" w:eastAsia="de-DE"/>
              </w:rPr>
              <w:noBreakHyphen/>
              <w:t> 40,0 %</w:t>
            </w:r>
          </w:p>
        </w:tc>
        <w:tc>
          <w:tcPr>
            <w:tcW w:w="1900" w:type="pct"/>
          </w:tcPr>
          <w:p w14:paraId="67D4F978" w14:textId="77777777"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286 iš 637</w:t>
            </w:r>
          </w:p>
          <w:p w14:paraId="70734C9A" w14:textId="77777777"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44,9 %</w:t>
            </w:r>
          </w:p>
          <w:p w14:paraId="124EB240" w14:textId="77777777"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41,0 % </w:t>
            </w:r>
            <w:r w:rsidRPr="00561601">
              <w:rPr>
                <w:snapToGrid/>
                <w:szCs w:val="24"/>
                <w:lang w:val="lt-LT" w:eastAsia="de-DE"/>
              </w:rPr>
              <w:noBreakHyphen/>
              <w:t> 48,9 %</w:t>
            </w:r>
          </w:p>
        </w:tc>
      </w:tr>
      <w:tr w:rsidR="00530EE0" w:rsidRPr="00561601" w14:paraId="201B0600" w14:textId="77777777" w:rsidTr="004979B2">
        <w:trPr>
          <w:tblHeader/>
        </w:trPr>
        <w:tc>
          <w:tcPr>
            <w:tcW w:w="1222" w:type="pct"/>
            <w:vMerge/>
          </w:tcPr>
          <w:p w14:paraId="07B95D86" w14:textId="77777777"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lang w:val="lt-LT" w:eastAsia="de-DE"/>
              </w:rPr>
            </w:pPr>
          </w:p>
        </w:tc>
        <w:tc>
          <w:tcPr>
            <w:tcW w:w="3778" w:type="pct"/>
            <w:gridSpan w:val="2"/>
          </w:tcPr>
          <w:p w14:paraId="6D458C0F" w14:textId="77777777" w:rsidR="00530EE0" w:rsidRPr="00561601" w:rsidRDefault="00530EE0" w:rsidP="00530EE0">
            <w:pPr>
              <w:tabs>
                <w:tab w:val="clear" w:pos="567"/>
              </w:tabs>
              <w:overflowPunct w:val="0"/>
              <w:autoSpaceDE w:val="0"/>
              <w:autoSpaceDN w:val="0"/>
              <w:adjustRightInd w:val="0"/>
              <w:spacing w:line="240" w:lineRule="auto"/>
              <w:jc w:val="center"/>
              <w:textAlignment w:val="baseline"/>
              <w:rPr>
                <w:snapToGrid/>
                <w:szCs w:val="22"/>
                <w:lang w:val="lt-LT" w:eastAsia="de-DE"/>
              </w:rPr>
            </w:pPr>
            <w:r w:rsidRPr="00561601">
              <w:rPr>
                <w:snapToGrid/>
                <w:szCs w:val="24"/>
                <w:lang w:val="lt-LT" w:eastAsia="de-DE"/>
              </w:rPr>
              <w:t xml:space="preserve">Dvipusis </w:t>
            </w:r>
            <w:proofErr w:type="spellStart"/>
            <w:r w:rsidRPr="00561601">
              <w:rPr>
                <w:snapToGrid/>
                <w:szCs w:val="24"/>
                <w:lang w:val="lt-LT" w:eastAsia="de-DE"/>
              </w:rPr>
              <w:t>chi</w:t>
            </w:r>
            <w:proofErr w:type="spellEnd"/>
            <w:r w:rsidRPr="00561601">
              <w:rPr>
                <w:snapToGrid/>
                <w:szCs w:val="24"/>
                <w:lang w:val="lt-LT" w:eastAsia="de-DE"/>
              </w:rPr>
              <w:t xml:space="preserve"> kvadrato testas: p reikšmė = 0,001</w:t>
            </w:r>
          </w:p>
        </w:tc>
      </w:tr>
      <w:tr w:rsidR="00530EE0" w:rsidRPr="00561601" w14:paraId="11A3AEA1" w14:textId="77777777" w:rsidTr="004979B2">
        <w:trPr>
          <w:tblHeader/>
        </w:trPr>
        <w:tc>
          <w:tcPr>
            <w:tcW w:w="1222" w:type="pct"/>
            <w:vMerge w:val="restart"/>
          </w:tcPr>
          <w:p w14:paraId="47C1ECDD" w14:textId="77777777"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lang w:val="lt-LT" w:eastAsia="de-DE"/>
              </w:rPr>
            </w:pPr>
            <w:proofErr w:type="spellStart"/>
            <w:r w:rsidRPr="00561601">
              <w:rPr>
                <w:snapToGrid/>
                <w:szCs w:val="24"/>
                <w:lang w:val="lt-LT" w:eastAsia="de-DE"/>
              </w:rPr>
              <w:t>Metaanalizė</w:t>
            </w:r>
            <w:proofErr w:type="spellEnd"/>
          </w:p>
          <w:p w14:paraId="75A8C355" w14:textId="77777777"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(inkstų, širdies ir plaučių transplantacijos)</w:t>
            </w:r>
          </w:p>
        </w:tc>
        <w:tc>
          <w:tcPr>
            <w:tcW w:w="1877" w:type="pct"/>
          </w:tcPr>
          <w:p w14:paraId="665A870B" w14:textId="77777777"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390 iš 969</w:t>
            </w:r>
          </w:p>
          <w:p w14:paraId="39FB91E1" w14:textId="77777777"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40,2 %</w:t>
            </w:r>
          </w:p>
          <w:p w14:paraId="03183943" w14:textId="77777777"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37,1 % </w:t>
            </w:r>
            <w:r w:rsidRPr="00561601">
              <w:rPr>
                <w:snapToGrid/>
                <w:szCs w:val="24"/>
                <w:lang w:val="lt-LT" w:eastAsia="de-DE"/>
              </w:rPr>
              <w:noBreakHyphen/>
              <w:t> 43,4 %</w:t>
            </w:r>
          </w:p>
        </w:tc>
        <w:tc>
          <w:tcPr>
            <w:tcW w:w="1900" w:type="pct"/>
          </w:tcPr>
          <w:p w14:paraId="53596E9E" w14:textId="77777777"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283 iš 603</w:t>
            </w:r>
          </w:p>
          <w:p w14:paraId="28F594D8" w14:textId="77777777"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46,9 %</w:t>
            </w:r>
          </w:p>
          <w:p w14:paraId="705BED18" w14:textId="77777777"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42,9 % </w:t>
            </w:r>
            <w:r w:rsidRPr="00561601">
              <w:rPr>
                <w:snapToGrid/>
                <w:szCs w:val="24"/>
                <w:lang w:val="lt-LT" w:eastAsia="de-DE"/>
              </w:rPr>
              <w:noBreakHyphen/>
              <w:t> 51,0 %</w:t>
            </w:r>
          </w:p>
        </w:tc>
      </w:tr>
      <w:tr w:rsidR="00530EE0" w:rsidRPr="00561601" w14:paraId="240CB62E" w14:textId="77777777" w:rsidTr="004979B2">
        <w:trPr>
          <w:tblHeader/>
        </w:trPr>
        <w:tc>
          <w:tcPr>
            <w:tcW w:w="1222" w:type="pct"/>
            <w:vMerge/>
          </w:tcPr>
          <w:p w14:paraId="4F6F022C" w14:textId="77777777" w:rsidR="00530EE0" w:rsidRPr="00561601" w:rsidRDefault="00530EE0" w:rsidP="00530EE0">
            <w:pPr>
              <w:tabs>
                <w:tab w:val="clear" w:pos="567"/>
              </w:tabs>
              <w:overflowPunct w:val="0"/>
              <w:autoSpaceDE w:val="0"/>
              <w:autoSpaceDN w:val="0"/>
              <w:adjustRightInd w:val="0"/>
              <w:spacing w:line="240" w:lineRule="auto"/>
              <w:textAlignment w:val="baseline"/>
              <w:rPr>
                <w:snapToGrid/>
                <w:szCs w:val="22"/>
                <w:lang w:val="lt-LT" w:eastAsia="de-DE"/>
              </w:rPr>
            </w:pPr>
          </w:p>
        </w:tc>
        <w:tc>
          <w:tcPr>
            <w:tcW w:w="3778" w:type="pct"/>
            <w:gridSpan w:val="2"/>
          </w:tcPr>
          <w:p w14:paraId="70B327D9" w14:textId="77777777" w:rsidR="00530EE0" w:rsidRPr="00561601" w:rsidRDefault="00530EE0" w:rsidP="00530EE0">
            <w:pPr>
              <w:tabs>
                <w:tab w:val="clear" w:pos="567"/>
              </w:tabs>
              <w:overflowPunct w:val="0"/>
              <w:autoSpaceDE w:val="0"/>
              <w:autoSpaceDN w:val="0"/>
              <w:adjustRightInd w:val="0"/>
              <w:spacing w:line="240" w:lineRule="auto"/>
              <w:jc w:val="center"/>
              <w:textAlignment w:val="baseline"/>
              <w:rPr>
                <w:snapToGrid/>
                <w:szCs w:val="22"/>
                <w:lang w:val="lt-LT" w:eastAsia="de-DE"/>
              </w:rPr>
            </w:pPr>
            <w:r w:rsidRPr="00561601">
              <w:rPr>
                <w:snapToGrid/>
                <w:szCs w:val="24"/>
                <w:lang w:val="lt-LT" w:eastAsia="de-DE"/>
              </w:rPr>
              <w:t xml:space="preserve">Dvipusis </w:t>
            </w:r>
            <w:proofErr w:type="spellStart"/>
            <w:r w:rsidRPr="00561601">
              <w:rPr>
                <w:snapToGrid/>
                <w:szCs w:val="24"/>
                <w:lang w:val="lt-LT" w:eastAsia="de-DE"/>
              </w:rPr>
              <w:t>chi</w:t>
            </w:r>
            <w:proofErr w:type="spellEnd"/>
            <w:r w:rsidRPr="00561601">
              <w:rPr>
                <w:snapToGrid/>
                <w:szCs w:val="24"/>
                <w:lang w:val="lt-LT" w:eastAsia="de-DE"/>
              </w:rPr>
              <w:t xml:space="preserve"> kvadrato testas: p reikšmė = 0,009</w:t>
            </w:r>
          </w:p>
        </w:tc>
      </w:tr>
    </w:tbl>
    <w:p w14:paraId="16B5D06A" w14:textId="77777777" w:rsidR="00530EE0" w:rsidRPr="00561601" w:rsidRDefault="00530EE0" w:rsidP="00530EE0">
      <w:pPr>
        <w:tabs>
          <w:tab w:val="clear" w:pos="567"/>
        </w:tabs>
        <w:spacing w:line="240" w:lineRule="auto"/>
        <w:rPr>
          <w:snapToGrid/>
          <w:kern w:val="24"/>
          <w:szCs w:val="22"/>
          <w:lang w:val="lt-LT"/>
        </w:rPr>
      </w:pPr>
    </w:p>
    <w:p w14:paraId="580933D8" w14:textId="3A895C44" w:rsidR="00530EE0" w:rsidRPr="00561601" w:rsidRDefault="00530EE0" w:rsidP="00530EE0">
      <w:pPr>
        <w:tabs>
          <w:tab w:val="clear" w:pos="567"/>
        </w:tabs>
        <w:spacing w:line="240" w:lineRule="auto"/>
        <w:rPr>
          <w:snapToGrid/>
          <w:kern w:val="24"/>
          <w:szCs w:val="22"/>
          <w:lang w:val="lt-LT" w:eastAsia="de-DE"/>
        </w:rPr>
      </w:pPr>
      <w:r w:rsidRPr="00561601">
        <w:rPr>
          <w:snapToGrid/>
          <w:kern w:val="24"/>
          <w:szCs w:val="24"/>
          <w:lang w:val="lt-LT" w:eastAsia="de-DE"/>
        </w:rPr>
        <w:t xml:space="preserve">Abejose analizėse buvo nustatytas reikšmingas CMV infekcijos sumažėjimas pacientams, kurie buvo gydyti </w:t>
      </w:r>
      <w:r w:rsidR="009C7441" w:rsidRPr="009C7441">
        <w:rPr>
          <w:snapToGrid/>
          <w:kern w:val="24"/>
          <w:szCs w:val="24"/>
          <w:lang w:val="lt-LT" w:eastAsia="de-DE"/>
        </w:rPr>
        <w:t>CMVIG</w:t>
      </w:r>
      <w:r w:rsidRPr="00561601">
        <w:rPr>
          <w:snapToGrid/>
          <w:kern w:val="24"/>
          <w:szCs w:val="24"/>
          <w:lang w:val="lt-LT" w:eastAsia="de-DE"/>
        </w:rPr>
        <w:t xml:space="preserve">. Įskaitant visas indikacijas, CMV infekcijos dažnis sumažėjo nuo 44,9 % pacientų kontrolinėje grupėje iki 37,1 % pacientų </w:t>
      </w:r>
      <w:r w:rsidR="009C7441" w:rsidRPr="009C7441">
        <w:rPr>
          <w:snapToGrid/>
          <w:kern w:val="24"/>
          <w:szCs w:val="24"/>
          <w:lang w:val="lt-LT" w:eastAsia="de-DE"/>
        </w:rPr>
        <w:t>CMVIG</w:t>
      </w:r>
      <w:r w:rsidRPr="00561601">
        <w:rPr>
          <w:snapToGrid/>
          <w:kern w:val="24"/>
          <w:szCs w:val="24"/>
          <w:lang w:val="lt-LT" w:eastAsia="de-DE"/>
        </w:rPr>
        <w:t xml:space="preserve"> grupėje (p = 0,001). Vertinant tik inkstų, širdies ir plaučių transplantacijas, sumažėjimas buvo nuo 46,9 % iki 40,2 % visų pacientų (p = 0,009). </w:t>
      </w:r>
    </w:p>
    <w:p w14:paraId="7416CE4A" w14:textId="77777777" w:rsidR="00F34163" w:rsidRPr="00561601" w:rsidRDefault="00F34163" w:rsidP="00F34163">
      <w:pPr>
        <w:tabs>
          <w:tab w:val="clear" w:pos="567"/>
        </w:tabs>
        <w:spacing w:line="240" w:lineRule="auto"/>
        <w:rPr>
          <w:szCs w:val="24"/>
          <w:lang w:val="lt-LT"/>
        </w:rPr>
      </w:pPr>
    </w:p>
    <w:p w14:paraId="29F4F182" w14:textId="77777777"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5.2</w:t>
      </w:r>
      <w:r w:rsidRPr="00561601">
        <w:rPr>
          <w:rFonts w:ascii="Times New Roman" w:hAnsi="Times New Roman"/>
          <w:sz w:val="22"/>
          <w:lang w:val="lt-LT"/>
        </w:rPr>
        <w:tab/>
      </w:r>
      <w:proofErr w:type="spellStart"/>
      <w:r w:rsidRPr="00561601">
        <w:rPr>
          <w:rFonts w:ascii="Times New Roman" w:hAnsi="Times New Roman"/>
          <w:sz w:val="22"/>
          <w:lang w:val="lt-LT"/>
        </w:rPr>
        <w:t>Farmakokinetinės</w:t>
      </w:r>
      <w:proofErr w:type="spellEnd"/>
      <w:r w:rsidRPr="00561601">
        <w:rPr>
          <w:rFonts w:ascii="Times New Roman" w:hAnsi="Times New Roman"/>
          <w:sz w:val="22"/>
          <w:lang w:val="lt-LT"/>
        </w:rPr>
        <w:t xml:space="preserve"> savybės</w:t>
      </w:r>
    </w:p>
    <w:p w14:paraId="34E1CF2F" w14:textId="77777777" w:rsidR="00F34163" w:rsidRPr="00561601" w:rsidRDefault="00F34163" w:rsidP="00F34163">
      <w:pPr>
        <w:tabs>
          <w:tab w:val="clear" w:pos="567"/>
        </w:tabs>
        <w:spacing w:line="240" w:lineRule="auto"/>
        <w:rPr>
          <w:szCs w:val="24"/>
          <w:lang w:val="lt-LT"/>
        </w:rPr>
      </w:pPr>
    </w:p>
    <w:p w14:paraId="55D61870" w14:textId="027D4521" w:rsidR="009C109C" w:rsidRPr="00561601" w:rsidRDefault="009C109C" w:rsidP="009C109C">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 xml:space="preserve">Suleidus į veną, </w:t>
      </w:r>
      <w:proofErr w:type="spellStart"/>
      <w:r w:rsidR="00E47068">
        <w:rPr>
          <w:snapToGrid/>
          <w:szCs w:val="24"/>
          <w:lang w:val="lt-LT" w:eastAsia="de-DE"/>
        </w:rPr>
        <w:t>Cymvigo</w:t>
      </w:r>
      <w:proofErr w:type="spellEnd"/>
      <w:r w:rsidRPr="00561601">
        <w:rPr>
          <w:snapToGrid/>
          <w:szCs w:val="24"/>
          <w:lang w:val="lt-LT" w:eastAsia="de-DE"/>
        </w:rPr>
        <w:t xml:space="preserve"> tampa iš</w:t>
      </w:r>
      <w:r w:rsidR="009C2773">
        <w:rPr>
          <w:snapToGrid/>
          <w:szCs w:val="24"/>
          <w:lang w:val="lt-LT" w:eastAsia="de-DE"/>
        </w:rPr>
        <w:t xml:space="preserve"> </w:t>
      </w:r>
      <w:r w:rsidRPr="00561601">
        <w:rPr>
          <w:snapToGrid/>
          <w:szCs w:val="24"/>
          <w:lang w:val="lt-LT" w:eastAsia="de-DE"/>
        </w:rPr>
        <w:t>kart</w:t>
      </w:r>
      <w:r w:rsidR="009C2773">
        <w:rPr>
          <w:snapToGrid/>
          <w:szCs w:val="24"/>
          <w:lang w:val="lt-LT" w:eastAsia="de-DE"/>
        </w:rPr>
        <w:t>o</w:t>
      </w:r>
      <w:r w:rsidRPr="00561601">
        <w:rPr>
          <w:snapToGrid/>
          <w:szCs w:val="24"/>
          <w:lang w:val="lt-LT" w:eastAsia="de-DE"/>
        </w:rPr>
        <w:t xml:space="preserve"> ir visiškai </w:t>
      </w:r>
      <w:proofErr w:type="spellStart"/>
      <w:r w:rsidRPr="00561601">
        <w:rPr>
          <w:snapToGrid/>
          <w:szCs w:val="24"/>
          <w:lang w:val="lt-LT" w:eastAsia="de-DE"/>
        </w:rPr>
        <w:t>bio</w:t>
      </w:r>
      <w:r w:rsidR="009C2773">
        <w:rPr>
          <w:snapToGrid/>
          <w:szCs w:val="24"/>
          <w:lang w:val="lt-LT" w:eastAsia="de-DE"/>
        </w:rPr>
        <w:t>įsisavinamas</w:t>
      </w:r>
      <w:proofErr w:type="spellEnd"/>
      <w:r w:rsidR="009C2773">
        <w:rPr>
          <w:snapToGrid/>
          <w:szCs w:val="24"/>
          <w:lang w:val="lt-LT" w:eastAsia="de-DE"/>
        </w:rPr>
        <w:t xml:space="preserve"> į</w:t>
      </w:r>
      <w:r w:rsidRPr="00561601">
        <w:rPr>
          <w:snapToGrid/>
          <w:szCs w:val="24"/>
          <w:lang w:val="lt-LT" w:eastAsia="de-DE"/>
        </w:rPr>
        <w:t xml:space="preserve"> recipiento </w:t>
      </w:r>
      <w:r w:rsidR="009C2773" w:rsidRPr="00561601">
        <w:rPr>
          <w:snapToGrid/>
          <w:szCs w:val="24"/>
          <w:lang w:val="lt-LT" w:eastAsia="de-DE"/>
        </w:rPr>
        <w:t>kraujotak</w:t>
      </w:r>
      <w:r w:rsidR="009C2773">
        <w:rPr>
          <w:snapToGrid/>
          <w:szCs w:val="24"/>
          <w:lang w:val="lt-LT" w:eastAsia="de-DE"/>
        </w:rPr>
        <w:t>ą</w:t>
      </w:r>
      <w:r w:rsidRPr="00561601">
        <w:rPr>
          <w:snapToGrid/>
          <w:szCs w:val="24"/>
          <w:lang w:val="lt-LT" w:eastAsia="de-DE"/>
        </w:rPr>
        <w:t xml:space="preserve">. Jis santykinai greitai pasiskirsto tarp plazmos ir </w:t>
      </w:r>
      <w:proofErr w:type="spellStart"/>
      <w:r w:rsidRPr="00561601">
        <w:rPr>
          <w:snapToGrid/>
          <w:szCs w:val="24"/>
          <w:lang w:val="lt-LT" w:eastAsia="de-DE"/>
        </w:rPr>
        <w:t>ekstravaskulinio</w:t>
      </w:r>
      <w:proofErr w:type="spellEnd"/>
      <w:r w:rsidRPr="00561601">
        <w:rPr>
          <w:snapToGrid/>
          <w:szCs w:val="24"/>
          <w:lang w:val="lt-LT" w:eastAsia="de-DE"/>
        </w:rPr>
        <w:t xml:space="preserve"> skysčio; maždaug po 3</w:t>
      </w:r>
      <w:r w:rsidR="007E6A04">
        <w:rPr>
          <w:snapToGrid/>
          <w:szCs w:val="24"/>
          <w:lang w:val="lt-LT" w:eastAsia="de-DE"/>
        </w:rPr>
        <w:t xml:space="preserve"> </w:t>
      </w:r>
      <w:r w:rsidRPr="00561601">
        <w:rPr>
          <w:snapToGrid/>
          <w:szCs w:val="24"/>
          <w:lang w:val="lt-LT" w:eastAsia="de-DE"/>
        </w:rPr>
        <w:t>–</w:t>
      </w:r>
      <w:r w:rsidR="007E6A04">
        <w:rPr>
          <w:snapToGrid/>
          <w:szCs w:val="24"/>
          <w:lang w:val="lt-LT" w:eastAsia="de-DE"/>
        </w:rPr>
        <w:t xml:space="preserve"> </w:t>
      </w:r>
      <w:r w:rsidRPr="00561601">
        <w:rPr>
          <w:snapToGrid/>
          <w:szCs w:val="24"/>
          <w:lang w:val="lt-LT" w:eastAsia="de-DE"/>
        </w:rPr>
        <w:t xml:space="preserve">5 parų </w:t>
      </w:r>
      <w:r w:rsidR="007E6A04">
        <w:rPr>
          <w:snapToGrid/>
          <w:szCs w:val="24"/>
          <w:lang w:val="lt-LT" w:eastAsia="de-DE"/>
        </w:rPr>
        <w:t>nusistovi pusiausvyra tarp</w:t>
      </w:r>
      <w:r w:rsidR="007E6A04" w:rsidRPr="00561601">
        <w:rPr>
          <w:snapToGrid/>
          <w:szCs w:val="24"/>
          <w:lang w:val="lt-LT" w:eastAsia="de-DE"/>
        </w:rPr>
        <w:t xml:space="preserve"> </w:t>
      </w:r>
      <w:proofErr w:type="spellStart"/>
      <w:r w:rsidRPr="00561601">
        <w:rPr>
          <w:snapToGrid/>
          <w:szCs w:val="24"/>
          <w:lang w:val="lt-LT" w:eastAsia="de-DE"/>
        </w:rPr>
        <w:t>intravaskulinio</w:t>
      </w:r>
      <w:proofErr w:type="spellEnd"/>
      <w:r w:rsidRPr="00561601">
        <w:rPr>
          <w:snapToGrid/>
          <w:szCs w:val="24"/>
          <w:lang w:val="lt-LT" w:eastAsia="de-DE"/>
        </w:rPr>
        <w:t xml:space="preserve"> ir </w:t>
      </w:r>
      <w:proofErr w:type="spellStart"/>
      <w:r w:rsidRPr="00561601">
        <w:rPr>
          <w:snapToGrid/>
          <w:szCs w:val="24"/>
          <w:lang w:val="lt-LT" w:eastAsia="de-DE"/>
        </w:rPr>
        <w:t>ekstravaskulinio</w:t>
      </w:r>
      <w:proofErr w:type="spellEnd"/>
      <w:r w:rsidRPr="00561601">
        <w:rPr>
          <w:snapToGrid/>
          <w:szCs w:val="24"/>
          <w:lang w:val="lt-LT" w:eastAsia="de-DE"/>
        </w:rPr>
        <w:t xml:space="preserve"> t</w:t>
      </w:r>
      <w:r w:rsidR="007E6A04">
        <w:rPr>
          <w:snapToGrid/>
          <w:szCs w:val="24"/>
          <w:lang w:val="lt-LT" w:eastAsia="de-DE"/>
        </w:rPr>
        <w:t>ūrio</w:t>
      </w:r>
      <w:r w:rsidRPr="00561601">
        <w:rPr>
          <w:snapToGrid/>
          <w:szCs w:val="24"/>
          <w:lang w:val="lt-LT" w:eastAsia="de-DE"/>
        </w:rPr>
        <w:t>.</w:t>
      </w:r>
    </w:p>
    <w:p w14:paraId="11745CC7" w14:textId="77777777" w:rsidR="009C109C" w:rsidRPr="00561601" w:rsidRDefault="009C109C" w:rsidP="009C109C">
      <w:pPr>
        <w:tabs>
          <w:tab w:val="clear" w:pos="567"/>
        </w:tabs>
        <w:overflowPunct w:val="0"/>
        <w:autoSpaceDE w:val="0"/>
        <w:autoSpaceDN w:val="0"/>
        <w:adjustRightInd w:val="0"/>
        <w:spacing w:line="240" w:lineRule="auto"/>
        <w:textAlignment w:val="baseline"/>
        <w:rPr>
          <w:snapToGrid/>
          <w:szCs w:val="22"/>
          <w:lang w:val="lt-LT" w:eastAsia="de-DE"/>
        </w:rPr>
      </w:pPr>
    </w:p>
    <w:p w14:paraId="3817FAD6" w14:textId="1AD1B318" w:rsidR="009C109C" w:rsidRPr="00561601" w:rsidRDefault="00E47068" w:rsidP="009C109C">
      <w:pPr>
        <w:tabs>
          <w:tab w:val="clear" w:pos="567"/>
        </w:tabs>
        <w:overflowPunct w:val="0"/>
        <w:autoSpaceDE w:val="0"/>
        <w:autoSpaceDN w:val="0"/>
        <w:adjustRightInd w:val="0"/>
        <w:spacing w:line="240" w:lineRule="auto"/>
        <w:textAlignment w:val="baseline"/>
        <w:rPr>
          <w:snapToGrid/>
          <w:szCs w:val="22"/>
          <w:lang w:val="lt-LT" w:eastAsia="de-DE"/>
        </w:rPr>
      </w:pPr>
      <w:proofErr w:type="spellStart"/>
      <w:r>
        <w:rPr>
          <w:snapToGrid/>
          <w:szCs w:val="24"/>
          <w:lang w:val="lt-LT" w:eastAsia="de-DE"/>
        </w:rPr>
        <w:t>Cymvigo</w:t>
      </w:r>
      <w:proofErr w:type="spellEnd"/>
      <w:r w:rsidR="009C109C" w:rsidRPr="00561601">
        <w:rPr>
          <w:snapToGrid/>
          <w:szCs w:val="24"/>
          <w:lang w:val="lt-LT" w:eastAsia="de-DE"/>
        </w:rPr>
        <w:t xml:space="preserve"> pusinės eliminacijos laikas yra 25 paros. Šis pusinės eliminacijos laikas kiekvienam pacientui gali skirtis ir priklauso nuo klinikinės būklės.</w:t>
      </w:r>
    </w:p>
    <w:p w14:paraId="0AFEB498" w14:textId="77777777" w:rsidR="009C109C" w:rsidRPr="00561601" w:rsidRDefault="009C109C" w:rsidP="009C109C">
      <w:pPr>
        <w:tabs>
          <w:tab w:val="clear" w:pos="567"/>
        </w:tabs>
        <w:overflowPunct w:val="0"/>
        <w:autoSpaceDE w:val="0"/>
        <w:autoSpaceDN w:val="0"/>
        <w:adjustRightInd w:val="0"/>
        <w:spacing w:line="240" w:lineRule="auto"/>
        <w:textAlignment w:val="baseline"/>
        <w:rPr>
          <w:snapToGrid/>
          <w:szCs w:val="22"/>
          <w:lang w:val="lt-LT" w:eastAsia="de-DE"/>
        </w:rPr>
      </w:pPr>
    </w:p>
    <w:p w14:paraId="6862DE51" w14:textId="77777777" w:rsidR="009C109C" w:rsidRPr="00561601" w:rsidRDefault="009C109C" w:rsidP="009C109C">
      <w:pPr>
        <w:tabs>
          <w:tab w:val="clear" w:pos="567"/>
        </w:tabs>
        <w:overflowPunct w:val="0"/>
        <w:autoSpaceDE w:val="0"/>
        <w:autoSpaceDN w:val="0"/>
        <w:adjustRightInd w:val="0"/>
        <w:spacing w:line="240" w:lineRule="auto"/>
        <w:textAlignment w:val="baseline"/>
        <w:rPr>
          <w:snapToGrid/>
          <w:szCs w:val="22"/>
          <w:lang w:val="lt-LT" w:eastAsia="de-DE"/>
        </w:rPr>
      </w:pPr>
      <w:proofErr w:type="spellStart"/>
      <w:r w:rsidRPr="00561601">
        <w:rPr>
          <w:snapToGrid/>
          <w:szCs w:val="24"/>
          <w:lang w:val="lt-LT" w:eastAsia="de-DE"/>
        </w:rPr>
        <w:t>IgG</w:t>
      </w:r>
      <w:proofErr w:type="spellEnd"/>
      <w:r w:rsidRPr="00561601">
        <w:rPr>
          <w:snapToGrid/>
          <w:szCs w:val="24"/>
          <w:lang w:val="lt-LT" w:eastAsia="de-DE"/>
        </w:rPr>
        <w:t xml:space="preserve"> ir </w:t>
      </w:r>
      <w:proofErr w:type="spellStart"/>
      <w:r w:rsidRPr="00561601">
        <w:rPr>
          <w:snapToGrid/>
          <w:szCs w:val="24"/>
          <w:lang w:val="lt-LT" w:eastAsia="de-DE"/>
        </w:rPr>
        <w:t>IgG</w:t>
      </w:r>
      <w:proofErr w:type="spellEnd"/>
      <w:r w:rsidRPr="00561601">
        <w:rPr>
          <w:snapToGrid/>
          <w:szCs w:val="24"/>
          <w:lang w:val="lt-LT" w:eastAsia="de-DE"/>
        </w:rPr>
        <w:t xml:space="preserve"> kompleksai suskaidomi </w:t>
      </w:r>
      <w:proofErr w:type="spellStart"/>
      <w:r w:rsidRPr="00561601">
        <w:rPr>
          <w:snapToGrid/>
          <w:szCs w:val="24"/>
          <w:lang w:val="lt-LT" w:eastAsia="de-DE"/>
        </w:rPr>
        <w:t>retikuloendotelinės</w:t>
      </w:r>
      <w:proofErr w:type="spellEnd"/>
      <w:r w:rsidRPr="00561601">
        <w:rPr>
          <w:snapToGrid/>
          <w:szCs w:val="24"/>
          <w:lang w:val="lt-LT" w:eastAsia="de-DE"/>
        </w:rPr>
        <w:t xml:space="preserve"> sistemos ląstelėse.</w:t>
      </w:r>
    </w:p>
    <w:p w14:paraId="33F7C4FC" w14:textId="77777777" w:rsidR="00F34163" w:rsidRPr="00561601" w:rsidRDefault="00F34163" w:rsidP="00F34163">
      <w:pPr>
        <w:pStyle w:val="Antrat4"/>
        <w:rPr>
          <w:rFonts w:ascii="Times New Roman" w:hAnsi="Times New Roman"/>
          <w:b w:val="0"/>
          <w:bCs w:val="0"/>
          <w:sz w:val="22"/>
          <w:szCs w:val="22"/>
          <w:lang w:val="lt-LT" w:eastAsia="en-US"/>
        </w:rPr>
      </w:pPr>
    </w:p>
    <w:p w14:paraId="434CBF2E" w14:textId="77777777"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5.3</w:t>
      </w:r>
      <w:r w:rsidRPr="00561601">
        <w:rPr>
          <w:rFonts w:ascii="Times New Roman" w:hAnsi="Times New Roman"/>
          <w:sz w:val="22"/>
          <w:lang w:val="lt-LT"/>
        </w:rPr>
        <w:tab/>
      </w:r>
      <w:proofErr w:type="spellStart"/>
      <w:r w:rsidRPr="00561601">
        <w:rPr>
          <w:rFonts w:ascii="Times New Roman" w:hAnsi="Times New Roman"/>
          <w:sz w:val="22"/>
          <w:lang w:val="lt-LT"/>
        </w:rPr>
        <w:t>Ikiklinikinių</w:t>
      </w:r>
      <w:proofErr w:type="spellEnd"/>
      <w:r w:rsidRPr="00561601">
        <w:rPr>
          <w:rFonts w:ascii="Times New Roman" w:hAnsi="Times New Roman"/>
          <w:sz w:val="22"/>
          <w:lang w:val="lt-LT"/>
        </w:rPr>
        <w:t xml:space="preserve"> saugumo tyrimų duomenys</w:t>
      </w:r>
    </w:p>
    <w:p w14:paraId="724F140F" w14:textId="77777777" w:rsidR="00F34163" w:rsidRPr="00561601" w:rsidRDefault="00F34163" w:rsidP="00F34163">
      <w:pPr>
        <w:tabs>
          <w:tab w:val="clear" w:pos="567"/>
        </w:tabs>
        <w:spacing w:line="240" w:lineRule="auto"/>
        <w:rPr>
          <w:szCs w:val="24"/>
          <w:lang w:val="lt-LT"/>
        </w:rPr>
      </w:pPr>
    </w:p>
    <w:p w14:paraId="5EC1872C" w14:textId="77777777" w:rsidR="009C109C" w:rsidRPr="00561601" w:rsidRDefault="009C109C" w:rsidP="009C109C">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 xml:space="preserve">Imunoglobulinai yra normalios žmogaus organizmo sudedamosios dalys. Kartotinių dozių toksiškumo tyrimai ir toksinio poveikio embrionui bei vaisiui tyrimai yra neįmanomi dėl antikūnų indukcijos ir sąveikos su jais. </w:t>
      </w:r>
    </w:p>
    <w:p w14:paraId="416B8969" w14:textId="77777777" w:rsidR="009C109C" w:rsidRPr="00561601" w:rsidRDefault="009C109C" w:rsidP="009C109C">
      <w:pPr>
        <w:tabs>
          <w:tab w:val="clear" w:pos="567"/>
        </w:tabs>
        <w:overflowPunct w:val="0"/>
        <w:autoSpaceDE w:val="0"/>
        <w:autoSpaceDN w:val="0"/>
        <w:adjustRightInd w:val="0"/>
        <w:spacing w:line="240" w:lineRule="auto"/>
        <w:textAlignment w:val="baseline"/>
        <w:rPr>
          <w:snapToGrid/>
          <w:szCs w:val="22"/>
          <w:lang w:val="lt-LT" w:eastAsia="de-DE"/>
        </w:rPr>
      </w:pPr>
    </w:p>
    <w:p w14:paraId="55836699" w14:textId="79D06AB9" w:rsidR="00F34163" w:rsidRPr="00561601" w:rsidRDefault="009C109C" w:rsidP="009C109C">
      <w:pPr>
        <w:tabs>
          <w:tab w:val="clear" w:pos="567"/>
        </w:tabs>
        <w:spacing w:line="240" w:lineRule="auto"/>
        <w:rPr>
          <w:szCs w:val="24"/>
          <w:lang w:val="lt-LT"/>
        </w:rPr>
      </w:pPr>
      <w:r w:rsidRPr="00561601">
        <w:rPr>
          <w:snapToGrid/>
          <w:szCs w:val="24"/>
          <w:lang w:val="lt-LT" w:eastAsia="de-DE"/>
        </w:rPr>
        <w:t xml:space="preserve">Klinikinė patirtis nepateikia užuominų apie </w:t>
      </w:r>
      <w:r w:rsidR="007E6A04">
        <w:rPr>
          <w:snapToGrid/>
          <w:szCs w:val="24"/>
          <w:lang w:val="lt-LT" w:eastAsia="de-DE"/>
        </w:rPr>
        <w:t>kancerogeninį</w:t>
      </w:r>
      <w:r w:rsidR="007E6A04" w:rsidRPr="00561601">
        <w:rPr>
          <w:snapToGrid/>
          <w:szCs w:val="24"/>
          <w:lang w:val="lt-LT" w:eastAsia="de-DE"/>
        </w:rPr>
        <w:t xml:space="preserve"> </w:t>
      </w:r>
      <w:r w:rsidRPr="00561601">
        <w:rPr>
          <w:snapToGrid/>
          <w:szCs w:val="24"/>
          <w:lang w:val="lt-LT" w:eastAsia="de-DE"/>
        </w:rPr>
        <w:t xml:space="preserve">ir mutageninį imunoglobulinų poveikį, todėl manoma, kad eksperimentiniai tyrimai, ypač su </w:t>
      </w:r>
      <w:proofErr w:type="spellStart"/>
      <w:r w:rsidRPr="00561601">
        <w:rPr>
          <w:snapToGrid/>
          <w:szCs w:val="24"/>
          <w:lang w:val="lt-LT" w:eastAsia="de-DE"/>
        </w:rPr>
        <w:t>heterologinėmis</w:t>
      </w:r>
      <w:proofErr w:type="spellEnd"/>
      <w:r w:rsidRPr="00561601">
        <w:rPr>
          <w:snapToGrid/>
          <w:szCs w:val="24"/>
          <w:lang w:val="lt-LT" w:eastAsia="de-DE"/>
        </w:rPr>
        <w:t xml:space="preserve"> rūšimis, nėra būtini.</w:t>
      </w:r>
    </w:p>
    <w:p w14:paraId="2D03D32D" w14:textId="77777777" w:rsidR="00F34163" w:rsidRDefault="00F34163" w:rsidP="00F34163">
      <w:pPr>
        <w:tabs>
          <w:tab w:val="clear" w:pos="567"/>
        </w:tabs>
        <w:spacing w:line="240" w:lineRule="auto"/>
        <w:rPr>
          <w:szCs w:val="24"/>
          <w:lang w:val="lt-LT"/>
        </w:rPr>
      </w:pPr>
    </w:p>
    <w:p w14:paraId="06C925CA" w14:textId="77777777" w:rsidR="007E6A04" w:rsidRPr="00561601" w:rsidRDefault="007E6A04" w:rsidP="00F34163">
      <w:pPr>
        <w:tabs>
          <w:tab w:val="clear" w:pos="567"/>
        </w:tabs>
        <w:spacing w:line="240" w:lineRule="auto"/>
        <w:rPr>
          <w:szCs w:val="24"/>
          <w:lang w:val="lt-LT"/>
        </w:rPr>
      </w:pPr>
    </w:p>
    <w:p w14:paraId="6DBB71F3" w14:textId="77777777" w:rsidR="00F34163" w:rsidRPr="00561601" w:rsidRDefault="00F34163" w:rsidP="00F34163">
      <w:pPr>
        <w:pStyle w:val="Antrat3"/>
        <w:spacing w:before="0" w:after="0" w:line="240" w:lineRule="auto"/>
        <w:rPr>
          <w:rFonts w:ascii="Times New Roman" w:hAnsi="Times New Roman"/>
          <w:sz w:val="22"/>
          <w:lang w:val="lt-LT"/>
        </w:rPr>
      </w:pPr>
      <w:r w:rsidRPr="00561601">
        <w:rPr>
          <w:rFonts w:ascii="Times New Roman" w:hAnsi="Times New Roman"/>
          <w:sz w:val="22"/>
          <w:lang w:val="lt-LT"/>
        </w:rPr>
        <w:t>6.</w:t>
      </w:r>
      <w:r w:rsidRPr="00561601">
        <w:rPr>
          <w:rFonts w:ascii="Times New Roman" w:hAnsi="Times New Roman"/>
          <w:sz w:val="22"/>
          <w:lang w:val="lt-LT"/>
        </w:rPr>
        <w:tab/>
        <w:t>FARMACINĖ INFORMACIJA</w:t>
      </w:r>
    </w:p>
    <w:p w14:paraId="4B0F60A0" w14:textId="77777777" w:rsidR="00F34163" w:rsidRPr="00561601" w:rsidRDefault="00F34163" w:rsidP="00F34163">
      <w:pPr>
        <w:tabs>
          <w:tab w:val="clear" w:pos="567"/>
        </w:tabs>
        <w:spacing w:line="240" w:lineRule="auto"/>
        <w:rPr>
          <w:szCs w:val="24"/>
          <w:lang w:val="lt-LT"/>
        </w:rPr>
      </w:pPr>
    </w:p>
    <w:p w14:paraId="27FAC2F4" w14:textId="77777777"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6.1</w:t>
      </w:r>
      <w:r w:rsidRPr="00561601">
        <w:rPr>
          <w:rFonts w:ascii="Times New Roman" w:hAnsi="Times New Roman"/>
          <w:sz w:val="22"/>
          <w:lang w:val="lt-LT"/>
        </w:rPr>
        <w:tab/>
        <w:t>Pagalbinių medžiagų sąrašas</w:t>
      </w:r>
    </w:p>
    <w:p w14:paraId="5A15C289" w14:textId="77777777" w:rsidR="00F34163" w:rsidRPr="00561601" w:rsidRDefault="00F34163" w:rsidP="00F34163">
      <w:pPr>
        <w:tabs>
          <w:tab w:val="clear" w:pos="567"/>
        </w:tabs>
        <w:spacing w:line="240" w:lineRule="auto"/>
        <w:rPr>
          <w:szCs w:val="24"/>
          <w:lang w:val="lt-LT"/>
        </w:rPr>
      </w:pPr>
    </w:p>
    <w:p w14:paraId="0FD4EEF1" w14:textId="77777777" w:rsidR="000D1995" w:rsidRDefault="009C109C" w:rsidP="00F34163">
      <w:pPr>
        <w:tabs>
          <w:tab w:val="clear" w:pos="567"/>
        </w:tabs>
        <w:spacing w:line="240" w:lineRule="auto"/>
        <w:rPr>
          <w:lang w:val="lt-LT"/>
        </w:rPr>
      </w:pPr>
      <w:r w:rsidRPr="00561601">
        <w:rPr>
          <w:lang w:val="lt-LT"/>
        </w:rPr>
        <w:t>Glicinas</w:t>
      </w:r>
    </w:p>
    <w:p w14:paraId="76DF5FFA" w14:textId="19F0232D" w:rsidR="00F34163" w:rsidRPr="00561601" w:rsidRDefault="000D1995" w:rsidP="00F34163">
      <w:pPr>
        <w:tabs>
          <w:tab w:val="clear" w:pos="567"/>
        </w:tabs>
        <w:spacing w:line="240" w:lineRule="auto"/>
        <w:rPr>
          <w:szCs w:val="24"/>
          <w:lang w:val="lt-LT"/>
        </w:rPr>
      </w:pPr>
      <w:r>
        <w:rPr>
          <w:lang w:val="lt-LT"/>
        </w:rPr>
        <w:t>I</w:t>
      </w:r>
      <w:r w:rsidR="009C109C" w:rsidRPr="00561601">
        <w:rPr>
          <w:lang w:val="lt-LT"/>
        </w:rPr>
        <w:t>njekcinis vanduo</w:t>
      </w:r>
    </w:p>
    <w:p w14:paraId="7271DE26" w14:textId="77777777" w:rsidR="00F34163" w:rsidRPr="00561601" w:rsidRDefault="00F34163" w:rsidP="00F34163">
      <w:pPr>
        <w:tabs>
          <w:tab w:val="clear" w:pos="567"/>
        </w:tabs>
        <w:spacing w:line="240" w:lineRule="auto"/>
        <w:rPr>
          <w:szCs w:val="24"/>
          <w:lang w:val="lt-LT"/>
        </w:rPr>
      </w:pPr>
    </w:p>
    <w:p w14:paraId="15643A0A" w14:textId="77777777"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6.2</w:t>
      </w:r>
      <w:r w:rsidRPr="00561601">
        <w:rPr>
          <w:rFonts w:ascii="Times New Roman" w:hAnsi="Times New Roman"/>
          <w:sz w:val="22"/>
          <w:lang w:val="lt-LT"/>
        </w:rPr>
        <w:tab/>
        <w:t>Nesuderinamumas</w:t>
      </w:r>
    </w:p>
    <w:p w14:paraId="41134A34" w14:textId="77777777" w:rsidR="00F34163" w:rsidRPr="00561601" w:rsidRDefault="00F34163" w:rsidP="00F34163">
      <w:pPr>
        <w:tabs>
          <w:tab w:val="clear" w:pos="567"/>
        </w:tabs>
        <w:spacing w:line="240" w:lineRule="auto"/>
        <w:rPr>
          <w:szCs w:val="24"/>
          <w:lang w:val="lt-LT"/>
        </w:rPr>
      </w:pPr>
    </w:p>
    <w:p w14:paraId="1C128C0D" w14:textId="77777777" w:rsidR="00F34163" w:rsidRPr="00561601" w:rsidRDefault="009C109C" w:rsidP="00F34163">
      <w:pPr>
        <w:tabs>
          <w:tab w:val="clear" w:pos="567"/>
        </w:tabs>
        <w:spacing w:line="240" w:lineRule="auto"/>
        <w:rPr>
          <w:szCs w:val="24"/>
          <w:lang w:val="lt-LT"/>
        </w:rPr>
      </w:pPr>
      <w:r w:rsidRPr="00561601">
        <w:rPr>
          <w:lang w:val="lt-LT"/>
        </w:rPr>
        <w:t xml:space="preserve">Šio vaistinio preparato negalima maišyti nei su kitais vaistiniais preparatais, nei su kitais </w:t>
      </w:r>
      <w:proofErr w:type="spellStart"/>
      <w:r w:rsidRPr="00561601">
        <w:rPr>
          <w:lang w:val="lt-LT"/>
        </w:rPr>
        <w:t>i.v</w:t>
      </w:r>
      <w:proofErr w:type="spellEnd"/>
      <w:r w:rsidRPr="00561601">
        <w:rPr>
          <w:lang w:val="lt-LT"/>
        </w:rPr>
        <w:t xml:space="preserve">. </w:t>
      </w:r>
      <w:proofErr w:type="spellStart"/>
      <w:r w:rsidRPr="00561601">
        <w:rPr>
          <w:lang w:val="lt-LT"/>
        </w:rPr>
        <w:t>Ig</w:t>
      </w:r>
      <w:proofErr w:type="spellEnd"/>
      <w:r w:rsidRPr="00561601">
        <w:rPr>
          <w:lang w:val="lt-LT"/>
        </w:rPr>
        <w:t xml:space="preserve"> vaistiniais preparatais</w:t>
      </w:r>
      <w:r w:rsidR="00F34163" w:rsidRPr="00561601">
        <w:rPr>
          <w:noProof/>
          <w:szCs w:val="24"/>
          <w:lang w:val="lt-LT"/>
        </w:rPr>
        <w:t>.</w:t>
      </w:r>
    </w:p>
    <w:p w14:paraId="0E939C6D" w14:textId="77777777" w:rsidR="00F34163" w:rsidRPr="00561601" w:rsidRDefault="00F34163" w:rsidP="00F34163">
      <w:pPr>
        <w:tabs>
          <w:tab w:val="clear" w:pos="567"/>
        </w:tabs>
        <w:spacing w:line="240" w:lineRule="auto"/>
        <w:rPr>
          <w:szCs w:val="24"/>
          <w:lang w:val="lt-LT"/>
        </w:rPr>
      </w:pPr>
    </w:p>
    <w:p w14:paraId="4FE4C2EF" w14:textId="77777777"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6.3</w:t>
      </w:r>
      <w:r w:rsidRPr="00561601">
        <w:rPr>
          <w:rFonts w:ascii="Times New Roman" w:hAnsi="Times New Roman"/>
          <w:sz w:val="22"/>
          <w:lang w:val="lt-LT"/>
        </w:rPr>
        <w:tab/>
        <w:t>Tinkamumo laikas</w:t>
      </w:r>
    </w:p>
    <w:p w14:paraId="161733A7" w14:textId="77777777" w:rsidR="00F34163" w:rsidRPr="00561601" w:rsidRDefault="00F34163" w:rsidP="00F34163">
      <w:pPr>
        <w:tabs>
          <w:tab w:val="clear" w:pos="567"/>
        </w:tabs>
        <w:spacing w:line="240" w:lineRule="auto"/>
        <w:rPr>
          <w:szCs w:val="24"/>
          <w:lang w:val="lt-LT"/>
        </w:rPr>
      </w:pPr>
    </w:p>
    <w:p w14:paraId="13254591" w14:textId="77777777" w:rsidR="00DC3A2B" w:rsidRPr="00561601" w:rsidRDefault="00DC3A2B" w:rsidP="00DC3A2B">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3 metai.</w:t>
      </w:r>
    </w:p>
    <w:p w14:paraId="17EA927C" w14:textId="77777777" w:rsidR="00DC3A2B" w:rsidRPr="00561601" w:rsidRDefault="00DC3A2B" w:rsidP="00DC3A2B">
      <w:pPr>
        <w:tabs>
          <w:tab w:val="clear" w:pos="567"/>
        </w:tabs>
        <w:overflowPunct w:val="0"/>
        <w:autoSpaceDE w:val="0"/>
        <w:autoSpaceDN w:val="0"/>
        <w:adjustRightInd w:val="0"/>
        <w:spacing w:line="240" w:lineRule="auto"/>
        <w:textAlignment w:val="baseline"/>
        <w:rPr>
          <w:snapToGrid/>
          <w:szCs w:val="22"/>
          <w:lang w:val="lt-LT" w:eastAsia="de-DE"/>
        </w:rPr>
      </w:pPr>
    </w:p>
    <w:p w14:paraId="1D026B7A" w14:textId="77777777" w:rsidR="00F34163" w:rsidRPr="00561601" w:rsidRDefault="00DC3A2B" w:rsidP="00DC3A2B">
      <w:pPr>
        <w:tabs>
          <w:tab w:val="clear" w:pos="567"/>
        </w:tabs>
        <w:spacing w:line="240" w:lineRule="auto"/>
        <w:rPr>
          <w:szCs w:val="24"/>
          <w:lang w:val="lt-LT"/>
        </w:rPr>
      </w:pPr>
      <w:r w:rsidRPr="00561601">
        <w:rPr>
          <w:snapToGrid/>
          <w:szCs w:val="24"/>
          <w:lang w:val="lt-LT" w:eastAsia="de-DE"/>
        </w:rPr>
        <w:t>Pirmą kartą atidarius, vaistinį preparatą reikia vartoti nedelsiant.</w:t>
      </w:r>
    </w:p>
    <w:p w14:paraId="00E1E54A" w14:textId="77777777" w:rsidR="00F34163" w:rsidRPr="00561601" w:rsidRDefault="00F34163" w:rsidP="00F34163">
      <w:pPr>
        <w:tabs>
          <w:tab w:val="clear" w:pos="567"/>
        </w:tabs>
        <w:spacing w:line="240" w:lineRule="auto"/>
        <w:rPr>
          <w:szCs w:val="24"/>
          <w:lang w:val="lt-LT"/>
        </w:rPr>
      </w:pPr>
    </w:p>
    <w:p w14:paraId="752603AC" w14:textId="77777777"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6.4</w:t>
      </w:r>
      <w:r w:rsidRPr="00561601">
        <w:rPr>
          <w:rFonts w:ascii="Times New Roman" w:hAnsi="Times New Roman"/>
          <w:sz w:val="22"/>
          <w:lang w:val="lt-LT"/>
        </w:rPr>
        <w:tab/>
        <w:t>Specialios laikymo sąlygos</w:t>
      </w:r>
    </w:p>
    <w:p w14:paraId="4E67DBBD" w14:textId="77777777" w:rsidR="00F34163" w:rsidRPr="00561601" w:rsidRDefault="00F34163" w:rsidP="00F34163">
      <w:pPr>
        <w:tabs>
          <w:tab w:val="clear" w:pos="567"/>
        </w:tabs>
        <w:spacing w:line="240" w:lineRule="auto"/>
        <w:rPr>
          <w:szCs w:val="24"/>
          <w:lang w:val="lt-LT"/>
        </w:rPr>
      </w:pPr>
    </w:p>
    <w:p w14:paraId="0165C997" w14:textId="77777777" w:rsidR="00F34163" w:rsidRPr="00561601" w:rsidRDefault="00DC3A2B" w:rsidP="00F34163">
      <w:pPr>
        <w:tabs>
          <w:tab w:val="clear" w:pos="567"/>
        </w:tabs>
        <w:spacing w:line="240" w:lineRule="auto"/>
        <w:rPr>
          <w:color w:val="0D0D0D"/>
          <w:szCs w:val="24"/>
          <w:lang w:val="lt-LT"/>
        </w:rPr>
      </w:pPr>
      <w:r w:rsidRPr="00561601">
        <w:rPr>
          <w:snapToGrid/>
          <w:szCs w:val="24"/>
          <w:lang w:val="lt-LT" w:eastAsia="de-DE"/>
        </w:rPr>
        <w:t>Laikyti šaldytuve (2 °C – 8 °C). Flakoną laikyti išorinėje dėžutėje, kad vaistinis preparatas būtų apsaugotas nuo šviesos. Negalima užšaldyti.</w:t>
      </w:r>
    </w:p>
    <w:p w14:paraId="38F356DC" w14:textId="77777777" w:rsidR="00F34163" w:rsidRPr="00561601" w:rsidRDefault="00F34163" w:rsidP="00F34163">
      <w:pPr>
        <w:tabs>
          <w:tab w:val="clear" w:pos="567"/>
        </w:tabs>
        <w:spacing w:line="240" w:lineRule="auto"/>
        <w:rPr>
          <w:szCs w:val="24"/>
          <w:lang w:val="lt-LT"/>
        </w:rPr>
      </w:pPr>
    </w:p>
    <w:p w14:paraId="6A5807D1" w14:textId="77777777"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6.5</w:t>
      </w:r>
      <w:r w:rsidRPr="00561601">
        <w:rPr>
          <w:rFonts w:ascii="Times New Roman" w:hAnsi="Times New Roman"/>
          <w:sz w:val="22"/>
          <w:lang w:val="lt-LT"/>
        </w:rPr>
        <w:tab/>
      </w:r>
      <w:proofErr w:type="spellStart"/>
      <w:r w:rsidRPr="00561601">
        <w:rPr>
          <w:rFonts w:ascii="Times New Roman" w:hAnsi="Times New Roman"/>
          <w:sz w:val="22"/>
          <w:lang w:val="lt-LT"/>
        </w:rPr>
        <w:t>Talpyklės</w:t>
      </w:r>
      <w:proofErr w:type="spellEnd"/>
      <w:r w:rsidRPr="00561601">
        <w:rPr>
          <w:rFonts w:ascii="Times New Roman" w:hAnsi="Times New Roman"/>
          <w:sz w:val="22"/>
          <w:lang w:val="lt-LT"/>
        </w:rPr>
        <w:t xml:space="preserve"> pobūdis ir jos turinys</w:t>
      </w:r>
      <w:r w:rsidRPr="00561601">
        <w:rPr>
          <w:rFonts w:ascii="Times New Roman" w:hAnsi="Times New Roman"/>
          <w:bCs w:val="0"/>
          <w:noProof/>
          <w:sz w:val="22"/>
          <w:szCs w:val="24"/>
          <w:lang w:val="lt-LT"/>
        </w:rPr>
        <w:t xml:space="preserve"> </w:t>
      </w:r>
    </w:p>
    <w:p w14:paraId="4E30D6AF" w14:textId="77777777" w:rsidR="00F34163" w:rsidRPr="00561601" w:rsidRDefault="00F34163" w:rsidP="00F34163">
      <w:pPr>
        <w:tabs>
          <w:tab w:val="clear" w:pos="567"/>
        </w:tabs>
        <w:spacing w:line="240" w:lineRule="auto"/>
        <w:rPr>
          <w:szCs w:val="24"/>
          <w:lang w:val="lt-LT"/>
        </w:rPr>
      </w:pPr>
    </w:p>
    <w:p w14:paraId="42A8D7C8" w14:textId="77777777" w:rsidR="00DC3A2B" w:rsidRPr="00561601" w:rsidRDefault="00DC3A2B" w:rsidP="00DC3A2B">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10 ml arba 50 ml paruošto vartoti tirpalo infuzijai į veną flakone (II tipo stiklo) su kamščiu (</w:t>
      </w:r>
      <w:proofErr w:type="spellStart"/>
      <w:r w:rsidRPr="00561601">
        <w:rPr>
          <w:snapToGrid/>
          <w:szCs w:val="24"/>
          <w:lang w:val="lt-LT" w:eastAsia="de-DE"/>
        </w:rPr>
        <w:t>bromobutilo</w:t>
      </w:r>
      <w:proofErr w:type="spellEnd"/>
      <w:r w:rsidRPr="00561601">
        <w:rPr>
          <w:snapToGrid/>
          <w:szCs w:val="24"/>
          <w:lang w:val="lt-LT" w:eastAsia="de-DE"/>
        </w:rPr>
        <w:t>) ir dangteliu (aliuminio).</w:t>
      </w:r>
    </w:p>
    <w:p w14:paraId="626AF62F" w14:textId="77777777" w:rsidR="00DC3A2B" w:rsidRPr="00561601" w:rsidRDefault="00DC3A2B" w:rsidP="00DC3A2B">
      <w:pPr>
        <w:tabs>
          <w:tab w:val="clear" w:pos="567"/>
        </w:tabs>
        <w:overflowPunct w:val="0"/>
        <w:autoSpaceDE w:val="0"/>
        <w:autoSpaceDN w:val="0"/>
        <w:adjustRightInd w:val="0"/>
        <w:spacing w:line="240" w:lineRule="auto"/>
        <w:textAlignment w:val="baseline"/>
        <w:rPr>
          <w:snapToGrid/>
          <w:szCs w:val="22"/>
          <w:lang w:val="lt-LT" w:eastAsia="de-DE"/>
        </w:rPr>
      </w:pPr>
    </w:p>
    <w:p w14:paraId="3C7363CF" w14:textId="77777777" w:rsidR="00DC3A2B" w:rsidRPr="00561601" w:rsidRDefault="00DC3A2B" w:rsidP="00DC3A2B">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Vienoje dėžutėje yra:</w:t>
      </w:r>
    </w:p>
    <w:p w14:paraId="31C8C3E8" w14:textId="77777777" w:rsidR="00DC3A2B" w:rsidRPr="00561601" w:rsidRDefault="00DC3A2B" w:rsidP="00DC3A2B">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1 flakonas, kuriame yra 10 ml (1 000 V) infuzinio tirpalo arba</w:t>
      </w:r>
    </w:p>
    <w:p w14:paraId="7E106E99" w14:textId="77777777" w:rsidR="00DC3A2B" w:rsidRPr="00561601" w:rsidRDefault="00DC3A2B" w:rsidP="00DC3A2B">
      <w:pPr>
        <w:tabs>
          <w:tab w:val="clear" w:pos="567"/>
        </w:tabs>
        <w:spacing w:line="240" w:lineRule="auto"/>
        <w:rPr>
          <w:noProof/>
          <w:szCs w:val="24"/>
          <w:lang w:val="lt-LT"/>
        </w:rPr>
      </w:pPr>
      <w:r w:rsidRPr="00561601">
        <w:rPr>
          <w:snapToGrid/>
          <w:szCs w:val="24"/>
          <w:lang w:val="lt-LT" w:eastAsia="de-DE"/>
        </w:rPr>
        <w:t>1 flakonas, kuriame yra 50 ml (5 000 V) infuzinio tirpalo</w:t>
      </w:r>
    </w:p>
    <w:p w14:paraId="576FE32F" w14:textId="77777777" w:rsidR="00DC3A2B" w:rsidRPr="00561601" w:rsidRDefault="00DC3A2B" w:rsidP="00DC3A2B">
      <w:pPr>
        <w:tabs>
          <w:tab w:val="clear" w:pos="567"/>
        </w:tabs>
        <w:spacing w:line="240" w:lineRule="auto"/>
        <w:rPr>
          <w:noProof/>
          <w:szCs w:val="24"/>
          <w:lang w:val="lt-LT"/>
        </w:rPr>
      </w:pPr>
    </w:p>
    <w:p w14:paraId="7A6B68CC" w14:textId="77777777" w:rsidR="00F34163" w:rsidRPr="00561601" w:rsidRDefault="00F34163" w:rsidP="00DC3A2B">
      <w:pPr>
        <w:tabs>
          <w:tab w:val="clear" w:pos="567"/>
        </w:tabs>
        <w:spacing w:line="240" w:lineRule="auto"/>
        <w:rPr>
          <w:szCs w:val="24"/>
          <w:lang w:val="lt-LT"/>
        </w:rPr>
      </w:pPr>
      <w:r w:rsidRPr="00561601">
        <w:rPr>
          <w:noProof/>
          <w:szCs w:val="24"/>
          <w:lang w:val="lt-LT"/>
        </w:rPr>
        <w:t>Gali būti tiekiamos ne visų dydžių pakuotės.</w:t>
      </w:r>
    </w:p>
    <w:p w14:paraId="05A05B71" w14:textId="77777777" w:rsidR="00F34163" w:rsidRPr="00561601" w:rsidRDefault="00F34163" w:rsidP="00F34163">
      <w:pPr>
        <w:tabs>
          <w:tab w:val="clear" w:pos="567"/>
        </w:tabs>
        <w:spacing w:line="240" w:lineRule="auto"/>
        <w:rPr>
          <w:szCs w:val="24"/>
          <w:lang w:val="lt-LT"/>
        </w:rPr>
      </w:pPr>
    </w:p>
    <w:p w14:paraId="73E09EF1" w14:textId="77777777" w:rsidR="00F34163" w:rsidRPr="00561601" w:rsidRDefault="00F34163" w:rsidP="00F34163">
      <w:pPr>
        <w:pStyle w:val="Antrat4"/>
        <w:rPr>
          <w:rFonts w:ascii="Times New Roman" w:hAnsi="Times New Roman"/>
          <w:sz w:val="22"/>
          <w:lang w:val="lt-LT"/>
        </w:rPr>
      </w:pPr>
      <w:bookmarkStart w:id="0" w:name="OLE_LINK1"/>
      <w:r w:rsidRPr="00561601">
        <w:rPr>
          <w:rFonts w:ascii="Times New Roman" w:hAnsi="Times New Roman"/>
          <w:sz w:val="22"/>
          <w:lang w:val="lt-LT"/>
        </w:rPr>
        <w:t>6.6</w:t>
      </w:r>
      <w:r w:rsidRPr="00561601">
        <w:rPr>
          <w:rFonts w:ascii="Times New Roman" w:hAnsi="Times New Roman"/>
          <w:sz w:val="22"/>
          <w:lang w:val="lt-LT"/>
        </w:rPr>
        <w:tab/>
        <w:t>Specialūs reikalavimai atliekoms tvarkyti ir vaistiniam preparatui ruošti</w:t>
      </w:r>
    </w:p>
    <w:bookmarkEnd w:id="0"/>
    <w:p w14:paraId="0B3E79CB" w14:textId="77777777" w:rsidR="00F34163" w:rsidRPr="00561601" w:rsidRDefault="00F34163" w:rsidP="00F34163">
      <w:pPr>
        <w:tabs>
          <w:tab w:val="clear" w:pos="567"/>
        </w:tabs>
        <w:spacing w:line="240" w:lineRule="auto"/>
        <w:rPr>
          <w:szCs w:val="24"/>
          <w:lang w:val="lt-LT"/>
        </w:rPr>
      </w:pPr>
    </w:p>
    <w:p w14:paraId="76D30622" w14:textId="77777777" w:rsidR="00DC3A2B" w:rsidRPr="00561601" w:rsidRDefault="00DC3A2B" w:rsidP="00DC3A2B">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Prieš vartojimą vaistinį preparatą reikia atšildyti iki kambario arba kūno temperatūros.</w:t>
      </w:r>
    </w:p>
    <w:p w14:paraId="189F38B2" w14:textId="77777777" w:rsidR="00DC3A2B" w:rsidRPr="00561601" w:rsidRDefault="00DC3A2B" w:rsidP="00DC3A2B">
      <w:pPr>
        <w:tabs>
          <w:tab w:val="clear" w:pos="567"/>
        </w:tabs>
        <w:overflowPunct w:val="0"/>
        <w:autoSpaceDE w:val="0"/>
        <w:autoSpaceDN w:val="0"/>
        <w:adjustRightInd w:val="0"/>
        <w:spacing w:line="240" w:lineRule="auto"/>
        <w:textAlignment w:val="baseline"/>
        <w:rPr>
          <w:snapToGrid/>
          <w:szCs w:val="22"/>
          <w:lang w:val="lt-LT" w:eastAsia="de-DE"/>
        </w:rPr>
      </w:pPr>
    </w:p>
    <w:p w14:paraId="2F4EBF56" w14:textId="2C82278D" w:rsidR="00F34163" w:rsidRPr="00561601" w:rsidRDefault="00DC3A2B" w:rsidP="00DC3A2B">
      <w:pPr>
        <w:tabs>
          <w:tab w:val="clear" w:pos="567"/>
        </w:tabs>
        <w:spacing w:line="240" w:lineRule="auto"/>
        <w:rPr>
          <w:snapToGrid/>
          <w:szCs w:val="24"/>
          <w:lang w:val="lt-LT" w:eastAsia="de-DE"/>
        </w:rPr>
      </w:pPr>
      <w:r w:rsidRPr="00561601">
        <w:rPr>
          <w:snapToGrid/>
          <w:szCs w:val="24"/>
          <w:lang w:val="lt-LT" w:eastAsia="de-DE"/>
        </w:rPr>
        <w:t>Prieš vartojant vaistinį preparatą reikia apžiūrėti, ar jame nėra dalelių ir spalvos pokyčių. Tirpalas turi būti skaidrus arba šiek tiek opalinis ir bespalvis arba gelsvas. Ne</w:t>
      </w:r>
      <w:r w:rsidR="005E6070">
        <w:rPr>
          <w:snapToGrid/>
          <w:szCs w:val="24"/>
          <w:lang w:val="lt-LT" w:eastAsia="de-DE"/>
        </w:rPr>
        <w:t>vartokite</w:t>
      </w:r>
      <w:r w:rsidRPr="00561601">
        <w:rPr>
          <w:snapToGrid/>
          <w:szCs w:val="24"/>
          <w:lang w:val="lt-LT" w:eastAsia="de-DE"/>
        </w:rPr>
        <w:t xml:space="preserve"> tirpalų, kurie yra drumsti arba kuriuose yra nuosėdų.</w:t>
      </w:r>
    </w:p>
    <w:p w14:paraId="7B0F0255" w14:textId="77777777" w:rsidR="00DC3A2B" w:rsidRPr="00561601" w:rsidRDefault="00DC3A2B" w:rsidP="00DC3A2B">
      <w:pPr>
        <w:tabs>
          <w:tab w:val="clear" w:pos="567"/>
        </w:tabs>
        <w:spacing w:line="240" w:lineRule="auto"/>
        <w:rPr>
          <w:szCs w:val="24"/>
          <w:lang w:val="lt-LT"/>
        </w:rPr>
      </w:pPr>
    </w:p>
    <w:p w14:paraId="09D96AA6" w14:textId="77777777" w:rsidR="00F34163" w:rsidRPr="00561601" w:rsidRDefault="00F34163" w:rsidP="00F34163">
      <w:pPr>
        <w:tabs>
          <w:tab w:val="clear" w:pos="567"/>
        </w:tabs>
        <w:spacing w:line="240" w:lineRule="auto"/>
        <w:rPr>
          <w:szCs w:val="24"/>
          <w:lang w:val="lt-LT"/>
        </w:rPr>
      </w:pPr>
      <w:r w:rsidRPr="00561601">
        <w:rPr>
          <w:noProof/>
          <w:szCs w:val="24"/>
          <w:lang w:val="lt-LT"/>
        </w:rPr>
        <w:t>Nesuvartotą vaistinį preparatą ar atliekas reikia tvarkyti laikantis vietinių reikalavimų.</w:t>
      </w:r>
    </w:p>
    <w:p w14:paraId="74DD07D7" w14:textId="77777777" w:rsidR="00F34163" w:rsidRPr="00561601" w:rsidRDefault="00F34163" w:rsidP="00F34163">
      <w:pPr>
        <w:tabs>
          <w:tab w:val="clear" w:pos="567"/>
        </w:tabs>
        <w:spacing w:line="240" w:lineRule="auto"/>
        <w:rPr>
          <w:szCs w:val="24"/>
          <w:lang w:val="lt-LT"/>
        </w:rPr>
      </w:pPr>
    </w:p>
    <w:p w14:paraId="5E82C362" w14:textId="77777777" w:rsidR="00F34163" w:rsidRPr="00561601" w:rsidRDefault="00F34163" w:rsidP="00F34163">
      <w:pPr>
        <w:tabs>
          <w:tab w:val="clear" w:pos="567"/>
        </w:tabs>
        <w:spacing w:line="240" w:lineRule="auto"/>
        <w:rPr>
          <w:szCs w:val="24"/>
          <w:lang w:val="lt-LT"/>
        </w:rPr>
      </w:pPr>
    </w:p>
    <w:p w14:paraId="598E5F3E" w14:textId="77777777" w:rsidR="00F34163" w:rsidRPr="00561601" w:rsidRDefault="00F34163" w:rsidP="00F34163">
      <w:pPr>
        <w:pStyle w:val="Antrat3"/>
        <w:spacing w:before="0" w:after="0" w:line="240" w:lineRule="auto"/>
        <w:rPr>
          <w:rFonts w:ascii="Times New Roman" w:hAnsi="Times New Roman"/>
          <w:sz w:val="22"/>
          <w:lang w:val="lt-LT"/>
        </w:rPr>
      </w:pPr>
      <w:r w:rsidRPr="00561601">
        <w:rPr>
          <w:rFonts w:ascii="Times New Roman" w:hAnsi="Times New Roman"/>
          <w:sz w:val="22"/>
          <w:lang w:val="lt-LT"/>
        </w:rPr>
        <w:t>7.</w:t>
      </w:r>
      <w:r w:rsidRPr="00561601">
        <w:rPr>
          <w:rFonts w:ascii="Times New Roman" w:hAnsi="Times New Roman"/>
          <w:sz w:val="22"/>
          <w:lang w:val="lt-LT"/>
        </w:rPr>
        <w:tab/>
      </w:r>
      <w:r w:rsidR="00126F6D" w:rsidRPr="00561601">
        <w:rPr>
          <w:rFonts w:ascii="Times New Roman" w:hAnsi="Times New Roman"/>
          <w:sz w:val="22"/>
          <w:lang w:val="lt-LT"/>
        </w:rPr>
        <w:t>REGISTRUOTOJAS</w:t>
      </w:r>
    </w:p>
    <w:p w14:paraId="45E8A2CB" w14:textId="77777777" w:rsidR="00F34163" w:rsidRPr="00561601" w:rsidRDefault="00F34163" w:rsidP="00F34163">
      <w:pPr>
        <w:tabs>
          <w:tab w:val="clear" w:pos="567"/>
        </w:tabs>
        <w:spacing w:line="240" w:lineRule="auto"/>
        <w:rPr>
          <w:szCs w:val="24"/>
          <w:lang w:val="lt-LT"/>
        </w:rPr>
      </w:pPr>
    </w:p>
    <w:p w14:paraId="08BA1459" w14:textId="77777777" w:rsidR="00DC3A2B" w:rsidRPr="00561601" w:rsidRDefault="00DC3A2B" w:rsidP="00DC3A2B">
      <w:pPr>
        <w:tabs>
          <w:tab w:val="clear" w:pos="567"/>
        </w:tabs>
        <w:overflowPunct w:val="0"/>
        <w:autoSpaceDE w:val="0"/>
        <w:autoSpaceDN w:val="0"/>
        <w:adjustRightInd w:val="0"/>
        <w:spacing w:line="240" w:lineRule="auto"/>
        <w:textAlignment w:val="baseline"/>
        <w:rPr>
          <w:snapToGrid/>
          <w:szCs w:val="22"/>
          <w:lang w:val="lt-LT" w:eastAsia="de-DE"/>
        </w:rPr>
      </w:pPr>
      <w:proofErr w:type="spellStart"/>
      <w:r w:rsidRPr="00561601">
        <w:rPr>
          <w:snapToGrid/>
          <w:szCs w:val="24"/>
          <w:lang w:val="lt-LT" w:eastAsia="de-DE"/>
        </w:rPr>
        <w:t>Biotest</w:t>
      </w:r>
      <w:proofErr w:type="spellEnd"/>
      <w:r w:rsidRPr="00561601">
        <w:rPr>
          <w:snapToGrid/>
          <w:szCs w:val="24"/>
          <w:lang w:val="lt-LT" w:eastAsia="de-DE"/>
        </w:rPr>
        <w:t xml:space="preserve"> </w:t>
      </w:r>
      <w:proofErr w:type="spellStart"/>
      <w:r w:rsidRPr="00561601">
        <w:rPr>
          <w:snapToGrid/>
          <w:szCs w:val="24"/>
          <w:lang w:val="lt-LT" w:eastAsia="de-DE"/>
        </w:rPr>
        <w:t>Pharma</w:t>
      </w:r>
      <w:proofErr w:type="spellEnd"/>
      <w:r w:rsidRPr="00561601">
        <w:rPr>
          <w:snapToGrid/>
          <w:szCs w:val="24"/>
          <w:lang w:val="lt-LT" w:eastAsia="de-DE"/>
        </w:rPr>
        <w:t xml:space="preserve"> </w:t>
      </w:r>
      <w:proofErr w:type="spellStart"/>
      <w:r w:rsidRPr="00561601">
        <w:rPr>
          <w:snapToGrid/>
          <w:szCs w:val="24"/>
          <w:lang w:val="lt-LT" w:eastAsia="de-DE"/>
        </w:rPr>
        <w:t>GmbH</w:t>
      </w:r>
      <w:proofErr w:type="spellEnd"/>
    </w:p>
    <w:p w14:paraId="65AB6290" w14:textId="77777777" w:rsidR="00DC3A2B" w:rsidRPr="00561601" w:rsidRDefault="00DC3A2B" w:rsidP="00DC3A2B">
      <w:pPr>
        <w:tabs>
          <w:tab w:val="clear" w:pos="567"/>
        </w:tabs>
        <w:overflowPunct w:val="0"/>
        <w:autoSpaceDE w:val="0"/>
        <w:autoSpaceDN w:val="0"/>
        <w:adjustRightInd w:val="0"/>
        <w:spacing w:line="240" w:lineRule="auto"/>
        <w:textAlignment w:val="baseline"/>
        <w:rPr>
          <w:snapToGrid/>
          <w:szCs w:val="22"/>
          <w:lang w:val="lt-LT" w:eastAsia="de-DE"/>
        </w:rPr>
      </w:pPr>
      <w:proofErr w:type="spellStart"/>
      <w:r w:rsidRPr="00561601">
        <w:rPr>
          <w:snapToGrid/>
          <w:szCs w:val="24"/>
          <w:lang w:val="lt-LT" w:eastAsia="de-DE"/>
        </w:rPr>
        <w:t>Landsteinerstraße</w:t>
      </w:r>
      <w:proofErr w:type="spellEnd"/>
      <w:r w:rsidRPr="00561601">
        <w:rPr>
          <w:snapToGrid/>
          <w:szCs w:val="24"/>
          <w:lang w:val="lt-LT" w:eastAsia="de-DE"/>
        </w:rPr>
        <w:t xml:space="preserve"> 5</w:t>
      </w:r>
    </w:p>
    <w:p w14:paraId="7AF10C0B" w14:textId="77777777" w:rsidR="00DC3A2B" w:rsidRPr="00561601" w:rsidRDefault="00DC3A2B" w:rsidP="00DC3A2B">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 xml:space="preserve">63303 </w:t>
      </w:r>
      <w:proofErr w:type="spellStart"/>
      <w:r w:rsidRPr="00561601">
        <w:rPr>
          <w:snapToGrid/>
          <w:szCs w:val="24"/>
          <w:lang w:val="lt-LT" w:eastAsia="de-DE"/>
        </w:rPr>
        <w:t>Dreieich</w:t>
      </w:r>
      <w:proofErr w:type="spellEnd"/>
      <w:r w:rsidRPr="00561601">
        <w:rPr>
          <w:snapToGrid/>
          <w:szCs w:val="24"/>
          <w:lang w:val="lt-LT" w:eastAsia="de-DE"/>
        </w:rPr>
        <w:t xml:space="preserve"> </w:t>
      </w:r>
    </w:p>
    <w:p w14:paraId="0C680B1E" w14:textId="77777777" w:rsidR="00DC3A2B" w:rsidRPr="00561601" w:rsidRDefault="00DC3A2B" w:rsidP="00DC3A2B">
      <w:pPr>
        <w:tabs>
          <w:tab w:val="clear" w:pos="567"/>
        </w:tabs>
        <w:overflowPunct w:val="0"/>
        <w:autoSpaceDE w:val="0"/>
        <w:autoSpaceDN w:val="0"/>
        <w:adjustRightInd w:val="0"/>
        <w:spacing w:line="240" w:lineRule="auto"/>
        <w:textAlignment w:val="baseline"/>
        <w:rPr>
          <w:snapToGrid/>
          <w:szCs w:val="24"/>
          <w:lang w:val="lt-LT" w:eastAsia="de-DE"/>
        </w:rPr>
      </w:pPr>
      <w:r w:rsidRPr="00561601">
        <w:rPr>
          <w:snapToGrid/>
          <w:szCs w:val="24"/>
          <w:lang w:val="lt-LT" w:eastAsia="de-DE"/>
        </w:rPr>
        <w:t>Vokietija</w:t>
      </w:r>
    </w:p>
    <w:p w14:paraId="0E7F40F6" w14:textId="77777777" w:rsidR="001766CE" w:rsidRPr="00561601" w:rsidRDefault="001766CE" w:rsidP="00DC3A2B">
      <w:pPr>
        <w:tabs>
          <w:tab w:val="clear" w:pos="567"/>
        </w:tabs>
        <w:overflowPunct w:val="0"/>
        <w:autoSpaceDE w:val="0"/>
        <w:autoSpaceDN w:val="0"/>
        <w:adjustRightInd w:val="0"/>
        <w:spacing w:line="240" w:lineRule="auto"/>
        <w:textAlignment w:val="baseline"/>
        <w:rPr>
          <w:snapToGrid/>
          <w:szCs w:val="22"/>
          <w:lang w:val="lt-LT" w:eastAsia="de-DE"/>
        </w:rPr>
      </w:pPr>
    </w:p>
    <w:p w14:paraId="42EBE6A6" w14:textId="77777777" w:rsidR="00DC3A2B" w:rsidRPr="00561601" w:rsidRDefault="00DC3A2B" w:rsidP="00DC3A2B">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Tel.</w:t>
      </w:r>
      <w:r w:rsidR="002907BD" w:rsidRPr="00561601">
        <w:rPr>
          <w:snapToGrid/>
          <w:szCs w:val="24"/>
          <w:lang w:val="lt-LT" w:eastAsia="de-DE"/>
        </w:rPr>
        <w:t>:</w:t>
      </w:r>
      <w:r w:rsidRPr="00561601">
        <w:rPr>
          <w:snapToGrid/>
          <w:szCs w:val="24"/>
          <w:lang w:val="lt-LT" w:eastAsia="de-DE"/>
        </w:rPr>
        <w:t xml:space="preserve"> +49 6103 801-0</w:t>
      </w:r>
    </w:p>
    <w:p w14:paraId="6EFC3A81" w14:textId="77777777" w:rsidR="00DC3A2B" w:rsidRPr="00561601" w:rsidRDefault="00DC3A2B" w:rsidP="00DC3A2B">
      <w:pPr>
        <w:tabs>
          <w:tab w:val="clear" w:pos="567"/>
        </w:tabs>
        <w:overflowPunct w:val="0"/>
        <w:autoSpaceDE w:val="0"/>
        <w:autoSpaceDN w:val="0"/>
        <w:adjustRightInd w:val="0"/>
        <w:spacing w:line="240" w:lineRule="auto"/>
        <w:textAlignment w:val="baseline"/>
        <w:rPr>
          <w:snapToGrid/>
          <w:szCs w:val="22"/>
          <w:lang w:val="lt-LT" w:eastAsia="de-DE"/>
        </w:rPr>
      </w:pPr>
      <w:r w:rsidRPr="00561601">
        <w:rPr>
          <w:snapToGrid/>
          <w:szCs w:val="24"/>
          <w:lang w:val="lt-LT" w:eastAsia="de-DE"/>
        </w:rPr>
        <w:t>Faksas</w:t>
      </w:r>
      <w:r w:rsidR="002907BD" w:rsidRPr="00561601">
        <w:rPr>
          <w:snapToGrid/>
          <w:szCs w:val="24"/>
          <w:lang w:val="lt-LT" w:eastAsia="de-DE"/>
        </w:rPr>
        <w:t>:</w:t>
      </w:r>
      <w:r w:rsidRPr="00561601">
        <w:rPr>
          <w:snapToGrid/>
          <w:szCs w:val="24"/>
          <w:lang w:val="lt-LT" w:eastAsia="de-DE"/>
        </w:rPr>
        <w:t xml:space="preserve"> +49 6103 801-150 </w:t>
      </w:r>
    </w:p>
    <w:p w14:paraId="5D5D5CA6" w14:textId="77777777" w:rsidR="00F34163" w:rsidRPr="00561601" w:rsidRDefault="00DC3A2B" w:rsidP="00DC3A2B">
      <w:pPr>
        <w:tabs>
          <w:tab w:val="clear" w:pos="567"/>
        </w:tabs>
        <w:spacing w:line="240" w:lineRule="auto"/>
        <w:rPr>
          <w:szCs w:val="24"/>
          <w:lang w:val="lt-LT"/>
        </w:rPr>
      </w:pPr>
      <w:r w:rsidRPr="00561601">
        <w:rPr>
          <w:snapToGrid/>
          <w:szCs w:val="24"/>
          <w:lang w:val="lt-LT" w:eastAsia="de-DE"/>
        </w:rPr>
        <w:t>El. paštas</w:t>
      </w:r>
      <w:r w:rsidR="002907BD" w:rsidRPr="00561601">
        <w:rPr>
          <w:snapToGrid/>
          <w:szCs w:val="24"/>
          <w:lang w:val="lt-LT" w:eastAsia="de-DE"/>
        </w:rPr>
        <w:t>:</w:t>
      </w:r>
      <w:r w:rsidRPr="00561601">
        <w:rPr>
          <w:snapToGrid/>
          <w:szCs w:val="24"/>
          <w:lang w:val="lt-LT" w:eastAsia="de-DE"/>
        </w:rPr>
        <w:t xml:space="preserve"> mail@biotest.com</w:t>
      </w:r>
    </w:p>
    <w:p w14:paraId="61B83AD2" w14:textId="77777777" w:rsidR="00F34163" w:rsidRPr="00561601" w:rsidRDefault="00F34163" w:rsidP="00F34163">
      <w:pPr>
        <w:tabs>
          <w:tab w:val="clear" w:pos="567"/>
        </w:tabs>
        <w:spacing w:line="240" w:lineRule="auto"/>
        <w:rPr>
          <w:szCs w:val="24"/>
          <w:lang w:val="lt-LT"/>
        </w:rPr>
      </w:pPr>
    </w:p>
    <w:p w14:paraId="73B5876B" w14:textId="77777777" w:rsidR="00F34163" w:rsidRPr="00561601" w:rsidRDefault="00F34163" w:rsidP="00F34163">
      <w:pPr>
        <w:tabs>
          <w:tab w:val="clear" w:pos="567"/>
        </w:tabs>
        <w:spacing w:line="240" w:lineRule="auto"/>
        <w:rPr>
          <w:szCs w:val="24"/>
          <w:lang w:val="lt-LT"/>
        </w:rPr>
      </w:pPr>
    </w:p>
    <w:p w14:paraId="1618FAC0" w14:textId="77777777" w:rsidR="00F34163" w:rsidRPr="00561601" w:rsidRDefault="00F34163" w:rsidP="00F34163">
      <w:pPr>
        <w:pStyle w:val="Antrat3"/>
        <w:spacing w:before="0" w:after="0" w:line="240" w:lineRule="auto"/>
        <w:rPr>
          <w:rFonts w:ascii="Times New Roman" w:hAnsi="Times New Roman"/>
          <w:sz w:val="22"/>
          <w:lang w:val="lt-LT"/>
        </w:rPr>
      </w:pPr>
      <w:r w:rsidRPr="00561601">
        <w:rPr>
          <w:rFonts w:ascii="Times New Roman" w:hAnsi="Times New Roman"/>
          <w:sz w:val="22"/>
          <w:lang w:val="lt-LT"/>
        </w:rPr>
        <w:t>8.</w:t>
      </w:r>
      <w:r w:rsidRPr="00561601">
        <w:rPr>
          <w:rFonts w:ascii="Times New Roman" w:hAnsi="Times New Roman"/>
          <w:sz w:val="22"/>
          <w:lang w:val="lt-LT"/>
        </w:rPr>
        <w:tab/>
      </w:r>
      <w:r w:rsidR="00826CB6" w:rsidRPr="00561601">
        <w:rPr>
          <w:rFonts w:ascii="Times New Roman" w:hAnsi="Times New Roman"/>
          <w:sz w:val="22"/>
          <w:lang w:val="lt-LT"/>
        </w:rPr>
        <w:t xml:space="preserve">REGISTRACIJOS </w:t>
      </w:r>
      <w:r w:rsidRPr="00561601">
        <w:rPr>
          <w:rFonts w:ascii="Times New Roman" w:hAnsi="Times New Roman"/>
          <w:noProof/>
          <w:sz w:val="22"/>
          <w:szCs w:val="22"/>
          <w:lang w:val="lt-LT"/>
        </w:rPr>
        <w:t>PAŽYMĖJIMO</w:t>
      </w:r>
      <w:r w:rsidRPr="00561601">
        <w:rPr>
          <w:rFonts w:ascii="Times New Roman" w:hAnsi="Times New Roman"/>
          <w:sz w:val="22"/>
          <w:lang w:val="lt-LT"/>
        </w:rPr>
        <w:t xml:space="preserve"> NUMERIS (-IAI) </w:t>
      </w:r>
    </w:p>
    <w:p w14:paraId="57585A5C" w14:textId="77777777" w:rsidR="00DC3A2B" w:rsidRDefault="00DC3A2B" w:rsidP="00F34163">
      <w:pPr>
        <w:tabs>
          <w:tab w:val="clear" w:pos="567"/>
        </w:tabs>
        <w:spacing w:line="240" w:lineRule="auto"/>
        <w:rPr>
          <w:snapToGrid/>
          <w:szCs w:val="24"/>
          <w:lang w:val="lt-LT" w:eastAsia="de-DE"/>
        </w:rPr>
      </w:pPr>
    </w:p>
    <w:p w14:paraId="785122AB" w14:textId="77777777" w:rsidR="0036167A" w:rsidRPr="0036167A" w:rsidRDefault="0036167A" w:rsidP="0036167A">
      <w:pPr>
        <w:tabs>
          <w:tab w:val="clear" w:pos="567"/>
        </w:tabs>
        <w:autoSpaceDE w:val="0"/>
        <w:autoSpaceDN w:val="0"/>
        <w:adjustRightInd w:val="0"/>
        <w:spacing w:line="240" w:lineRule="auto"/>
        <w:rPr>
          <w:rFonts w:eastAsia="Calibri"/>
          <w:snapToGrid/>
          <w:color w:val="000000"/>
          <w:sz w:val="23"/>
          <w:szCs w:val="23"/>
          <w:lang w:val="lt-LT" w:eastAsia="lt-LT"/>
        </w:rPr>
      </w:pPr>
      <w:r w:rsidRPr="0036167A">
        <w:rPr>
          <w:rFonts w:eastAsia="Calibri"/>
          <w:snapToGrid/>
          <w:color w:val="000000"/>
          <w:sz w:val="23"/>
          <w:szCs w:val="23"/>
          <w:lang w:val="lt-LT" w:eastAsia="lt-LT"/>
        </w:rPr>
        <w:t xml:space="preserve">LT/1/22/5073/001 – 10 ml, N1 </w:t>
      </w:r>
    </w:p>
    <w:p w14:paraId="2B48D811" w14:textId="6F531809" w:rsidR="0036167A" w:rsidRPr="00561601" w:rsidRDefault="0036167A" w:rsidP="0036167A">
      <w:pPr>
        <w:tabs>
          <w:tab w:val="clear" w:pos="567"/>
        </w:tabs>
        <w:spacing w:line="240" w:lineRule="auto"/>
        <w:rPr>
          <w:snapToGrid/>
          <w:szCs w:val="24"/>
          <w:lang w:val="lt-LT" w:eastAsia="de-DE"/>
        </w:rPr>
      </w:pPr>
      <w:r w:rsidRPr="0036167A">
        <w:rPr>
          <w:rFonts w:eastAsia="Calibri"/>
          <w:snapToGrid/>
          <w:color w:val="000000"/>
          <w:sz w:val="23"/>
          <w:szCs w:val="23"/>
          <w:lang w:val="lt-LT" w:eastAsia="lt-LT"/>
        </w:rPr>
        <w:t xml:space="preserve">LT/1/22/5073/002 – 50 ml, N1 </w:t>
      </w:r>
    </w:p>
    <w:p w14:paraId="5F86FD53" w14:textId="77777777" w:rsidR="00DC3A2B" w:rsidRPr="00561601" w:rsidRDefault="00DC3A2B" w:rsidP="00F34163">
      <w:pPr>
        <w:tabs>
          <w:tab w:val="clear" w:pos="567"/>
        </w:tabs>
        <w:spacing w:line="240" w:lineRule="auto"/>
        <w:rPr>
          <w:szCs w:val="24"/>
          <w:lang w:val="lt-LT"/>
        </w:rPr>
      </w:pPr>
    </w:p>
    <w:p w14:paraId="58B14CC4" w14:textId="77777777" w:rsidR="00F34163" w:rsidRPr="00561601" w:rsidRDefault="00F34163" w:rsidP="00F34163">
      <w:pPr>
        <w:tabs>
          <w:tab w:val="clear" w:pos="567"/>
        </w:tabs>
        <w:spacing w:line="240" w:lineRule="auto"/>
        <w:rPr>
          <w:szCs w:val="24"/>
          <w:lang w:val="lt-LT"/>
        </w:rPr>
      </w:pPr>
    </w:p>
    <w:p w14:paraId="24DADF76" w14:textId="77777777" w:rsidR="00F34163" w:rsidRPr="00561601" w:rsidRDefault="00F34163" w:rsidP="00F34163">
      <w:pPr>
        <w:pStyle w:val="Antrat3"/>
        <w:spacing w:before="0" w:after="0" w:line="240" w:lineRule="auto"/>
        <w:rPr>
          <w:rFonts w:ascii="Times New Roman" w:hAnsi="Times New Roman"/>
          <w:sz w:val="22"/>
          <w:lang w:val="lt-LT"/>
        </w:rPr>
      </w:pPr>
      <w:r w:rsidRPr="00561601">
        <w:rPr>
          <w:rFonts w:ascii="Times New Roman" w:hAnsi="Times New Roman"/>
          <w:sz w:val="22"/>
          <w:lang w:val="lt-LT"/>
        </w:rPr>
        <w:t>9.</w:t>
      </w:r>
      <w:r w:rsidRPr="00561601">
        <w:rPr>
          <w:rFonts w:ascii="Times New Roman" w:hAnsi="Times New Roman"/>
          <w:sz w:val="22"/>
          <w:lang w:val="lt-LT"/>
        </w:rPr>
        <w:tab/>
      </w:r>
      <w:r w:rsidR="00826CB6" w:rsidRPr="00561601">
        <w:rPr>
          <w:rFonts w:ascii="Times New Roman" w:hAnsi="Times New Roman"/>
          <w:sz w:val="22"/>
          <w:lang w:val="lt-LT"/>
        </w:rPr>
        <w:t>REGISTRA</w:t>
      </w:r>
      <w:r w:rsidR="00B51C06" w:rsidRPr="00561601">
        <w:rPr>
          <w:rFonts w:ascii="Times New Roman" w:hAnsi="Times New Roman"/>
          <w:sz w:val="22"/>
          <w:lang w:val="lt-LT"/>
        </w:rPr>
        <w:t>VIMO</w:t>
      </w:r>
      <w:r w:rsidRPr="00561601">
        <w:rPr>
          <w:rFonts w:ascii="Times New Roman" w:hAnsi="Times New Roman"/>
          <w:sz w:val="22"/>
          <w:lang w:val="lt-LT"/>
        </w:rPr>
        <w:t xml:space="preserve"> / </w:t>
      </w:r>
      <w:r w:rsidR="00CE6EC2" w:rsidRPr="00561601">
        <w:rPr>
          <w:rFonts w:ascii="Times New Roman" w:hAnsi="Times New Roman"/>
          <w:sz w:val="22"/>
          <w:lang w:val="lt-LT"/>
        </w:rPr>
        <w:t xml:space="preserve">PERREGISTRAVIMO </w:t>
      </w:r>
      <w:r w:rsidRPr="00561601">
        <w:rPr>
          <w:rFonts w:ascii="Times New Roman" w:hAnsi="Times New Roman"/>
          <w:sz w:val="22"/>
          <w:lang w:val="lt-LT"/>
        </w:rPr>
        <w:t>DATA</w:t>
      </w:r>
    </w:p>
    <w:p w14:paraId="7BBB66B0" w14:textId="77777777" w:rsidR="00F34163" w:rsidRPr="00561601" w:rsidRDefault="00F34163" w:rsidP="00F34163">
      <w:pPr>
        <w:tabs>
          <w:tab w:val="clear" w:pos="567"/>
        </w:tabs>
        <w:spacing w:line="240" w:lineRule="auto"/>
        <w:rPr>
          <w:szCs w:val="24"/>
          <w:lang w:val="lt-LT"/>
        </w:rPr>
      </w:pPr>
    </w:p>
    <w:p w14:paraId="5F5F7050" w14:textId="56A362DD" w:rsidR="00F34163" w:rsidRDefault="001A0EB1" w:rsidP="00F34163">
      <w:pPr>
        <w:tabs>
          <w:tab w:val="clear" w:pos="567"/>
        </w:tabs>
        <w:spacing w:line="240" w:lineRule="auto"/>
        <w:rPr>
          <w:snapToGrid/>
          <w:szCs w:val="24"/>
          <w:lang w:val="lt-LT" w:eastAsia="de-DE"/>
        </w:rPr>
      </w:pPr>
      <w:r>
        <w:rPr>
          <w:snapToGrid/>
          <w:szCs w:val="24"/>
          <w:lang w:val="lt-LT" w:eastAsia="de-DE"/>
        </w:rPr>
        <w:t xml:space="preserve">Registravimo data </w:t>
      </w:r>
      <w:r w:rsidR="0036167A">
        <w:rPr>
          <w:snapToGrid/>
          <w:szCs w:val="24"/>
          <w:lang w:val="lt-LT" w:eastAsia="de-DE"/>
        </w:rPr>
        <w:t>2022 m. lapkričio 29 d.</w:t>
      </w:r>
    </w:p>
    <w:p w14:paraId="0147FE37" w14:textId="579B98E0" w:rsidR="001A0EB1" w:rsidRPr="00561601" w:rsidRDefault="00E01FA9" w:rsidP="00F34163">
      <w:pPr>
        <w:tabs>
          <w:tab w:val="clear" w:pos="567"/>
        </w:tabs>
        <w:spacing w:line="240" w:lineRule="auto"/>
        <w:rPr>
          <w:snapToGrid/>
          <w:szCs w:val="24"/>
          <w:lang w:val="lt-LT" w:eastAsia="de-DE"/>
        </w:rPr>
      </w:pPr>
      <w:r>
        <w:rPr>
          <w:snapToGrid/>
          <w:szCs w:val="24"/>
          <w:lang w:val="lt-LT" w:eastAsia="de-DE"/>
        </w:rPr>
        <w:t>Paskutinio perregistravimo data 2023 m</w:t>
      </w:r>
      <w:r w:rsidR="00E1177A">
        <w:rPr>
          <w:snapToGrid/>
          <w:szCs w:val="24"/>
          <w:lang w:val="lt-LT" w:eastAsia="de-DE"/>
        </w:rPr>
        <w:t>. birželio 8 d.</w:t>
      </w:r>
    </w:p>
    <w:p w14:paraId="6B6488FF" w14:textId="77777777" w:rsidR="00DC3A2B" w:rsidRPr="00561601" w:rsidRDefault="00DC3A2B" w:rsidP="00F34163">
      <w:pPr>
        <w:tabs>
          <w:tab w:val="clear" w:pos="567"/>
        </w:tabs>
        <w:spacing w:line="240" w:lineRule="auto"/>
        <w:rPr>
          <w:szCs w:val="24"/>
          <w:lang w:val="lt-LT"/>
        </w:rPr>
      </w:pPr>
    </w:p>
    <w:p w14:paraId="0AE899F9" w14:textId="77777777" w:rsidR="00F34163" w:rsidRPr="00561601" w:rsidRDefault="00F34163" w:rsidP="00F34163">
      <w:pPr>
        <w:tabs>
          <w:tab w:val="clear" w:pos="567"/>
        </w:tabs>
        <w:spacing w:line="240" w:lineRule="auto"/>
        <w:rPr>
          <w:szCs w:val="24"/>
          <w:lang w:val="lt-LT"/>
        </w:rPr>
      </w:pPr>
    </w:p>
    <w:p w14:paraId="18679856" w14:textId="77777777" w:rsidR="00F34163" w:rsidRPr="00561601" w:rsidRDefault="00F34163" w:rsidP="00F34163">
      <w:pPr>
        <w:pStyle w:val="Antrat3"/>
        <w:spacing w:before="0" w:after="0" w:line="240" w:lineRule="auto"/>
        <w:rPr>
          <w:rFonts w:ascii="Times New Roman" w:hAnsi="Times New Roman"/>
          <w:sz w:val="22"/>
          <w:lang w:val="lt-LT"/>
        </w:rPr>
      </w:pPr>
      <w:r w:rsidRPr="00561601">
        <w:rPr>
          <w:rFonts w:ascii="Times New Roman" w:hAnsi="Times New Roman"/>
          <w:sz w:val="22"/>
          <w:lang w:val="lt-LT"/>
        </w:rPr>
        <w:t>10.</w:t>
      </w:r>
      <w:r w:rsidRPr="00561601">
        <w:rPr>
          <w:rFonts w:ascii="Times New Roman" w:hAnsi="Times New Roman"/>
          <w:sz w:val="22"/>
          <w:lang w:val="lt-LT"/>
        </w:rPr>
        <w:tab/>
        <w:t>TEKSTO PERŽIŪROS DATA</w:t>
      </w:r>
    </w:p>
    <w:p w14:paraId="594BDB88" w14:textId="1A255800" w:rsidR="00F34163" w:rsidRPr="00561601" w:rsidRDefault="00F34163" w:rsidP="00F34163">
      <w:pPr>
        <w:tabs>
          <w:tab w:val="clear" w:pos="567"/>
        </w:tabs>
        <w:spacing w:line="240" w:lineRule="auto"/>
        <w:rPr>
          <w:szCs w:val="24"/>
          <w:lang w:val="lt-LT"/>
        </w:rPr>
      </w:pPr>
    </w:p>
    <w:p w14:paraId="03C997DF" w14:textId="58785B59" w:rsidR="00F34163" w:rsidRDefault="00E1177A" w:rsidP="00F34163">
      <w:pPr>
        <w:tabs>
          <w:tab w:val="clear" w:pos="567"/>
        </w:tabs>
        <w:spacing w:line="240" w:lineRule="auto"/>
        <w:rPr>
          <w:snapToGrid/>
          <w:szCs w:val="24"/>
          <w:lang w:val="lt-LT" w:eastAsia="de-DE"/>
        </w:rPr>
      </w:pPr>
      <w:r>
        <w:rPr>
          <w:snapToGrid/>
          <w:szCs w:val="24"/>
          <w:lang w:val="lt-LT" w:eastAsia="de-DE"/>
        </w:rPr>
        <w:t>2023 m. birželio 8 d.</w:t>
      </w:r>
    </w:p>
    <w:p w14:paraId="1C554AA3" w14:textId="77777777" w:rsidR="00E1177A" w:rsidRPr="00561601" w:rsidRDefault="00E1177A" w:rsidP="00F34163">
      <w:pPr>
        <w:tabs>
          <w:tab w:val="clear" w:pos="567"/>
        </w:tabs>
        <w:spacing w:line="240" w:lineRule="auto"/>
        <w:rPr>
          <w:szCs w:val="24"/>
          <w:lang w:val="lt-LT"/>
        </w:rPr>
      </w:pPr>
    </w:p>
    <w:p w14:paraId="67D3F703" w14:textId="77777777" w:rsidR="00F34163" w:rsidRPr="00561601" w:rsidRDefault="00F34163" w:rsidP="00F34163">
      <w:pPr>
        <w:tabs>
          <w:tab w:val="clear" w:pos="567"/>
        </w:tabs>
        <w:spacing w:line="240" w:lineRule="auto"/>
        <w:rPr>
          <w:szCs w:val="24"/>
          <w:lang w:val="lt-LT"/>
        </w:rPr>
      </w:pPr>
    </w:p>
    <w:p w14:paraId="49B82659" w14:textId="5AC03BC9" w:rsidR="00F34163" w:rsidRPr="00561601" w:rsidRDefault="00F34163" w:rsidP="00F34163">
      <w:pPr>
        <w:pStyle w:val="Paprastasistekstas"/>
        <w:tabs>
          <w:tab w:val="left" w:pos="5954"/>
          <w:tab w:val="left" w:pos="6237"/>
          <w:tab w:val="left" w:pos="6663"/>
          <w:tab w:val="left" w:pos="6946"/>
        </w:tabs>
        <w:rPr>
          <w:rFonts w:ascii="Times New Roman" w:hAnsi="Times New Roman"/>
          <w:sz w:val="22"/>
          <w:szCs w:val="22"/>
          <w:lang w:val="lt-LT"/>
        </w:rPr>
      </w:pPr>
      <w:r w:rsidRPr="00561601">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561601">
        <w:rPr>
          <w:rFonts w:ascii="Times New Roman" w:hAnsi="Times New Roman"/>
          <w:i/>
          <w:noProof/>
          <w:sz w:val="22"/>
          <w:szCs w:val="22"/>
          <w:lang w:val="lt-LT"/>
        </w:rPr>
        <w:t xml:space="preserve"> </w:t>
      </w:r>
      <w:hyperlink r:id="rId8" w:history="1">
        <w:r w:rsidR="00324A02" w:rsidRPr="00561601">
          <w:rPr>
            <w:rStyle w:val="Hipersaitas"/>
            <w:rFonts w:ascii="Times New Roman" w:hAnsi="Times New Roman"/>
            <w:noProof/>
            <w:color w:val="auto"/>
            <w:sz w:val="22"/>
            <w:szCs w:val="22"/>
            <w:u w:val="none"/>
            <w:lang w:val="lt-LT"/>
          </w:rPr>
          <w:t>http://www.</w:t>
        </w:r>
        <w:proofErr w:type="spellStart"/>
        <w:r w:rsidR="00324A02" w:rsidRPr="00561601">
          <w:rPr>
            <w:rStyle w:val="Hipersaitas"/>
            <w:rFonts w:ascii="Times New Roman" w:hAnsi="Times New Roman"/>
            <w:color w:val="auto"/>
            <w:sz w:val="22"/>
            <w:szCs w:val="22"/>
            <w:u w:val="none"/>
            <w:lang w:val="lt-LT"/>
          </w:rPr>
          <w:t>vvkt.lt</w:t>
        </w:r>
        <w:proofErr w:type="spellEnd"/>
      </w:hyperlink>
    </w:p>
    <w:p w14:paraId="38A412A1" w14:textId="77777777" w:rsidR="00F34163" w:rsidRPr="0056160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096B6C5B" w14:textId="77777777" w:rsidR="00F34163" w:rsidRPr="0056160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79288592" w14:textId="77777777" w:rsidR="00F34163" w:rsidRPr="0056160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229919D1" w14:textId="77777777" w:rsidR="00F34163" w:rsidRPr="0056160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6680306E" w14:textId="77777777" w:rsidR="00F34163" w:rsidRPr="0056160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5ECECD11" w14:textId="77777777" w:rsidR="00F34163" w:rsidRPr="0056160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3E9DEE9A" w14:textId="77777777" w:rsidR="00F34163" w:rsidRPr="0056160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4BD7533A" w14:textId="77777777" w:rsidR="00F34163" w:rsidRPr="0056160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1EA0A446" w14:textId="77777777" w:rsidR="00F34163" w:rsidRPr="0056160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13CAE0DB" w14:textId="77777777" w:rsidR="00F34163" w:rsidRPr="0056160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6920F9B6" w14:textId="77777777" w:rsidR="001A3DF1" w:rsidRPr="00561601" w:rsidRDefault="00331196" w:rsidP="00305AE8">
      <w:pPr>
        <w:pStyle w:val="Paprastasistekstas"/>
        <w:tabs>
          <w:tab w:val="left" w:pos="5954"/>
          <w:tab w:val="left" w:pos="6237"/>
          <w:tab w:val="left" w:pos="6663"/>
          <w:tab w:val="left" w:pos="6946"/>
        </w:tabs>
        <w:jc w:val="center"/>
        <w:rPr>
          <w:rFonts w:ascii="Times New Roman" w:hAnsi="Times New Roman"/>
          <w:color w:val="008000"/>
          <w:highlight w:val="yellow"/>
          <w:lang w:val="lt-LT"/>
        </w:rPr>
      </w:pPr>
      <w:r w:rsidRPr="00561601">
        <w:rPr>
          <w:rFonts w:ascii="Times New Roman" w:hAnsi="Times New Roman"/>
          <w:lang w:val="lt-LT"/>
        </w:rPr>
        <w:br w:type="page"/>
      </w:r>
      <w:r w:rsidR="00F34163" w:rsidRPr="00561601">
        <w:rPr>
          <w:rFonts w:ascii="Times New Roman" w:hAnsi="Times New Roman"/>
          <w:b/>
          <w:lang w:val="lt-LT"/>
        </w:rPr>
        <w:t xml:space="preserve">                                        </w:t>
      </w:r>
      <w:r w:rsidR="001A3DF1" w:rsidRPr="00561601">
        <w:rPr>
          <w:rFonts w:ascii="Times New Roman" w:hAnsi="Times New Roman"/>
          <w:b/>
          <w:lang w:val="lt-LT"/>
        </w:rPr>
        <w:tab/>
      </w:r>
      <w:r w:rsidR="00F34163" w:rsidRPr="00561601">
        <w:rPr>
          <w:rFonts w:ascii="Times New Roman" w:hAnsi="Times New Roman"/>
          <w:b/>
          <w:lang w:val="lt-LT"/>
        </w:rPr>
        <w:t xml:space="preserve">  </w:t>
      </w:r>
    </w:p>
    <w:p w14:paraId="3118B840" w14:textId="77777777" w:rsidR="000A79DC" w:rsidRPr="00561601" w:rsidRDefault="000A79DC" w:rsidP="001A3DF1">
      <w:pPr>
        <w:pStyle w:val="Paprastasistekstas"/>
        <w:tabs>
          <w:tab w:val="left" w:pos="5954"/>
          <w:tab w:val="left" w:pos="6237"/>
          <w:tab w:val="left" w:pos="6663"/>
          <w:tab w:val="left" w:pos="6946"/>
        </w:tabs>
        <w:jc w:val="center"/>
        <w:rPr>
          <w:rFonts w:ascii="Times New Roman" w:hAnsi="Times New Roman"/>
          <w:color w:val="000000"/>
          <w:sz w:val="24"/>
          <w:highlight w:val="yellow"/>
          <w:lang w:val="lt-LT"/>
        </w:rPr>
      </w:pPr>
    </w:p>
    <w:p w14:paraId="1C612FC4" w14:textId="77777777" w:rsidR="00F34163" w:rsidRPr="00561601" w:rsidRDefault="00F34163" w:rsidP="000A79DC">
      <w:pPr>
        <w:pStyle w:val="Paprastasistekstas"/>
        <w:tabs>
          <w:tab w:val="left" w:pos="5954"/>
          <w:tab w:val="left" w:pos="6237"/>
          <w:tab w:val="left" w:pos="6663"/>
          <w:tab w:val="left" w:pos="6946"/>
        </w:tabs>
        <w:jc w:val="center"/>
        <w:rPr>
          <w:rFonts w:ascii="Times New Roman" w:hAnsi="Times New Roman"/>
          <w:color w:val="000000"/>
          <w:sz w:val="24"/>
          <w:highlight w:val="yellow"/>
          <w:lang w:val="lt-LT"/>
        </w:rPr>
      </w:pPr>
    </w:p>
    <w:p w14:paraId="577234BD" w14:textId="77777777" w:rsidR="00F34163" w:rsidRPr="00561601" w:rsidRDefault="00F34163" w:rsidP="00F34163">
      <w:pPr>
        <w:rPr>
          <w:noProof/>
          <w:szCs w:val="24"/>
          <w:highlight w:val="yellow"/>
          <w:lang w:val="lt-LT"/>
        </w:rPr>
      </w:pPr>
    </w:p>
    <w:p w14:paraId="535E1BE3" w14:textId="77777777" w:rsidR="00F34163" w:rsidRPr="00561601" w:rsidRDefault="00F34163" w:rsidP="00F34163">
      <w:pPr>
        <w:rPr>
          <w:noProof/>
          <w:szCs w:val="24"/>
          <w:highlight w:val="yellow"/>
          <w:lang w:val="lt-LT"/>
        </w:rPr>
      </w:pPr>
    </w:p>
    <w:p w14:paraId="5C60BC83" w14:textId="77777777" w:rsidR="00F34163" w:rsidRPr="00561601" w:rsidRDefault="00F34163" w:rsidP="00F34163">
      <w:pPr>
        <w:rPr>
          <w:noProof/>
          <w:szCs w:val="24"/>
          <w:highlight w:val="yellow"/>
          <w:lang w:val="lt-LT"/>
        </w:rPr>
      </w:pPr>
    </w:p>
    <w:p w14:paraId="062CE0C2" w14:textId="77777777" w:rsidR="00F34163" w:rsidRPr="00561601" w:rsidRDefault="00F34163" w:rsidP="00F34163">
      <w:pPr>
        <w:rPr>
          <w:noProof/>
          <w:szCs w:val="24"/>
          <w:highlight w:val="yellow"/>
          <w:lang w:val="lt-LT"/>
        </w:rPr>
      </w:pPr>
    </w:p>
    <w:p w14:paraId="02B72CED" w14:textId="77777777" w:rsidR="00F34163" w:rsidRPr="00561601" w:rsidRDefault="00F34163" w:rsidP="00F34163">
      <w:pPr>
        <w:rPr>
          <w:noProof/>
          <w:szCs w:val="24"/>
          <w:highlight w:val="yellow"/>
          <w:lang w:val="lt-LT"/>
        </w:rPr>
      </w:pPr>
    </w:p>
    <w:p w14:paraId="48432749" w14:textId="77777777" w:rsidR="00F34163" w:rsidRPr="00561601" w:rsidRDefault="00F34163" w:rsidP="00F34163">
      <w:pPr>
        <w:rPr>
          <w:noProof/>
          <w:szCs w:val="24"/>
          <w:highlight w:val="yellow"/>
          <w:lang w:val="lt-LT"/>
        </w:rPr>
      </w:pPr>
    </w:p>
    <w:p w14:paraId="5346F549" w14:textId="77777777" w:rsidR="00F34163" w:rsidRPr="00561601" w:rsidRDefault="00F34163" w:rsidP="00F34163">
      <w:pPr>
        <w:rPr>
          <w:noProof/>
          <w:szCs w:val="24"/>
          <w:highlight w:val="yellow"/>
          <w:lang w:val="lt-LT"/>
        </w:rPr>
      </w:pPr>
    </w:p>
    <w:p w14:paraId="643CD339" w14:textId="77777777" w:rsidR="00F34163" w:rsidRPr="00561601" w:rsidRDefault="00F34163" w:rsidP="00F34163">
      <w:pPr>
        <w:rPr>
          <w:noProof/>
          <w:szCs w:val="24"/>
          <w:highlight w:val="yellow"/>
          <w:lang w:val="lt-LT"/>
        </w:rPr>
      </w:pPr>
    </w:p>
    <w:p w14:paraId="0C802C85" w14:textId="77777777" w:rsidR="00F34163" w:rsidRPr="00561601" w:rsidRDefault="00F34163" w:rsidP="00F34163">
      <w:pPr>
        <w:rPr>
          <w:noProof/>
          <w:szCs w:val="24"/>
          <w:highlight w:val="yellow"/>
          <w:lang w:val="lt-LT"/>
        </w:rPr>
      </w:pPr>
    </w:p>
    <w:p w14:paraId="2C3892A1" w14:textId="77777777" w:rsidR="00F34163" w:rsidRPr="00561601" w:rsidRDefault="00F34163" w:rsidP="00F34163">
      <w:pPr>
        <w:rPr>
          <w:noProof/>
          <w:szCs w:val="24"/>
          <w:highlight w:val="yellow"/>
          <w:lang w:val="lt-LT"/>
        </w:rPr>
      </w:pPr>
    </w:p>
    <w:p w14:paraId="115DF9B1" w14:textId="77777777" w:rsidR="00F34163" w:rsidRPr="00561601" w:rsidRDefault="00F34163" w:rsidP="00F34163">
      <w:pPr>
        <w:rPr>
          <w:noProof/>
          <w:szCs w:val="24"/>
          <w:highlight w:val="yellow"/>
          <w:lang w:val="lt-LT"/>
        </w:rPr>
      </w:pPr>
    </w:p>
    <w:p w14:paraId="5D40AE8D" w14:textId="77777777" w:rsidR="00F34163" w:rsidRPr="00561601" w:rsidRDefault="00F34163" w:rsidP="00F34163">
      <w:pPr>
        <w:rPr>
          <w:noProof/>
          <w:szCs w:val="24"/>
          <w:highlight w:val="yellow"/>
          <w:lang w:val="lt-LT"/>
        </w:rPr>
      </w:pPr>
    </w:p>
    <w:p w14:paraId="15753A5B" w14:textId="77777777" w:rsidR="00F34163" w:rsidRPr="00561601" w:rsidRDefault="00F34163" w:rsidP="00F34163">
      <w:pPr>
        <w:rPr>
          <w:noProof/>
          <w:szCs w:val="24"/>
          <w:highlight w:val="yellow"/>
          <w:lang w:val="lt-LT"/>
        </w:rPr>
      </w:pPr>
    </w:p>
    <w:p w14:paraId="4D4C7473" w14:textId="77777777" w:rsidR="00F34163" w:rsidRPr="00561601" w:rsidRDefault="00F34163" w:rsidP="00F34163">
      <w:pPr>
        <w:rPr>
          <w:noProof/>
          <w:szCs w:val="24"/>
          <w:highlight w:val="yellow"/>
          <w:lang w:val="lt-LT"/>
        </w:rPr>
      </w:pPr>
    </w:p>
    <w:p w14:paraId="091C2CE2" w14:textId="77777777" w:rsidR="00F34163" w:rsidRPr="00561601" w:rsidRDefault="00F34163" w:rsidP="00F34163">
      <w:pPr>
        <w:rPr>
          <w:noProof/>
          <w:szCs w:val="24"/>
          <w:highlight w:val="yellow"/>
          <w:lang w:val="lt-LT"/>
        </w:rPr>
      </w:pPr>
    </w:p>
    <w:p w14:paraId="18F28A0F" w14:textId="77777777" w:rsidR="00F34163" w:rsidRPr="00561601" w:rsidRDefault="00F34163" w:rsidP="00F34163">
      <w:pPr>
        <w:rPr>
          <w:noProof/>
          <w:szCs w:val="24"/>
          <w:highlight w:val="yellow"/>
          <w:lang w:val="lt-LT"/>
        </w:rPr>
      </w:pPr>
    </w:p>
    <w:p w14:paraId="2BA71E84" w14:textId="77777777" w:rsidR="00F34163" w:rsidRPr="00561601" w:rsidRDefault="00F34163" w:rsidP="00F34163">
      <w:pPr>
        <w:rPr>
          <w:noProof/>
          <w:szCs w:val="24"/>
          <w:highlight w:val="yellow"/>
          <w:lang w:val="lt-LT"/>
        </w:rPr>
      </w:pPr>
    </w:p>
    <w:p w14:paraId="454A8937" w14:textId="77777777" w:rsidR="00F34163" w:rsidRPr="00561601" w:rsidRDefault="00F34163" w:rsidP="00F34163">
      <w:pPr>
        <w:jc w:val="center"/>
        <w:rPr>
          <w:b/>
          <w:lang w:val="lt-LT"/>
        </w:rPr>
      </w:pPr>
      <w:r w:rsidRPr="00561601">
        <w:rPr>
          <w:b/>
          <w:lang w:val="lt-LT"/>
        </w:rPr>
        <w:t>II PRIEDAS</w:t>
      </w:r>
    </w:p>
    <w:p w14:paraId="577EE5F6" w14:textId="77777777" w:rsidR="00F34163" w:rsidRPr="00561601" w:rsidRDefault="00F34163" w:rsidP="00F34163">
      <w:pPr>
        <w:ind w:left="1701" w:right="1416" w:hanging="567"/>
        <w:rPr>
          <w:lang w:val="lt-LT"/>
        </w:rPr>
      </w:pPr>
    </w:p>
    <w:p w14:paraId="3A48E62F" w14:textId="77777777" w:rsidR="00F34163" w:rsidRPr="00561601" w:rsidRDefault="00CE6EC2" w:rsidP="00F34163">
      <w:pPr>
        <w:jc w:val="center"/>
        <w:rPr>
          <w:b/>
          <w:lang w:val="lt-LT"/>
        </w:rPr>
      </w:pPr>
      <w:r w:rsidRPr="00561601">
        <w:rPr>
          <w:b/>
          <w:lang w:val="lt-LT"/>
        </w:rPr>
        <w:t xml:space="preserve">REGISTRACIJOS </w:t>
      </w:r>
      <w:r w:rsidR="00F34163" w:rsidRPr="00561601">
        <w:rPr>
          <w:b/>
          <w:lang w:val="lt-LT"/>
        </w:rPr>
        <w:t>SĄLYGOS</w:t>
      </w:r>
    </w:p>
    <w:p w14:paraId="19B36E6C" w14:textId="77777777" w:rsidR="00E21849" w:rsidRPr="00561601" w:rsidRDefault="00E21849" w:rsidP="00F34163">
      <w:pPr>
        <w:jc w:val="center"/>
        <w:rPr>
          <w:i/>
          <w:lang w:val="lt-LT"/>
        </w:rPr>
      </w:pPr>
    </w:p>
    <w:p w14:paraId="139FD471" w14:textId="77777777" w:rsidR="00F34163" w:rsidRPr="00561601" w:rsidRDefault="00F34163" w:rsidP="00F34163">
      <w:pPr>
        <w:tabs>
          <w:tab w:val="clear" w:pos="567"/>
          <w:tab w:val="left" w:pos="1701"/>
        </w:tabs>
        <w:ind w:left="1701" w:right="567" w:hanging="567"/>
        <w:rPr>
          <w:b/>
          <w:noProof/>
          <w:szCs w:val="24"/>
          <w:lang w:val="lt-LT"/>
        </w:rPr>
      </w:pPr>
      <w:r w:rsidRPr="00561601">
        <w:rPr>
          <w:b/>
          <w:noProof/>
          <w:szCs w:val="24"/>
          <w:lang w:val="lt-LT"/>
        </w:rPr>
        <w:t>A.</w:t>
      </w:r>
      <w:r w:rsidRPr="00561601">
        <w:rPr>
          <w:b/>
          <w:noProof/>
          <w:szCs w:val="24"/>
          <w:lang w:val="lt-LT"/>
        </w:rPr>
        <w:tab/>
        <w:t xml:space="preserve"> GAMINTOJAS (-AI), ATSAKINGAS (-I) UŽ SERIJŲ IŠLEIDIMĄ</w:t>
      </w:r>
    </w:p>
    <w:p w14:paraId="75A5B728" w14:textId="77777777" w:rsidR="00F34163" w:rsidRPr="00561601" w:rsidRDefault="00F34163" w:rsidP="00F34163">
      <w:pPr>
        <w:tabs>
          <w:tab w:val="clear" w:pos="567"/>
          <w:tab w:val="left" w:pos="1701"/>
        </w:tabs>
        <w:ind w:left="567" w:right="567" w:hanging="567"/>
        <w:rPr>
          <w:noProof/>
          <w:szCs w:val="24"/>
          <w:lang w:val="lt-LT"/>
        </w:rPr>
      </w:pPr>
    </w:p>
    <w:p w14:paraId="71707E00" w14:textId="77777777" w:rsidR="00F34163" w:rsidRPr="00561601" w:rsidRDefault="00F34163" w:rsidP="00F34163">
      <w:pPr>
        <w:tabs>
          <w:tab w:val="clear" w:pos="567"/>
          <w:tab w:val="left" w:pos="1701"/>
        </w:tabs>
        <w:ind w:left="1701" w:right="567" w:hanging="567"/>
        <w:rPr>
          <w:b/>
          <w:lang w:val="lt-LT"/>
        </w:rPr>
      </w:pPr>
      <w:r w:rsidRPr="00561601">
        <w:rPr>
          <w:b/>
          <w:lang w:val="lt-LT"/>
        </w:rPr>
        <w:t>B.</w:t>
      </w:r>
      <w:r w:rsidRPr="00561601">
        <w:rPr>
          <w:b/>
          <w:lang w:val="lt-LT"/>
        </w:rPr>
        <w:tab/>
        <w:t>TIEKIMO IR VARTOJIMO SĄLYGOS AR APRIBOJIMAI</w:t>
      </w:r>
    </w:p>
    <w:p w14:paraId="039ECB9A" w14:textId="77777777" w:rsidR="00F34163" w:rsidRPr="00561601" w:rsidRDefault="00F34163" w:rsidP="00F34163">
      <w:pPr>
        <w:tabs>
          <w:tab w:val="clear" w:pos="567"/>
          <w:tab w:val="left" w:pos="1701"/>
        </w:tabs>
        <w:ind w:left="567" w:right="567" w:hanging="567"/>
        <w:rPr>
          <w:lang w:val="lt-LT"/>
        </w:rPr>
      </w:pPr>
    </w:p>
    <w:p w14:paraId="7DF58153" w14:textId="77777777" w:rsidR="00F34163" w:rsidRPr="00561601" w:rsidRDefault="00F34163" w:rsidP="00F34163">
      <w:pPr>
        <w:ind w:left="1701" w:right="1558" w:hanging="850"/>
        <w:rPr>
          <w:b/>
          <w:highlight w:val="yellow"/>
          <w:lang w:val="lt-LT"/>
        </w:rPr>
      </w:pPr>
    </w:p>
    <w:p w14:paraId="4E6F37B3" w14:textId="77777777" w:rsidR="00F34163" w:rsidRPr="00561601" w:rsidRDefault="00F34163" w:rsidP="00F34163">
      <w:pPr>
        <w:ind w:left="567" w:hanging="567"/>
        <w:rPr>
          <w:highlight w:val="yellow"/>
          <w:lang w:val="lt-LT"/>
        </w:rPr>
      </w:pPr>
    </w:p>
    <w:p w14:paraId="1BB8B342" w14:textId="77777777" w:rsidR="00F34163" w:rsidRPr="00561601" w:rsidRDefault="00F34163" w:rsidP="00F34163">
      <w:pPr>
        <w:ind w:right="-1"/>
        <w:rPr>
          <w:highlight w:val="yellow"/>
          <w:lang w:val="lt-LT"/>
        </w:rPr>
      </w:pPr>
    </w:p>
    <w:p w14:paraId="17C1ADAA" w14:textId="77777777" w:rsidR="00F34163" w:rsidRPr="00561601" w:rsidRDefault="00F34163" w:rsidP="00F34163">
      <w:pPr>
        <w:ind w:left="567" w:hanging="567"/>
        <w:rPr>
          <w:b/>
          <w:szCs w:val="24"/>
          <w:lang w:val="lt-LT"/>
        </w:rPr>
      </w:pPr>
      <w:r w:rsidRPr="00561601">
        <w:rPr>
          <w:highlight w:val="yellow"/>
          <w:lang w:val="lt-LT"/>
        </w:rPr>
        <w:br w:type="page"/>
      </w:r>
      <w:r w:rsidRPr="00561601">
        <w:rPr>
          <w:b/>
          <w:lang w:val="lt-LT"/>
        </w:rPr>
        <w:t>A.</w:t>
      </w:r>
      <w:r w:rsidRPr="00561601">
        <w:rPr>
          <w:b/>
          <w:szCs w:val="24"/>
          <w:lang w:val="lt-LT"/>
        </w:rPr>
        <w:tab/>
      </w:r>
      <w:r w:rsidRPr="00561601">
        <w:rPr>
          <w:b/>
          <w:lang w:val="lt-LT"/>
        </w:rPr>
        <w:t xml:space="preserve"> GAMINTOJAS (-AI), ATSAKINGAS (-I) UŽ SERIJŲ IŠLEIDIMĄ</w:t>
      </w:r>
    </w:p>
    <w:p w14:paraId="7C301F8E" w14:textId="77777777" w:rsidR="00F34163" w:rsidRPr="00561601" w:rsidRDefault="00F34163" w:rsidP="00F34163">
      <w:pPr>
        <w:rPr>
          <w:szCs w:val="24"/>
          <w:lang w:val="lt-LT"/>
        </w:rPr>
      </w:pPr>
    </w:p>
    <w:p w14:paraId="5D3791C1" w14:textId="77777777" w:rsidR="001312C6" w:rsidRPr="00561601" w:rsidRDefault="001312C6" w:rsidP="001312C6">
      <w:pPr>
        <w:jc w:val="both"/>
        <w:rPr>
          <w:szCs w:val="24"/>
          <w:lang w:val="lt-LT"/>
        </w:rPr>
      </w:pPr>
      <w:r w:rsidRPr="00561601">
        <w:rPr>
          <w:noProof/>
          <w:szCs w:val="24"/>
          <w:u w:val="single"/>
          <w:lang w:val="lt-LT"/>
        </w:rPr>
        <w:t>Gamintojo, atsakingo už serijų išleidimą, pavadinimas ir adresas</w:t>
      </w:r>
    </w:p>
    <w:p w14:paraId="37DF8D07" w14:textId="77777777" w:rsidR="001312C6" w:rsidRPr="00561601" w:rsidRDefault="001312C6" w:rsidP="001312C6">
      <w:pPr>
        <w:rPr>
          <w:szCs w:val="24"/>
          <w:lang w:val="lt-LT"/>
        </w:rPr>
      </w:pPr>
    </w:p>
    <w:p w14:paraId="16321F4F" w14:textId="77777777" w:rsidR="001312C6" w:rsidRPr="00561601" w:rsidRDefault="001312C6" w:rsidP="001312C6">
      <w:pPr>
        <w:pStyle w:val="a"/>
      </w:pPr>
      <w:proofErr w:type="spellStart"/>
      <w:r w:rsidRPr="00561601">
        <w:t>Biotest</w:t>
      </w:r>
      <w:proofErr w:type="spellEnd"/>
      <w:r w:rsidRPr="00561601">
        <w:t xml:space="preserve"> </w:t>
      </w:r>
      <w:proofErr w:type="spellStart"/>
      <w:r w:rsidRPr="00561601">
        <w:t>Pharma</w:t>
      </w:r>
      <w:proofErr w:type="spellEnd"/>
      <w:r w:rsidRPr="00561601">
        <w:t xml:space="preserve"> </w:t>
      </w:r>
      <w:proofErr w:type="spellStart"/>
      <w:r w:rsidRPr="00561601">
        <w:t>GmbH</w:t>
      </w:r>
      <w:proofErr w:type="spellEnd"/>
    </w:p>
    <w:p w14:paraId="1BE7E468" w14:textId="77777777" w:rsidR="001312C6" w:rsidRPr="00561601" w:rsidRDefault="001312C6" w:rsidP="001312C6">
      <w:pPr>
        <w:pStyle w:val="a"/>
      </w:pPr>
      <w:proofErr w:type="spellStart"/>
      <w:r w:rsidRPr="00561601">
        <w:t>Landsteinerstraße</w:t>
      </w:r>
      <w:proofErr w:type="spellEnd"/>
      <w:r w:rsidRPr="00561601">
        <w:t xml:space="preserve"> 5</w:t>
      </w:r>
    </w:p>
    <w:p w14:paraId="2A3220EE" w14:textId="77777777" w:rsidR="001312C6" w:rsidRPr="00561601" w:rsidRDefault="001312C6" w:rsidP="001312C6">
      <w:pPr>
        <w:pStyle w:val="a"/>
      </w:pPr>
      <w:r w:rsidRPr="00561601">
        <w:t xml:space="preserve">63303 </w:t>
      </w:r>
      <w:proofErr w:type="spellStart"/>
      <w:r w:rsidRPr="00561601">
        <w:t>Dreieich</w:t>
      </w:r>
      <w:proofErr w:type="spellEnd"/>
    </w:p>
    <w:p w14:paraId="6026184F" w14:textId="77777777" w:rsidR="001312C6" w:rsidRPr="00561601" w:rsidRDefault="001312C6" w:rsidP="001312C6">
      <w:pPr>
        <w:jc w:val="both"/>
        <w:rPr>
          <w:lang w:val="lt-LT"/>
        </w:rPr>
      </w:pPr>
      <w:r w:rsidRPr="00561601">
        <w:rPr>
          <w:lang w:val="lt-LT"/>
        </w:rPr>
        <w:t>Vokietija</w:t>
      </w:r>
    </w:p>
    <w:p w14:paraId="307F8457" w14:textId="77777777" w:rsidR="00F34163" w:rsidRPr="00561601" w:rsidRDefault="00F34163" w:rsidP="00F34163">
      <w:pPr>
        <w:spacing w:line="240" w:lineRule="auto"/>
        <w:jc w:val="both"/>
        <w:rPr>
          <w:szCs w:val="24"/>
          <w:lang w:val="lt-LT"/>
        </w:rPr>
      </w:pPr>
    </w:p>
    <w:p w14:paraId="2704B7D4" w14:textId="77777777" w:rsidR="00F34163" w:rsidRPr="00561601" w:rsidRDefault="00F34163" w:rsidP="00F34163">
      <w:pPr>
        <w:rPr>
          <w:szCs w:val="24"/>
          <w:lang w:val="lt-LT"/>
        </w:rPr>
      </w:pPr>
    </w:p>
    <w:p w14:paraId="7B0CF8A8" w14:textId="77777777" w:rsidR="00F34163" w:rsidRPr="00561601" w:rsidRDefault="00F34163" w:rsidP="00F34163">
      <w:pPr>
        <w:rPr>
          <w:szCs w:val="24"/>
          <w:lang w:val="lt-LT"/>
        </w:rPr>
      </w:pPr>
    </w:p>
    <w:p w14:paraId="3BAC5186" w14:textId="77777777" w:rsidR="00F34163" w:rsidRPr="00561601" w:rsidRDefault="00F34163" w:rsidP="00F34163">
      <w:pPr>
        <w:spacing w:line="240" w:lineRule="auto"/>
        <w:ind w:left="567" w:hanging="567"/>
        <w:rPr>
          <w:szCs w:val="24"/>
          <w:lang w:val="lt-LT"/>
        </w:rPr>
      </w:pPr>
      <w:r w:rsidRPr="00561601">
        <w:rPr>
          <w:b/>
          <w:noProof/>
          <w:szCs w:val="24"/>
          <w:lang w:val="lt-LT"/>
        </w:rPr>
        <w:t>B.</w:t>
      </w:r>
      <w:r w:rsidRPr="00561601">
        <w:rPr>
          <w:b/>
          <w:szCs w:val="24"/>
          <w:lang w:val="lt-LT"/>
        </w:rPr>
        <w:tab/>
      </w:r>
      <w:r w:rsidRPr="00561601">
        <w:rPr>
          <w:b/>
          <w:noProof/>
          <w:szCs w:val="24"/>
          <w:lang w:val="lt-LT"/>
        </w:rPr>
        <w:t>TIEKIMO IR VARTOJIMO SĄLYGOS AR APRIBOJIMAI</w:t>
      </w:r>
    </w:p>
    <w:p w14:paraId="5CC04B55" w14:textId="77777777" w:rsidR="00F34163" w:rsidRPr="00561601" w:rsidRDefault="00F34163" w:rsidP="00F34163">
      <w:pPr>
        <w:rPr>
          <w:szCs w:val="24"/>
          <w:lang w:val="lt-LT"/>
        </w:rPr>
      </w:pPr>
    </w:p>
    <w:p w14:paraId="5816EAEC" w14:textId="77777777" w:rsidR="00F34163" w:rsidRPr="00561601" w:rsidRDefault="00F34163" w:rsidP="00F34163">
      <w:pPr>
        <w:rPr>
          <w:szCs w:val="24"/>
          <w:lang w:val="lt-LT"/>
        </w:rPr>
      </w:pPr>
      <w:r w:rsidRPr="00561601">
        <w:rPr>
          <w:lang w:val="lt-LT"/>
        </w:rPr>
        <w:t>Receptinis vaistinis preparatas</w:t>
      </w:r>
    </w:p>
    <w:p w14:paraId="023F40EC" w14:textId="77777777" w:rsidR="001A3DF1" w:rsidRPr="00561601" w:rsidRDefault="00F34163" w:rsidP="000043A4">
      <w:pPr>
        <w:pStyle w:val="Paprastasistekstas"/>
        <w:tabs>
          <w:tab w:val="left" w:pos="5954"/>
          <w:tab w:val="left" w:pos="6237"/>
          <w:tab w:val="left" w:pos="6663"/>
          <w:tab w:val="left" w:pos="6946"/>
        </w:tabs>
        <w:jc w:val="center"/>
        <w:rPr>
          <w:rFonts w:ascii="Times New Roman" w:hAnsi="Times New Roman"/>
          <w:color w:val="008000"/>
          <w:highlight w:val="yellow"/>
          <w:lang w:val="lt-LT"/>
        </w:rPr>
      </w:pPr>
      <w:r w:rsidRPr="00561601">
        <w:rPr>
          <w:b/>
          <w:noProof/>
          <w:szCs w:val="24"/>
          <w:highlight w:val="yellow"/>
          <w:lang w:val="lt-LT"/>
        </w:rPr>
        <w:br w:type="page"/>
      </w:r>
      <w:r w:rsidR="001A3DF1" w:rsidRPr="00561601">
        <w:rPr>
          <w:rFonts w:ascii="Times New Roman" w:hAnsi="Times New Roman"/>
          <w:snapToGrid w:val="0"/>
          <w:color w:val="000000"/>
          <w:sz w:val="24"/>
          <w:highlight w:val="yellow"/>
          <w:lang w:val="lt-LT"/>
        </w:rPr>
        <w:t xml:space="preserve"> </w:t>
      </w:r>
    </w:p>
    <w:p w14:paraId="4FAA4166" w14:textId="77777777" w:rsidR="00F34163" w:rsidRPr="00561601" w:rsidRDefault="00F34163" w:rsidP="001A3DF1">
      <w:pPr>
        <w:pStyle w:val="Paprastasistekstas"/>
        <w:tabs>
          <w:tab w:val="left" w:pos="5954"/>
          <w:tab w:val="left" w:pos="6237"/>
          <w:tab w:val="left" w:pos="6663"/>
          <w:tab w:val="left" w:pos="6946"/>
        </w:tabs>
        <w:jc w:val="center"/>
        <w:rPr>
          <w:rFonts w:ascii="Times New Roman" w:hAnsi="Times New Roman"/>
          <w:color w:val="000000"/>
          <w:sz w:val="24"/>
          <w:highlight w:val="yellow"/>
          <w:lang w:val="lt-LT"/>
        </w:rPr>
      </w:pPr>
    </w:p>
    <w:p w14:paraId="519BD194" w14:textId="77777777" w:rsidR="00F34163" w:rsidRPr="00561601" w:rsidRDefault="00F34163" w:rsidP="00F34163">
      <w:pPr>
        <w:ind w:right="566"/>
        <w:rPr>
          <w:noProof/>
          <w:szCs w:val="24"/>
          <w:highlight w:val="yellow"/>
          <w:lang w:val="lt-LT"/>
        </w:rPr>
      </w:pPr>
    </w:p>
    <w:p w14:paraId="61C3FE58" w14:textId="77777777" w:rsidR="00F34163" w:rsidRPr="00561601" w:rsidRDefault="00F34163" w:rsidP="00F34163">
      <w:pPr>
        <w:rPr>
          <w:highlight w:val="yellow"/>
          <w:lang w:val="lt-LT"/>
        </w:rPr>
      </w:pPr>
    </w:p>
    <w:p w14:paraId="37015F2B" w14:textId="77777777" w:rsidR="00F34163" w:rsidRPr="00561601" w:rsidRDefault="00F34163" w:rsidP="00F34163">
      <w:pPr>
        <w:rPr>
          <w:highlight w:val="yellow"/>
          <w:lang w:val="lt-LT"/>
        </w:rPr>
      </w:pPr>
    </w:p>
    <w:p w14:paraId="4AACCF5C" w14:textId="77777777" w:rsidR="00F34163" w:rsidRPr="00561601" w:rsidRDefault="00F34163" w:rsidP="00F34163">
      <w:pPr>
        <w:rPr>
          <w:highlight w:val="yellow"/>
          <w:lang w:val="lt-LT"/>
        </w:rPr>
      </w:pPr>
    </w:p>
    <w:p w14:paraId="629BD4FC" w14:textId="77777777" w:rsidR="00F34163" w:rsidRPr="00561601" w:rsidRDefault="00F34163" w:rsidP="00F34163">
      <w:pPr>
        <w:rPr>
          <w:highlight w:val="yellow"/>
          <w:lang w:val="lt-LT"/>
        </w:rPr>
      </w:pPr>
    </w:p>
    <w:p w14:paraId="0F46BC37" w14:textId="77777777" w:rsidR="00F34163" w:rsidRPr="00561601" w:rsidRDefault="00F34163" w:rsidP="00F34163">
      <w:pPr>
        <w:rPr>
          <w:highlight w:val="yellow"/>
          <w:lang w:val="lt-LT"/>
        </w:rPr>
      </w:pPr>
    </w:p>
    <w:p w14:paraId="27AF3657" w14:textId="77777777" w:rsidR="00F34163" w:rsidRPr="00561601" w:rsidRDefault="00F34163" w:rsidP="00F34163">
      <w:pPr>
        <w:rPr>
          <w:highlight w:val="yellow"/>
          <w:lang w:val="lt-LT"/>
        </w:rPr>
      </w:pPr>
    </w:p>
    <w:p w14:paraId="07C46F77" w14:textId="77777777" w:rsidR="00F34163" w:rsidRPr="00561601" w:rsidRDefault="00F34163" w:rsidP="00F34163">
      <w:pPr>
        <w:rPr>
          <w:highlight w:val="yellow"/>
          <w:lang w:val="lt-LT"/>
        </w:rPr>
      </w:pPr>
    </w:p>
    <w:p w14:paraId="15F4E321" w14:textId="77777777" w:rsidR="00F34163" w:rsidRPr="00561601" w:rsidRDefault="00F34163" w:rsidP="00F34163">
      <w:pPr>
        <w:rPr>
          <w:highlight w:val="yellow"/>
          <w:lang w:val="lt-LT"/>
        </w:rPr>
      </w:pPr>
    </w:p>
    <w:p w14:paraId="6EBA139F" w14:textId="77777777" w:rsidR="00F34163" w:rsidRPr="00561601" w:rsidRDefault="00F34163" w:rsidP="00F34163">
      <w:pPr>
        <w:rPr>
          <w:highlight w:val="yellow"/>
          <w:lang w:val="lt-LT"/>
        </w:rPr>
      </w:pPr>
    </w:p>
    <w:p w14:paraId="738FA229" w14:textId="77777777" w:rsidR="00F34163" w:rsidRPr="00561601" w:rsidRDefault="00F34163" w:rsidP="00F34163">
      <w:pPr>
        <w:rPr>
          <w:highlight w:val="yellow"/>
          <w:lang w:val="lt-LT"/>
        </w:rPr>
      </w:pPr>
    </w:p>
    <w:p w14:paraId="684CF235" w14:textId="77777777" w:rsidR="00F34163" w:rsidRPr="00561601" w:rsidRDefault="00F34163" w:rsidP="00F34163">
      <w:pPr>
        <w:rPr>
          <w:highlight w:val="yellow"/>
          <w:lang w:val="lt-LT"/>
        </w:rPr>
      </w:pPr>
    </w:p>
    <w:p w14:paraId="6AF4CA12" w14:textId="77777777" w:rsidR="00F34163" w:rsidRPr="00561601" w:rsidRDefault="00F34163" w:rsidP="00F34163">
      <w:pPr>
        <w:rPr>
          <w:highlight w:val="yellow"/>
          <w:lang w:val="lt-LT"/>
        </w:rPr>
      </w:pPr>
    </w:p>
    <w:p w14:paraId="4BF9072E" w14:textId="77777777" w:rsidR="00F34163" w:rsidRPr="00561601" w:rsidRDefault="00F34163" w:rsidP="00F34163">
      <w:pPr>
        <w:rPr>
          <w:highlight w:val="yellow"/>
          <w:lang w:val="lt-LT"/>
        </w:rPr>
      </w:pPr>
    </w:p>
    <w:p w14:paraId="2B954641" w14:textId="77777777" w:rsidR="00F34163" w:rsidRPr="00561601" w:rsidRDefault="00F34163" w:rsidP="00F34163">
      <w:pPr>
        <w:rPr>
          <w:highlight w:val="yellow"/>
          <w:lang w:val="lt-LT"/>
        </w:rPr>
      </w:pPr>
    </w:p>
    <w:p w14:paraId="18B4FD96" w14:textId="77777777" w:rsidR="00F34163" w:rsidRPr="00561601" w:rsidRDefault="00F34163" w:rsidP="00F34163">
      <w:pPr>
        <w:rPr>
          <w:highlight w:val="yellow"/>
          <w:lang w:val="lt-LT"/>
        </w:rPr>
      </w:pPr>
    </w:p>
    <w:p w14:paraId="72713264" w14:textId="77777777" w:rsidR="00F34163" w:rsidRPr="00561601" w:rsidRDefault="00F34163" w:rsidP="00F34163">
      <w:pPr>
        <w:rPr>
          <w:highlight w:val="yellow"/>
          <w:lang w:val="lt-LT"/>
        </w:rPr>
      </w:pPr>
    </w:p>
    <w:p w14:paraId="7BA70A6E" w14:textId="77777777" w:rsidR="00F34163" w:rsidRPr="00561601" w:rsidRDefault="00F34163" w:rsidP="00F34163">
      <w:pPr>
        <w:outlineLvl w:val="0"/>
        <w:rPr>
          <w:b/>
          <w:highlight w:val="yellow"/>
          <w:lang w:val="lt-LT"/>
        </w:rPr>
      </w:pPr>
    </w:p>
    <w:p w14:paraId="52481193" w14:textId="77777777" w:rsidR="00F34163" w:rsidRPr="00561601" w:rsidRDefault="00F34163" w:rsidP="00F34163">
      <w:pPr>
        <w:outlineLvl w:val="0"/>
        <w:rPr>
          <w:b/>
          <w:highlight w:val="yellow"/>
          <w:lang w:val="lt-LT"/>
        </w:rPr>
      </w:pPr>
    </w:p>
    <w:p w14:paraId="31D718BC" w14:textId="77777777" w:rsidR="00F34163" w:rsidRPr="00561601" w:rsidRDefault="00F34163" w:rsidP="00F34163">
      <w:pPr>
        <w:outlineLvl w:val="0"/>
        <w:rPr>
          <w:b/>
          <w:highlight w:val="yellow"/>
          <w:lang w:val="lt-LT"/>
        </w:rPr>
      </w:pPr>
    </w:p>
    <w:p w14:paraId="23DCA017" w14:textId="77777777" w:rsidR="00F34163" w:rsidRPr="00561601" w:rsidRDefault="00F34163" w:rsidP="00F34163">
      <w:pPr>
        <w:outlineLvl w:val="0"/>
        <w:rPr>
          <w:b/>
          <w:highlight w:val="yellow"/>
          <w:lang w:val="lt-LT"/>
        </w:rPr>
      </w:pPr>
    </w:p>
    <w:p w14:paraId="61F66A3F" w14:textId="77777777" w:rsidR="00F34163" w:rsidRPr="00561601" w:rsidRDefault="00F34163" w:rsidP="00F34163">
      <w:pPr>
        <w:outlineLvl w:val="0"/>
        <w:rPr>
          <w:b/>
          <w:highlight w:val="yellow"/>
          <w:lang w:val="lt-LT"/>
        </w:rPr>
      </w:pPr>
    </w:p>
    <w:p w14:paraId="4556CF33" w14:textId="77777777" w:rsidR="00F34163" w:rsidRPr="00561601" w:rsidRDefault="00F34163" w:rsidP="00F34163">
      <w:pPr>
        <w:outlineLvl w:val="0"/>
        <w:rPr>
          <w:b/>
          <w:highlight w:val="yellow"/>
          <w:lang w:val="lt-LT"/>
        </w:rPr>
      </w:pPr>
    </w:p>
    <w:p w14:paraId="2E57A8FA" w14:textId="77777777" w:rsidR="00F34163" w:rsidRPr="00561601" w:rsidRDefault="00F34163" w:rsidP="00F34163">
      <w:pPr>
        <w:pStyle w:val="Antrat2"/>
        <w:spacing w:before="0" w:after="0" w:line="240" w:lineRule="auto"/>
        <w:jc w:val="center"/>
        <w:rPr>
          <w:rFonts w:ascii="Times New Roman" w:hAnsi="Times New Roman"/>
          <w:bCs w:val="0"/>
          <w:i w:val="0"/>
          <w:iCs w:val="0"/>
          <w:sz w:val="22"/>
          <w:szCs w:val="24"/>
          <w:lang w:val="lt-LT"/>
        </w:rPr>
      </w:pPr>
      <w:r w:rsidRPr="00561601">
        <w:rPr>
          <w:rFonts w:ascii="Times New Roman" w:hAnsi="Times New Roman"/>
          <w:i w:val="0"/>
          <w:sz w:val="22"/>
          <w:lang w:val="lt-LT"/>
        </w:rPr>
        <w:t>III PRIEDAS</w:t>
      </w:r>
    </w:p>
    <w:p w14:paraId="73FA434D" w14:textId="77777777" w:rsidR="00F34163" w:rsidRPr="00561601" w:rsidRDefault="00F34163" w:rsidP="00F34163">
      <w:pPr>
        <w:rPr>
          <w:szCs w:val="24"/>
          <w:lang w:val="lt-LT"/>
        </w:rPr>
      </w:pPr>
    </w:p>
    <w:p w14:paraId="62F4E1EC" w14:textId="77777777" w:rsidR="00F34163" w:rsidRPr="00561601" w:rsidRDefault="00F34163" w:rsidP="00F34163">
      <w:pPr>
        <w:pStyle w:val="Antrat2"/>
        <w:spacing w:before="0" w:after="0" w:line="240" w:lineRule="auto"/>
        <w:jc w:val="center"/>
        <w:rPr>
          <w:rFonts w:ascii="Times New Roman" w:hAnsi="Times New Roman"/>
          <w:bCs w:val="0"/>
          <w:i w:val="0"/>
          <w:iCs w:val="0"/>
          <w:sz w:val="22"/>
          <w:szCs w:val="24"/>
          <w:lang w:val="lt-LT"/>
        </w:rPr>
      </w:pPr>
      <w:r w:rsidRPr="00561601">
        <w:rPr>
          <w:rFonts w:ascii="Times New Roman" w:hAnsi="Times New Roman"/>
          <w:i w:val="0"/>
          <w:sz w:val="22"/>
          <w:lang w:val="lt-LT"/>
        </w:rPr>
        <w:t>ŽENKLINIMAS IR PAKUOTĖS LAPELIS</w:t>
      </w:r>
    </w:p>
    <w:p w14:paraId="678C0BCD" w14:textId="77777777" w:rsidR="00F34163" w:rsidRPr="00561601" w:rsidRDefault="00F34163" w:rsidP="00F34163">
      <w:pPr>
        <w:rPr>
          <w:szCs w:val="24"/>
          <w:lang w:val="lt-LT"/>
        </w:rPr>
      </w:pPr>
      <w:r w:rsidRPr="00561601">
        <w:rPr>
          <w:szCs w:val="24"/>
          <w:lang w:val="lt-LT"/>
        </w:rPr>
        <w:br w:type="page"/>
      </w:r>
    </w:p>
    <w:p w14:paraId="02AD94FD" w14:textId="77777777" w:rsidR="00F34163" w:rsidRPr="00561601" w:rsidRDefault="00F34163" w:rsidP="00F34163">
      <w:pPr>
        <w:rPr>
          <w:szCs w:val="24"/>
          <w:lang w:val="lt-LT"/>
        </w:rPr>
      </w:pPr>
    </w:p>
    <w:p w14:paraId="58395565" w14:textId="77777777" w:rsidR="00F34163" w:rsidRPr="00561601" w:rsidRDefault="00F34163" w:rsidP="00F34163">
      <w:pPr>
        <w:rPr>
          <w:szCs w:val="24"/>
          <w:lang w:val="lt-LT"/>
        </w:rPr>
      </w:pPr>
    </w:p>
    <w:p w14:paraId="2A8DF955" w14:textId="77777777" w:rsidR="00F34163" w:rsidRPr="00561601" w:rsidRDefault="00F34163" w:rsidP="00F34163">
      <w:pPr>
        <w:rPr>
          <w:szCs w:val="24"/>
          <w:lang w:val="lt-LT"/>
        </w:rPr>
      </w:pPr>
    </w:p>
    <w:p w14:paraId="23A3031A" w14:textId="77777777" w:rsidR="00F34163" w:rsidRPr="00561601" w:rsidRDefault="00F34163" w:rsidP="00F34163">
      <w:pPr>
        <w:rPr>
          <w:szCs w:val="24"/>
          <w:lang w:val="lt-LT"/>
        </w:rPr>
      </w:pPr>
    </w:p>
    <w:p w14:paraId="3FBAD263" w14:textId="77777777" w:rsidR="00F34163" w:rsidRPr="00561601" w:rsidRDefault="00F34163" w:rsidP="00F34163">
      <w:pPr>
        <w:rPr>
          <w:szCs w:val="24"/>
          <w:lang w:val="lt-LT"/>
        </w:rPr>
      </w:pPr>
    </w:p>
    <w:p w14:paraId="7D2606EA" w14:textId="77777777" w:rsidR="00F34163" w:rsidRPr="00561601" w:rsidRDefault="00F34163" w:rsidP="00F34163">
      <w:pPr>
        <w:rPr>
          <w:szCs w:val="24"/>
          <w:lang w:val="lt-LT"/>
        </w:rPr>
      </w:pPr>
    </w:p>
    <w:p w14:paraId="36E42EE0" w14:textId="77777777" w:rsidR="00F34163" w:rsidRPr="00561601" w:rsidRDefault="00F34163" w:rsidP="00F34163">
      <w:pPr>
        <w:rPr>
          <w:szCs w:val="24"/>
          <w:lang w:val="lt-LT"/>
        </w:rPr>
      </w:pPr>
    </w:p>
    <w:p w14:paraId="6AE7288E" w14:textId="77777777" w:rsidR="00F34163" w:rsidRPr="00561601" w:rsidRDefault="00F34163" w:rsidP="00F34163">
      <w:pPr>
        <w:rPr>
          <w:szCs w:val="24"/>
          <w:lang w:val="lt-LT"/>
        </w:rPr>
      </w:pPr>
    </w:p>
    <w:p w14:paraId="410BBFFB" w14:textId="77777777" w:rsidR="00F34163" w:rsidRPr="00561601" w:rsidRDefault="00F34163" w:rsidP="00F34163">
      <w:pPr>
        <w:rPr>
          <w:szCs w:val="24"/>
          <w:lang w:val="lt-LT"/>
        </w:rPr>
      </w:pPr>
    </w:p>
    <w:p w14:paraId="7AD0C557" w14:textId="77777777" w:rsidR="00F34163" w:rsidRPr="00561601" w:rsidRDefault="00F34163" w:rsidP="00F34163">
      <w:pPr>
        <w:rPr>
          <w:szCs w:val="24"/>
          <w:lang w:val="lt-LT"/>
        </w:rPr>
      </w:pPr>
    </w:p>
    <w:p w14:paraId="362F8D8C" w14:textId="77777777" w:rsidR="00F34163" w:rsidRPr="00561601" w:rsidRDefault="00F34163" w:rsidP="00F34163">
      <w:pPr>
        <w:rPr>
          <w:szCs w:val="24"/>
          <w:lang w:val="lt-LT"/>
        </w:rPr>
      </w:pPr>
    </w:p>
    <w:p w14:paraId="5955FFE9" w14:textId="77777777" w:rsidR="00F34163" w:rsidRPr="00561601" w:rsidRDefault="00F34163" w:rsidP="00F34163">
      <w:pPr>
        <w:rPr>
          <w:szCs w:val="24"/>
          <w:lang w:val="lt-LT"/>
        </w:rPr>
      </w:pPr>
    </w:p>
    <w:p w14:paraId="5347757F" w14:textId="77777777" w:rsidR="00F34163" w:rsidRPr="00561601" w:rsidRDefault="00F34163" w:rsidP="00F34163">
      <w:pPr>
        <w:rPr>
          <w:szCs w:val="24"/>
          <w:lang w:val="lt-LT"/>
        </w:rPr>
      </w:pPr>
    </w:p>
    <w:p w14:paraId="77735988" w14:textId="77777777" w:rsidR="00F34163" w:rsidRPr="00561601" w:rsidRDefault="00F34163" w:rsidP="00F34163">
      <w:pPr>
        <w:rPr>
          <w:szCs w:val="24"/>
          <w:lang w:val="lt-LT"/>
        </w:rPr>
      </w:pPr>
    </w:p>
    <w:p w14:paraId="1F3EB2CA" w14:textId="77777777" w:rsidR="00F34163" w:rsidRPr="00561601" w:rsidRDefault="00F34163" w:rsidP="00F34163">
      <w:pPr>
        <w:rPr>
          <w:szCs w:val="24"/>
          <w:lang w:val="lt-LT"/>
        </w:rPr>
      </w:pPr>
    </w:p>
    <w:p w14:paraId="435DB6F1" w14:textId="77777777" w:rsidR="00F34163" w:rsidRPr="00561601" w:rsidRDefault="00F34163" w:rsidP="00F34163">
      <w:pPr>
        <w:rPr>
          <w:szCs w:val="24"/>
          <w:lang w:val="lt-LT"/>
        </w:rPr>
      </w:pPr>
    </w:p>
    <w:p w14:paraId="7D4000EE" w14:textId="77777777" w:rsidR="00F34163" w:rsidRPr="00561601" w:rsidRDefault="00F34163" w:rsidP="00F34163">
      <w:pPr>
        <w:rPr>
          <w:szCs w:val="24"/>
          <w:lang w:val="lt-LT"/>
        </w:rPr>
      </w:pPr>
    </w:p>
    <w:p w14:paraId="1B70B24F" w14:textId="77777777" w:rsidR="00F34163" w:rsidRPr="00561601" w:rsidRDefault="00F34163" w:rsidP="00F34163">
      <w:pPr>
        <w:rPr>
          <w:szCs w:val="24"/>
          <w:lang w:val="lt-LT"/>
        </w:rPr>
      </w:pPr>
    </w:p>
    <w:p w14:paraId="4D754050" w14:textId="77777777" w:rsidR="00F34163" w:rsidRPr="00561601" w:rsidRDefault="00F34163" w:rsidP="00F34163">
      <w:pPr>
        <w:rPr>
          <w:szCs w:val="24"/>
          <w:lang w:val="lt-LT"/>
        </w:rPr>
      </w:pPr>
    </w:p>
    <w:p w14:paraId="26311F12" w14:textId="77777777" w:rsidR="00F34163" w:rsidRPr="00561601" w:rsidRDefault="00F34163" w:rsidP="00F34163">
      <w:pPr>
        <w:rPr>
          <w:szCs w:val="24"/>
          <w:lang w:val="lt-LT"/>
        </w:rPr>
      </w:pPr>
    </w:p>
    <w:p w14:paraId="4581BF7E" w14:textId="77777777" w:rsidR="00F34163" w:rsidRPr="00561601" w:rsidRDefault="00F34163" w:rsidP="00F34163">
      <w:pPr>
        <w:rPr>
          <w:szCs w:val="24"/>
          <w:lang w:val="lt-LT"/>
        </w:rPr>
      </w:pPr>
    </w:p>
    <w:p w14:paraId="1D9C2954" w14:textId="77777777" w:rsidR="00F34163" w:rsidRPr="00561601" w:rsidRDefault="00F34163" w:rsidP="00F34163">
      <w:pPr>
        <w:rPr>
          <w:szCs w:val="24"/>
          <w:lang w:val="lt-LT"/>
        </w:rPr>
      </w:pPr>
    </w:p>
    <w:p w14:paraId="0AEA4C38" w14:textId="77777777" w:rsidR="00F34163" w:rsidRPr="00561601" w:rsidRDefault="00F34163" w:rsidP="00F34163">
      <w:pPr>
        <w:pStyle w:val="Antrat2"/>
        <w:spacing w:before="0" w:after="0" w:line="240" w:lineRule="auto"/>
        <w:jc w:val="center"/>
        <w:rPr>
          <w:rFonts w:ascii="Times New Roman" w:hAnsi="Times New Roman"/>
          <w:bCs w:val="0"/>
          <w:i w:val="0"/>
          <w:iCs w:val="0"/>
          <w:sz w:val="22"/>
          <w:szCs w:val="24"/>
          <w:lang w:val="lt-LT"/>
        </w:rPr>
      </w:pPr>
      <w:r w:rsidRPr="00561601">
        <w:rPr>
          <w:rFonts w:ascii="Times New Roman" w:hAnsi="Times New Roman"/>
          <w:i w:val="0"/>
          <w:sz w:val="22"/>
          <w:lang w:val="lt-LT"/>
        </w:rPr>
        <w:t>A. ŽENKLINIMAS</w:t>
      </w:r>
    </w:p>
    <w:p w14:paraId="597AA582" w14:textId="77777777" w:rsidR="00F34163" w:rsidRPr="00561601" w:rsidRDefault="00F34163" w:rsidP="00F34163">
      <w:pPr>
        <w:rPr>
          <w:szCs w:val="24"/>
          <w:lang w:val="lt-LT"/>
        </w:rPr>
      </w:pPr>
      <w:r w:rsidRPr="00561601">
        <w:rPr>
          <w:szCs w:val="24"/>
          <w:lang w:val="lt-LT"/>
        </w:rPr>
        <w:br w:type="page"/>
      </w:r>
      <w:bookmarkStart w:id="1" w:name="_Hlk106622437"/>
    </w:p>
    <w:p w14:paraId="512C49A9" w14:textId="77777777" w:rsidR="00F34163" w:rsidRPr="00561601" w:rsidRDefault="00F34163"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561601">
        <w:rPr>
          <w:b/>
          <w:noProof/>
          <w:szCs w:val="24"/>
          <w:lang w:val="lt-LT"/>
        </w:rPr>
        <w:t>INFORMACIJA ANT IŠORIN</w:t>
      </w:r>
      <w:r w:rsidR="001D1F9C" w:rsidRPr="00561601">
        <w:rPr>
          <w:b/>
          <w:noProof/>
          <w:szCs w:val="24"/>
          <w:lang w:val="lt-LT"/>
        </w:rPr>
        <w:t xml:space="preserve">ĖS </w:t>
      </w:r>
      <w:r w:rsidRPr="00561601">
        <w:rPr>
          <w:b/>
          <w:noProof/>
          <w:szCs w:val="24"/>
          <w:lang w:val="lt-LT"/>
        </w:rPr>
        <w:t>PAKUOTĖS</w:t>
      </w:r>
    </w:p>
    <w:p w14:paraId="2B12C5A4" w14:textId="77777777" w:rsidR="00F34163" w:rsidRPr="0056160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0A34F7FA" w14:textId="77777777" w:rsidR="00F34163" w:rsidRPr="00561601" w:rsidRDefault="00855CD7"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561601">
        <w:rPr>
          <w:b/>
          <w:noProof/>
          <w:szCs w:val="24"/>
          <w:lang w:val="lt-LT"/>
        </w:rPr>
        <w:t>IŠORINĖ DĖŽUTĖ</w:t>
      </w:r>
    </w:p>
    <w:p w14:paraId="2D19EBAB" w14:textId="77777777" w:rsidR="00F34163" w:rsidRPr="00561601" w:rsidRDefault="00F34163" w:rsidP="00F34163">
      <w:pPr>
        <w:rPr>
          <w:szCs w:val="24"/>
          <w:lang w:val="lt-LT"/>
        </w:rPr>
      </w:pPr>
    </w:p>
    <w:p w14:paraId="5672BB4A" w14:textId="77777777" w:rsidR="00F34163" w:rsidRPr="00561601" w:rsidRDefault="00F34163" w:rsidP="00F34163">
      <w:pPr>
        <w:rPr>
          <w:szCs w:val="24"/>
          <w:lang w:val="lt-LT"/>
        </w:rPr>
      </w:pPr>
    </w:p>
    <w:p w14:paraId="0A87DA41" w14:textId="77777777" w:rsidR="00F34163" w:rsidRPr="0056160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61601">
        <w:rPr>
          <w:b/>
          <w:szCs w:val="24"/>
          <w:lang w:val="lt-LT"/>
        </w:rPr>
        <w:t>1.</w:t>
      </w:r>
      <w:r w:rsidRPr="00561601">
        <w:rPr>
          <w:b/>
          <w:szCs w:val="24"/>
          <w:lang w:val="lt-LT"/>
        </w:rPr>
        <w:tab/>
      </w:r>
      <w:r w:rsidRPr="00561601">
        <w:rPr>
          <w:b/>
          <w:caps/>
          <w:noProof/>
          <w:szCs w:val="24"/>
          <w:lang w:val="lt-LT"/>
        </w:rPr>
        <w:t>VAISTINIO</w:t>
      </w:r>
      <w:r w:rsidRPr="00561601">
        <w:rPr>
          <w:b/>
          <w:noProof/>
          <w:szCs w:val="24"/>
          <w:lang w:val="lt-LT"/>
        </w:rPr>
        <w:t xml:space="preserve"> PREPARATO PAVADINIMAS</w:t>
      </w:r>
    </w:p>
    <w:p w14:paraId="18CCB753" w14:textId="77777777" w:rsidR="00F34163" w:rsidRPr="00561601" w:rsidRDefault="00F34163" w:rsidP="00F34163">
      <w:pPr>
        <w:rPr>
          <w:szCs w:val="24"/>
          <w:lang w:val="lt-LT"/>
        </w:rPr>
      </w:pPr>
    </w:p>
    <w:p w14:paraId="00A1981D" w14:textId="18341A87" w:rsidR="001D1F9C" w:rsidRPr="00561601" w:rsidRDefault="00E47068" w:rsidP="001D1F9C">
      <w:pPr>
        <w:spacing w:line="280" w:lineRule="atLeast"/>
        <w:jc w:val="both"/>
        <w:rPr>
          <w:snapToGrid/>
          <w:lang w:val="lt-LT"/>
        </w:rPr>
      </w:pPr>
      <w:proofErr w:type="spellStart"/>
      <w:r>
        <w:rPr>
          <w:snapToGrid/>
          <w:lang w:val="lt-LT"/>
        </w:rPr>
        <w:t>Cymvigo</w:t>
      </w:r>
      <w:proofErr w:type="spellEnd"/>
      <w:r w:rsidR="001D1F9C" w:rsidRPr="00561601">
        <w:rPr>
          <w:snapToGrid/>
          <w:lang w:val="lt-LT"/>
        </w:rPr>
        <w:t xml:space="preserve"> 100 V/ml infuzinis tirpalas</w:t>
      </w:r>
    </w:p>
    <w:p w14:paraId="52554369" w14:textId="77777777" w:rsidR="001D1F9C" w:rsidRPr="00561601" w:rsidRDefault="007E4A60" w:rsidP="001D1F9C">
      <w:pPr>
        <w:rPr>
          <w:snapToGrid/>
          <w:lang w:val="lt-LT"/>
        </w:rPr>
      </w:pPr>
      <w:r>
        <w:rPr>
          <w:snapToGrid/>
          <w:lang w:val="lt-LT"/>
        </w:rPr>
        <w:t>ž</w:t>
      </w:r>
      <w:r w:rsidR="001D1F9C" w:rsidRPr="00561601">
        <w:rPr>
          <w:snapToGrid/>
          <w:lang w:val="lt-LT"/>
        </w:rPr>
        <w:t xml:space="preserve">mogaus </w:t>
      </w:r>
      <w:proofErr w:type="spellStart"/>
      <w:r w:rsidR="001D1F9C" w:rsidRPr="00561601">
        <w:rPr>
          <w:snapToGrid/>
          <w:lang w:val="lt-LT"/>
        </w:rPr>
        <w:t>citomegalo</w:t>
      </w:r>
      <w:proofErr w:type="spellEnd"/>
      <w:r w:rsidR="001D1F9C" w:rsidRPr="00561601">
        <w:rPr>
          <w:snapToGrid/>
          <w:lang w:val="lt-LT"/>
        </w:rPr>
        <w:t xml:space="preserve"> viruso imunoglobulinas</w:t>
      </w:r>
    </w:p>
    <w:p w14:paraId="2C07F9CD" w14:textId="77777777" w:rsidR="00F34163" w:rsidRPr="00561601" w:rsidRDefault="00F34163" w:rsidP="00F34163">
      <w:pPr>
        <w:rPr>
          <w:szCs w:val="24"/>
          <w:lang w:val="lt-LT"/>
        </w:rPr>
      </w:pPr>
    </w:p>
    <w:p w14:paraId="4906E691" w14:textId="77777777" w:rsidR="00F34163" w:rsidRPr="00561601" w:rsidRDefault="00F34163" w:rsidP="00F34163">
      <w:pPr>
        <w:rPr>
          <w:szCs w:val="24"/>
          <w:lang w:val="lt-LT"/>
        </w:rPr>
      </w:pPr>
    </w:p>
    <w:p w14:paraId="28C83240" w14:textId="77777777" w:rsidR="00F34163" w:rsidRPr="0056160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561601">
        <w:rPr>
          <w:b/>
          <w:szCs w:val="24"/>
          <w:lang w:val="lt-LT"/>
        </w:rPr>
        <w:t>2.</w:t>
      </w:r>
      <w:r w:rsidRPr="00561601">
        <w:rPr>
          <w:b/>
          <w:szCs w:val="24"/>
          <w:lang w:val="lt-LT"/>
        </w:rPr>
        <w:tab/>
      </w:r>
      <w:r w:rsidRPr="00561601">
        <w:rPr>
          <w:b/>
          <w:noProof/>
          <w:szCs w:val="24"/>
          <w:lang w:val="lt-LT"/>
        </w:rPr>
        <w:t>VEIKLIOJI (-IOS) MEDŽIAGA (-OS) IR JOS (-Ų) KIEKIS (-IAI)</w:t>
      </w:r>
    </w:p>
    <w:p w14:paraId="233C9878" w14:textId="77777777" w:rsidR="00F34163" w:rsidRPr="00561601" w:rsidRDefault="00F34163" w:rsidP="00F34163">
      <w:pPr>
        <w:rPr>
          <w:szCs w:val="24"/>
          <w:lang w:val="lt-LT"/>
        </w:rPr>
      </w:pPr>
    </w:p>
    <w:p w14:paraId="66B1F78D" w14:textId="77777777" w:rsidR="001D1F9C" w:rsidRPr="00561601" w:rsidRDefault="001D1F9C" w:rsidP="001D1F9C">
      <w:pPr>
        <w:rPr>
          <w:snapToGrid/>
          <w:lang w:val="lt-LT"/>
        </w:rPr>
      </w:pPr>
      <w:r w:rsidRPr="00561601">
        <w:rPr>
          <w:snapToGrid/>
          <w:lang w:val="lt-LT"/>
        </w:rPr>
        <w:t>1 ml infuzinio tirpalo yra:</w:t>
      </w:r>
    </w:p>
    <w:p w14:paraId="5472D2C2" w14:textId="77777777" w:rsidR="001D1F9C" w:rsidRPr="00561601" w:rsidRDefault="0027120D" w:rsidP="001D1F9C">
      <w:pPr>
        <w:tabs>
          <w:tab w:val="left" w:pos="5103"/>
          <w:tab w:val="left" w:pos="5387"/>
        </w:tabs>
        <w:rPr>
          <w:snapToGrid/>
          <w:lang w:val="lt-LT"/>
        </w:rPr>
      </w:pPr>
      <w:r>
        <w:rPr>
          <w:snapToGrid/>
          <w:lang w:val="lt-LT"/>
        </w:rPr>
        <w:t>ž</w:t>
      </w:r>
      <w:r w:rsidR="001D1F9C" w:rsidRPr="00561601">
        <w:rPr>
          <w:snapToGrid/>
          <w:lang w:val="lt-LT"/>
        </w:rPr>
        <w:t>mogaus plazmos baltymo</w:t>
      </w:r>
      <w:r w:rsidR="001D1F9C" w:rsidRPr="00561601">
        <w:rPr>
          <w:snapToGrid/>
          <w:lang w:val="lt-LT"/>
        </w:rPr>
        <w:tab/>
        <w:t>50 mg</w:t>
      </w:r>
    </w:p>
    <w:p w14:paraId="540C43F4" w14:textId="77777777" w:rsidR="001D1F9C" w:rsidRPr="00561601" w:rsidRDefault="001D1F9C" w:rsidP="001D1F9C">
      <w:pPr>
        <w:tabs>
          <w:tab w:val="left" w:pos="4678"/>
        </w:tabs>
        <w:rPr>
          <w:snapToGrid/>
          <w:lang w:val="lt-LT"/>
        </w:rPr>
      </w:pPr>
      <w:r w:rsidRPr="00561601">
        <w:rPr>
          <w:snapToGrid/>
          <w:lang w:val="lt-LT"/>
        </w:rPr>
        <w:t>iš kurio imunoglobulino G*</w:t>
      </w:r>
      <w:r w:rsidRPr="00561601">
        <w:rPr>
          <w:snapToGrid/>
          <w:lang w:val="lt-LT"/>
        </w:rPr>
        <w:tab/>
      </w:r>
      <w:r w:rsidRPr="00561601">
        <w:rPr>
          <w:snapToGrid/>
          <w:lang w:val="lt-LT"/>
        </w:rPr>
        <w:sym w:font="Symbol" w:char="F0B3"/>
      </w:r>
      <w:r w:rsidRPr="00561601">
        <w:rPr>
          <w:snapToGrid/>
          <w:lang w:val="lt-LT"/>
        </w:rPr>
        <w:tab/>
        <w:t>96 %</w:t>
      </w:r>
    </w:p>
    <w:p w14:paraId="7597BB8F" w14:textId="77777777" w:rsidR="001D1F9C" w:rsidRPr="00561601" w:rsidRDefault="001D1F9C" w:rsidP="001D1F9C">
      <w:pPr>
        <w:rPr>
          <w:snapToGrid/>
          <w:lang w:val="lt-LT"/>
        </w:rPr>
      </w:pPr>
      <w:r w:rsidRPr="00561601">
        <w:rPr>
          <w:snapToGrid/>
          <w:lang w:val="lt-LT"/>
        </w:rPr>
        <w:t>antikūnų prie</w:t>
      </w:r>
      <w:r w:rsidR="000E2574" w:rsidRPr="00561601">
        <w:rPr>
          <w:snapToGrid/>
          <w:lang w:val="lt-LT"/>
        </w:rPr>
        <w:t xml:space="preserve">š </w:t>
      </w:r>
      <w:proofErr w:type="spellStart"/>
      <w:r w:rsidR="000E2574" w:rsidRPr="00561601">
        <w:rPr>
          <w:snapToGrid/>
          <w:lang w:val="lt-LT"/>
        </w:rPr>
        <w:t>citomegalo</w:t>
      </w:r>
      <w:proofErr w:type="spellEnd"/>
      <w:r w:rsidR="000E2574" w:rsidRPr="00561601">
        <w:rPr>
          <w:snapToGrid/>
          <w:lang w:val="lt-LT"/>
        </w:rPr>
        <w:t xml:space="preserve"> virusą </w:t>
      </w:r>
      <w:r w:rsidR="000E2574" w:rsidRPr="00561601">
        <w:rPr>
          <w:snapToGrid/>
          <w:lang w:val="lt-LT"/>
        </w:rPr>
        <w:tab/>
      </w:r>
      <w:r w:rsidR="000E2574" w:rsidRPr="00561601">
        <w:rPr>
          <w:snapToGrid/>
          <w:lang w:val="lt-LT"/>
        </w:rPr>
        <w:tab/>
      </w:r>
      <w:r w:rsidRPr="00561601">
        <w:rPr>
          <w:snapToGrid/>
          <w:lang w:val="lt-LT"/>
        </w:rPr>
        <w:t>100 V**</w:t>
      </w:r>
    </w:p>
    <w:p w14:paraId="59034792" w14:textId="77777777" w:rsidR="001D1F9C" w:rsidRPr="00561601" w:rsidRDefault="001D1F9C" w:rsidP="001D1F9C">
      <w:pPr>
        <w:rPr>
          <w:snapToGrid/>
          <w:lang w:val="lt-LT"/>
        </w:rPr>
      </w:pPr>
    </w:p>
    <w:p w14:paraId="6DDD9828" w14:textId="77777777" w:rsidR="001D1F9C" w:rsidRPr="00561601" w:rsidRDefault="001D1F9C" w:rsidP="001D1F9C">
      <w:pPr>
        <w:rPr>
          <w:snapToGrid/>
          <w:lang w:val="lt-LT"/>
        </w:rPr>
      </w:pPr>
      <w:r w:rsidRPr="00561601">
        <w:rPr>
          <w:snapToGrid/>
          <w:lang w:val="lt-LT"/>
        </w:rPr>
        <w:t>*</w:t>
      </w:r>
      <w:proofErr w:type="spellStart"/>
      <w:r w:rsidRPr="00561601">
        <w:rPr>
          <w:snapToGrid/>
          <w:lang w:val="lt-LT"/>
        </w:rPr>
        <w:t>IgG</w:t>
      </w:r>
      <w:proofErr w:type="spellEnd"/>
      <w:r w:rsidRPr="00561601">
        <w:rPr>
          <w:snapToGrid/>
          <w:lang w:val="lt-LT"/>
        </w:rPr>
        <w:t xml:space="preserve"> poklasių pasiskirstymas: 65 % IgG1, 30 % IgG2, 3 % IgG3, 2 % IgG4, </w:t>
      </w:r>
    </w:p>
    <w:p w14:paraId="69233ADA" w14:textId="77777777" w:rsidR="001D1F9C" w:rsidRPr="00561601" w:rsidRDefault="001D1F9C" w:rsidP="001D1F9C">
      <w:pPr>
        <w:rPr>
          <w:snapToGrid/>
          <w:lang w:val="lt-LT"/>
        </w:rPr>
      </w:pPr>
      <w:proofErr w:type="spellStart"/>
      <w:r w:rsidRPr="00561601">
        <w:rPr>
          <w:snapToGrid/>
          <w:lang w:val="lt-LT"/>
        </w:rPr>
        <w:t>IgA</w:t>
      </w:r>
      <w:proofErr w:type="spellEnd"/>
      <w:r w:rsidRPr="00561601">
        <w:rPr>
          <w:snapToGrid/>
          <w:lang w:val="lt-LT"/>
        </w:rPr>
        <w:t xml:space="preserve"> kiekis ≤ 2 000 </w:t>
      </w:r>
      <w:proofErr w:type="spellStart"/>
      <w:r w:rsidRPr="00561601">
        <w:rPr>
          <w:snapToGrid/>
          <w:lang w:val="lt-LT"/>
        </w:rPr>
        <w:t>mikrogramų</w:t>
      </w:r>
      <w:proofErr w:type="spellEnd"/>
      <w:r w:rsidRPr="00561601">
        <w:rPr>
          <w:snapToGrid/>
          <w:lang w:val="lt-LT"/>
        </w:rPr>
        <w:t>/ml.</w:t>
      </w:r>
    </w:p>
    <w:p w14:paraId="0795B502" w14:textId="77777777" w:rsidR="001D1F9C" w:rsidRPr="00561601" w:rsidRDefault="001D1F9C" w:rsidP="001D1F9C">
      <w:pPr>
        <w:rPr>
          <w:snapToGrid/>
          <w:lang w:val="lt-LT"/>
        </w:rPr>
      </w:pPr>
    </w:p>
    <w:p w14:paraId="154DD237" w14:textId="77777777" w:rsidR="001D1F9C" w:rsidRPr="00561601" w:rsidRDefault="001D1F9C" w:rsidP="001D1F9C">
      <w:pPr>
        <w:rPr>
          <w:iCs/>
          <w:snapToGrid/>
          <w:szCs w:val="22"/>
          <w:lang w:val="lt-LT"/>
        </w:rPr>
      </w:pPr>
      <w:r w:rsidRPr="00561601">
        <w:rPr>
          <w:snapToGrid/>
          <w:lang w:val="lt-LT"/>
        </w:rPr>
        <w:t>Kiekviename 10 ml flakone yra 500 mg žmogaus plazmos baltymo, kurio antikūnų prieš CMV kiekis yra 1 000 V.</w:t>
      </w:r>
    </w:p>
    <w:p w14:paraId="65863C34" w14:textId="77777777" w:rsidR="001D1F9C" w:rsidRPr="00561601" w:rsidRDefault="001D1F9C" w:rsidP="001D1F9C">
      <w:pPr>
        <w:shd w:val="clear" w:color="auto" w:fill="D9D9D9"/>
        <w:rPr>
          <w:iCs/>
          <w:snapToGrid/>
          <w:szCs w:val="22"/>
          <w:lang w:val="lt-LT"/>
        </w:rPr>
      </w:pPr>
      <w:r w:rsidRPr="00561601">
        <w:rPr>
          <w:snapToGrid/>
          <w:lang w:val="lt-LT"/>
        </w:rPr>
        <w:t>Kiekviename 50 ml flakone yra 2 500 mg žmogaus plazmos baltymo, kurio antikūnų prieš CMV kiekis yra 5 000 V.</w:t>
      </w:r>
    </w:p>
    <w:p w14:paraId="69C087E1" w14:textId="77777777" w:rsidR="001D1F9C" w:rsidRPr="00561601" w:rsidRDefault="001D1F9C" w:rsidP="001D1F9C">
      <w:pPr>
        <w:rPr>
          <w:snapToGrid/>
          <w:lang w:val="lt-LT"/>
        </w:rPr>
      </w:pPr>
    </w:p>
    <w:p w14:paraId="1A29BFA5" w14:textId="30363AB0" w:rsidR="001D1F9C" w:rsidRPr="00561601" w:rsidRDefault="001D1F9C" w:rsidP="001D1F9C">
      <w:pPr>
        <w:rPr>
          <w:snapToGrid/>
          <w:lang w:val="lt-LT"/>
        </w:rPr>
      </w:pPr>
      <w:r w:rsidRPr="00561601">
        <w:rPr>
          <w:snapToGrid/>
          <w:lang w:val="lt-LT"/>
        </w:rPr>
        <w:t>**Paul</w:t>
      </w:r>
      <w:r w:rsidR="007E6A04">
        <w:rPr>
          <w:snapToGrid/>
          <w:lang w:val="lt-LT"/>
        </w:rPr>
        <w:t xml:space="preserve">o </w:t>
      </w:r>
      <w:proofErr w:type="spellStart"/>
      <w:r w:rsidRPr="00561601">
        <w:rPr>
          <w:snapToGrid/>
          <w:lang w:val="lt-LT"/>
        </w:rPr>
        <w:t>Erlich</w:t>
      </w:r>
      <w:r w:rsidR="007E6A04">
        <w:rPr>
          <w:snapToGrid/>
          <w:lang w:val="lt-LT"/>
        </w:rPr>
        <w:t>o</w:t>
      </w:r>
      <w:proofErr w:type="spellEnd"/>
      <w:r w:rsidR="007E6A04">
        <w:rPr>
          <w:snapToGrid/>
          <w:lang w:val="lt-LT"/>
        </w:rPr>
        <w:t xml:space="preserve"> </w:t>
      </w:r>
      <w:r w:rsidRPr="00561601">
        <w:rPr>
          <w:snapToGrid/>
          <w:lang w:val="lt-LT"/>
        </w:rPr>
        <w:t>Institut</w:t>
      </w:r>
      <w:r w:rsidR="007E6A04">
        <w:rPr>
          <w:snapToGrid/>
          <w:lang w:val="lt-LT"/>
        </w:rPr>
        <w:t>o</w:t>
      </w:r>
      <w:r w:rsidRPr="00561601">
        <w:rPr>
          <w:snapToGrid/>
          <w:lang w:val="lt-LT"/>
        </w:rPr>
        <w:t xml:space="preserve"> etaloninio preparato vienetai</w:t>
      </w:r>
    </w:p>
    <w:p w14:paraId="4EA9EEEA" w14:textId="77777777" w:rsidR="00F34163" w:rsidRPr="00561601" w:rsidRDefault="00F34163" w:rsidP="00F34163">
      <w:pPr>
        <w:rPr>
          <w:szCs w:val="24"/>
          <w:lang w:val="lt-LT"/>
        </w:rPr>
      </w:pPr>
    </w:p>
    <w:p w14:paraId="683F55E8" w14:textId="77777777" w:rsidR="00F34163" w:rsidRPr="00561601" w:rsidRDefault="00F34163" w:rsidP="00F34163">
      <w:pPr>
        <w:rPr>
          <w:szCs w:val="24"/>
          <w:lang w:val="lt-LT"/>
        </w:rPr>
      </w:pPr>
    </w:p>
    <w:p w14:paraId="60CF8962" w14:textId="77777777" w:rsidR="00F34163" w:rsidRPr="0056160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61601">
        <w:rPr>
          <w:b/>
          <w:szCs w:val="24"/>
          <w:lang w:val="lt-LT"/>
        </w:rPr>
        <w:t>3.</w:t>
      </w:r>
      <w:r w:rsidRPr="00561601">
        <w:rPr>
          <w:b/>
          <w:szCs w:val="24"/>
          <w:lang w:val="lt-LT"/>
        </w:rPr>
        <w:tab/>
      </w:r>
      <w:r w:rsidRPr="00561601">
        <w:rPr>
          <w:b/>
          <w:noProof/>
          <w:szCs w:val="24"/>
          <w:lang w:val="lt-LT"/>
        </w:rPr>
        <w:t>PAGALBINIŲ MEDŽIAGŲ SĄRAŠAS</w:t>
      </w:r>
    </w:p>
    <w:p w14:paraId="14D66838" w14:textId="77777777" w:rsidR="001D1F9C" w:rsidRPr="00561601" w:rsidRDefault="001D1F9C" w:rsidP="001D1F9C">
      <w:pPr>
        <w:rPr>
          <w:snapToGrid/>
          <w:lang w:val="lt-LT"/>
        </w:rPr>
      </w:pPr>
    </w:p>
    <w:p w14:paraId="0068EA3D" w14:textId="58F0B3F2" w:rsidR="001D1F9C" w:rsidRPr="00561601" w:rsidRDefault="00023C68" w:rsidP="001D1F9C">
      <w:pPr>
        <w:rPr>
          <w:noProof/>
          <w:snapToGrid/>
          <w:lang w:val="lt-LT"/>
        </w:rPr>
      </w:pPr>
      <w:r>
        <w:rPr>
          <w:snapToGrid/>
          <w:lang w:val="lt-LT"/>
        </w:rPr>
        <w:t>G</w:t>
      </w:r>
      <w:r w:rsidRPr="00561601">
        <w:rPr>
          <w:snapToGrid/>
          <w:lang w:val="lt-LT"/>
        </w:rPr>
        <w:t>licinas</w:t>
      </w:r>
      <w:r w:rsidR="001D1F9C" w:rsidRPr="00561601">
        <w:rPr>
          <w:snapToGrid/>
          <w:lang w:val="lt-LT"/>
        </w:rPr>
        <w:t>, injekcinis vanduo</w:t>
      </w:r>
      <w:r w:rsidR="0092674D">
        <w:rPr>
          <w:snapToGrid/>
          <w:lang w:val="lt-LT"/>
        </w:rPr>
        <w:t>.</w:t>
      </w:r>
    </w:p>
    <w:p w14:paraId="53EEDAFC" w14:textId="77777777" w:rsidR="00F34163" w:rsidRPr="00561601" w:rsidRDefault="00F34163" w:rsidP="00F34163">
      <w:pPr>
        <w:rPr>
          <w:szCs w:val="24"/>
          <w:lang w:val="lt-LT"/>
        </w:rPr>
      </w:pPr>
    </w:p>
    <w:p w14:paraId="0D53D190" w14:textId="77777777" w:rsidR="00F34163" w:rsidRPr="00561601" w:rsidRDefault="00F34163" w:rsidP="00F34163">
      <w:pPr>
        <w:rPr>
          <w:szCs w:val="24"/>
          <w:lang w:val="lt-LT"/>
        </w:rPr>
      </w:pPr>
    </w:p>
    <w:p w14:paraId="639B4545" w14:textId="77777777" w:rsidR="00F34163" w:rsidRPr="0056160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61601">
        <w:rPr>
          <w:b/>
          <w:szCs w:val="24"/>
          <w:lang w:val="lt-LT"/>
        </w:rPr>
        <w:t>4.</w:t>
      </w:r>
      <w:r w:rsidRPr="00561601">
        <w:rPr>
          <w:b/>
          <w:szCs w:val="24"/>
          <w:lang w:val="lt-LT"/>
        </w:rPr>
        <w:tab/>
      </w:r>
      <w:r w:rsidRPr="00561601">
        <w:rPr>
          <w:b/>
          <w:noProof/>
          <w:szCs w:val="24"/>
          <w:lang w:val="lt-LT"/>
        </w:rPr>
        <w:t>FARMACINĖ FORMA IR KIEKIS PAKUOTĖJE</w:t>
      </w:r>
    </w:p>
    <w:p w14:paraId="56BD5E9A" w14:textId="77777777" w:rsidR="001D1F9C" w:rsidRPr="00561601" w:rsidRDefault="001D1F9C" w:rsidP="001D1F9C">
      <w:pPr>
        <w:rPr>
          <w:snapToGrid/>
          <w:lang w:val="lt-LT"/>
        </w:rPr>
      </w:pPr>
    </w:p>
    <w:p w14:paraId="39E3216C" w14:textId="77777777" w:rsidR="001D1F9C" w:rsidRPr="00561601" w:rsidRDefault="001D1F9C" w:rsidP="001D1F9C">
      <w:pPr>
        <w:rPr>
          <w:snapToGrid/>
          <w:lang w:val="lt-LT"/>
        </w:rPr>
      </w:pPr>
      <w:r w:rsidRPr="00561601">
        <w:rPr>
          <w:snapToGrid/>
          <w:lang w:val="lt-LT"/>
        </w:rPr>
        <w:t>Infuzinis tirpalas</w:t>
      </w:r>
    </w:p>
    <w:p w14:paraId="59860027" w14:textId="77777777" w:rsidR="001D1F9C" w:rsidRPr="00561601" w:rsidRDefault="001D1F9C" w:rsidP="001D1F9C">
      <w:pPr>
        <w:rPr>
          <w:snapToGrid/>
          <w:lang w:val="lt-LT"/>
        </w:rPr>
      </w:pPr>
      <w:r w:rsidRPr="00561601">
        <w:rPr>
          <w:snapToGrid/>
          <w:lang w:val="lt-LT"/>
        </w:rPr>
        <w:t>10 ml / 1 000 V</w:t>
      </w:r>
    </w:p>
    <w:p w14:paraId="04C0C2CB" w14:textId="77777777" w:rsidR="001D1F9C" w:rsidRPr="00561601" w:rsidRDefault="001D1F9C" w:rsidP="001D1F9C">
      <w:pPr>
        <w:shd w:val="clear" w:color="auto" w:fill="D9D9D9"/>
        <w:rPr>
          <w:noProof/>
          <w:snapToGrid/>
          <w:lang w:val="lt-LT"/>
        </w:rPr>
      </w:pPr>
      <w:r w:rsidRPr="00561601">
        <w:rPr>
          <w:snapToGrid/>
          <w:lang w:val="lt-LT"/>
        </w:rPr>
        <w:t>50 ml / 5 000 V</w:t>
      </w:r>
    </w:p>
    <w:p w14:paraId="71FDAB6D" w14:textId="77777777" w:rsidR="00F34163" w:rsidRPr="0036167A" w:rsidRDefault="00F34163" w:rsidP="00F34163">
      <w:pPr>
        <w:rPr>
          <w:sz w:val="16"/>
          <w:szCs w:val="16"/>
          <w:lang w:val="lt-LT"/>
        </w:rPr>
      </w:pPr>
    </w:p>
    <w:p w14:paraId="2BA671F4" w14:textId="77777777" w:rsidR="00F34163" w:rsidRPr="00561601" w:rsidRDefault="00F34163" w:rsidP="00F34163">
      <w:pPr>
        <w:rPr>
          <w:szCs w:val="24"/>
          <w:lang w:val="lt-LT"/>
        </w:rPr>
      </w:pPr>
    </w:p>
    <w:p w14:paraId="2B6E7323" w14:textId="77777777" w:rsidR="00F34163" w:rsidRPr="0056160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61601">
        <w:rPr>
          <w:b/>
          <w:szCs w:val="24"/>
          <w:lang w:val="lt-LT"/>
        </w:rPr>
        <w:t>5.</w:t>
      </w:r>
      <w:r w:rsidRPr="00561601">
        <w:rPr>
          <w:b/>
          <w:szCs w:val="24"/>
          <w:lang w:val="lt-LT"/>
        </w:rPr>
        <w:tab/>
      </w:r>
      <w:r w:rsidRPr="00561601">
        <w:rPr>
          <w:b/>
          <w:noProof/>
          <w:szCs w:val="24"/>
          <w:lang w:val="lt-LT"/>
        </w:rPr>
        <w:t>VARTOJIMO METODAS IR BŪDAS (-AI)</w:t>
      </w:r>
    </w:p>
    <w:p w14:paraId="4743C2DB" w14:textId="77777777" w:rsidR="001D1F9C" w:rsidRPr="00561601" w:rsidRDefault="001D1F9C" w:rsidP="001D1F9C">
      <w:pPr>
        <w:tabs>
          <w:tab w:val="clear" w:pos="567"/>
        </w:tabs>
        <w:spacing w:line="240" w:lineRule="auto"/>
        <w:rPr>
          <w:snapToGrid/>
          <w:lang w:val="lt-LT"/>
        </w:rPr>
      </w:pPr>
    </w:p>
    <w:p w14:paraId="0D972DCB" w14:textId="77777777" w:rsidR="001D1F9C" w:rsidRPr="00561601" w:rsidRDefault="001D1F9C" w:rsidP="001D1F9C">
      <w:pPr>
        <w:tabs>
          <w:tab w:val="clear" w:pos="567"/>
        </w:tabs>
        <w:spacing w:line="240" w:lineRule="auto"/>
        <w:rPr>
          <w:noProof/>
          <w:snapToGrid/>
          <w:lang w:val="lt-LT"/>
        </w:rPr>
      </w:pPr>
      <w:r w:rsidRPr="00561601">
        <w:rPr>
          <w:snapToGrid/>
          <w:lang w:val="lt-LT"/>
        </w:rPr>
        <w:t>Leisti į veną</w:t>
      </w:r>
    </w:p>
    <w:p w14:paraId="7BC47D3D" w14:textId="77777777" w:rsidR="00F34163" w:rsidRPr="00561601" w:rsidRDefault="00F34163" w:rsidP="00F34163">
      <w:pPr>
        <w:rPr>
          <w:szCs w:val="24"/>
          <w:lang w:val="lt-LT"/>
        </w:rPr>
      </w:pPr>
      <w:r w:rsidRPr="00561601">
        <w:rPr>
          <w:noProof/>
          <w:szCs w:val="24"/>
          <w:lang w:val="lt-LT"/>
        </w:rPr>
        <w:t>Prieš vartojimą perskaitykite pakuotės lapelį.</w:t>
      </w:r>
    </w:p>
    <w:p w14:paraId="3C058BB7" w14:textId="77777777" w:rsidR="00F34163" w:rsidRPr="0036167A" w:rsidRDefault="00F34163" w:rsidP="00F34163">
      <w:pPr>
        <w:rPr>
          <w:sz w:val="16"/>
          <w:szCs w:val="16"/>
          <w:lang w:val="lt-LT"/>
        </w:rPr>
      </w:pPr>
    </w:p>
    <w:p w14:paraId="3BCDBD61" w14:textId="77777777" w:rsidR="00F34163" w:rsidRPr="00561601" w:rsidRDefault="00F34163" w:rsidP="00F34163">
      <w:pPr>
        <w:rPr>
          <w:szCs w:val="24"/>
          <w:lang w:val="lt-LT"/>
        </w:rPr>
      </w:pPr>
    </w:p>
    <w:p w14:paraId="5EE6FA2B" w14:textId="77777777" w:rsidR="00F34163" w:rsidRPr="0056160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61601">
        <w:rPr>
          <w:b/>
          <w:szCs w:val="24"/>
          <w:lang w:val="lt-LT"/>
        </w:rPr>
        <w:t>6.</w:t>
      </w:r>
      <w:r w:rsidRPr="00561601">
        <w:rPr>
          <w:b/>
          <w:szCs w:val="24"/>
          <w:lang w:val="lt-LT"/>
        </w:rPr>
        <w:tab/>
      </w:r>
      <w:r w:rsidRPr="00561601">
        <w:rPr>
          <w:b/>
          <w:noProof/>
          <w:szCs w:val="24"/>
          <w:lang w:val="lt-LT"/>
        </w:rPr>
        <w:t>SPECIALUS ĮSPĖJIMAS, KAD VAISTINĮ PREPARATĄ BŪTINA LAIKYTI VAIKAMS NEPASTEBIMOJE IR  NEPASIEKIAMOJE VIETOJE</w:t>
      </w:r>
    </w:p>
    <w:p w14:paraId="5E182BD8" w14:textId="77777777" w:rsidR="00F34163" w:rsidRPr="00561601" w:rsidRDefault="00F34163" w:rsidP="00F34163">
      <w:pPr>
        <w:rPr>
          <w:szCs w:val="24"/>
          <w:lang w:val="lt-LT"/>
        </w:rPr>
      </w:pPr>
    </w:p>
    <w:p w14:paraId="6056F0B5" w14:textId="77777777" w:rsidR="00F34163" w:rsidRPr="00561601" w:rsidRDefault="00F34163" w:rsidP="00F34163">
      <w:pPr>
        <w:rPr>
          <w:szCs w:val="24"/>
          <w:lang w:val="lt-LT"/>
        </w:rPr>
      </w:pPr>
      <w:r w:rsidRPr="00561601">
        <w:rPr>
          <w:noProof/>
          <w:szCs w:val="24"/>
          <w:lang w:val="lt-LT"/>
        </w:rPr>
        <w:t>Laikyti vaikams nepastebimoje ir nepasiekiamoje vietoje.</w:t>
      </w:r>
    </w:p>
    <w:p w14:paraId="025D3789" w14:textId="77777777" w:rsidR="00F34163" w:rsidRPr="00561601" w:rsidRDefault="00F34163" w:rsidP="00F34163">
      <w:pPr>
        <w:rPr>
          <w:szCs w:val="24"/>
          <w:lang w:val="lt-LT"/>
        </w:rPr>
      </w:pPr>
    </w:p>
    <w:p w14:paraId="4D2825D6" w14:textId="77777777" w:rsidR="00F34163" w:rsidRPr="00561601" w:rsidRDefault="00F34163" w:rsidP="00F34163">
      <w:pPr>
        <w:rPr>
          <w:szCs w:val="24"/>
          <w:lang w:val="lt-LT"/>
        </w:rPr>
      </w:pPr>
    </w:p>
    <w:p w14:paraId="18405CE3" w14:textId="77777777" w:rsidR="00F34163" w:rsidRPr="0056160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61601">
        <w:rPr>
          <w:b/>
          <w:szCs w:val="24"/>
          <w:lang w:val="lt-LT"/>
        </w:rPr>
        <w:t>7.</w:t>
      </w:r>
      <w:r w:rsidRPr="00561601">
        <w:rPr>
          <w:b/>
          <w:szCs w:val="24"/>
          <w:lang w:val="lt-LT"/>
        </w:rPr>
        <w:tab/>
      </w:r>
      <w:r w:rsidRPr="00561601">
        <w:rPr>
          <w:b/>
          <w:noProof/>
          <w:szCs w:val="24"/>
          <w:lang w:val="lt-LT"/>
        </w:rPr>
        <w:t>KITAS (-I) SPECIALUS (-ŪS) ĮSPĖJIMAS (-AI) (JEI REIKIA)</w:t>
      </w:r>
    </w:p>
    <w:p w14:paraId="78382849" w14:textId="77777777" w:rsidR="00F34163" w:rsidRPr="00561601" w:rsidRDefault="00F34163" w:rsidP="00F34163">
      <w:pPr>
        <w:rPr>
          <w:szCs w:val="24"/>
          <w:lang w:val="lt-LT"/>
        </w:rPr>
      </w:pPr>
    </w:p>
    <w:p w14:paraId="1D6E5EB9" w14:textId="77777777" w:rsidR="00F34163" w:rsidRPr="00561601" w:rsidRDefault="00F34163" w:rsidP="00F34163">
      <w:pPr>
        <w:rPr>
          <w:szCs w:val="24"/>
          <w:lang w:val="lt-LT"/>
        </w:rPr>
      </w:pPr>
    </w:p>
    <w:p w14:paraId="2E34AFC2" w14:textId="77777777" w:rsidR="00F34163" w:rsidRPr="0056160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61601">
        <w:rPr>
          <w:b/>
          <w:szCs w:val="24"/>
          <w:lang w:val="lt-LT"/>
        </w:rPr>
        <w:t>8.</w:t>
      </w:r>
      <w:r w:rsidRPr="00561601">
        <w:rPr>
          <w:b/>
          <w:szCs w:val="24"/>
          <w:lang w:val="lt-LT"/>
        </w:rPr>
        <w:tab/>
      </w:r>
      <w:r w:rsidRPr="00561601">
        <w:rPr>
          <w:b/>
          <w:noProof/>
          <w:szCs w:val="24"/>
          <w:lang w:val="lt-LT"/>
        </w:rPr>
        <w:t>TINKAMUMO LAIKAS</w:t>
      </w:r>
    </w:p>
    <w:p w14:paraId="36476312" w14:textId="77777777" w:rsidR="00F34163" w:rsidRPr="00561601" w:rsidRDefault="00F34163" w:rsidP="00F34163">
      <w:pPr>
        <w:rPr>
          <w:szCs w:val="24"/>
          <w:lang w:val="lt-LT"/>
        </w:rPr>
      </w:pPr>
    </w:p>
    <w:p w14:paraId="6BB068DA" w14:textId="77777777" w:rsidR="00F34163" w:rsidRPr="00561601" w:rsidRDefault="00F34163" w:rsidP="00F34163">
      <w:pPr>
        <w:rPr>
          <w:lang w:val="lt-LT"/>
        </w:rPr>
      </w:pPr>
      <w:r w:rsidRPr="00561601">
        <w:rPr>
          <w:lang w:val="lt-LT"/>
        </w:rPr>
        <w:t>Tinka iki</w:t>
      </w:r>
      <w:r w:rsidR="00BB178F" w:rsidRPr="00561601">
        <w:rPr>
          <w:lang w:val="lt-LT"/>
        </w:rPr>
        <w:t>:</w:t>
      </w:r>
      <w:r w:rsidR="006D1606" w:rsidRPr="00561601">
        <w:rPr>
          <w:lang w:val="lt-LT"/>
        </w:rPr>
        <w:t xml:space="preserve"> (</w:t>
      </w:r>
      <w:proofErr w:type="spellStart"/>
      <w:r w:rsidR="006D1606" w:rsidRPr="00561601">
        <w:rPr>
          <w:lang w:val="lt-LT"/>
        </w:rPr>
        <w:t>dd</w:t>
      </w:r>
      <w:proofErr w:type="spellEnd"/>
      <w:r w:rsidR="006D1606" w:rsidRPr="00561601">
        <w:rPr>
          <w:lang w:val="lt-LT"/>
        </w:rPr>
        <w:t>.</w:t>
      </w:r>
      <w:r w:rsidR="00023C68">
        <w:rPr>
          <w:lang w:val="lt-LT"/>
        </w:rPr>
        <w:t xml:space="preserve"> </w:t>
      </w:r>
      <w:r w:rsidR="006D1606" w:rsidRPr="00561601">
        <w:rPr>
          <w:lang w:val="lt-LT"/>
        </w:rPr>
        <w:t>mm.</w:t>
      </w:r>
      <w:r w:rsidR="00023C68">
        <w:rPr>
          <w:lang w:val="lt-LT"/>
        </w:rPr>
        <w:t xml:space="preserve"> </w:t>
      </w:r>
      <w:r w:rsidR="006D1606" w:rsidRPr="00561601">
        <w:rPr>
          <w:lang w:val="lt-LT"/>
        </w:rPr>
        <w:t>MMMM)</w:t>
      </w:r>
    </w:p>
    <w:p w14:paraId="69B35FB0" w14:textId="77777777" w:rsidR="001D1F9C" w:rsidRPr="00561601" w:rsidRDefault="001D1F9C" w:rsidP="00F34163">
      <w:pPr>
        <w:rPr>
          <w:lang w:val="lt-LT"/>
        </w:rPr>
      </w:pPr>
    </w:p>
    <w:p w14:paraId="216AE3BE" w14:textId="77777777" w:rsidR="00F34163" w:rsidRPr="00561601" w:rsidRDefault="00F34163" w:rsidP="00F34163">
      <w:pPr>
        <w:rPr>
          <w:szCs w:val="24"/>
          <w:lang w:val="lt-LT"/>
        </w:rPr>
      </w:pPr>
    </w:p>
    <w:p w14:paraId="1CAFACB8" w14:textId="77777777" w:rsidR="00F34163" w:rsidRPr="00561601"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61601">
        <w:rPr>
          <w:b/>
          <w:szCs w:val="24"/>
          <w:lang w:val="lt-LT"/>
        </w:rPr>
        <w:t>9.</w:t>
      </w:r>
      <w:r w:rsidRPr="00561601">
        <w:rPr>
          <w:b/>
          <w:szCs w:val="24"/>
          <w:lang w:val="lt-LT"/>
        </w:rPr>
        <w:tab/>
      </w:r>
      <w:r w:rsidRPr="00561601">
        <w:rPr>
          <w:b/>
          <w:noProof/>
          <w:szCs w:val="24"/>
          <w:lang w:val="lt-LT"/>
        </w:rPr>
        <w:t>SPECIALIOS LAIKYMO SĄLYGOS</w:t>
      </w:r>
    </w:p>
    <w:p w14:paraId="1A81C744" w14:textId="77777777" w:rsidR="001D1F9C" w:rsidRPr="00561601" w:rsidRDefault="001D1F9C" w:rsidP="001D1F9C">
      <w:pPr>
        <w:rPr>
          <w:snapToGrid/>
          <w:lang w:val="lt-LT"/>
        </w:rPr>
      </w:pPr>
    </w:p>
    <w:p w14:paraId="7FC64CEC" w14:textId="77777777" w:rsidR="001D1F9C" w:rsidRPr="00561601" w:rsidRDefault="001D1F9C" w:rsidP="001D1F9C">
      <w:pPr>
        <w:rPr>
          <w:snapToGrid/>
          <w:lang w:val="lt-LT"/>
        </w:rPr>
      </w:pPr>
      <w:r w:rsidRPr="00561601">
        <w:rPr>
          <w:snapToGrid/>
          <w:lang w:val="lt-LT"/>
        </w:rPr>
        <w:t>Laikyti šaldytuve (2 °C – 8 °C). Negalima užšaldyti.</w:t>
      </w:r>
    </w:p>
    <w:p w14:paraId="7581F60A" w14:textId="77777777" w:rsidR="00F34163" w:rsidRPr="00561601" w:rsidRDefault="001D1F9C" w:rsidP="001D1F9C">
      <w:pPr>
        <w:rPr>
          <w:snapToGrid/>
          <w:lang w:val="lt-LT"/>
        </w:rPr>
      </w:pPr>
      <w:r w:rsidRPr="00561601">
        <w:rPr>
          <w:snapToGrid/>
          <w:lang w:val="lt-LT"/>
        </w:rPr>
        <w:t>Flakoną laikyti išorinėje dėžutėje, kad vaistas būtų apsaugotas nuo šviesos.</w:t>
      </w:r>
    </w:p>
    <w:p w14:paraId="15C8C4AA" w14:textId="77777777" w:rsidR="001D1F9C" w:rsidRPr="00561601" w:rsidRDefault="001D1F9C" w:rsidP="001D1F9C">
      <w:pPr>
        <w:rPr>
          <w:szCs w:val="24"/>
          <w:lang w:val="lt-LT"/>
        </w:rPr>
      </w:pPr>
    </w:p>
    <w:p w14:paraId="522D57F1" w14:textId="77777777" w:rsidR="00F34163" w:rsidRPr="00561601" w:rsidRDefault="00F34163" w:rsidP="00F34163">
      <w:pPr>
        <w:rPr>
          <w:szCs w:val="24"/>
          <w:lang w:val="lt-LT"/>
        </w:rPr>
      </w:pPr>
    </w:p>
    <w:p w14:paraId="30939C82" w14:textId="77777777" w:rsidR="00F34163" w:rsidRPr="0056160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561601">
        <w:rPr>
          <w:b/>
          <w:szCs w:val="24"/>
          <w:lang w:val="lt-LT"/>
        </w:rPr>
        <w:t>10.</w:t>
      </w:r>
      <w:r w:rsidRPr="00561601">
        <w:rPr>
          <w:b/>
          <w:szCs w:val="24"/>
          <w:lang w:val="lt-LT"/>
        </w:rPr>
        <w:tab/>
      </w:r>
      <w:r w:rsidRPr="00561601">
        <w:rPr>
          <w:b/>
          <w:noProof/>
          <w:szCs w:val="24"/>
          <w:lang w:val="lt-LT"/>
        </w:rPr>
        <w:t>SPECIALIOS ATSARGUMO PRIEMONĖS DĖL NESUVARTOTO VAISTINIO PREPARATO AR JO ATLIEKŲ TVARKYMO (JEI REIKIA)</w:t>
      </w:r>
    </w:p>
    <w:p w14:paraId="29E7E68B" w14:textId="77777777" w:rsidR="00F34163" w:rsidRPr="00561601" w:rsidRDefault="00F34163" w:rsidP="00F34163">
      <w:pPr>
        <w:rPr>
          <w:szCs w:val="24"/>
          <w:lang w:val="lt-LT"/>
        </w:rPr>
      </w:pPr>
    </w:p>
    <w:p w14:paraId="408428A1" w14:textId="77777777" w:rsidR="00F34163" w:rsidRPr="00561601" w:rsidRDefault="00F34163" w:rsidP="00F34163">
      <w:pPr>
        <w:rPr>
          <w:szCs w:val="24"/>
          <w:lang w:val="lt-LT"/>
        </w:rPr>
      </w:pPr>
    </w:p>
    <w:p w14:paraId="291782EE" w14:textId="77777777" w:rsidR="00F34163" w:rsidRPr="0056160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561601">
        <w:rPr>
          <w:b/>
          <w:szCs w:val="24"/>
          <w:lang w:val="lt-LT"/>
        </w:rPr>
        <w:t>11.</w:t>
      </w:r>
      <w:r w:rsidRPr="00561601">
        <w:rPr>
          <w:b/>
          <w:szCs w:val="24"/>
          <w:lang w:val="lt-LT"/>
        </w:rPr>
        <w:tab/>
      </w:r>
      <w:r w:rsidR="00461F31" w:rsidRPr="00561601">
        <w:rPr>
          <w:b/>
          <w:caps/>
          <w:noProof/>
          <w:szCs w:val="24"/>
          <w:lang w:val="lt-LT"/>
        </w:rPr>
        <w:t xml:space="preserve"> REGISTRUOTOJO</w:t>
      </w:r>
      <w:r w:rsidRPr="00561601">
        <w:rPr>
          <w:b/>
          <w:caps/>
          <w:noProof/>
          <w:szCs w:val="24"/>
          <w:lang w:val="lt-LT"/>
        </w:rPr>
        <w:t xml:space="preserve"> PAVADINIMAS IR ADRESAS</w:t>
      </w:r>
    </w:p>
    <w:p w14:paraId="0606A128" w14:textId="77777777" w:rsidR="00F34163" w:rsidRPr="00561601" w:rsidRDefault="00F34163" w:rsidP="00F34163">
      <w:pPr>
        <w:rPr>
          <w:szCs w:val="24"/>
          <w:lang w:val="lt-LT"/>
        </w:rPr>
      </w:pPr>
    </w:p>
    <w:p w14:paraId="476133F4" w14:textId="77777777" w:rsidR="001D1F9C" w:rsidRPr="00561601" w:rsidRDefault="001D1F9C" w:rsidP="001D1F9C">
      <w:pPr>
        <w:tabs>
          <w:tab w:val="left" w:pos="600"/>
          <w:tab w:val="left" w:pos="1200"/>
          <w:tab w:val="left" w:pos="1440"/>
          <w:tab w:val="left" w:pos="1800"/>
          <w:tab w:val="left" w:pos="2400"/>
          <w:tab w:val="left" w:pos="3000"/>
          <w:tab w:val="left" w:pos="3600"/>
          <w:tab w:val="left" w:pos="4200"/>
          <w:tab w:val="left" w:pos="4800"/>
          <w:tab w:val="left" w:pos="5400"/>
          <w:tab w:val="left" w:pos="6000"/>
          <w:tab w:val="left" w:pos="6600"/>
          <w:tab w:val="left" w:pos="7200"/>
          <w:tab w:val="left" w:pos="7800"/>
        </w:tabs>
        <w:rPr>
          <w:snapToGrid/>
          <w:lang w:val="lt-LT"/>
        </w:rPr>
      </w:pPr>
      <w:proofErr w:type="spellStart"/>
      <w:r w:rsidRPr="00561601">
        <w:rPr>
          <w:snapToGrid/>
          <w:lang w:val="lt-LT"/>
        </w:rPr>
        <w:t>Biotest</w:t>
      </w:r>
      <w:proofErr w:type="spellEnd"/>
      <w:r w:rsidRPr="00561601">
        <w:rPr>
          <w:snapToGrid/>
          <w:lang w:val="lt-LT"/>
        </w:rPr>
        <w:t xml:space="preserve"> </w:t>
      </w:r>
      <w:proofErr w:type="spellStart"/>
      <w:r w:rsidRPr="00561601">
        <w:rPr>
          <w:snapToGrid/>
          <w:lang w:val="lt-LT"/>
        </w:rPr>
        <w:t>Pharma</w:t>
      </w:r>
      <w:proofErr w:type="spellEnd"/>
      <w:r w:rsidRPr="00561601">
        <w:rPr>
          <w:snapToGrid/>
          <w:lang w:val="lt-LT"/>
        </w:rPr>
        <w:t xml:space="preserve"> </w:t>
      </w:r>
      <w:proofErr w:type="spellStart"/>
      <w:r w:rsidRPr="00561601">
        <w:rPr>
          <w:snapToGrid/>
          <w:lang w:val="lt-LT"/>
        </w:rPr>
        <w:t>GmbH</w:t>
      </w:r>
      <w:proofErr w:type="spellEnd"/>
    </w:p>
    <w:p w14:paraId="7712E8DC" w14:textId="77777777" w:rsidR="001D1F9C" w:rsidRPr="00561601" w:rsidRDefault="001D1F9C" w:rsidP="001D1F9C">
      <w:pPr>
        <w:tabs>
          <w:tab w:val="left" w:pos="600"/>
          <w:tab w:val="left" w:pos="1200"/>
          <w:tab w:val="left" w:pos="1440"/>
          <w:tab w:val="left" w:pos="1800"/>
          <w:tab w:val="left" w:pos="2400"/>
          <w:tab w:val="left" w:pos="3000"/>
          <w:tab w:val="left" w:pos="3600"/>
          <w:tab w:val="left" w:pos="4200"/>
          <w:tab w:val="left" w:pos="4800"/>
          <w:tab w:val="left" w:pos="5400"/>
          <w:tab w:val="left" w:pos="6000"/>
          <w:tab w:val="left" w:pos="6600"/>
          <w:tab w:val="left" w:pos="7200"/>
          <w:tab w:val="left" w:pos="7800"/>
        </w:tabs>
        <w:rPr>
          <w:snapToGrid/>
          <w:lang w:val="lt-LT"/>
        </w:rPr>
      </w:pPr>
      <w:r w:rsidRPr="00561601">
        <w:rPr>
          <w:snapToGrid/>
          <w:lang w:val="lt-LT"/>
        </w:rPr>
        <w:t xml:space="preserve">63303 </w:t>
      </w:r>
      <w:proofErr w:type="spellStart"/>
      <w:r w:rsidRPr="00561601">
        <w:rPr>
          <w:snapToGrid/>
          <w:lang w:val="lt-LT"/>
        </w:rPr>
        <w:t>Dreieich</w:t>
      </w:r>
      <w:proofErr w:type="spellEnd"/>
    </w:p>
    <w:p w14:paraId="2B7C3C3B" w14:textId="77777777" w:rsidR="001D1F9C" w:rsidRPr="00561601" w:rsidRDefault="001D1F9C" w:rsidP="001D1F9C">
      <w:pPr>
        <w:tabs>
          <w:tab w:val="left" w:pos="600"/>
          <w:tab w:val="left" w:pos="1200"/>
          <w:tab w:val="left" w:pos="1440"/>
          <w:tab w:val="left" w:pos="1800"/>
          <w:tab w:val="left" w:pos="2400"/>
          <w:tab w:val="left" w:pos="3000"/>
          <w:tab w:val="left" w:pos="3600"/>
          <w:tab w:val="left" w:pos="4200"/>
          <w:tab w:val="left" w:pos="4800"/>
          <w:tab w:val="left" w:pos="5400"/>
          <w:tab w:val="left" w:pos="6000"/>
          <w:tab w:val="left" w:pos="6600"/>
          <w:tab w:val="left" w:pos="7200"/>
          <w:tab w:val="left" w:pos="7800"/>
        </w:tabs>
        <w:rPr>
          <w:snapToGrid/>
          <w:lang w:val="lt-LT"/>
        </w:rPr>
      </w:pPr>
      <w:r w:rsidRPr="00561601">
        <w:rPr>
          <w:snapToGrid/>
          <w:lang w:val="lt-LT"/>
        </w:rPr>
        <w:t>Vokietija</w:t>
      </w:r>
    </w:p>
    <w:p w14:paraId="581F6418" w14:textId="77777777" w:rsidR="00F34163" w:rsidRPr="00561601" w:rsidRDefault="00F34163" w:rsidP="00F34163">
      <w:pPr>
        <w:rPr>
          <w:szCs w:val="24"/>
          <w:lang w:val="lt-LT"/>
        </w:rPr>
      </w:pPr>
    </w:p>
    <w:p w14:paraId="474FE38E" w14:textId="77777777" w:rsidR="00F34163" w:rsidRPr="00561601" w:rsidRDefault="00F34163" w:rsidP="00F34163">
      <w:pPr>
        <w:rPr>
          <w:szCs w:val="24"/>
          <w:lang w:val="lt-LT"/>
        </w:rPr>
      </w:pPr>
    </w:p>
    <w:p w14:paraId="5ED99B92" w14:textId="77777777" w:rsidR="00F34163" w:rsidRPr="0056160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561601">
        <w:rPr>
          <w:b/>
          <w:szCs w:val="24"/>
          <w:lang w:val="lt-LT"/>
        </w:rPr>
        <w:t>12.</w:t>
      </w:r>
      <w:r w:rsidRPr="00561601">
        <w:rPr>
          <w:b/>
          <w:szCs w:val="24"/>
          <w:lang w:val="lt-LT"/>
        </w:rPr>
        <w:tab/>
      </w:r>
      <w:r w:rsidR="00461F31" w:rsidRPr="00561601">
        <w:rPr>
          <w:b/>
          <w:noProof/>
          <w:szCs w:val="24"/>
          <w:lang w:val="lt-LT"/>
        </w:rPr>
        <w:t xml:space="preserve">REGISTRACIJOS </w:t>
      </w:r>
      <w:r w:rsidRPr="00561601">
        <w:rPr>
          <w:b/>
          <w:noProof/>
          <w:szCs w:val="24"/>
          <w:lang w:val="lt-LT"/>
        </w:rPr>
        <w:t>PAŽYMĖJIMO NUMERIS (-IAI)</w:t>
      </w:r>
      <w:r w:rsidRPr="00561601">
        <w:rPr>
          <w:b/>
          <w:szCs w:val="24"/>
          <w:lang w:val="lt-LT"/>
        </w:rPr>
        <w:t xml:space="preserve"> </w:t>
      </w:r>
    </w:p>
    <w:p w14:paraId="5D3219D6" w14:textId="77777777" w:rsidR="00F34163" w:rsidRPr="00561601" w:rsidRDefault="00F34163" w:rsidP="00F34163">
      <w:pPr>
        <w:rPr>
          <w:lang w:val="lt-LT"/>
        </w:rPr>
      </w:pPr>
    </w:p>
    <w:p w14:paraId="43767E19" w14:textId="77777777" w:rsidR="0036167A" w:rsidRPr="0036167A" w:rsidRDefault="0036167A" w:rsidP="0036167A">
      <w:pPr>
        <w:rPr>
          <w:szCs w:val="24"/>
          <w:shd w:val="clear" w:color="auto" w:fill="D9D9D9" w:themeFill="background1" w:themeFillShade="D9"/>
          <w:lang w:val="lt-LT"/>
        </w:rPr>
      </w:pPr>
      <w:r w:rsidRPr="0036167A">
        <w:rPr>
          <w:szCs w:val="24"/>
          <w:lang w:val="lt-LT"/>
        </w:rPr>
        <w:t xml:space="preserve">LT/1/22/5073/001 </w:t>
      </w:r>
      <w:r w:rsidRPr="0036167A">
        <w:rPr>
          <w:szCs w:val="24"/>
          <w:shd w:val="clear" w:color="auto" w:fill="D9D9D9" w:themeFill="background1" w:themeFillShade="D9"/>
          <w:lang w:val="lt-LT"/>
        </w:rPr>
        <w:t>– 10 ml, N1</w:t>
      </w:r>
    </w:p>
    <w:p w14:paraId="661612DD" w14:textId="33D05EEC" w:rsidR="00F34163" w:rsidRPr="0036167A" w:rsidRDefault="0036167A" w:rsidP="0036167A">
      <w:pPr>
        <w:rPr>
          <w:szCs w:val="24"/>
          <w:shd w:val="clear" w:color="auto" w:fill="D9D9D9" w:themeFill="background1" w:themeFillShade="D9"/>
          <w:lang w:val="lt-LT"/>
        </w:rPr>
      </w:pPr>
      <w:r w:rsidRPr="0036167A">
        <w:rPr>
          <w:szCs w:val="24"/>
          <w:shd w:val="clear" w:color="auto" w:fill="D9D9D9" w:themeFill="background1" w:themeFillShade="D9"/>
          <w:lang w:val="lt-LT"/>
        </w:rPr>
        <w:t>LT/1/22/5073/002 – 50 ml, N1</w:t>
      </w:r>
    </w:p>
    <w:p w14:paraId="5BD65568" w14:textId="77777777" w:rsidR="0036167A" w:rsidRPr="00561601" w:rsidRDefault="0036167A" w:rsidP="0036167A">
      <w:pPr>
        <w:rPr>
          <w:szCs w:val="24"/>
          <w:lang w:val="lt-LT"/>
        </w:rPr>
      </w:pPr>
    </w:p>
    <w:p w14:paraId="77DE863E" w14:textId="77777777" w:rsidR="00F34163" w:rsidRPr="00561601" w:rsidRDefault="00F34163" w:rsidP="00F34163">
      <w:pPr>
        <w:rPr>
          <w:szCs w:val="24"/>
          <w:lang w:val="lt-LT"/>
        </w:rPr>
      </w:pPr>
    </w:p>
    <w:p w14:paraId="2ED0F02F" w14:textId="77777777" w:rsidR="00F34163" w:rsidRPr="0056160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561601">
        <w:rPr>
          <w:b/>
          <w:szCs w:val="24"/>
          <w:lang w:val="lt-LT"/>
        </w:rPr>
        <w:t>13.</w:t>
      </w:r>
      <w:r w:rsidRPr="00561601">
        <w:rPr>
          <w:b/>
          <w:szCs w:val="24"/>
          <w:lang w:val="lt-LT"/>
        </w:rPr>
        <w:tab/>
      </w:r>
      <w:r w:rsidRPr="00561601">
        <w:rPr>
          <w:b/>
          <w:noProof/>
          <w:szCs w:val="24"/>
          <w:lang w:val="lt-LT"/>
        </w:rPr>
        <w:t xml:space="preserve">SERIJOS NUMERIS </w:t>
      </w:r>
    </w:p>
    <w:p w14:paraId="209B1810" w14:textId="77777777" w:rsidR="00F34163" w:rsidRPr="00561601" w:rsidRDefault="00F34163" w:rsidP="00F34163">
      <w:pPr>
        <w:rPr>
          <w:lang w:val="lt-LT"/>
        </w:rPr>
      </w:pPr>
    </w:p>
    <w:p w14:paraId="78F6E13F" w14:textId="77777777" w:rsidR="00F34163" w:rsidRPr="00561601" w:rsidRDefault="00F34163" w:rsidP="00F34163">
      <w:pPr>
        <w:rPr>
          <w:lang w:val="lt-LT"/>
        </w:rPr>
      </w:pPr>
      <w:r w:rsidRPr="00561601">
        <w:rPr>
          <w:lang w:val="lt-LT"/>
        </w:rPr>
        <w:t>Serija</w:t>
      </w:r>
      <w:r w:rsidR="00BB178F" w:rsidRPr="00561601">
        <w:rPr>
          <w:lang w:val="lt-LT"/>
        </w:rPr>
        <w:t>:</w:t>
      </w:r>
    </w:p>
    <w:p w14:paraId="322C1A02" w14:textId="77777777" w:rsidR="00F34163" w:rsidRPr="00561601" w:rsidRDefault="00F34163" w:rsidP="00F34163">
      <w:pPr>
        <w:rPr>
          <w:szCs w:val="24"/>
          <w:lang w:val="lt-LT"/>
        </w:rPr>
      </w:pPr>
    </w:p>
    <w:p w14:paraId="60EE9CC3" w14:textId="77777777" w:rsidR="00F34163" w:rsidRPr="00561601" w:rsidRDefault="00F34163" w:rsidP="00F34163">
      <w:pPr>
        <w:rPr>
          <w:szCs w:val="24"/>
          <w:lang w:val="lt-LT"/>
        </w:rPr>
      </w:pPr>
    </w:p>
    <w:p w14:paraId="3D00BD1B" w14:textId="77777777" w:rsidR="00F34163" w:rsidRPr="0056160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561601">
        <w:rPr>
          <w:b/>
          <w:szCs w:val="24"/>
          <w:lang w:val="lt-LT"/>
        </w:rPr>
        <w:t>14.</w:t>
      </w:r>
      <w:r w:rsidRPr="00561601">
        <w:rPr>
          <w:b/>
          <w:szCs w:val="24"/>
          <w:lang w:val="lt-LT"/>
        </w:rPr>
        <w:tab/>
      </w:r>
      <w:r w:rsidRPr="00561601">
        <w:rPr>
          <w:b/>
          <w:noProof/>
          <w:szCs w:val="24"/>
          <w:lang w:val="lt-LT"/>
        </w:rPr>
        <w:t>PARDAVIMO (IŠDAVIMO) TVARKA</w:t>
      </w:r>
    </w:p>
    <w:p w14:paraId="60638D99" w14:textId="77777777" w:rsidR="00F34163" w:rsidRPr="00561601" w:rsidRDefault="00F34163" w:rsidP="00F34163">
      <w:pPr>
        <w:rPr>
          <w:szCs w:val="24"/>
          <w:lang w:val="lt-LT"/>
        </w:rPr>
      </w:pPr>
    </w:p>
    <w:p w14:paraId="663C09C9" w14:textId="63AC2805" w:rsidR="00F34163" w:rsidRPr="00561601" w:rsidRDefault="00F34163" w:rsidP="00F34163">
      <w:pPr>
        <w:rPr>
          <w:szCs w:val="24"/>
          <w:lang w:val="lt-LT"/>
        </w:rPr>
      </w:pPr>
      <w:r w:rsidRPr="00561601">
        <w:rPr>
          <w:lang w:val="lt-LT"/>
        </w:rPr>
        <w:t>Receptinis vaist</w:t>
      </w:r>
      <w:r w:rsidR="005E6070">
        <w:rPr>
          <w:lang w:val="lt-LT"/>
        </w:rPr>
        <w:t>as</w:t>
      </w:r>
    </w:p>
    <w:p w14:paraId="285050BE" w14:textId="77777777" w:rsidR="00F34163" w:rsidRPr="00561601" w:rsidRDefault="00F34163" w:rsidP="00F34163">
      <w:pPr>
        <w:rPr>
          <w:szCs w:val="24"/>
          <w:lang w:val="lt-LT"/>
        </w:rPr>
      </w:pPr>
    </w:p>
    <w:p w14:paraId="2C365201" w14:textId="77777777" w:rsidR="00F34163" w:rsidRPr="00561601" w:rsidRDefault="00F34163" w:rsidP="00F34163">
      <w:pPr>
        <w:rPr>
          <w:szCs w:val="24"/>
          <w:lang w:val="lt-LT"/>
        </w:rPr>
      </w:pPr>
    </w:p>
    <w:p w14:paraId="3AF4C70E" w14:textId="77777777" w:rsidR="00F34163" w:rsidRPr="00561601" w:rsidRDefault="00F34163" w:rsidP="00F34163">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561601">
        <w:rPr>
          <w:b/>
          <w:szCs w:val="24"/>
          <w:lang w:val="lt-LT"/>
        </w:rPr>
        <w:t>15.</w:t>
      </w:r>
      <w:r w:rsidRPr="00561601">
        <w:rPr>
          <w:b/>
          <w:szCs w:val="24"/>
          <w:lang w:val="lt-LT"/>
        </w:rPr>
        <w:tab/>
      </w:r>
      <w:r w:rsidRPr="00561601">
        <w:rPr>
          <w:b/>
          <w:noProof/>
          <w:szCs w:val="24"/>
          <w:lang w:val="lt-LT"/>
        </w:rPr>
        <w:t>VARTOJIMO INSTRUKCIJA</w:t>
      </w:r>
    </w:p>
    <w:p w14:paraId="5B8543FE" w14:textId="77777777" w:rsidR="00F34163" w:rsidRPr="00561601" w:rsidRDefault="00F34163" w:rsidP="00F34163">
      <w:pPr>
        <w:rPr>
          <w:szCs w:val="24"/>
          <w:lang w:val="lt-LT"/>
        </w:rPr>
      </w:pPr>
    </w:p>
    <w:p w14:paraId="228E544C" w14:textId="77777777" w:rsidR="00F34163" w:rsidRPr="00561601" w:rsidRDefault="00F34163" w:rsidP="00F34163">
      <w:pPr>
        <w:rPr>
          <w:szCs w:val="24"/>
          <w:lang w:val="lt-LT"/>
        </w:rPr>
      </w:pPr>
    </w:p>
    <w:p w14:paraId="4944A619" w14:textId="77777777" w:rsidR="00F34163" w:rsidRPr="00561601" w:rsidRDefault="00F34163" w:rsidP="00F34163">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561601">
        <w:rPr>
          <w:b/>
          <w:szCs w:val="24"/>
          <w:lang w:val="lt-LT"/>
        </w:rPr>
        <w:t>16.</w:t>
      </w:r>
      <w:r w:rsidRPr="00561601">
        <w:rPr>
          <w:b/>
          <w:szCs w:val="24"/>
          <w:lang w:val="lt-LT"/>
        </w:rPr>
        <w:tab/>
      </w:r>
      <w:r w:rsidRPr="00561601">
        <w:rPr>
          <w:b/>
          <w:noProof/>
          <w:szCs w:val="24"/>
          <w:lang w:val="lt-LT"/>
        </w:rPr>
        <w:t>INFORMACIJA BRAILIO RAŠTU</w:t>
      </w:r>
    </w:p>
    <w:p w14:paraId="69A4F9A7" w14:textId="77777777" w:rsidR="00F34163" w:rsidRPr="00561601" w:rsidRDefault="00F34163" w:rsidP="00F34163">
      <w:pPr>
        <w:rPr>
          <w:szCs w:val="24"/>
          <w:lang w:val="lt-LT"/>
        </w:rPr>
      </w:pPr>
    </w:p>
    <w:p w14:paraId="790A5D12" w14:textId="77777777" w:rsidR="00F34163" w:rsidRPr="00561601" w:rsidRDefault="00F34163" w:rsidP="00F34163">
      <w:pPr>
        <w:rPr>
          <w:noProof/>
          <w:szCs w:val="24"/>
          <w:lang w:val="lt-LT"/>
        </w:rPr>
      </w:pPr>
      <w:r w:rsidRPr="00561601">
        <w:rPr>
          <w:noProof/>
          <w:szCs w:val="24"/>
          <w:lang w:val="lt-LT"/>
        </w:rPr>
        <w:t>Priimtas pagrindimas informacijos Brailio raštu nepateikti.</w:t>
      </w:r>
    </w:p>
    <w:p w14:paraId="1DA180D7" w14:textId="77777777" w:rsidR="001D1F9C" w:rsidRPr="00561601" w:rsidRDefault="001D1F9C" w:rsidP="00F34163">
      <w:pPr>
        <w:rPr>
          <w:noProof/>
          <w:szCs w:val="24"/>
          <w:lang w:val="lt-LT"/>
        </w:rPr>
      </w:pPr>
    </w:p>
    <w:bookmarkEnd w:id="1"/>
    <w:p w14:paraId="57D870FA" w14:textId="77777777" w:rsidR="001D1F9C" w:rsidRPr="00561601" w:rsidRDefault="001D1F9C" w:rsidP="001D1F9C">
      <w:pPr>
        <w:tabs>
          <w:tab w:val="clear" w:pos="567"/>
        </w:tabs>
        <w:spacing w:line="240" w:lineRule="auto"/>
        <w:rPr>
          <w:iCs/>
          <w:snapToGrid/>
          <w:lang w:val="lt-LT"/>
        </w:rPr>
      </w:pPr>
    </w:p>
    <w:p w14:paraId="2572FB7E" w14:textId="77777777" w:rsidR="001D1F9C" w:rsidRPr="00561601" w:rsidRDefault="001D1F9C" w:rsidP="001D1F9C">
      <w:pPr>
        <w:pBdr>
          <w:top w:val="single" w:sz="4" w:space="1" w:color="auto"/>
          <w:left w:val="single" w:sz="4" w:space="4" w:color="auto"/>
          <w:bottom w:val="single" w:sz="4" w:space="0" w:color="auto"/>
          <w:right w:val="single" w:sz="4" w:space="4" w:color="auto"/>
        </w:pBdr>
        <w:tabs>
          <w:tab w:val="clear" w:pos="567"/>
        </w:tabs>
        <w:spacing w:line="240" w:lineRule="auto"/>
        <w:rPr>
          <w:i/>
          <w:noProof/>
          <w:snapToGrid/>
          <w:lang w:val="lt-LT"/>
        </w:rPr>
      </w:pPr>
      <w:r w:rsidRPr="00561601">
        <w:rPr>
          <w:b/>
          <w:snapToGrid/>
          <w:lang w:val="lt-LT"/>
        </w:rPr>
        <w:t>17.</w:t>
      </w:r>
      <w:r w:rsidRPr="00561601">
        <w:rPr>
          <w:b/>
          <w:snapToGrid/>
          <w:lang w:val="lt-LT"/>
        </w:rPr>
        <w:tab/>
        <w:t>UNIKALUS IDENTIFIKATORIUS – 2D BRŪKŠNINIS KODAS</w:t>
      </w:r>
    </w:p>
    <w:p w14:paraId="4726CDFD" w14:textId="77777777" w:rsidR="001D1F9C" w:rsidRPr="00561601" w:rsidRDefault="001D1F9C" w:rsidP="001D1F9C">
      <w:pPr>
        <w:tabs>
          <w:tab w:val="clear" w:pos="567"/>
        </w:tabs>
        <w:spacing w:line="240" w:lineRule="auto"/>
        <w:rPr>
          <w:noProof/>
          <w:snapToGrid/>
          <w:lang w:val="lt-LT"/>
        </w:rPr>
      </w:pPr>
    </w:p>
    <w:p w14:paraId="36B94C1C" w14:textId="77777777" w:rsidR="001D1F9C" w:rsidRPr="00561601" w:rsidRDefault="001D1F9C" w:rsidP="001D1F9C">
      <w:pPr>
        <w:shd w:val="clear" w:color="auto" w:fill="A6A6A6"/>
        <w:spacing w:line="240" w:lineRule="auto"/>
        <w:rPr>
          <w:noProof/>
          <w:snapToGrid/>
          <w:szCs w:val="22"/>
          <w:shd w:val="clear" w:color="auto" w:fill="CCCCCC"/>
          <w:lang w:val="lt-LT"/>
        </w:rPr>
      </w:pPr>
      <w:r w:rsidRPr="00974E14">
        <w:rPr>
          <w:highlight w:val="lightGray"/>
          <w:lang w:val="lt-LT"/>
        </w:rPr>
        <w:t>2D brūkšninis kodas su nurodytu unikaliu identifikatoriumi.</w:t>
      </w:r>
    </w:p>
    <w:p w14:paraId="7DA9A8E8" w14:textId="77777777" w:rsidR="001D1F9C" w:rsidRPr="00561601" w:rsidRDefault="001D1F9C" w:rsidP="001D1F9C">
      <w:pPr>
        <w:spacing w:line="240" w:lineRule="auto"/>
        <w:rPr>
          <w:noProof/>
          <w:snapToGrid/>
          <w:vanish/>
          <w:szCs w:val="22"/>
          <w:lang w:val="lt-LT"/>
        </w:rPr>
      </w:pPr>
    </w:p>
    <w:p w14:paraId="70C1CB35" w14:textId="77777777" w:rsidR="001D1F9C" w:rsidRPr="00561601" w:rsidRDefault="001D1F9C" w:rsidP="001D1F9C">
      <w:pPr>
        <w:tabs>
          <w:tab w:val="clear" w:pos="567"/>
        </w:tabs>
        <w:spacing w:line="240" w:lineRule="auto"/>
        <w:rPr>
          <w:noProof/>
          <w:snapToGrid/>
          <w:lang w:val="lt-LT"/>
        </w:rPr>
      </w:pPr>
    </w:p>
    <w:p w14:paraId="559DA511" w14:textId="77777777" w:rsidR="001D1F9C" w:rsidRPr="00561601" w:rsidRDefault="001D1F9C" w:rsidP="001D1F9C">
      <w:pPr>
        <w:pBdr>
          <w:top w:val="single" w:sz="4" w:space="1" w:color="auto"/>
          <w:left w:val="single" w:sz="4" w:space="4" w:color="auto"/>
          <w:bottom w:val="single" w:sz="4" w:space="0" w:color="auto"/>
          <w:right w:val="single" w:sz="4" w:space="4" w:color="auto"/>
        </w:pBdr>
        <w:tabs>
          <w:tab w:val="clear" w:pos="567"/>
        </w:tabs>
        <w:spacing w:line="240" w:lineRule="auto"/>
        <w:rPr>
          <w:i/>
          <w:noProof/>
          <w:snapToGrid/>
          <w:lang w:val="lt-LT"/>
        </w:rPr>
      </w:pPr>
      <w:r w:rsidRPr="00561601">
        <w:rPr>
          <w:b/>
          <w:snapToGrid/>
          <w:lang w:val="lt-LT"/>
        </w:rPr>
        <w:t>18.</w:t>
      </w:r>
      <w:r w:rsidRPr="00561601">
        <w:rPr>
          <w:b/>
          <w:snapToGrid/>
          <w:lang w:val="lt-LT"/>
        </w:rPr>
        <w:tab/>
        <w:t>UNIKALUS IDENTIFIKATORIUS – ŽMONĖMS SUPRANTAMI DUOMENYS</w:t>
      </w:r>
    </w:p>
    <w:p w14:paraId="1BD25DE9" w14:textId="77777777" w:rsidR="001D1F9C" w:rsidRPr="00561601" w:rsidRDefault="001D1F9C" w:rsidP="001D1F9C">
      <w:pPr>
        <w:tabs>
          <w:tab w:val="clear" w:pos="567"/>
        </w:tabs>
        <w:spacing w:line="240" w:lineRule="auto"/>
        <w:rPr>
          <w:noProof/>
          <w:snapToGrid/>
          <w:lang w:val="lt-LT"/>
        </w:rPr>
      </w:pPr>
    </w:p>
    <w:p w14:paraId="70697A39" w14:textId="77777777" w:rsidR="001D1F9C" w:rsidRPr="00561601" w:rsidRDefault="001D1F9C" w:rsidP="001D1F9C">
      <w:pPr>
        <w:rPr>
          <w:snapToGrid/>
          <w:szCs w:val="22"/>
          <w:lang w:val="lt-LT"/>
        </w:rPr>
      </w:pPr>
      <w:r w:rsidRPr="00561601">
        <w:rPr>
          <w:snapToGrid/>
          <w:lang w:val="lt-LT"/>
        </w:rPr>
        <w:t>PC: {numeris}</w:t>
      </w:r>
    </w:p>
    <w:p w14:paraId="1982E0F5" w14:textId="77777777" w:rsidR="001D1F9C" w:rsidRPr="00561601" w:rsidRDefault="001D1F9C" w:rsidP="001D1F9C">
      <w:pPr>
        <w:rPr>
          <w:snapToGrid/>
          <w:szCs w:val="22"/>
          <w:lang w:val="lt-LT"/>
        </w:rPr>
      </w:pPr>
      <w:r w:rsidRPr="00561601">
        <w:rPr>
          <w:snapToGrid/>
          <w:lang w:val="lt-LT"/>
        </w:rPr>
        <w:t>SN: {numeris}</w:t>
      </w:r>
    </w:p>
    <w:p w14:paraId="4CFCE168" w14:textId="77777777" w:rsidR="001D1F9C" w:rsidRPr="00561601" w:rsidRDefault="001D1F9C" w:rsidP="001D1F9C">
      <w:pPr>
        <w:shd w:val="clear" w:color="auto" w:fill="A6A6A6"/>
        <w:rPr>
          <w:snapToGrid/>
          <w:szCs w:val="22"/>
          <w:lang w:val="lt-LT"/>
        </w:rPr>
      </w:pPr>
      <w:r w:rsidRPr="00561601">
        <w:rPr>
          <w:snapToGrid/>
          <w:lang w:val="lt-LT"/>
        </w:rPr>
        <w:t xml:space="preserve">NN: {numeris} </w:t>
      </w:r>
    </w:p>
    <w:p w14:paraId="1C603AC9" w14:textId="77777777" w:rsidR="001D1F9C" w:rsidRPr="00561601" w:rsidRDefault="001D1F9C" w:rsidP="00F34163">
      <w:pPr>
        <w:rPr>
          <w:szCs w:val="24"/>
          <w:lang w:val="lt-LT"/>
        </w:rPr>
      </w:pPr>
    </w:p>
    <w:p w14:paraId="32BBE8FE" w14:textId="77777777" w:rsidR="00F34163" w:rsidRPr="00561601" w:rsidRDefault="00F34163" w:rsidP="006250C6">
      <w:pPr>
        <w:rPr>
          <w:szCs w:val="24"/>
          <w:lang w:val="lt-LT"/>
        </w:rPr>
      </w:pPr>
    </w:p>
    <w:p w14:paraId="6DE6260C" w14:textId="77777777" w:rsidR="00ED2966" w:rsidRPr="00561601" w:rsidRDefault="006250C6" w:rsidP="00ED2966">
      <w:pPr>
        <w:pBdr>
          <w:top w:val="single" w:sz="4" w:space="1" w:color="auto"/>
          <w:left w:val="single" w:sz="4" w:space="4" w:color="auto"/>
          <w:bottom w:val="single" w:sz="4" w:space="1" w:color="auto"/>
          <w:right w:val="single" w:sz="4" w:space="4" w:color="auto"/>
        </w:pBdr>
        <w:spacing w:line="240" w:lineRule="auto"/>
        <w:rPr>
          <w:b/>
          <w:szCs w:val="24"/>
          <w:lang w:val="lt-LT"/>
        </w:rPr>
      </w:pPr>
      <w:r w:rsidRPr="00561601">
        <w:rPr>
          <w:b/>
          <w:szCs w:val="24"/>
          <w:lang w:val="lt-LT"/>
        </w:rPr>
        <w:br w:type="page"/>
      </w:r>
      <w:r w:rsidR="00ED2966" w:rsidRPr="00561601">
        <w:rPr>
          <w:b/>
          <w:noProof/>
          <w:szCs w:val="24"/>
          <w:lang w:val="lt-LT"/>
        </w:rPr>
        <w:t>MINIMALI INFORMACIJA ANT MAŽŲ VIDINIŲ PAKUOČIŲ</w:t>
      </w:r>
    </w:p>
    <w:p w14:paraId="314E8908" w14:textId="77777777" w:rsidR="00ED2966" w:rsidRPr="00561601" w:rsidRDefault="00ED2966" w:rsidP="00ED2966">
      <w:pPr>
        <w:pBdr>
          <w:top w:val="single" w:sz="4" w:space="1" w:color="auto"/>
          <w:left w:val="single" w:sz="4" w:space="4" w:color="auto"/>
          <w:bottom w:val="single" w:sz="4" w:space="1" w:color="auto"/>
          <w:right w:val="single" w:sz="4" w:space="4" w:color="auto"/>
        </w:pBdr>
        <w:spacing w:line="240" w:lineRule="auto"/>
        <w:rPr>
          <w:b/>
          <w:szCs w:val="24"/>
          <w:lang w:val="lt-LT"/>
        </w:rPr>
      </w:pPr>
    </w:p>
    <w:p w14:paraId="2CEBB653" w14:textId="77777777" w:rsidR="00ED2966" w:rsidRPr="00561601" w:rsidRDefault="00F034C9" w:rsidP="00ED2966">
      <w:pPr>
        <w:pBdr>
          <w:top w:val="single" w:sz="4" w:space="1" w:color="auto"/>
          <w:left w:val="single" w:sz="4" w:space="4" w:color="auto"/>
          <w:bottom w:val="single" w:sz="4" w:space="1" w:color="auto"/>
          <w:right w:val="single" w:sz="4" w:space="4" w:color="auto"/>
        </w:pBdr>
        <w:spacing w:line="240" w:lineRule="auto"/>
        <w:rPr>
          <w:szCs w:val="24"/>
          <w:lang w:val="lt-LT"/>
        </w:rPr>
      </w:pPr>
      <w:r w:rsidRPr="00561601">
        <w:rPr>
          <w:b/>
          <w:noProof/>
          <w:szCs w:val="24"/>
          <w:lang w:val="lt-LT"/>
        </w:rPr>
        <w:t>FLAKON</w:t>
      </w:r>
      <w:r>
        <w:rPr>
          <w:b/>
          <w:noProof/>
          <w:szCs w:val="24"/>
          <w:lang w:val="lt-LT"/>
        </w:rPr>
        <w:t>O ETIKETĖ,</w:t>
      </w:r>
      <w:r w:rsidR="00ED2966" w:rsidRPr="00561601">
        <w:rPr>
          <w:b/>
          <w:noProof/>
          <w:szCs w:val="24"/>
          <w:lang w:val="lt-LT"/>
        </w:rPr>
        <w:t xml:space="preserve"> 10 ml</w:t>
      </w:r>
    </w:p>
    <w:p w14:paraId="69BE4D64" w14:textId="77777777" w:rsidR="00ED2966" w:rsidRPr="00561601" w:rsidRDefault="00ED2966" w:rsidP="00ED2966">
      <w:pPr>
        <w:rPr>
          <w:szCs w:val="24"/>
          <w:lang w:val="lt-LT"/>
        </w:rPr>
      </w:pPr>
    </w:p>
    <w:p w14:paraId="44ABDADB" w14:textId="77777777" w:rsidR="00ED2966" w:rsidRPr="00561601" w:rsidRDefault="00ED2966" w:rsidP="00ED296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561601">
        <w:rPr>
          <w:b/>
          <w:szCs w:val="24"/>
          <w:lang w:val="lt-LT"/>
        </w:rPr>
        <w:t>1.</w:t>
      </w:r>
      <w:r w:rsidRPr="00561601">
        <w:rPr>
          <w:b/>
          <w:szCs w:val="24"/>
          <w:lang w:val="lt-LT"/>
        </w:rPr>
        <w:tab/>
      </w:r>
      <w:r w:rsidRPr="00561601">
        <w:rPr>
          <w:b/>
          <w:caps/>
          <w:noProof/>
          <w:szCs w:val="24"/>
          <w:lang w:val="lt-LT"/>
        </w:rPr>
        <w:t>Vaistinio preparato pavadinimas ir vartojimo būdas (-ai)</w:t>
      </w:r>
    </w:p>
    <w:p w14:paraId="0FF7E21F" w14:textId="77777777" w:rsidR="00ED2966" w:rsidRPr="00561601" w:rsidRDefault="00ED2966" w:rsidP="00ED2966">
      <w:pPr>
        <w:rPr>
          <w:szCs w:val="24"/>
          <w:lang w:val="lt-LT"/>
        </w:rPr>
      </w:pPr>
    </w:p>
    <w:p w14:paraId="33AA7B94" w14:textId="5E8836A2" w:rsidR="00ED2966" w:rsidRPr="00561601" w:rsidRDefault="00E47068" w:rsidP="00ED2966">
      <w:pPr>
        <w:spacing w:line="280" w:lineRule="atLeast"/>
        <w:jc w:val="both"/>
        <w:rPr>
          <w:snapToGrid/>
          <w:lang w:val="lt-LT"/>
        </w:rPr>
      </w:pPr>
      <w:proofErr w:type="spellStart"/>
      <w:r>
        <w:rPr>
          <w:snapToGrid/>
          <w:lang w:val="lt-LT"/>
        </w:rPr>
        <w:t>Cymvigo</w:t>
      </w:r>
      <w:proofErr w:type="spellEnd"/>
      <w:r w:rsidR="00ED2966" w:rsidRPr="00561601">
        <w:rPr>
          <w:snapToGrid/>
          <w:lang w:val="lt-LT"/>
        </w:rPr>
        <w:t xml:space="preserve"> 100 V/ml infuzinis tirpalas</w:t>
      </w:r>
    </w:p>
    <w:p w14:paraId="2E53BF13" w14:textId="77777777" w:rsidR="00ED2966" w:rsidRPr="00561601" w:rsidRDefault="0027120D" w:rsidP="00ED2966">
      <w:pPr>
        <w:rPr>
          <w:snapToGrid/>
          <w:lang w:val="lt-LT"/>
        </w:rPr>
      </w:pPr>
      <w:r>
        <w:rPr>
          <w:snapToGrid/>
          <w:lang w:val="lt-LT"/>
        </w:rPr>
        <w:t>ž</w:t>
      </w:r>
      <w:r w:rsidR="00ED2966" w:rsidRPr="00561601">
        <w:rPr>
          <w:snapToGrid/>
          <w:lang w:val="lt-LT"/>
        </w:rPr>
        <w:t xml:space="preserve">mogaus </w:t>
      </w:r>
      <w:proofErr w:type="spellStart"/>
      <w:r w:rsidR="00ED2966" w:rsidRPr="00561601">
        <w:rPr>
          <w:snapToGrid/>
          <w:lang w:val="lt-LT"/>
        </w:rPr>
        <w:t>citomegalo</w:t>
      </w:r>
      <w:proofErr w:type="spellEnd"/>
      <w:r w:rsidR="00ED2966" w:rsidRPr="00561601">
        <w:rPr>
          <w:snapToGrid/>
          <w:lang w:val="lt-LT"/>
        </w:rPr>
        <w:t xml:space="preserve"> viruso imunoglobulinas</w:t>
      </w:r>
    </w:p>
    <w:p w14:paraId="5DD5FB5D" w14:textId="77777777" w:rsidR="00ED2966" w:rsidRPr="00561601" w:rsidRDefault="00ED2966" w:rsidP="00ED2966">
      <w:pPr>
        <w:rPr>
          <w:noProof/>
          <w:snapToGrid/>
          <w:lang w:val="lt-LT"/>
        </w:rPr>
      </w:pPr>
      <w:r w:rsidRPr="00561601">
        <w:rPr>
          <w:snapToGrid/>
          <w:lang w:val="lt-LT"/>
        </w:rPr>
        <w:t>Leisti į veną</w:t>
      </w:r>
    </w:p>
    <w:p w14:paraId="75191937" w14:textId="77777777" w:rsidR="00ED2966" w:rsidRDefault="00ED2966" w:rsidP="00ED2966">
      <w:pPr>
        <w:rPr>
          <w:szCs w:val="24"/>
          <w:lang w:val="lt-LT"/>
        </w:rPr>
      </w:pPr>
    </w:p>
    <w:p w14:paraId="5EE94B8A" w14:textId="77777777" w:rsidR="005E6070" w:rsidRPr="00561601" w:rsidRDefault="005E6070" w:rsidP="00ED2966">
      <w:pPr>
        <w:rPr>
          <w:szCs w:val="24"/>
          <w:lang w:val="lt-LT"/>
        </w:rPr>
      </w:pPr>
    </w:p>
    <w:p w14:paraId="3703D103" w14:textId="77777777" w:rsidR="00ED2966" w:rsidRPr="00561601" w:rsidRDefault="00ED2966" w:rsidP="00ED296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561601">
        <w:rPr>
          <w:b/>
          <w:szCs w:val="24"/>
          <w:lang w:val="lt-LT"/>
        </w:rPr>
        <w:t>2.</w:t>
      </w:r>
      <w:r w:rsidRPr="00561601">
        <w:rPr>
          <w:b/>
          <w:szCs w:val="24"/>
          <w:lang w:val="lt-LT"/>
        </w:rPr>
        <w:tab/>
      </w:r>
      <w:r w:rsidRPr="00561601">
        <w:rPr>
          <w:b/>
          <w:noProof/>
          <w:szCs w:val="24"/>
          <w:lang w:val="lt-LT"/>
        </w:rPr>
        <w:t>VARTOJIMO METODAS</w:t>
      </w:r>
    </w:p>
    <w:p w14:paraId="28763ECD" w14:textId="77777777" w:rsidR="00ED2966" w:rsidRPr="00561601" w:rsidRDefault="00ED2966" w:rsidP="00ED2966">
      <w:pPr>
        <w:rPr>
          <w:snapToGrid/>
          <w:lang w:val="lt-LT"/>
        </w:rPr>
      </w:pPr>
    </w:p>
    <w:p w14:paraId="5B5408BA" w14:textId="77777777" w:rsidR="00ED2966" w:rsidRPr="00561601" w:rsidRDefault="00ED2966" w:rsidP="00ED2966">
      <w:pPr>
        <w:rPr>
          <w:snapToGrid/>
          <w:lang w:val="lt-LT"/>
        </w:rPr>
      </w:pPr>
      <w:r w:rsidRPr="00561601">
        <w:rPr>
          <w:snapToGrid/>
          <w:lang w:val="lt-LT"/>
        </w:rPr>
        <w:t>Prieš vartojimą perskaitykite pakuotės lapelį.</w:t>
      </w:r>
    </w:p>
    <w:p w14:paraId="41DFA1A2" w14:textId="77777777" w:rsidR="00ED2966" w:rsidRDefault="00ED2966" w:rsidP="00ED2966">
      <w:pPr>
        <w:rPr>
          <w:szCs w:val="24"/>
          <w:lang w:val="lt-LT"/>
        </w:rPr>
      </w:pPr>
    </w:p>
    <w:p w14:paraId="3B48AA6E" w14:textId="77777777" w:rsidR="005E6070" w:rsidRPr="00561601" w:rsidRDefault="005E6070" w:rsidP="00ED2966">
      <w:pPr>
        <w:rPr>
          <w:szCs w:val="24"/>
          <w:lang w:val="lt-LT"/>
        </w:rPr>
      </w:pPr>
    </w:p>
    <w:p w14:paraId="6DBF0AFC" w14:textId="77777777" w:rsidR="00ED2966" w:rsidRPr="00561601" w:rsidRDefault="00ED2966" w:rsidP="00ED296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561601">
        <w:rPr>
          <w:b/>
          <w:szCs w:val="24"/>
          <w:lang w:val="lt-LT"/>
        </w:rPr>
        <w:t>3.</w:t>
      </w:r>
      <w:r w:rsidRPr="00561601">
        <w:rPr>
          <w:b/>
          <w:szCs w:val="24"/>
          <w:lang w:val="lt-LT"/>
        </w:rPr>
        <w:tab/>
      </w:r>
      <w:r w:rsidRPr="00561601">
        <w:rPr>
          <w:b/>
          <w:noProof/>
          <w:szCs w:val="24"/>
          <w:lang w:val="lt-LT"/>
        </w:rPr>
        <w:t>TINKAMUMO LAIKAS</w:t>
      </w:r>
    </w:p>
    <w:p w14:paraId="55155B42" w14:textId="77777777" w:rsidR="00ED2966" w:rsidRPr="00561601" w:rsidRDefault="00ED2966" w:rsidP="00ED2966">
      <w:pPr>
        <w:rPr>
          <w:szCs w:val="24"/>
          <w:lang w:val="lt-LT"/>
        </w:rPr>
      </w:pPr>
    </w:p>
    <w:p w14:paraId="2F5ADA9B" w14:textId="77777777" w:rsidR="00ED2966" w:rsidRPr="00561601" w:rsidRDefault="00ED2966" w:rsidP="00ED2966">
      <w:pPr>
        <w:rPr>
          <w:lang w:val="lt-LT"/>
        </w:rPr>
      </w:pPr>
      <w:r w:rsidRPr="00561601">
        <w:rPr>
          <w:lang w:val="lt-LT"/>
        </w:rPr>
        <w:t>EXP:</w:t>
      </w:r>
    </w:p>
    <w:p w14:paraId="4B8127CD" w14:textId="77777777" w:rsidR="00ED2966" w:rsidRDefault="00ED2966" w:rsidP="00ED2966">
      <w:pPr>
        <w:rPr>
          <w:szCs w:val="24"/>
          <w:lang w:val="lt-LT"/>
        </w:rPr>
      </w:pPr>
    </w:p>
    <w:p w14:paraId="34E0C5DB" w14:textId="77777777" w:rsidR="005E6070" w:rsidRPr="00561601" w:rsidRDefault="005E6070" w:rsidP="00ED2966">
      <w:pPr>
        <w:rPr>
          <w:szCs w:val="24"/>
          <w:lang w:val="lt-LT"/>
        </w:rPr>
      </w:pPr>
    </w:p>
    <w:p w14:paraId="2E1328FE" w14:textId="77777777" w:rsidR="00ED2966" w:rsidRPr="00561601" w:rsidRDefault="00ED2966" w:rsidP="00ED2966">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561601">
        <w:rPr>
          <w:b/>
          <w:szCs w:val="24"/>
          <w:lang w:val="lt-LT"/>
        </w:rPr>
        <w:t>4.</w:t>
      </w:r>
      <w:r w:rsidRPr="00561601">
        <w:rPr>
          <w:b/>
          <w:szCs w:val="24"/>
          <w:lang w:val="lt-LT"/>
        </w:rPr>
        <w:tab/>
      </w:r>
      <w:r w:rsidRPr="00561601">
        <w:rPr>
          <w:b/>
          <w:noProof/>
          <w:szCs w:val="24"/>
          <w:lang w:val="lt-LT"/>
        </w:rPr>
        <w:t xml:space="preserve">SERIJOS NUMERIS </w:t>
      </w:r>
    </w:p>
    <w:p w14:paraId="30186839" w14:textId="77777777" w:rsidR="00ED2966" w:rsidRPr="00561601" w:rsidRDefault="00ED2966" w:rsidP="00ED2966">
      <w:pPr>
        <w:rPr>
          <w:szCs w:val="24"/>
          <w:lang w:val="lt-LT"/>
        </w:rPr>
      </w:pPr>
    </w:p>
    <w:p w14:paraId="33632547" w14:textId="77777777" w:rsidR="00ED2966" w:rsidRPr="00561601" w:rsidRDefault="00ED2966" w:rsidP="00ED2966">
      <w:pPr>
        <w:rPr>
          <w:szCs w:val="24"/>
          <w:lang w:val="lt-LT"/>
        </w:rPr>
      </w:pPr>
      <w:r w:rsidRPr="00561601">
        <w:rPr>
          <w:szCs w:val="24"/>
          <w:lang w:val="lt-LT"/>
        </w:rPr>
        <w:t>Lot:</w:t>
      </w:r>
    </w:p>
    <w:p w14:paraId="7D99F513" w14:textId="77777777" w:rsidR="00ED2966" w:rsidRDefault="00ED2966" w:rsidP="00ED2966">
      <w:pPr>
        <w:rPr>
          <w:szCs w:val="24"/>
          <w:lang w:val="lt-LT"/>
        </w:rPr>
      </w:pPr>
    </w:p>
    <w:p w14:paraId="165BC367" w14:textId="77777777" w:rsidR="005E6070" w:rsidRPr="00561601" w:rsidRDefault="005E6070" w:rsidP="00ED2966">
      <w:pPr>
        <w:rPr>
          <w:szCs w:val="24"/>
          <w:lang w:val="lt-LT"/>
        </w:rPr>
      </w:pPr>
    </w:p>
    <w:p w14:paraId="596416AA" w14:textId="77777777" w:rsidR="00ED2966" w:rsidRPr="00561601" w:rsidRDefault="00ED2966" w:rsidP="00ED296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561601">
        <w:rPr>
          <w:b/>
          <w:szCs w:val="24"/>
          <w:lang w:val="lt-LT"/>
        </w:rPr>
        <w:t>5.</w:t>
      </w:r>
      <w:r w:rsidRPr="00561601">
        <w:rPr>
          <w:b/>
          <w:szCs w:val="24"/>
          <w:lang w:val="lt-LT"/>
        </w:rPr>
        <w:tab/>
      </w:r>
      <w:r w:rsidRPr="00561601">
        <w:rPr>
          <w:b/>
          <w:lang w:val="lt-LT"/>
        </w:rPr>
        <w:t>KIEKIS (MASĖ, TŪRIS ARBA VIENETAI)</w:t>
      </w:r>
    </w:p>
    <w:p w14:paraId="6FC66633" w14:textId="77777777" w:rsidR="00ED2966" w:rsidRPr="00561601" w:rsidRDefault="00ED2966" w:rsidP="00ED2966">
      <w:pPr>
        <w:rPr>
          <w:snapToGrid/>
          <w:lang w:val="lt-LT"/>
        </w:rPr>
      </w:pPr>
    </w:p>
    <w:p w14:paraId="294BA8B1" w14:textId="77777777" w:rsidR="00ED2966" w:rsidRPr="00561601" w:rsidRDefault="00ED2966" w:rsidP="00ED2966">
      <w:pPr>
        <w:rPr>
          <w:noProof/>
          <w:snapToGrid/>
          <w:lang w:val="lt-LT"/>
        </w:rPr>
      </w:pPr>
      <w:r w:rsidRPr="00561601">
        <w:rPr>
          <w:snapToGrid/>
          <w:lang w:val="lt-LT"/>
        </w:rPr>
        <w:t>10 ml / 1 000 V</w:t>
      </w:r>
    </w:p>
    <w:p w14:paraId="56935302" w14:textId="77777777" w:rsidR="00ED2966" w:rsidRDefault="00ED2966" w:rsidP="00ED2966">
      <w:pPr>
        <w:rPr>
          <w:szCs w:val="24"/>
          <w:lang w:val="lt-LT"/>
        </w:rPr>
      </w:pPr>
    </w:p>
    <w:p w14:paraId="6CE46338" w14:textId="77777777" w:rsidR="005E6070" w:rsidRPr="00561601" w:rsidRDefault="005E6070" w:rsidP="00ED2966">
      <w:pPr>
        <w:rPr>
          <w:szCs w:val="24"/>
          <w:lang w:val="lt-LT"/>
        </w:rPr>
      </w:pPr>
    </w:p>
    <w:p w14:paraId="10BF3FFA" w14:textId="77777777" w:rsidR="00ED2966" w:rsidRPr="00561601" w:rsidRDefault="00ED2966" w:rsidP="00ED296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561601">
        <w:rPr>
          <w:b/>
          <w:szCs w:val="24"/>
          <w:lang w:val="lt-LT"/>
        </w:rPr>
        <w:t>6.</w:t>
      </w:r>
      <w:r w:rsidRPr="00561601">
        <w:rPr>
          <w:b/>
          <w:szCs w:val="24"/>
          <w:lang w:val="lt-LT"/>
        </w:rPr>
        <w:tab/>
      </w:r>
      <w:r w:rsidRPr="00561601">
        <w:rPr>
          <w:b/>
          <w:lang w:val="lt-LT"/>
        </w:rPr>
        <w:t>KITA</w:t>
      </w:r>
    </w:p>
    <w:p w14:paraId="14060B33" w14:textId="77777777" w:rsidR="00ED2966" w:rsidRPr="00561601" w:rsidRDefault="00ED2966" w:rsidP="00ED2966">
      <w:pPr>
        <w:rPr>
          <w:snapToGrid/>
          <w:lang w:val="lt-LT"/>
        </w:rPr>
      </w:pPr>
    </w:p>
    <w:p w14:paraId="46E871E7" w14:textId="77777777" w:rsidR="00ED2966" w:rsidRPr="00561601" w:rsidRDefault="00ED2966" w:rsidP="00ED2966">
      <w:pPr>
        <w:rPr>
          <w:snapToGrid/>
          <w:lang w:val="lt-LT"/>
        </w:rPr>
      </w:pPr>
      <w:r w:rsidRPr="00561601">
        <w:rPr>
          <w:snapToGrid/>
          <w:lang w:val="lt-LT"/>
        </w:rPr>
        <w:t>Laikyti šaldytuve (2 °C – 8 °C). Negalima užšaldyti.</w:t>
      </w:r>
    </w:p>
    <w:p w14:paraId="5E66849B" w14:textId="10EBD32B" w:rsidR="00ED2966" w:rsidRPr="00561601" w:rsidRDefault="00ED2966" w:rsidP="00ED2966">
      <w:pPr>
        <w:rPr>
          <w:szCs w:val="24"/>
          <w:lang w:val="lt-LT"/>
        </w:rPr>
      </w:pPr>
      <w:r w:rsidRPr="00561601">
        <w:rPr>
          <w:snapToGrid/>
          <w:lang w:val="lt-LT"/>
        </w:rPr>
        <w:t>Flakoną laikyti išorinėje dėžutėje, kad vaist</w:t>
      </w:r>
      <w:r w:rsidR="00023C68">
        <w:rPr>
          <w:snapToGrid/>
          <w:lang w:val="lt-LT"/>
        </w:rPr>
        <w:t>as</w:t>
      </w:r>
      <w:r w:rsidRPr="00561601">
        <w:rPr>
          <w:snapToGrid/>
          <w:lang w:val="lt-LT"/>
        </w:rPr>
        <w:t xml:space="preserve"> būtų apsaugotas nuo šviesos.</w:t>
      </w:r>
    </w:p>
    <w:p w14:paraId="1DFA1869" w14:textId="77777777" w:rsidR="00ED2966" w:rsidRPr="00561601" w:rsidRDefault="00ED2966" w:rsidP="006250C6">
      <w:pPr>
        <w:rPr>
          <w:b/>
          <w:szCs w:val="24"/>
          <w:lang w:val="lt-LT"/>
        </w:rPr>
      </w:pPr>
      <w:r w:rsidRPr="00561601">
        <w:rPr>
          <w:lang w:val="lt-LT"/>
        </w:rPr>
        <w:br w:type="page"/>
      </w:r>
    </w:p>
    <w:p w14:paraId="1E872F6A" w14:textId="77777777" w:rsidR="006250C6" w:rsidRPr="00561601" w:rsidRDefault="006250C6" w:rsidP="006250C6">
      <w:pPr>
        <w:pBdr>
          <w:top w:val="single" w:sz="4" w:space="1" w:color="auto"/>
          <w:left w:val="single" w:sz="4" w:space="4" w:color="auto"/>
          <w:bottom w:val="single" w:sz="4" w:space="1" w:color="auto"/>
          <w:right w:val="single" w:sz="4" w:space="4" w:color="auto"/>
        </w:pBdr>
        <w:spacing w:line="240" w:lineRule="auto"/>
        <w:rPr>
          <w:b/>
          <w:szCs w:val="24"/>
          <w:lang w:val="lt-LT"/>
        </w:rPr>
      </w:pPr>
      <w:r w:rsidRPr="00561601">
        <w:rPr>
          <w:b/>
          <w:noProof/>
          <w:szCs w:val="24"/>
          <w:lang w:val="lt-LT"/>
        </w:rPr>
        <w:t xml:space="preserve">INFORMACIJA ANT </w:t>
      </w:r>
      <w:r w:rsidR="002C77D0" w:rsidRPr="00561601">
        <w:rPr>
          <w:b/>
          <w:noProof/>
          <w:szCs w:val="24"/>
          <w:lang w:val="lt-LT"/>
        </w:rPr>
        <w:t>VIDINĖS</w:t>
      </w:r>
      <w:r w:rsidRPr="00561601">
        <w:rPr>
          <w:b/>
          <w:noProof/>
          <w:szCs w:val="24"/>
          <w:lang w:val="lt-LT"/>
        </w:rPr>
        <w:t xml:space="preserve"> PAKUOTĖS</w:t>
      </w:r>
    </w:p>
    <w:p w14:paraId="4332C2FC" w14:textId="77777777" w:rsidR="006250C6" w:rsidRPr="00561601" w:rsidRDefault="006250C6" w:rsidP="006250C6">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0D6F1059" w14:textId="77777777" w:rsidR="006250C6" w:rsidRPr="00561601" w:rsidRDefault="0027120D" w:rsidP="006250C6">
      <w:pPr>
        <w:pBdr>
          <w:top w:val="single" w:sz="4" w:space="1" w:color="auto"/>
          <w:left w:val="single" w:sz="4" w:space="4" w:color="auto"/>
          <w:bottom w:val="single" w:sz="4" w:space="1" w:color="auto"/>
          <w:right w:val="single" w:sz="4" w:space="4" w:color="auto"/>
        </w:pBdr>
        <w:spacing w:line="240" w:lineRule="auto"/>
        <w:rPr>
          <w:b/>
          <w:szCs w:val="24"/>
          <w:lang w:val="lt-LT"/>
        </w:rPr>
      </w:pPr>
      <w:r w:rsidRPr="00561601">
        <w:rPr>
          <w:b/>
          <w:noProof/>
          <w:szCs w:val="24"/>
          <w:lang w:val="lt-LT"/>
        </w:rPr>
        <w:t>FLAKON</w:t>
      </w:r>
      <w:r>
        <w:rPr>
          <w:b/>
          <w:noProof/>
          <w:szCs w:val="24"/>
          <w:lang w:val="lt-LT"/>
        </w:rPr>
        <w:t>O ETIKETĖ,</w:t>
      </w:r>
      <w:r w:rsidR="002C77D0" w:rsidRPr="00561601">
        <w:rPr>
          <w:b/>
          <w:noProof/>
          <w:szCs w:val="24"/>
          <w:lang w:val="lt-LT"/>
        </w:rPr>
        <w:t xml:space="preserve"> 50 ml</w:t>
      </w:r>
    </w:p>
    <w:p w14:paraId="78D2CECA" w14:textId="77777777" w:rsidR="006250C6" w:rsidRPr="00561601" w:rsidRDefault="006250C6" w:rsidP="006250C6">
      <w:pPr>
        <w:rPr>
          <w:szCs w:val="24"/>
          <w:lang w:val="lt-LT"/>
        </w:rPr>
      </w:pPr>
    </w:p>
    <w:p w14:paraId="4A541EE2" w14:textId="77777777" w:rsidR="006250C6" w:rsidRPr="00561601" w:rsidRDefault="006250C6" w:rsidP="006250C6">
      <w:pPr>
        <w:rPr>
          <w:szCs w:val="24"/>
          <w:lang w:val="lt-LT"/>
        </w:rPr>
      </w:pPr>
    </w:p>
    <w:p w14:paraId="1831958D" w14:textId="77777777" w:rsidR="006250C6" w:rsidRPr="00561601" w:rsidRDefault="006250C6" w:rsidP="006250C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61601">
        <w:rPr>
          <w:b/>
          <w:szCs w:val="24"/>
          <w:lang w:val="lt-LT"/>
        </w:rPr>
        <w:t>1.</w:t>
      </w:r>
      <w:r w:rsidRPr="00561601">
        <w:rPr>
          <w:b/>
          <w:szCs w:val="24"/>
          <w:lang w:val="lt-LT"/>
        </w:rPr>
        <w:tab/>
      </w:r>
      <w:r w:rsidRPr="00561601">
        <w:rPr>
          <w:b/>
          <w:caps/>
          <w:noProof/>
          <w:szCs w:val="24"/>
          <w:lang w:val="lt-LT"/>
        </w:rPr>
        <w:t>VAISTINIO</w:t>
      </w:r>
      <w:r w:rsidRPr="00561601">
        <w:rPr>
          <w:b/>
          <w:noProof/>
          <w:szCs w:val="24"/>
          <w:lang w:val="lt-LT"/>
        </w:rPr>
        <w:t xml:space="preserve"> PREPARATO PAVADINIMAS</w:t>
      </w:r>
    </w:p>
    <w:p w14:paraId="414306B5" w14:textId="77777777" w:rsidR="006250C6" w:rsidRPr="00561601" w:rsidRDefault="006250C6" w:rsidP="006250C6">
      <w:pPr>
        <w:rPr>
          <w:szCs w:val="24"/>
          <w:lang w:val="lt-LT"/>
        </w:rPr>
      </w:pPr>
    </w:p>
    <w:p w14:paraId="43652858" w14:textId="4210DCA8" w:rsidR="006250C6" w:rsidRPr="00561601" w:rsidRDefault="00E47068" w:rsidP="006250C6">
      <w:pPr>
        <w:spacing w:line="280" w:lineRule="atLeast"/>
        <w:jc w:val="both"/>
        <w:rPr>
          <w:snapToGrid/>
          <w:lang w:val="lt-LT"/>
        </w:rPr>
      </w:pPr>
      <w:proofErr w:type="spellStart"/>
      <w:r>
        <w:rPr>
          <w:snapToGrid/>
          <w:lang w:val="lt-LT"/>
        </w:rPr>
        <w:t>Cymvigo</w:t>
      </w:r>
      <w:proofErr w:type="spellEnd"/>
      <w:r w:rsidR="006250C6" w:rsidRPr="00561601">
        <w:rPr>
          <w:snapToGrid/>
          <w:lang w:val="lt-LT"/>
        </w:rPr>
        <w:t xml:space="preserve"> 100 V/ml infuzinis tirpalas</w:t>
      </w:r>
    </w:p>
    <w:p w14:paraId="1AC9829A" w14:textId="77777777" w:rsidR="006250C6" w:rsidRPr="00561601" w:rsidRDefault="0027120D" w:rsidP="006250C6">
      <w:pPr>
        <w:rPr>
          <w:snapToGrid/>
          <w:lang w:val="lt-LT"/>
        </w:rPr>
      </w:pPr>
      <w:r>
        <w:rPr>
          <w:snapToGrid/>
          <w:lang w:val="lt-LT"/>
        </w:rPr>
        <w:t>ž</w:t>
      </w:r>
      <w:r w:rsidR="006250C6" w:rsidRPr="00561601">
        <w:rPr>
          <w:snapToGrid/>
          <w:lang w:val="lt-LT"/>
        </w:rPr>
        <w:t xml:space="preserve">mogaus </w:t>
      </w:r>
      <w:proofErr w:type="spellStart"/>
      <w:r w:rsidR="006250C6" w:rsidRPr="00561601">
        <w:rPr>
          <w:snapToGrid/>
          <w:lang w:val="lt-LT"/>
        </w:rPr>
        <w:t>citomegalo</w:t>
      </w:r>
      <w:proofErr w:type="spellEnd"/>
      <w:r w:rsidR="006250C6" w:rsidRPr="00561601">
        <w:rPr>
          <w:snapToGrid/>
          <w:lang w:val="lt-LT"/>
        </w:rPr>
        <w:t xml:space="preserve"> viruso imunoglobulinas</w:t>
      </w:r>
    </w:p>
    <w:p w14:paraId="3FA3FE20" w14:textId="77777777" w:rsidR="006250C6" w:rsidRPr="00561601" w:rsidRDefault="006250C6" w:rsidP="006250C6">
      <w:pPr>
        <w:rPr>
          <w:szCs w:val="24"/>
          <w:lang w:val="lt-LT"/>
        </w:rPr>
      </w:pPr>
    </w:p>
    <w:p w14:paraId="1158E39A" w14:textId="77777777" w:rsidR="006250C6" w:rsidRPr="00561601" w:rsidRDefault="006250C6" w:rsidP="006250C6">
      <w:pPr>
        <w:rPr>
          <w:szCs w:val="24"/>
          <w:lang w:val="lt-LT"/>
        </w:rPr>
      </w:pPr>
    </w:p>
    <w:p w14:paraId="1A20337C" w14:textId="77777777" w:rsidR="006250C6" w:rsidRPr="00561601" w:rsidRDefault="006250C6" w:rsidP="006250C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561601">
        <w:rPr>
          <w:b/>
          <w:szCs w:val="24"/>
          <w:lang w:val="lt-LT"/>
        </w:rPr>
        <w:t>2.</w:t>
      </w:r>
      <w:r w:rsidRPr="00561601">
        <w:rPr>
          <w:b/>
          <w:szCs w:val="24"/>
          <w:lang w:val="lt-LT"/>
        </w:rPr>
        <w:tab/>
      </w:r>
      <w:r w:rsidRPr="00561601">
        <w:rPr>
          <w:b/>
          <w:noProof/>
          <w:szCs w:val="24"/>
          <w:lang w:val="lt-LT"/>
        </w:rPr>
        <w:t>VEIKLIOJI (-IOS) MEDŽIAGA (-OS) IR JOS (-Ų) KIEKIS (-IAI)</w:t>
      </w:r>
    </w:p>
    <w:p w14:paraId="6063D9C9" w14:textId="77777777" w:rsidR="006250C6" w:rsidRPr="00561601" w:rsidRDefault="006250C6" w:rsidP="006250C6">
      <w:pPr>
        <w:rPr>
          <w:szCs w:val="24"/>
          <w:lang w:val="lt-LT"/>
        </w:rPr>
      </w:pPr>
    </w:p>
    <w:p w14:paraId="4A28A664" w14:textId="53A7AF73" w:rsidR="002C77D0" w:rsidRPr="00561601" w:rsidRDefault="002C77D0" w:rsidP="004979B2">
      <w:pPr>
        <w:tabs>
          <w:tab w:val="left" w:pos="4962"/>
          <w:tab w:val="left" w:pos="5103"/>
          <w:tab w:val="left" w:pos="5245"/>
        </w:tabs>
        <w:rPr>
          <w:snapToGrid/>
          <w:lang w:val="lt-LT"/>
        </w:rPr>
      </w:pPr>
      <w:r w:rsidRPr="00561601">
        <w:rPr>
          <w:snapToGrid/>
          <w:lang w:val="lt-LT"/>
        </w:rPr>
        <w:t>1 ml infuzinio tirpalo yra:</w:t>
      </w:r>
      <w:r w:rsidR="00585786">
        <w:rPr>
          <w:snapToGrid/>
          <w:lang w:val="lt-LT"/>
        </w:rPr>
        <w:t xml:space="preserve"> </w:t>
      </w:r>
      <w:r w:rsidR="00F05638">
        <w:rPr>
          <w:snapToGrid/>
          <w:lang w:val="lt-LT"/>
        </w:rPr>
        <w:t>ž</w:t>
      </w:r>
      <w:r w:rsidRPr="00561601">
        <w:rPr>
          <w:snapToGrid/>
          <w:lang w:val="lt-LT"/>
        </w:rPr>
        <w:t>mogaus plazmos baltymo</w:t>
      </w:r>
      <w:r w:rsidR="00227A69">
        <w:rPr>
          <w:snapToGrid/>
          <w:lang w:val="lt-LT"/>
        </w:rPr>
        <w:t xml:space="preserve"> </w:t>
      </w:r>
      <w:r w:rsidRPr="00561601">
        <w:rPr>
          <w:snapToGrid/>
          <w:lang w:val="lt-LT"/>
        </w:rPr>
        <w:t>50 mg</w:t>
      </w:r>
      <w:r w:rsidR="00B72F88">
        <w:rPr>
          <w:snapToGrid/>
          <w:lang w:val="lt-LT"/>
        </w:rPr>
        <w:t xml:space="preserve">, </w:t>
      </w:r>
      <w:r w:rsidRPr="00561601">
        <w:rPr>
          <w:snapToGrid/>
          <w:lang w:val="lt-LT"/>
        </w:rPr>
        <w:t xml:space="preserve">iš kurio imunoglobulino G* </w:t>
      </w:r>
      <w:r w:rsidRPr="00561601">
        <w:rPr>
          <w:snapToGrid/>
          <w:lang w:val="lt-LT"/>
        </w:rPr>
        <w:sym w:font="Symbol" w:char="F0B3"/>
      </w:r>
      <w:r w:rsidR="00B72F88">
        <w:rPr>
          <w:snapToGrid/>
          <w:lang w:val="lt-LT"/>
        </w:rPr>
        <w:t xml:space="preserve"> </w:t>
      </w:r>
      <w:r w:rsidRPr="00561601">
        <w:rPr>
          <w:snapToGrid/>
          <w:lang w:val="lt-LT"/>
        </w:rPr>
        <w:t>96 %</w:t>
      </w:r>
      <w:r w:rsidR="00B72F88">
        <w:rPr>
          <w:snapToGrid/>
          <w:lang w:val="lt-LT"/>
        </w:rPr>
        <w:t xml:space="preserve">, </w:t>
      </w:r>
      <w:r w:rsidRPr="00561601">
        <w:rPr>
          <w:snapToGrid/>
          <w:lang w:val="lt-LT"/>
        </w:rPr>
        <w:t xml:space="preserve">antikūnų prieš </w:t>
      </w:r>
      <w:proofErr w:type="spellStart"/>
      <w:r w:rsidRPr="00561601">
        <w:rPr>
          <w:snapToGrid/>
          <w:lang w:val="lt-LT"/>
        </w:rPr>
        <w:t>citomegalo</w:t>
      </w:r>
      <w:proofErr w:type="spellEnd"/>
      <w:r w:rsidRPr="00561601">
        <w:rPr>
          <w:snapToGrid/>
          <w:lang w:val="lt-LT"/>
        </w:rPr>
        <w:t xml:space="preserve"> virusą 100 V**</w:t>
      </w:r>
      <w:r w:rsidR="00EC58D2">
        <w:rPr>
          <w:snapToGrid/>
          <w:lang w:val="lt-LT"/>
        </w:rPr>
        <w:t>.</w:t>
      </w:r>
    </w:p>
    <w:p w14:paraId="14841E07" w14:textId="77777777" w:rsidR="002C77D0" w:rsidRPr="00561601" w:rsidRDefault="002C77D0" w:rsidP="002C77D0">
      <w:pPr>
        <w:rPr>
          <w:snapToGrid/>
          <w:lang w:val="lt-LT"/>
        </w:rPr>
      </w:pPr>
    </w:p>
    <w:p w14:paraId="2B80A1E6" w14:textId="77777777" w:rsidR="002C77D0" w:rsidRPr="00561601" w:rsidRDefault="002C77D0" w:rsidP="002C77D0">
      <w:pPr>
        <w:rPr>
          <w:snapToGrid/>
          <w:lang w:val="lt-LT"/>
        </w:rPr>
      </w:pPr>
      <w:r w:rsidRPr="00561601">
        <w:rPr>
          <w:snapToGrid/>
          <w:lang w:val="lt-LT"/>
        </w:rPr>
        <w:t>*</w:t>
      </w:r>
      <w:proofErr w:type="spellStart"/>
      <w:r w:rsidRPr="00561601">
        <w:rPr>
          <w:snapToGrid/>
          <w:lang w:val="lt-LT"/>
        </w:rPr>
        <w:t>IgG</w:t>
      </w:r>
      <w:proofErr w:type="spellEnd"/>
      <w:r w:rsidRPr="00561601">
        <w:rPr>
          <w:snapToGrid/>
          <w:lang w:val="lt-LT"/>
        </w:rPr>
        <w:t xml:space="preserve"> poklasių pasiskirstymas: 65 % IgG1, 30 % IgG2, 3 % IgG3, 2 % IgG4,</w:t>
      </w:r>
      <w:r w:rsidRPr="00561601">
        <w:rPr>
          <w:snapToGrid/>
          <w:lang w:val="lt-LT"/>
        </w:rPr>
        <w:br/>
      </w:r>
      <w:proofErr w:type="spellStart"/>
      <w:r w:rsidRPr="00561601">
        <w:rPr>
          <w:snapToGrid/>
          <w:lang w:val="lt-LT"/>
        </w:rPr>
        <w:t>IgA</w:t>
      </w:r>
      <w:proofErr w:type="spellEnd"/>
      <w:r w:rsidRPr="00561601">
        <w:rPr>
          <w:snapToGrid/>
          <w:lang w:val="lt-LT"/>
        </w:rPr>
        <w:t xml:space="preserve"> kiekis ≤ 2 000 </w:t>
      </w:r>
      <w:proofErr w:type="spellStart"/>
      <w:r w:rsidRPr="00561601">
        <w:rPr>
          <w:snapToGrid/>
          <w:lang w:val="lt-LT"/>
        </w:rPr>
        <w:t>mikrogramų</w:t>
      </w:r>
      <w:proofErr w:type="spellEnd"/>
      <w:r w:rsidRPr="00561601">
        <w:rPr>
          <w:snapToGrid/>
          <w:lang w:val="lt-LT"/>
        </w:rPr>
        <w:t>/ml.</w:t>
      </w:r>
    </w:p>
    <w:p w14:paraId="00CFC69B" w14:textId="77777777" w:rsidR="002C77D0" w:rsidRPr="00561601" w:rsidRDefault="002C77D0" w:rsidP="002C77D0">
      <w:pPr>
        <w:rPr>
          <w:snapToGrid/>
          <w:lang w:val="lt-LT"/>
        </w:rPr>
      </w:pPr>
    </w:p>
    <w:p w14:paraId="3E02D7D0" w14:textId="7D70FCE5" w:rsidR="002C77D0" w:rsidRPr="00561601" w:rsidRDefault="002C77D0" w:rsidP="002C77D0">
      <w:pPr>
        <w:rPr>
          <w:noProof/>
          <w:snapToGrid/>
          <w:lang w:val="lt-LT"/>
        </w:rPr>
      </w:pPr>
      <w:r w:rsidRPr="00561601">
        <w:rPr>
          <w:snapToGrid/>
          <w:lang w:val="lt-LT"/>
        </w:rPr>
        <w:t>**Paul</w:t>
      </w:r>
      <w:r w:rsidR="00023C68">
        <w:rPr>
          <w:snapToGrid/>
          <w:lang w:val="lt-LT"/>
        </w:rPr>
        <w:t xml:space="preserve">o </w:t>
      </w:r>
      <w:proofErr w:type="spellStart"/>
      <w:r w:rsidRPr="00561601">
        <w:rPr>
          <w:snapToGrid/>
          <w:lang w:val="lt-LT"/>
        </w:rPr>
        <w:t>Erlich</w:t>
      </w:r>
      <w:r w:rsidR="00023C68">
        <w:rPr>
          <w:snapToGrid/>
          <w:lang w:val="lt-LT"/>
        </w:rPr>
        <w:t>o</w:t>
      </w:r>
      <w:proofErr w:type="spellEnd"/>
      <w:r w:rsidR="00023C68">
        <w:rPr>
          <w:snapToGrid/>
          <w:lang w:val="lt-LT"/>
        </w:rPr>
        <w:t xml:space="preserve"> </w:t>
      </w:r>
      <w:r w:rsidRPr="00561601">
        <w:rPr>
          <w:snapToGrid/>
          <w:lang w:val="lt-LT"/>
        </w:rPr>
        <w:t>Institut</w:t>
      </w:r>
      <w:r w:rsidR="00023C68">
        <w:rPr>
          <w:snapToGrid/>
          <w:lang w:val="lt-LT"/>
        </w:rPr>
        <w:t>o</w:t>
      </w:r>
      <w:r w:rsidRPr="00561601">
        <w:rPr>
          <w:snapToGrid/>
          <w:lang w:val="lt-LT"/>
        </w:rPr>
        <w:t xml:space="preserve"> etaloninio preparato vienetai</w:t>
      </w:r>
    </w:p>
    <w:p w14:paraId="0E1E268D" w14:textId="77777777" w:rsidR="006250C6" w:rsidRPr="00561601" w:rsidRDefault="006250C6" w:rsidP="006250C6">
      <w:pPr>
        <w:rPr>
          <w:szCs w:val="24"/>
          <w:lang w:val="lt-LT"/>
        </w:rPr>
      </w:pPr>
    </w:p>
    <w:p w14:paraId="35B9A1F3" w14:textId="77777777" w:rsidR="006250C6" w:rsidRPr="00561601" w:rsidRDefault="006250C6" w:rsidP="006250C6">
      <w:pPr>
        <w:rPr>
          <w:szCs w:val="24"/>
          <w:lang w:val="lt-LT"/>
        </w:rPr>
      </w:pPr>
    </w:p>
    <w:p w14:paraId="2D86BFFE" w14:textId="77777777" w:rsidR="006250C6" w:rsidRPr="00561601" w:rsidRDefault="006250C6" w:rsidP="006250C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61601">
        <w:rPr>
          <w:b/>
          <w:szCs w:val="24"/>
          <w:lang w:val="lt-LT"/>
        </w:rPr>
        <w:t>3.</w:t>
      </w:r>
      <w:r w:rsidRPr="00561601">
        <w:rPr>
          <w:b/>
          <w:szCs w:val="24"/>
          <w:lang w:val="lt-LT"/>
        </w:rPr>
        <w:tab/>
      </w:r>
      <w:r w:rsidRPr="00561601">
        <w:rPr>
          <w:b/>
          <w:noProof/>
          <w:szCs w:val="24"/>
          <w:lang w:val="lt-LT"/>
        </w:rPr>
        <w:t>PAGALBINIŲ MEDŽIAGŲ SĄRAŠAS</w:t>
      </w:r>
    </w:p>
    <w:p w14:paraId="25804F83" w14:textId="77777777" w:rsidR="006250C6" w:rsidRPr="00561601" w:rsidRDefault="006250C6" w:rsidP="006250C6">
      <w:pPr>
        <w:rPr>
          <w:snapToGrid/>
          <w:lang w:val="lt-LT"/>
        </w:rPr>
      </w:pPr>
    </w:p>
    <w:p w14:paraId="46771F12" w14:textId="3D682EE9" w:rsidR="006250C6" w:rsidRPr="00561601" w:rsidRDefault="007B44EC" w:rsidP="006250C6">
      <w:pPr>
        <w:rPr>
          <w:noProof/>
          <w:snapToGrid/>
          <w:lang w:val="lt-LT"/>
        </w:rPr>
      </w:pPr>
      <w:r>
        <w:rPr>
          <w:snapToGrid/>
          <w:lang w:val="lt-LT"/>
        </w:rPr>
        <w:t>G</w:t>
      </w:r>
      <w:r w:rsidR="006250C6" w:rsidRPr="00561601">
        <w:rPr>
          <w:snapToGrid/>
          <w:lang w:val="lt-LT"/>
        </w:rPr>
        <w:t>licinas, injekcinis vanduo</w:t>
      </w:r>
      <w:r>
        <w:rPr>
          <w:snapToGrid/>
          <w:lang w:val="lt-LT"/>
        </w:rPr>
        <w:t>.</w:t>
      </w:r>
    </w:p>
    <w:p w14:paraId="62EFBE25" w14:textId="77777777" w:rsidR="006250C6" w:rsidRPr="00561601" w:rsidRDefault="006250C6" w:rsidP="006250C6">
      <w:pPr>
        <w:rPr>
          <w:szCs w:val="24"/>
          <w:lang w:val="lt-LT"/>
        </w:rPr>
      </w:pPr>
    </w:p>
    <w:p w14:paraId="225E6BA8" w14:textId="77777777" w:rsidR="006250C6" w:rsidRPr="00561601" w:rsidRDefault="006250C6" w:rsidP="006250C6">
      <w:pPr>
        <w:rPr>
          <w:szCs w:val="24"/>
          <w:lang w:val="lt-LT"/>
        </w:rPr>
      </w:pPr>
    </w:p>
    <w:p w14:paraId="1B54DA2F" w14:textId="77777777" w:rsidR="006250C6" w:rsidRPr="00561601" w:rsidRDefault="006250C6" w:rsidP="006250C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61601">
        <w:rPr>
          <w:b/>
          <w:szCs w:val="24"/>
          <w:lang w:val="lt-LT"/>
        </w:rPr>
        <w:t>4.</w:t>
      </w:r>
      <w:r w:rsidRPr="00561601">
        <w:rPr>
          <w:b/>
          <w:szCs w:val="24"/>
          <w:lang w:val="lt-LT"/>
        </w:rPr>
        <w:tab/>
      </w:r>
      <w:r w:rsidRPr="00561601">
        <w:rPr>
          <w:b/>
          <w:noProof/>
          <w:szCs w:val="24"/>
          <w:lang w:val="lt-LT"/>
        </w:rPr>
        <w:t>FARMACINĖ FORMA IR KIEKIS PAKUOTĖJE</w:t>
      </w:r>
    </w:p>
    <w:p w14:paraId="214301DC" w14:textId="77777777" w:rsidR="006250C6" w:rsidRPr="00561601" w:rsidRDefault="006250C6" w:rsidP="006250C6">
      <w:pPr>
        <w:rPr>
          <w:snapToGrid/>
          <w:lang w:val="lt-LT"/>
        </w:rPr>
      </w:pPr>
    </w:p>
    <w:p w14:paraId="22AB2506" w14:textId="77777777" w:rsidR="006250C6" w:rsidRPr="00561601" w:rsidRDefault="006250C6" w:rsidP="006250C6">
      <w:pPr>
        <w:rPr>
          <w:snapToGrid/>
          <w:lang w:val="lt-LT"/>
        </w:rPr>
      </w:pPr>
      <w:r w:rsidRPr="00561601">
        <w:rPr>
          <w:snapToGrid/>
          <w:lang w:val="lt-LT"/>
        </w:rPr>
        <w:t>Infuzinis tirpalas</w:t>
      </w:r>
    </w:p>
    <w:p w14:paraId="1AB81154" w14:textId="77777777" w:rsidR="006250C6" w:rsidRPr="00561601" w:rsidRDefault="002C77D0" w:rsidP="002C77D0">
      <w:pPr>
        <w:rPr>
          <w:snapToGrid/>
          <w:lang w:val="lt-LT"/>
        </w:rPr>
      </w:pPr>
      <w:r w:rsidRPr="00561601">
        <w:rPr>
          <w:snapToGrid/>
          <w:lang w:val="lt-LT"/>
        </w:rPr>
        <w:t>5</w:t>
      </w:r>
      <w:r w:rsidR="006250C6" w:rsidRPr="00561601">
        <w:rPr>
          <w:snapToGrid/>
          <w:lang w:val="lt-LT"/>
        </w:rPr>
        <w:t xml:space="preserve">0 ml / </w:t>
      </w:r>
      <w:r w:rsidRPr="00561601">
        <w:rPr>
          <w:snapToGrid/>
          <w:lang w:val="lt-LT"/>
        </w:rPr>
        <w:t>5</w:t>
      </w:r>
      <w:r w:rsidR="006250C6" w:rsidRPr="00561601">
        <w:rPr>
          <w:snapToGrid/>
          <w:lang w:val="lt-LT"/>
        </w:rPr>
        <w:t> 000 V</w:t>
      </w:r>
    </w:p>
    <w:p w14:paraId="227D7532" w14:textId="77777777" w:rsidR="002C77D0" w:rsidRPr="00561601" w:rsidRDefault="002C77D0" w:rsidP="002C77D0">
      <w:pPr>
        <w:rPr>
          <w:szCs w:val="24"/>
          <w:lang w:val="lt-LT"/>
        </w:rPr>
      </w:pPr>
    </w:p>
    <w:p w14:paraId="4205C30D" w14:textId="77777777" w:rsidR="006250C6" w:rsidRPr="00561601" w:rsidRDefault="006250C6" w:rsidP="006250C6">
      <w:pPr>
        <w:rPr>
          <w:szCs w:val="24"/>
          <w:lang w:val="lt-LT"/>
        </w:rPr>
      </w:pPr>
    </w:p>
    <w:p w14:paraId="721892ED" w14:textId="77777777" w:rsidR="006250C6" w:rsidRPr="00561601" w:rsidRDefault="006250C6" w:rsidP="006250C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61601">
        <w:rPr>
          <w:b/>
          <w:szCs w:val="24"/>
          <w:lang w:val="lt-LT"/>
        </w:rPr>
        <w:t>5.</w:t>
      </w:r>
      <w:r w:rsidRPr="00561601">
        <w:rPr>
          <w:b/>
          <w:szCs w:val="24"/>
          <w:lang w:val="lt-LT"/>
        </w:rPr>
        <w:tab/>
      </w:r>
      <w:r w:rsidRPr="00561601">
        <w:rPr>
          <w:b/>
          <w:noProof/>
          <w:szCs w:val="24"/>
          <w:lang w:val="lt-LT"/>
        </w:rPr>
        <w:t>VARTOJIMO METODAS IR BŪDAS (-AI)</w:t>
      </w:r>
    </w:p>
    <w:p w14:paraId="33C979B2" w14:textId="77777777" w:rsidR="006250C6" w:rsidRPr="00561601" w:rsidRDefault="006250C6" w:rsidP="006250C6">
      <w:pPr>
        <w:tabs>
          <w:tab w:val="clear" w:pos="567"/>
        </w:tabs>
        <w:spacing w:line="240" w:lineRule="auto"/>
        <w:rPr>
          <w:snapToGrid/>
          <w:lang w:val="lt-LT"/>
        </w:rPr>
      </w:pPr>
    </w:p>
    <w:p w14:paraId="534E7535" w14:textId="77777777" w:rsidR="006250C6" w:rsidRPr="00561601" w:rsidRDefault="006250C6" w:rsidP="006250C6">
      <w:pPr>
        <w:tabs>
          <w:tab w:val="clear" w:pos="567"/>
        </w:tabs>
        <w:spacing w:line="240" w:lineRule="auto"/>
        <w:rPr>
          <w:noProof/>
          <w:snapToGrid/>
          <w:lang w:val="lt-LT"/>
        </w:rPr>
      </w:pPr>
      <w:r w:rsidRPr="00561601">
        <w:rPr>
          <w:snapToGrid/>
          <w:lang w:val="lt-LT"/>
        </w:rPr>
        <w:t>Leisti į veną</w:t>
      </w:r>
    </w:p>
    <w:p w14:paraId="03F36067" w14:textId="77777777" w:rsidR="006250C6" w:rsidRPr="00561601" w:rsidRDefault="006250C6" w:rsidP="006250C6">
      <w:pPr>
        <w:rPr>
          <w:szCs w:val="24"/>
          <w:lang w:val="lt-LT"/>
        </w:rPr>
      </w:pPr>
      <w:r w:rsidRPr="00561601">
        <w:rPr>
          <w:noProof/>
          <w:szCs w:val="24"/>
          <w:lang w:val="lt-LT"/>
        </w:rPr>
        <w:t>Prieš vartojimą perskaitykite pakuotės lapelį.</w:t>
      </w:r>
    </w:p>
    <w:p w14:paraId="2AC60358" w14:textId="77777777" w:rsidR="006250C6" w:rsidRPr="00561601" w:rsidRDefault="006250C6" w:rsidP="006250C6">
      <w:pPr>
        <w:rPr>
          <w:szCs w:val="24"/>
          <w:lang w:val="lt-LT"/>
        </w:rPr>
      </w:pPr>
    </w:p>
    <w:p w14:paraId="097B1C17" w14:textId="77777777" w:rsidR="006250C6" w:rsidRPr="00561601" w:rsidRDefault="006250C6" w:rsidP="006250C6">
      <w:pPr>
        <w:rPr>
          <w:szCs w:val="24"/>
          <w:lang w:val="lt-LT"/>
        </w:rPr>
      </w:pPr>
    </w:p>
    <w:p w14:paraId="52F15F05" w14:textId="77777777" w:rsidR="006250C6" w:rsidRPr="00561601" w:rsidRDefault="006250C6" w:rsidP="006250C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61601">
        <w:rPr>
          <w:b/>
          <w:szCs w:val="24"/>
          <w:lang w:val="lt-LT"/>
        </w:rPr>
        <w:t>6.</w:t>
      </w:r>
      <w:r w:rsidRPr="00561601">
        <w:rPr>
          <w:b/>
          <w:szCs w:val="24"/>
          <w:lang w:val="lt-LT"/>
        </w:rPr>
        <w:tab/>
      </w:r>
      <w:r w:rsidRPr="00561601">
        <w:rPr>
          <w:b/>
          <w:noProof/>
          <w:szCs w:val="24"/>
          <w:lang w:val="lt-LT"/>
        </w:rPr>
        <w:t>SPECIALUS ĮSPĖJIMAS, KAD VAISTINĮ PREPARATĄ BŪTINA LAIKYTI VAIKAMS NEPASTEBIMOJE IR  NEPASIEKIAMOJE VIETOJE</w:t>
      </w:r>
    </w:p>
    <w:p w14:paraId="10D7134B" w14:textId="77777777" w:rsidR="006250C6" w:rsidRPr="00561601" w:rsidRDefault="006250C6" w:rsidP="006250C6">
      <w:pPr>
        <w:rPr>
          <w:szCs w:val="24"/>
          <w:lang w:val="lt-LT"/>
        </w:rPr>
      </w:pPr>
    </w:p>
    <w:p w14:paraId="260BDADF" w14:textId="77777777" w:rsidR="006250C6" w:rsidRPr="00561601" w:rsidRDefault="006250C6" w:rsidP="006250C6">
      <w:pPr>
        <w:rPr>
          <w:szCs w:val="24"/>
          <w:lang w:val="lt-LT"/>
        </w:rPr>
      </w:pPr>
      <w:r w:rsidRPr="00561601">
        <w:rPr>
          <w:noProof/>
          <w:szCs w:val="24"/>
          <w:lang w:val="lt-LT"/>
        </w:rPr>
        <w:t>Laikyti vaikams nepastebimoje ir nepasiekiamoje vietoje.</w:t>
      </w:r>
    </w:p>
    <w:p w14:paraId="2FD86073" w14:textId="77777777" w:rsidR="006250C6" w:rsidRPr="00561601" w:rsidRDefault="006250C6" w:rsidP="006250C6">
      <w:pPr>
        <w:rPr>
          <w:szCs w:val="24"/>
          <w:lang w:val="lt-LT"/>
        </w:rPr>
      </w:pPr>
    </w:p>
    <w:p w14:paraId="1AF8E18A" w14:textId="77777777" w:rsidR="006250C6" w:rsidRPr="00561601" w:rsidRDefault="006250C6" w:rsidP="006250C6">
      <w:pPr>
        <w:rPr>
          <w:szCs w:val="24"/>
          <w:lang w:val="lt-LT"/>
        </w:rPr>
      </w:pPr>
    </w:p>
    <w:p w14:paraId="58F122BA" w14:textId="77777777" w:rsidR="006250C6" w:rsidRPr="00561601" w:rsidRDefault="006250C6" w:rsidP="006250C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61601">
        <w:rPr>
          <w:b/>
          <w:szCs w:val="24"/>
          <w:lang w:val="lt-LT"/>
        </w:rPr>
        <w:t>7.</w:t>
      </w:r>
      <w:r w:rsidRPr="00561601">
        <w:rPr>
          <w:b/>
          <w:szCs w:val="24"/>
          <w:lang w:val="lt-LT"/>
        </w:rPr>
        <w:tab/>
      </w:r>
      <w:r w:rsidRPr="00561601">
        <w:rPr>
          <w:b/>
          <w:noProof/>
          <w:szCs w:val="24"/>
          <w:lang w:val="lt-LT"/>
        </w:rPr>
        <w:t>KITAS (-I) SPECIALUS (-ŪS) ĮSPĖJIMAS (-AI) (JEI REIKIA)</w:t>
      </w:r>
    </w:p>
    <w:p w14:paraId="35CE313B" w14:textId="77777777" w:rsidR="006250C6" w:rsidRPr="00561601" w:rsidRDefault="006250C6" w:rsidP="006250C6">
      <w:pPr>
        <w:rPr>
          <w:szCs w:val="24"/>
          <w:lang w:val="lt-LT"/>
        </w:rPr>
      </w:pPr>
    </w:p>
    <w:p w14:paraId="42438158" w14:textId="77777777" w:rsidR="006250C6" w:rsidRPr="00561601" w:rsidRDefault="006250C6" w:rsidP="006250C6">
      <w:pPr>
        <w:rPr>
          <w:szCs w:val="24"/>
          <w:lang w:val="lt-LT"/>
        </w:rPr>
      </w:pPr>
    </w:p>
    <w:p w14:paraId="32C5EFCD" w14:textId="77777777" w:rsidR="006250C6" w:rsidRPr="00561601" w:rsidRDefault="006250C6" w:rsidP="006250C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61601">
        <w:rPr>
          <w:b/>
          <w:szCs w:val="24"/>
          <w:lang w:val="lt-LT"/>
        </w:rPr>
        <w:t>8.</w:t>
      </w:r>
      <w:r w:rsidRPr="00561601">
        <w:rPr>
          <w:b/>
          <w:szCs w:val="24"/>
          <w:lang w:val="lt-LT"/>
        </w:rPr>
        <w:tab/>
      </w:r>
      <w:r w:rsidRPr="00561601">
        <w:rPr>
          <w:b/>
          <w:noProof/>
          <w:szCs w:val="24"/>
          <w:lang w:val="lt-LT"/>
        </w:rPr>
        <w:t>TINKAMUMO LAIKAS</w:t>
      </w:r>
    </w:p>
    <w:p w14:paraId="6E8D5559" w14:textId="77777777" w:rsidR="006250C6" w:rsidRPr="00561601" w:rsidRDefault="006250C6" w:rsidP="006250C6">
      <w:pPr>
        <w:rPr>
          <w:szCs w:val="24"/>
          <w:lang w:val="lt-LT"/>
        </w:rPr>
      </w:pPr>
    </w:p>
    <w:p w14:paraId="3F103B48" w14:textId="77777777" w:rsidR="006250C6" w:rsidRPr="00561601" w:rsidRDefault="006250C6" w:rsidP="006250C6">
      <w:pPr>
        <w:rPr>
          <w:lang w:val="lt-LT"/>
        </w:rPr>
      </w:pPr>
      <w:r w:rsidRPr="00561601">
        <w:rPr>
          <w:lang w:val="lt-LT"/>
        </w:rPr>
        <w:t>Tinka iki</w:t>
      </w:r>
      <w:r w:rsidR="00BB178F" w:rsidRPr="00561601">
        <w:rPr>
          <w:lang w:val="lt-LT"/>
        </w:rPr>
        <w:t>:</w:t>
      </w:r>
      <w:r w:rsidR="00A03497" w:rsidRPr="00561601">
        <w:rPr>
          <w:lang w:val="lt-LT"/>
        </w:rPr>
        <w:t xml:space="preserve"> (</w:t>
      </w:r>
      <w:proofErr w:type="spellStart"/>
      <w:r w:rsidR="00A03497" w:rsidRPr="00561601">
        <w:rPr>
          <w:lang w:val="lt-LT"/>
        </w:rPr>
        <w:t>dd.mm.MMMM</w:t>
      </w:r>
      <w:proofErr w:type="spellEnd"/>
      <w:r w:rsidR="00A03497" w:rsidRPr="00561601">
        <w:rPr>
          <w:lang w:val="lt-LT"/>
        </w:rPr>
        <w:t>)</w:t>
      </w:r>
    </w:p>
    <w:p w14:paraId="6CBF0E0C" w14:textId="77777777" w:rsidR="006250C6" w:rsidRPr="00561601" w:rsidRDefault="006250C6" w:rsidP="006250C6">
      <w:pPr>
        <w:rPr>
          <w:lang w:val="lt-LT"/>
        </w:rPr>
      </w:pPr>
    </w:p>
    <w:p w14:paraId="788ADAD7" w14:textId="77777777" w:rsidR="006250C6" w:rsidRPr="00561601" w:rsidRDefault="006250C6" w:rsidP="006250C6">
      <w:pPr>
        <w:rPr>
          <w:szCs w:val="24"/>
          <w:lang w:val="lt-LT"/>
        </w:rPr>
      </w:pPr>
    </w:p>
    <w:p w14:paraId="01FA6D4F" w14:textId="77777777" w:rsidR="006250C6" w:rsidRPr="00561601" w:rsidRDefault="006250C6" w:rsidP="006250C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61601">
        <w:rPr>
          <w:b/>
          <w:szCs w:val="24"/>
          <w:lang w:val="lt-LT"/>
        </w:rPr>
        <w:t>9.</w:t>
      </w:r>
      <w:r w:rsidRPr="00561601">
        <w:rPr>
          <w:b/>
          <w:szCs w:val="24"/>
          <w:lang w:val="lt-LT"/>
        </w:rPr>
        <w:tab/>
      </w:r>
      <w:r w:rsidRPr="00561601">
        <w:rPr>
          <w:b/>
          <w:noProof/>
          <w:szCs w:val="24"/>
          <w:lang w:val="lt-LT"/>
        </w:rPr>
        <w:t>SPECIALIOS LAIKYMO SĄLYGOS</w:t>
      </w:r>
    </w:p>
    <w:p w14:paraId="7F402545" w14:textId="77777777" w:rsidR="006250C6" w:rsidRPr="00561601" w:rsidRDefault="006250C6" w:rsidP="006250C6">
      <w:pPr>
        <w:rPr>
          <w:snapToGrid/>
          <w:lang w:val="lt-LT"/>
        </w:rPr>
      </w:pPr>
    </w:p>
    <w:p w14:paraId="5AE2C366" w14:textId="77777777" w:rsidR="006250C6" w:rsidRPr="00561601" w:rsidRDefault="006250C6" w:rsidP="00797B81">
      <w:pPr>
        <w:rPr>
          <w:snapToGrid/>
          <w:lang w:val="lt-LT"/>
        </w:rPr>
      </w:pPr>
      <w:r w:rsidRPr="00561601">
        <w:rPr>
          <w:snapToGrid/>
          <w:lang w:val="lt-LT"/>
        </w:rPr>
        <w:t>Laikyti šaldytuve (2 °C – 8 °C). Negalima užšaldyti.</w:t>
      </w:r>
    </w:p>
    <w:p w14:paraId="486F1039" w14:textId="77777777" w:rsidR="006250C6" w:rsidRPr="00561601" w:rsidRDefault="006250C6" w:rsidP="006250C6">
      <w:pPr>
        <w:rPr>
          <w:snapToGrid/>
          <w:lang w:val="lt-LT"/>
        </w:rPr>
      </w:pPr>
      <w:r w:rsidRPr="00561601">
        <w:rPr>
          <w:snapToGrid/>
          <w:lang w:val="lt-LT"/>
        </w:rPr>
        <w:t>Flakoną laikyti išorinėje dėžutėje, kad vaistas būtų apsaugotas nuo šviesos.</w:t>
      </w:r>
    </w:p>
    <w:p w14:paraId="67CE3152" w14:textId="77777777" w:rsidR="006250C6" w:rsidRPr="00561601" w:rsidRDefault="006250C6" w:rsidP="006250C6">
      <w:pPr>
        <w:rPr>
          <w:szCs w:val="24"/>
          <w:lang w:val="lt-LT"/>
        </w:rPr>
      </w:pPr>
    </w:p>
    <w:p w14:paraId="6C471617" w14:textId="77777777" w:rsidR="006250C6" w:rsidRPr="00561601" w:rsidRDefault="006250C6" w:rsidP="006250C6">
      <w:pPr>
        <w:rPr>
          <w:szCs w:val="24"/>
          <w:lang w:val="lt-LT"/>
        </w:rPr>
      </w:pPr>
    </w:p>
    <w:p w14:paraId="7E27617E" w14:textId="77777777" w:rsidR="006250C6" w:rsidRPr="00561601" w:rsidRDefault="006250C6" w:rsidP="006250C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561601">
        <w:rPr>
          <w:b/>
          <w:szCs w:val="24"/>
          <w:lang w:val="lt-LT"/>
        </w:rPr>
        <w:t>10.</w:t>
      </w:r>
      <w:r w:rsidRPr="00561601">
        <w:rPr>
          <w:b/>
          <w:szCs w:val="24"/>
          <w:lang w:val="lt-LT"/>
        </w:rPr>
        <w:tab/>
      </w:r>
      <w:r w:rsidRPr="00561601">
        <w:rPr>
          <w:b/>
          <w:noProof/>
          <w:szCs w:val="24"/>
          <w:lang w:val="lt-LT"/>
        </w:rPr>
        <w:t>SPECIALIOS ATSARGUMO PRIEMONĖS DĖL NESUVARTOTO VAISTINIO PREPARATO AR JO ATLIEKŲ TVARKYMO (JEI REIKIA)</w:t>
      </w:r>
    </w:p>
    <w:p w14:paraId="47D429C4" w14:textId="77777777" w:rsidR="006250C6" w:rsidRPr="00561601" w:rsidRDefault="006250C6" w:rsidP="006250C6">
      <w:pPr>
        <w:rPr>
          <w:szCs w:val="24"/>
          <w:lang w:val="lt-LT"/>
        </w:rPr>
      </w:pPr>
    </w:p>
    <w:p w14:paraId="31531BF2" w14:textId="77777777" w:rsidR="006250C6" w:rsidRPr="00561601" w:rsidRDefault="006250C6" w:rsidP="006250C6">
      <w:pPr>
        <w:rPr>
          <w:szCs w:val="24"/>
          <w:lang w:val="lt-LT"/>
        </w:rPr>
      </w:pPr>
    </w:p>
    <w:p w14:paraId="5C63E14A" w14:textId="77777777" w:rsidR="006250C6" w:rsidRPr="00561601" w:rsidRDefault="006250C6" w:rsidP="006250C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561601">
        <w:rPr>
          <w:b/>
          <w:szCs w:val="24"/>
          <w:lang w:val="lt-LT"/>
        </w:rPr>
        <w:t>11.</w:t>
      </w:r>
      <w:r w:rsidRPr="00561601">
        <w:rPr>
          <w:b/>
          <w:szCs w:val="24"/>
          <w:lang w:val="lt-LT"/>
        </w:rPr>
        <w:tab/>
      </w:r>
      <w:r w:rsidRPr="00561601">
        <w:rPr>
          <w:b/>
          <w:caps/>
          <w:noProof/>
          <w:szCs w:val="24"/>
          <w:lang w:val="lt-LT"/>
        </w:rPr>
        <w:t xml:space="preserve"> REGISTRUOTOJO PAVADINIMAS IR ADRESAS</w:t>
      </w:r>
    </w:p>
    <w:p w14:paraId="7EC6AD92" w14:textId="77777777" w:rsidR="006250C6" w:rsidRPr="00561601" w:rsidRDefault="006250C6" w:rsidP="006250C6">
      <w:pPr>
        <w:rPr>
          <w:szCs w:val="24"/>
          <w:lang w:val="lt-LT"/>
        </w:rPr>
      </w:pPr>
    </w:p>
    <w:p w14:paraId="26FDA424" w14:textId="77777777" w:rsidR="006250C6" w:rsidRPr="00561601" w:rsidRDefault="006250C6" w:rsidP="006250C6">
      <w:pPr>
        <w:tabs>
          <w:tab w:val="left" w:pos="600"/>
          <w:tab w:val="left" w:pos="1200"/>
          <w:tab w:val="left" w:pos="1440"/>
          <w:tab w:val="left" w:pos="1800"/>
          <w:tab w:val="left" w:pos="2400"/>
          <w:tab w:val="left" w:pos="3000"/>
          <w:tab w:val="left" w:pos="3600"/>
          <w:tab w:val="left" w:pos="4200"/>
          <w:tab w:val="left" w:pos="4800"/>
          <w:tab w:val="left" w:pos="5400"/>
          <w:tab w:val="left" w:pos="6000"/>
          <w:tab w:val="left" w:pos="6600"/>
          <w:tab w:val="left" w:pos="7200"/>
          <w:tab w:val="left" w:pos="7800"/>
        </w:tabs>
        <w:rPr>
          <w:snapToGrid/>
          <w:lang w:val="lt-LT"/>
        </w:rPr>
      </w:pPr>
      <w:proofErr w:type="spellStart"/>
      <w:r w:rsidRPr="00561601">
        <w:rPr>
          <w:snapToGrid/>
          <w:lang w:val="lt-LT"/>
        </w:rPr>
        <w:t>Biotest</w:t>
      </w:r>
      <w:proofErr w:type="spellEnd"/>
      <w:r w:rsidRPr="00561601">
        <w:rPr>
          <w:snapToGrid/>
          <w:lang w:val="lt-LT"/>
        </w:rPr>
        <w:t xml:space="preserve"> </w:t>
      </w:r>
      <w:proofErr w:type="spellStart"/>
      <w:r w:rsidRPr="00561601">
        <w:rPr>
          <w:snapToGrid/>
          <w:lang w:val="lt-LT"/>
        </w:rPr>
        <w:t>Pharma</w:t>
      </w:r>
      <w:proofErr w:type="spellEnd"/>
      <w:r w:rsidRPr="00561601">
        <w:rPr>
          <w:snapToGrid/>
          <w:lang w:val="lt-LT"/>
        </w:rPr>
        <w:t xml:space="preserve"> </w:t>
      </w:r>
      <w:proofErr w:type="spellStart"/>
      <w:r w:rsidRPr="00561601">
        <w:rPr>
          <w:snapToGrid/>
          <w:lang w:val="lt-LT"/>
        </w:rPr>
        <w:t>GmbH</w:t>
      </w:r>
      <w:proofErr w:type="spellEnd"/>
    </w:p>
    <w:p w14:paraId="6B8EB458" w14:textId="77777777" w:rsidR="006250C6" w:rsidRPr="00561601" w:rsidRDefault="006250C6" w:rsidP="006250C6">
      <w:pPr>
        <w:tabs>
          <w:tab w:val="left" w:pos="600"/>
          <w:tab w:val="left" w:pos="1200"/>
          <w:tab w:val="left" w:pos="1440"/>
          <w:tab w:val="left" w:pos="1800"/>
          <w:tab w:val="left" w:pos="2400"/>
          <w:tab w:val="left" w:pos="3000"/>
          <w:tab w:val="left" w:pos="3600"/>
          <w:tab w:val="left" w:pos="4200"/>
          <w:tab w:val="left" w:pos="4800"/>
          <w:tab w:val="left" w:pos="5400"/>
          <w:tab w:val="left" w:pos="6000"/>
          <w:tab w:val="left" w:pos="6600"/>
          <w:tab w:val="left" w:pos="7200"/>
          <w:tab w:val="left" w:pos="7800"/>
        </w:tabs>
        <w:rPr>
          <w:snapToGrid/>
          <w:lang w:val="lt-LT"/>
        </w:rPr>
      </w:pPr>
      <w:r w:rsidRPr="00561601">
        <w:rPr>
          <w:snapToGrid/>
          <w:lang w:val="lt-LT"/>
        </w:rPr>
        <w:t xml:space="preserve">63303 </w:t>
      </w:r>
      <w:proofErr w:type="spellStart"/>
      <w:r w:rsidRPr="00561601">
        <w:rPr>
          <w:snapToGrid/>
          <w:lang w:val="lt-LT"/>
        </w:rPr>
        <w:t>Dreieich</w:t>
      </w:r>
      <w:proofErr w:type="spellEnd"/>
    </w:p>
    <w:p w14:paraId="5CA987CE" w14:textId="77777777" w:rsidR="006250C6" w:rsidRPr="00561601" w:rsidRDefault="006250C6" w:rsidP="006250C6">
      <w:pPr>
        <w:tabs>
          <w:tab w:val="left" w:pos="600"/>
          <w:tab w:val="left" w:pos="1200"/>
          <w:tab w:val="left" w:pos="1440"/>
          <w:tab w:val="left" w:pos="1800"/>
          <w:tab w:val="left" w:pos="2400"/>
          <w:tab w:val="left" w:pos="3000"/>
          <w:tab w:val="left" w:pos="3600"/>
          <w:tab w:val="left" w:pos="4200"/>
          <w:tab w:val="left" w:pos="4800"/>
          <w:tab w:val="left" w:pos="5400"/>
          <w:tab w:val="left" w:pos="6000"/>
          <w:tab w:val="left" w:pos="6600"/>
          <w:tab w:val="left" w:pos="7200"/>
          <w:tab w:val="left" w:pos="7800"/>
        </w:tabs>
        <w:rPr>
          <w:snapToGrid/>
          <w:lang w:val="lt-LT"/>
        </w:rPr>
      </w:pPr>
      <w:r w:rsidRPr="00561601">
        <w:rPr>
          <w:snapToGrid/>
          <w:lang w:val="lt-LT"/>
        </w:rPr>
        <w:t>Vokietija</w:t>
      </w:r>
    </w:p>
    <w:p w14:paraId="6ECBE324" w14:textId="77777777" w:rsidR="006250C6" w:rsidRPr="00561601" w:rsidRDefault="006250C6" w:rsidP="006250C6">
      <w:pPr>
        <w:rPr>
          <w:szCs w:val="24"/>
          <w:lang w:val="lt-LT"/>
        </w:rPr>
      </w:pPr>
    </w:p>
    <w:p w14:paraId="1ED5DF34" w14:textId="77777777" w:rsidR="006250C6" w:rsidRPr="00561601" w:rsidRDefault="006250C6" w:rsidP="006250C6">
      <w:pPr>
        <w:rPr>
          <w:szCs w:val="24"/>
          <w:lang w:val="lt-LT"/>
        </w:rPr>
      </w:pPr>
    </w:p>
    <w:p w14:paraId="0DE0A2F0" w14:textId="77777777" w:rsidR="006250C6" w:rsidRPr="00561601" w:rsidRDefault="006250C6" w:rsidP="006250C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561601">
        <w:rPr>
          <w:b/>
          <w:szCs w:val="24"/>
          <w:lang w:val="lt-LT"/>
        </w:rPr>
        <w:t>12.</w:t>
      </w:r>
      <w:r w:rsidRPr="00561601">
        <w:rPr>
          <w:b/>
          <w:szCs w:val="24"/>
          <w:lang w:val="lt-LT"/>
        </w:rPr>
        <w:tab/>
      </w:r>
      <w:r w:rsidRPr="00561601">
        <w:rPr>
          <w:b/>
          <w:noProof/>
          <w:szCs w:val="24"/>
          <w:lang w:val="lt-LT"/>
        </w:rPr>
        <w:t>REGISTRACIJOS PAŽYMĖJIMO NUMERIS (-IAI)</w:t>
      </w:r>
      <w:r w:rsidRPr="00561601">
        <w:rPr>
          <w:b/>
          <w:szCs w:val="24"/>
          <w:lang w:val="lt-LT"/>
        </w:rPr>
        <w:t xml:space="preserve"> </w:t>
      </w:r>
    </w:p>
    <w:p w14:paraId="7DD78AE1" w14:textId="77777777" w:rsidR="006250C6" w:rsidRPr="00561601" w:rsidRDefault="006250C6" w:rsidP="006250C6">
      <w:pPr>
        <w:rPr>
          <w:szCs w:val="24"/>
          <w:lang w:val="lt-LT"/>
        </w:rPr>
      </w:pPr>
    </w:p>
    <w:p w14:paraId="57D5EB56" w14:textId="77777777" w:rsidR="0036167A" w:rsidRPr="0036167A" w:rsidRDefault="0036167A" w:rsidP="0036167A">
      <w:pPr>
        <w:rPr>
          <w:szCs w:val="24"/>
          <w:shd w:val="clear" w:color="auto" w:fill="D9D9D9" w:themeFill="background1" w:themeFillShade="D9"/>
          <w:lang w:val="lt-LT"/>
        </w:rPr>
      </w:pPr>
      <w:r w:rsidRPr="0036167A">
        <w:rPr>
          <w:szCs w:val="24"/>
          <w:shd w:val="clear" w:color="auto" w:fill="D9D9D9" w:themeFill="background1" w:themeFillShade="D9"/>
          <w:lang w:val="lt-LT"/>
        </w:rPr>
        <w:t>LT/1/22/5073/001 – 10 ml, N1</w:t>
      </w:r>
    </w:p>
    <w:p w14:paraId="50F7D4B2" w14:textId="44B2339C" w:rsidR="00ED2966" w:rsidRPr="0036167A" w:rsidRDefault="0036167A" w:rsidP="0036167A">
      <w:pPr>
        <w:rPr>
          <w:szCs w:val="24"/>
          <w:shd w:val="clear" w:color="auto" w:fill="D9D9D9" w:themeFill="background1" w:themeFillShade="D9"/>
          <w:lang w:val="lt-LT"/>
        </w:rPr>
      </w:pPr>
      <w:r w:rsidRPr="0036167A">
        <w:rPr>
          <w:szCs w:val="24"/>
          <w:shd w:val="clear" w:color="auto" w:fill="D9D9D9" w:themeFill="background1" w:themeFillShade="D9"/>
          <w:lang w:val="lt-LT"/>
        </w:rPr>
        <w:t>LT/1/22/5073/002 – 50 ml, N1</w:t>
      </w:r>
    </w:p>
    <w:p w14:paraId="0372BAB2" w14:textId="77777777" w:rsidR="0036167A" w:rsidRPr="00561601" w:rsidRDefault="0036167A" w:rsidP="0036167A">
      <w:pPr>
        <w:rPr>
          <w:szCs w:val="24"/>
          <w:lang w:val="lt-LT"/>
        </w:rPr>
      </w:pPr>
    </w:p>
    <w:p w14:paraId="4EA78D5A" w14:textId="77777777" w:rsidR="00ED2966" w:rsidRPr="00561601" w:rsidRDefault="00ED2966" w:rsidP="006250C6">
      <w:pPr>
        <w:rPr>
          <w:szCs w:val="24"/>
          <w:lang w:val="lt-LT"/>
        </w:rPr>
      </w:pPr>
    </w:p>
    <w:p w14:paraId="0CE683A0" w14:textId="77777777" w:rsidR="006250C6" w:rsidRPr="00561601" w:rsidRDefault="006250C6" w:rsidP="006250C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561601">
        <w:rPr>
          <w:b/>
          <w:szCs w:val="24"/>
          <w:lang w:val="lt-LT"/>
        </w:rPr>
        <w:t>13.</w:t>
      </w:r>
      <w:r w:rsidRPr="00561601">
        <w:rPr>
          <w:b/>
          <w:szCs w:val="24"/>
          <w:lang w:val="lt-LT"/>
        </w:rPr>
        <w:tab/>
      </w:r>
      <w:r w:rsidRPr="00561601">
        <w:rPr>
          <w:b/>
          <w:noProof/>
          <w:szCs w:val="24"/>
          <w:lang w:val="lt-LT"/>
        </w:rPr>
        <w:t xml:space="preserve">SERIJOS NUMERIS </w:t>
      </w:r>
    </w:p>
    <w:p w14:paraId="02544102" w14:textId="77777777" w:rsidR="006250C6" w:rsidRPr="00561601" w:rsidRDefault="006250C6" w:rsidP="006250C6">
      <w:pPr>
        <w:rPr>
          <w:lang w:val="lt-LT"/>
        </w:rPr>
      </w:pPr>
    </w:p>
    <w:p w14:paraId="754E9FD2" w14:textId="77777777" w:rsidR="006250C6" w:rsidRPr="00561601" w:rsidRDefault="006250C6" w:rsidP="006250C6">
      <w:pPr>
        <w:rPr>
          <w:lang w:val="lt-LT"/>
        </w:rPr>
      </w:pPr>
      <w:r w:rsidRPr="00561601">
        <w:rPr>
          <w:lang w:val="lt-LT"/>
        </w:rPr>
        <w:t>Serija</w:t>
      </w:r>
      <w:r w:rsidR="00BB178F" w:rsidRPr="00561601">
        <w:rPr>
          <w:lang w:val="lt-LT"/>
        </w:rPr>
        <w:t>:</w:t>
      </w:r>
    </w:p>
    <w:p w14:paraId="64564109" w14:textId="77777777" w:rsidR="006250C6" w:rsidRPr="00561601" w:rsidRDefault="006250C6" w:rsidP="006250C6">
      <w:pPr>
        <w:rPr>
          <w:szCs w:val="24"/>
          <w:lang w:val="lt-LT"/>
        </w:rPr>
      </w:pPr>
    </w:p>
    <w:p w14:paraId="5C09EFE0" w14:textId="77777777" w:rsidR="006250C6" w:rsidRPr="00561601" w:rsidRDefault="006250C6" w:rsidP="006250C6">
      <w:pPr>
        <w:rPr>
          <w:szCs w:val="24"/>
          <w:lang w:val="lt-LT"/>
        </w:rPr>
      </w:pPr>
    </w:p>
    <w:p w14:paraId="04445D03" w14:textId="77777777" w:rsidR="006250C6" w:rsidRPr="00561601" w:rsidRDefault="006250C6" w:rsidP="006250C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561601">
        <w:rPr>
          <w:b/>
          <w:szCs w:val="24"/>
          <w:lang w:val="lt-LT"/>
        </w:rPr>
        <w:t>14.</w:t>
      </w:r>
      <w:r w:rsidRPr="00561601">
        <w:rPr>
          <w:b/>
          <w:szCs w:val="24"/>
          <w:lang w:val="lt-LT"/>
        </w:rPr>
        <w:tab/>
      </w:r>
      <w:r w:rsidRPr="00561601">
        <w:rPr>
          <w:b/>
          <w:noProof/>
          <w:szCs w:val="24"/>
          <w:lang w:val="lt-LT"/>
        </w:rPr>
        <w:t>PARDAVIMO (IŠDAVIMO) TVARKA</w:t>
      </w:r>
    </w:p>
    <w:p w14:paraId="4DB10080" w14:textId="77777777" w:rsidR="006250C6" w:rsidRPr="00561601" w:rsidRDefault="006250C6" w:rsidP="006250C6">
      <w:pPr>
        <w:rPr>
          <w:szCs w:val="24"/>
          <w:lang w:val="lt-LT"/>
        </w:rPr>
      </w:pPr>
    </w:p>
    <w:p w14:paraId="1A6D021F" w14:textId="72A2EAA7" w:rsidR="006250C6" w:rsidRPr="00561601" w:rsidRDefault="006250C6" w:rsidP="006250C6">
      <w:pPr>
        <w:rPr>
          <w:szCs w:val="24"/>
          <w:lang w:val="lt-LT"/>
        </w:rPr>
      </w:pPr>
      <w:r w:rsidRPr="00561601">
        <w:rPr>
          <w:lang w:val="lt-LT"/>
        </w:rPr>
        <w:t>Receptinis vaist</w:t>
      </w:r>
      <w:r w:rsidR="005E6070">
        <w:rPr>
          <w:lang w:val="lt-LT"/>
        </w:rPr>
        <w:t>as</w:t>
      </w:r>
    </w:p>
    <w:p w14:paraId="62F72E02" w14:textId="77777777" w:rsidR="002C77D0" w:rsidRPr="00561601" w:rsidRDefault="002C77D0" w:rsidP="006250C6">
      <w:pPr>
        <w:rPr>
          <w:szCs w:val="24"/>
          <w:lang w:val="lt-LT"/>
        </w:rPr>
      </w:pPr>
    </w:p>
    <w:p w14:paraId="3FACFF42" w14:textId="77777777" w:rsidR="006250C6" w:rsidRPr="00561601" w:rsidRDefault="006250C6" w:rsidP="006250C6">
      <w:pPr>
        <w:rPr>
          <w:szCs w:val="24"/>
          <w:lang w:val="lt-LT"/>
        </w:rPr>
      </w:pPr>
    </w:p>
    <w:p w14:paraId="6AC95C78" w14:textId="77777777" w:rsidR="006250C6" w:rsidRPr="00561601" w:rsidRDefault="006250C6" w:rsidP="006250C6">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561601">
        <w:rPr>
          <w:b/>
          <w:szCs w:val="24"/>
          <w:lang w:val="lt-LT"/>
        </w:rPr>
        <w:t>15.</w:t>
      </w:r>
      <w:r w:rsidRPr="00561601">
        <w:rPr>
          <w:b/>
          <w:szCs w:val="24"/>
          <w:lang w:val="lt-LT"/>
        </w:rPr>
        <w:tab/>
      </w:r>
      <w:r w:rsidRPr="00561601">
        <w:rPr>
          <w:b/>
          <w:noProof/>
          <w:szCs w:val="24"/>
          <w:lang w:val="lt-LT"/>
        </w:rPr>
        <w:t>VARTOJIMO INSTRUKCIJA</w:t>
      </w:r>
    </w:p>
    <w:p w14:paraId="49ED4B19" w14:textId="77777777" w:rsidR="006250C6" w:rsidRPr="00561601" w:rsidRDefault="006250C6" w:rsidP="006250C6">
      <w:pPr>
        <w:rPr>
          <w:szCs w:val="24"/>
          <w:lang w:val="lt-LT"/>
        </w:rPr>
      </w:pPr>
    </w:p>
    <w:p w14:paraId="2F66E050" w14:textId="77777777" w:rsidR="006250C6" w:rsidRPr="00561601" w:rsidRDefault="006250C6" w:rsidP="006250C6">
      <w:pPr>
        <w:rPr>
          <w:szCs w:val="24"/>
          <w:lang w:val="lt-LT"/>
        </w:rPr>
      </w:pPr>
    </w:p>
    <w:p w14:paraId="18B83BED" w14:textId="77777777" w:rsidR="006250C6" w:rsidRPr="00561601" w:rsidRDefault="006250C6" w:rsidP="006250C6">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561601">
        <w:rPr>
          <w:b/>
          <w:szCs w:val="24"/>
          <w:lang w:val="lt-LT"/>
        </w:rPr>
        <w:t>16.</w:t>
      </w:r>
      <w:r w:rsidRPr="00561601">
        <w:rPr>
          <w:b/>
          <w:szCs w:val="24"/>
          <w:lang w:val="lt-LT"/>
        </w:rPr>
        <w:tab/>
      </w:r>
      <w:r w:rsidRPr="00561601">
        <w:rPr>
          <w:b/>
          <w:noProof/>
          <w:szCs w:val="24"/>
          <w:lang w:val="lt-LT"/>
        </w:rPr>
        <w:t>INFORMACIJA BRAILIO RAŠTU</w:t>
      </w:r>
    </w:p>
    <w:p w14:paraId="6EDFA4EC" w14:textId="77777777" w:rsidR="006250C6" w:rsidRPr="00561601" w:rsidRDefault="006250C6" w:rsidP="006250C6">
      <w:pPr>
        <w:rPr>
          <w:szCs w:val="24"/>
          <w:lang w:val="lt-LT"/>
        </w:rPr>
      </w:pPr>
    </w:p>
    <w:p w14:paraId="14C6E9EC" w14:textId="77777777" w:rsidR="00ED2966" w:rsidRPr="00561601" w:rsidRDefault="00F34163" w:rsidP="00ED2966">
      <w:pPr>
        <w:spacing w:line="240" w:lineRule="auto"/>
        <w:rPr>
          <w:b/>
          <w:szCs w:val="24"/>
          <w:lang w:val="lt-LT"/>
        </w:rPr>
      </w:pPr>
      <w:r w:rsidRPr="00561601">
        <w:rPr>
          <w:b/>
          <w:szCs w:val="24"/>
          <w:lang w:val="lt-LT"/>
        </w:rPr>
        <w:br w:type="page"/>
      </w:r>
    </w:p>
    <w:p w14:paraId="2E08C3B3" w14:textId="77777777" w:rsidR="00F34163" w:rsidRPr="00561601" w:rsidRDefault="00F34163" w:rsidP="00F34163">
      <w:pPr>
        <w:outlineLvl w:val="0"/>
        <w:rPr>
          <w:lang w:val="lt-LT"/>
        </w:rPr>
      </w:pPr>
    </w:p>
    <w:p w14:paraId="21487003" w14:textId="77777777" w:rsidR="00F34163" w:rsidRPr="00561601" w:rsidRDefault="00F34163" w:rsidP="00F34163">
      <w:pPr>
        <w:outlineLvl w:val="0"/>
        <w:rPr>
          <w:lang w:val="lt-LT"/>
        </w:rPr>
      </w:pPr>
    </w:p>
    <w:p w14:paraId="72FDEF97" w14:textId="77777777" w:rsidR="00F34163" w:rsidRPr="00561601" w:rsidRDefault="00F34163" w:rsidP="00F34163">
      <w:pPr>
        <w:outlineLvl w:val="0"/>
        <w:rPr>
          <w:lang w:val="lt-LT"/>
        </w:rPr>
      </w:pPr>
    </w:p>
    <w:p w14:paraId="12DD5F28" w14:textId="77777777" w:rsidR="00F34163" w:rsidRPr="00561601" w:rsidRDefault="00F34163" w:rsidP="00F34163">
      <w:pPr>
        <w:outlineLvl w:val="0"/>
        <w:rPr>
          <w:lang w:val="lt-LT"/>
        </w:rPr>
      </w:pPr>
    </w:p>
    <w:p w14:paraId="51983934" w14:textId="77777777" w:rsidR="00F34163" w:rsidRPr="00561601" w:rsidRDefault="00F34163" w:rsidP="00F34163">
      <w:pPr>
        <w:outlineLvl w:val="0"/>
        <w:rPr>
          <w:lang w:val="lt-LT"/>
        </w:rPr>
      </w:pPr>
    </w:p>
    <w:p w14:paraId="57D75828" w14:textId="77777777" w:rsidR="00F34163" w:rsidRPr="00561601" w:rsidRDefault="00F34163" w:rsidP="00F34163">
      <w:pPr>
        <w:outlineLvl w:val="0"/>
        <w:rPr>
          <w:lang w:val="lt-LT"/>
        </w:rPr>
      </w:pPr>
    </w:p>
    <w:p w14:paraId="7B5DCF51" w14:textId="77777777" w:rsidR="00F34163" w:rsidRPr="00561601" w:rsidRDefault="00F34163" w:rsidP="00F34163">
      <w:pPr>
        <w:outlineLvl w:val="0"/>
        <w:rPr>
          <w:lang w:val="lt-LT"/>
        </w:rPr>
      </w:pPr>
    </w:p>
    <w:p w14:paraId="58E75FFE" w14:textId="77777777" w:rsidR="00F34163" w:rsidRPr="00561601" w:rsidRDefault="00F34163" w:rsidP="00F34163">
      <w:pPr>
        <w:outlineLvl w:val="0"/>
        <w:rPr>
          <w:lang w:val="lt-LT"/>
        </w:rPr>
      </w:pPr>
    </w:p>
    <w:p w14:paraId="3F5A7FFF" w14:textId="77777777" w:rsidR="00F34163" w:rsidRPr="00561601" w:rsidRDefault="00F34163" w:rsidP="00F34163">
      <w:pPr>
        <w:outlineLvl w:val="0"/>
        <w:rPr>
          <w:lang w:val="lt-LT"/>
        </w:rPr>
      </w:pPr>
    </w:p>
    <w:p w14:paraId="0DED229F" w14:textId="77777777" w:rsidR="00F34163" w:rsidRPr="00561601" w:rsidRDefault="00F34163" w:rsidP="00F34163">
      <w:pPr>
        <w:outlineLvl w:val="0"/>
        <w:rPr>
          <w:lang w:val="lt-LT"/>
        </w:rPr>
      </w:pPr>
    </w:p>
    <w:p w14:paraId="5D55DE17" w14:textId="77777777" w:rsidR="00F34163" w:rsidRPr="00561601" w:rsidRDefault="00F34163" w:rsidP="00F34163">
      <w:pPr>
        <w:outlineLvl w:val="0"/>
        <w:rPr>
          <w:lang w:val="lt-LT"/>
        </w:rPr>
      </w:pPr>
    </w:p>
    <w:p w14:paraId="4235F844" w14:textId="77777777" w:rsidR="00F34163" w:rsidRPr="00561601" w:rsidRDefault="00F34163" w:rsidP="00F34163">
      <w:pPr>
        <w:outlineLvl w:val="0"/>
        <w:rPr>
          <w:lang w:val="lt-LT"/>
        </w:rPr>
      </w:pPr>
    </w:p>
    <w:p w14:paraId="2B820F5D" w14:textId="77777777" w:rsidR="00F34163" w:rsidRPr="00561601" w:rsidRDefault="00F34163" w:rsidP="00F34163">
      <w:pPr>
        <w:outlineLvl w:val="0"/>
        <w:rPr>
          <w:lang w:val="lt-LT"/>
        </w:rPr>
      </w:pPr>
    </w:p>
    <w:p w14:paraId="37942147" w14:textId="77777777" w:rsidR="00F34163" w:rsidRPr="00561601" w:rsidRDefault="00F34163" w:rsidP="00F34163">
      <w:pPr>
        <w:outlineLvl w:val="0"/>
        <w:rPr>
          <w:lang w:val="lt-LT"/>
        </w:rPr>
      </w:pPr>
    </w:p>
    <w:p w14:paraId="48CD6700" w14:textId="77777777" w:rsidR="00F34163" w:rsidRPr="00561601" w:rsidRDefault="00F34163" w:rsidP="00F34163">
      <w:pPr>
        <w:outlineLvl w:val="0"/>
        <w:rPr>
          <w:lang w:val="lt-LT"/>
        </w:rPr>
      </w:pPr>
    </w:p>
    <w:p w14:paraId="0AF54C69" w14:textId="77777777" w:rsidR="00F34163" w:rsidRPr="00561601" w:rsidRDefault="00F34163" w:rsidP="00F34163">
      <w:pPr>
        <w:outlineLvl w:val="0"/>
        <w:rPr>
          <w:lang w:val="lt-LT"/>
        </w:rPr>
      </w:pPr>
    </w:p>
    <w:p w14:paraId="7F8110B6" w14:textId="77777777" w:rsidR="00F34163" w:rsidRPr="00561601" w:rsidRDefault="00F34163" w:rsidP="00F34163">
      <w:pPr>
        <w:outlineLvl w:val="0"/>
        <w:rPr>
          <w:lang w:val="lt-LT"/>
        </w:rPr>
      </w:pPr>
    </w:p>
    <w:p w14:paraId="156B1BA4" w14:textId="77777777" w:rsidR="00F34163" w:rsidRPr="00561601" w:rsidRDefault="00F34163" w:rsidP="00F34163">
      <w:pPr>
        <w:outlineLvl w:val="0"/>
        <w:rPr>
          <w:lang w:val="lt-LT"/>
        </w:rPr>
      </w:pPr>
    </w:p>
    <w:p w14:paraId="4910306E" w14:textId="77777777" w:rsidR="00F34163" w:rsidRPr="00561601" w:rsidRDefault="00F34163" w:rsidP="00F34163">
      <w:pPr>
        <w:outlineLvl w:val="0"/>
        <w:rPr>
          <w:lang w:val="lt-LT"/>
        </w:rPr>
      </w:pPr>
    </w:p>
    <w:p w14:paraId="0D1EBB3D" w14:textId="77777777" w:rsidR="00F34163" w:rsidRPr="00561601" w:rsidRDefault="00F34163" w:rsidP="00F34163">
      <w:pPr>
        <w:jc w:val="center"/>
        <w:outlineLvl w:val="0"/>
        <w:rPr>
          <w:b/>
          <w:lang w:val="lt-LT"/>
        </w:rPr>
      </w:pPr>
      <w:r w:rsidRPr="00561601">
        <w:rPr>
          <w:b/>
          <w:lang w:val="lt-LT"/>
        </w:rPr>
        <w:t>B. PAKUOTĖS LAPELIS</w:t>
      </w:r>
    </w:p>
    <w:p w14:paraId="6F01CD60" w14:textId="77777777" w:rsidR="00F34163" w:rsidRPr="00561601" w:rsidRDefault="00F34163" w:rsidP="00F34163">
      <w:pPr>
        <w:pStyle w:val="Antrat2"/>
        <w:spacing w:before="0" w:after="0" w:line="240" w:lineRule="auto"/>
        <w:jc w:val="center"/>
        <w:rPr>
          <w:rFonts w:ascii="Times New Roman" w:hAnsi="Times New Roman"/>
          <w:bCs w:val="0"/>
          <w:i w:val="0"/>
          <w:iCs w:val="0"/>
          <w:sz w:val="22"/>
          <w:szCs w:val="24"/>
          <w:lang w:val="lt-LT"/>
        </w:rPr>
      </w:pPr>
      <w:r w:rsidRPr="00561601">
        <w:rPr>
          <w:rFonts w:ascii="Times New Roman" w:hAnsi="Times New Roman"/>
          <w:i w:val="0"/>
          <w:sz w:val="22"/>
          <w:lang w:val="lt-LT"/>
        </w:rPr>
        <w:br w:type="page"/>
        <w:t>Pakuotės lapelis:</w:t>
      </w:r>
      <w:r w:rsidRPr="00561601">
        <w:rPr>
          <w:rFonts w:ascii="Times New Roman" w:hAnsi="Times New Roman"/>
          <w:bCs w:val="0"/>
          <w:i w:val="0"/>
          <w:iCs w:val="0"/>
          <w:sz w:val="22"/>
          <w:szCs w:val="24"/>
          <w:lang w:val="lt-LT"/>
        </w:rPr>
        <w:t xml:space="preserve"> </w:t>
      </w:r>
      <w:r w:rsidRPr="00561601">
        <w:rPr>
          <w:rFonts w:ascii="Times New Roman" w:hAnsi="Times New Roman"/>
          <w:i w:val="0"/>
          <w:sz w:val="22"/>
          <w:lang w:val="lt-LT"/>
        </w:rPr>
        <w:t>informacija vartotojui</w:t>
      </w:r>
    </w:p>
    <w:p w14:paraId="3330E140" w14:textId="77777777" w:rsidR="00F34163" w:rsidRPr="00561601" w:rsidRDefault="00F34163" w:rsidP="00F34163">
      <w:pPr>
        <w:numPr>
          <w:ilvl w:val="12"/>
          <w:numId w:val="0"/>
        </w:numPr>
        <w:shd w:val="clear" w:color="auto" w:fill="FFFFFF"/>
        <w:tabs>
          <w:tab w:val="clear" w:pos="567"/>
        </w:tabs>
        <w:spacing w:line="240" w:lineRule="auto"/>
        <w:jc w:val="center"/>
        <w:rPr>
          <w:szCs w:val="24"/>
          <w:lang w:val="lt-LT"/>
        </w:rPr>
      </w:pPr>
    </w:p>
    <w:p w14:paraId="753E1403" w14:textId="7B3228E5" w:rsidR="00F34163" w:rsidRPr="00561601" w:rsidRDefault="00E47068" w:rsidP="00F34163">
      <w:pPr>
        <w:jc w:val="center"/>
        <w:rPr>
          <w:b/>
          <w:szCs w:val="24"/>
          <w:lang w:val="lt-LT"/>
        </w:rPr>
      </w:pPr>
      <w:proofErr w:type="spellStart"/>
      <w:r>
        <w:rPr>
          <w:rFonts w:cs="Arial"/>
          <w:b/>
          <w:snapToGrid/>
          <w:szCs w:val="22"/>
          <w:lang w:val="lt-LT" w:eastAsia="de-DE"/>
        </w:rPr>
        <w:t>Cymvigo</w:t>
      </w:r>
      <w:proofErr w:type="spellEnd"/>
      <w:r w:rsidR="007D3834" w:rsidRPr="00561601">
        <w:rPr>
          <w:rFonts w:cs="Arial"/>
          <w:b/>
          <w:snapToGrid/>
          <w:szCs w:val="22"/>
          <w:lang w:val="lt-LT" w:eastAsia="de-DE"/>
        </w:rPr>
        <w:t xml:space="preserve"> 100 V/ml infuzinis tirpalas</w:t>
      </w:r>
    </w:p>
    <w:p w14:paraId="6992A708" w14:textId="77777777" w:rsidR="00F34163" w:rsidRPr="00561601" w:rsidRDefault="00866D43" w:rsidP="00F34163">
      <w:pPr>
        <w:numPr>
          <w:ilvl w:val="12"/>
          <w:numId w:val="0"/>
        </w:numPr>
        <w:tabs>
          <w:tab w:val="clear" w:pos="567"/>
        </w:tabs>
        <w:spacing w:line="240" w:lineRule="auto"/>
        <w:jc w:val="center"/>
        <w:rPr>
          <w:szCs w:val="24"/>
          <w:lang w:val="lt-LT"/>
        </w:rPr>
      </w:pPr>
      <w:r>
        <w:rPr>
          <w:rFonts w:cs="Arial"/>
          <w:snapToGrid/>
          <w:szCs w:val="22"/>
          <w:lang w:val="lt-LT" w:eastAsia="de-DE"/>
        </w:rPr>
        <w:t>ž</w:t>
      </w:r>
      <w:r w:rsidR="007D3834" w:rsidRPr="00561601">
        <w:rPr>
          <w:rFonts w:cs="Arial"/>
          <w:snapToGrid/>
          <w:szCs w:val="22"/>
          <w:lang w:val="lt-LT" w:eastAsia="de-DE"/>
        </w:rPr>
        <w:t xml:space="preserve">mogaus </w:t>
      </w:r>
      <w:proofErr w:type="spellStart"/>
      <w:r w:rsidR="007D3834" w:rsidRPr="00561601">
        <w:rPr>
          <w:rFonts w:cs="Arial"/>
          <w:snapToGrid/>
          <w:szCs w:val="22"/>
          <w:lang w:val="lt-LT" w:eastAsia="de-DE"/>
        </w:rPr>
        <w:t>citomegalo</w:t>
      </w:r>
      <w:proofErr w:type="spellEnd"/>
      <w:r w:rsidR="007D3834" w:rsidRPr="00561601">
        <w:rPr>
          <w:rFonts w:cs="Arial"/>
          <w:snapToGrid/>
          <w:szCs w:val="22"/>
          <w:lang w:val="lt-LT" w:eastAsia="de-DE"/>
        </w:rPr>
        <w:t xml:space="preserve"> viruso imunoglobulinas</w:t>
      </w:r>
    </w:p>
    <w:p w14:paraId="3A1EC622" w14:textId="77777777" w:rsidR="00F34163" w:rsidRPr="00561601" w:rsidRDefault="00F34163" w:rsidP="00F34163">
      <w:pPr>
        <w:tabs>
          <w:tab w:val="clear" w:pos="567"/>
        </w:tabs>
        <w:spacing w:line="240" w:lineRule="auto"/>
        <w:rPr>
          <w:szCs w:val="24"/>
          <w:lang w:val="lt-LT"/>
        </w:rPr>
      </w:pPr>
    </w:p>
    <w:p w14:paraId="49A3D33A" w14:textId="77777777" w:rsidR="00F34163" w:rsidRPr="00561601" w:rsidRDefault="00F34163" w:rsidP="00F34163">
      <w:pPr>
        <w:tabs>
          <w:tab w:val="clear" w:pos="567"/>
        </w:tabs>
        <w:spacing w:line="240" w:lineRule="auto"/>
        <w:rPr>
          <w:szCs w:val="24"/>
          <w:lang w:val="lt-LT"/>
        </w:rPr>
      </w:pPr>
    </w:p>
    <w:p w14:paraId="2CEB3FD9" w14:textId="77777777" w:rsidR="00F34163" w:rsidRPr="00561601" w:rsidRDefault="00F34163" w:rsidP="00F34163">
      <w:pPr>
        <w:tabs>
          <w:tab w:val="clear" w:pos="567"/>
        </w:tabs>
        <w:suppressAutoHyphens/>
        <w:spacing w:line="240" w:lineRule="auto"/>
        <w:ind w:left="142" w:hanging="142"/>
        <w:rPr>
          <w:szCs w:val="24"/>
          <w:lang w:val="lt-LT"/>
        </w:rPr>
      </w:pPr>
      <w:r w:rsidRPr="00561601">
        <w:rPr>
          <w:b/>
          <w:noProof/>
          <w:szCs w:val="24"/>
          <w:lang w:val="lt-LT"/>
        </w:rPr>
        <w:t>Atidžiai perskaitykite visą šį lapelį, prieš pradėdami vartoti vaistą, nes jame pateikiama Jums svarbi informacija.</w:t>
      </w:r>
    </w:p>
    <w:p w14:paraId="57FD3143" w14:textId="77777777" w:rsidR="00F34163" w:rsidRPr="00561601" w:rsidRDefault="00F34163" w:rsidP="00F34163">
      <w:pPr>
        <w:numPr>
          <w:ilvl w:val="0"/>
          <w:numId w:val="3"/>
        </w:numPr>
        <w:tabs>
          <w:tab w:val="clear" w:pos="567"/>
        </w:tabs>
        <w:spacing w:line="240" w:lineRule="auto"/>
        <w:ind w:left="567" w:right="-2" w:hanging="567"/>
        <w:rPr>
          <w:szCs w:val="24"/>
          <w:lang w:val="lt-LT"/>
        </w:rPr>
      </w:pPr>
      <w:r w:rsidRPr="00561601">
        <w:rPr>
          <w:noProof/>
          <w:szCs w:val="24"/>
          <w:lang w:val="lt-LT"/>
        </w:rPr>
        <w:t>Neišmeskite šio lapelio, nes vėl gali prireikti jį perskaityti.</w:t>
      </w:r>
      <w:r w:rsidRPr="00561601">
        <w:rPr>
          <w:szCs w:val="24"/>
          <w:lang w:val="lt-LT"/>
        </w:rPr>
        <w:t xml:space="preserve"> </w:t>
      </w:r>
    </w:p>
    <w:p w14:paraId="2757B17B" w14:textId="77777777" w:rsidR="00F34163" w:rsidRPr="00561601" w:rsidRDefault="00F34163" w:rsidP="00F34163">
      <w:pPr>
        <w:numPr>
          <w:ilvl w:val="0"/>
          <w:numId w:val="3"/>
        </w:numPr>
        <w:tabs>
          <w:tab w:val="clear" w:pos="567"/>
        </w:tabs>
        <w:spacing w:line="240" w:lineRule="auto"/>
        <w:ind w:left="567" w:right="-2" w:hanging="567"/>
        <w:rPr>
          <w:szCs w:val="24"/>
          <w:lang w:val="lt-LT"/>
        </w:rPr>
      </w:pPr>
      <w:r w:rsidRPr="00561601">
        <w:rPr>
          <w:noProof/>
          <w:szCs w:val="24"/>
          <w:lang w:val="lt-LT"/>
        </w:rPr>
        <w:t>Jeigu kiltų daugiau klausimų, kreipkitės į gydytoją,</w:t>
      </w:r>
      <w:r w:rsidR="007D3834" w:rsidRPr="00561601">
        <w:rPr>
          <w:noProof/>
          <w:szCs w:val="24"/>
          <w:lang w:val="lt-LT"/>
        </w:rPr>
        <w:t xml:space="preserve"> </w:t>
      </w:r>
      <w:r w:rsidRPr="00561601">
        <w:rPr>
          <w:noProof/>
          <w:szCs w:val="24"/>
          <w:lang w:val="lt-LT"/>
        </w:rPr>
        <w:t>vaistininką</w:t>
      </w:r>
      <w:r w:rsidR="007D3834" w:rsidRPr="00561601">
        <w:rPr>
          <w:noProof/>
          <w:szCs w:val="24"/>
          <w:lang w:val="lt-LT"/>
        </w:rPr>
        <w:t xml:space="preserve"> </w:t>
      </w:r>
      <w:r w:rsidRPr="00561601">
        <w:rPr>
          <w:noProof/>
          <w:szCs w:val="24"/>
          <w:lang w:val="lt-LT"/>
        </w:rPr>
        <w:t>arba slaugytoją.</w:t>
      </w:r>
    </w:p>
    <w:p w14:paraId="6A4082DD" w14:textId="77777777" w:rsidR="00F34163" w:rsidRPr="00561601" w:rsidRDefault="00F34163" w:rsidP="00F34163">
      <w:pPr>
        <w:spacing w:line="240" w:lineRule="auto"/>
        <w:ind w:left="567" w:right="-2" w:hanging="567"/>
        <w:rPr>
          <w:szCs w:val="24"/>
          <w:lang w:val="lt-LT"/>
        </w:rPr>
      </w:pPr>
      <w:r w:rsidRPr="00561601">
        <w:rPr>
          <w:szCs w:val="24"/>
          <w:lang w:val="lt-LT"/>
        </w:rPr>
        <w:t>-</w:t>
      </w:r>
      <w:r w:rsidRPr="00561601">
        <w:rPr>
          <w:szCs w:val="24"/>
          <w:lang w:val="lt-LT"/>
        </w:rPr>
        <w:tab/>
      </w:r>
      <w:r w:rsidRPr="00561601">
        <w:rPr>
          <w:noProof/>
          <w:szCs w:val="24"/>
          <w:lang w:val="lt-LT"/>
        </w:rPr>
        <w:t>Šis vaistas skirtas tik Jums, todėl kitiems žmonėms jo duoti negalima.</w:t>
      </w:r>
      <w:r w:rsidRPr="00561601">
        <w:rPr>
          <w:szCs w:val="24"/>
          <w:lang w:val="lt-LT"/>
        </w:rPr>
        <w:t xml:space="preserve"> </w:t>
      </w:r>
      <w:r w:rsidRPr="00561601">
        <w:rPr>
          <w:noProof/>
          <w:szCs w:val="24"/>
          <w:lang w:val="lt-LT"/>
        </w:rPr>
        <w:t>Vaistas gali jiems pakenkti (net tiems, kurių ligos požymiai yra tokie patys kaip Jūsų).</w:t>
      </w:r>
    </w:p>
    <w:p w14:paraId="47E9478E" w14:textId="77777777" w:rsidR="00F34163" w:rsidRPr="00561601" w:rsidRDefault="00F34163" w:rsidP="00F34163">
      <w:pPr>
        <w:numPr>
          <w:ilvl w:val="0"/>
          <w:numId w:val="3"/>
        </w:numPr>
        <w:spacing w:line="240" w:lineRule="auto"/>
        <w:ind w:left="567" w:hanging="567"/>
        <w:rPr>
          <w:szCs w:val="24"/>
          <w:lang w:val="lt-LT"/>
        </w:rPr>
      </w:pPr>
      <w:r w:rsidRPr="00561601">
        <w:rPr>
          <w:noProof/>
          <w:szCs w:val="24"/>
          <w:lang w:val="lt-LT"/>
        </w:rPr>
        <w:t xml:space="preserve">Jeigu pasireiškė šalutinis poveikis (net jeigu jis šiame lapelyje nenurodytas), kreipkitės į </w:t>
      </w:r>
      <w:r w:rsidR="007D3834" w:rsidRPr="00561601">
        <w:rPr>
          <w:noProof/>
          <w:szCs w:val="24"/>
          <w:lang w:val="lt-LT"/>
        </w:rPr>
        <w:t>gydytoją, vaistininką arba slaugytoją</w:t>
      </w:r>
      <w:r w:rsidRPr="00561601">
        <w:rPr>
          <w:noProof/>
          <w:szCs w:val="24"/>
          <w:lang w:val="lt-LT"/>
        </w:rPr>
        <w:t>. Žr. 4 skyrių.</w:t>
      </w:r>
    </w:p>
    <w:p w14:paraId="5B6AE24F" w14:textId="77777777" w:rsidR="00F34163" w:rsidRPr="00561601" w:rsidRDefault="00F34163" w:rsidP="00F34163">
      <w:pPr>
        <w:tabs>
          <w:tab w:val="clear" w:pos="567"/>
        </w:tabs>
        <w:spacing w:line="240" w:lineRule="auto"/>
        <w:ind w:right="-2"/>
        <w:rPr>
          <w:szCs w:val="24"/>
          <w:lang w:val="lt-LT"/>
        </w:rPr>
      </w:pPr>
    </w:p>
    <w:p w14:paraId="2E78D4BB" w14:textId="77777777"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Apie ką rašoma šiame lapelyje?</w:t>
      </w:r>
    </w:p>
    <w:p w14:paraId="6C85D037" w14:textId="77777777" w:rsidR="00F34163" w:rsidRPr="00561601" w:rsidRDefault="00F34163" w:rsidP="00F34163">
      <w:pPr>
        <w:numPr>
          <w:ilvl w:val="12"/>
          <w:numId w:val="0"/>
        </w:numPr>
        <w:tabs>
          <w:tab w:val="clear" w:pos="567"/>
        </w:tabs>
        <w:spacing w:line="240" w:lineRule="auto"/>
        <w:ind w:left="284" w:right="-2"/>
        <w:rPr>
          <w:szCs w:val="24"/>
          <w:lang w:val="lt-LT"/>
        </w:rPr>
      </w:pPr>
    </w:p>
    <w:p w14:paraId="6491B65B" w14:textId="4E57CA68" w:rsidR="00F34163" w:rsidRPr="00561601" w:rsidRDefault="00F34163" w:rsidP="00A2673F">
      <w:pPr>
        <w:numPr>
          <w:ilvl w:val="12"/>
          <w:numId w:val="0"/>
        </w:numPr>
        <w:spacing w:line="240" w:lineRule="auto"/>
        <w:ind w:right="-2"/>
        <w:rPr>
          <w:szCs w:val="24"/>
          <w:lang w:val="lt-LT"/>
        </w:rPr>
      </w:pPr>
      <w:r w:rsidRPr="00561601">
        <w:rPr>
          <w:szCs w:val="24"/>
          <w:lang w:val="lt-LT"/>
        </w:rPr>
        <w:t>1.</w:t>
      </w:r>
      <w:r w:rsidRPr="00561601">
        <w:rPr>
          <w:szCs w:val="24"/>
          <w:lang w:val="lt-LT"/>
        </w:rPr>
        <w:tab/>
      </w:r>
      <w:r w:rsidRPr="00561601">
        <w:rPr>
          <w:lang w:val="lt-LT"/>
        </w:rPr>
        <w:t xml:space="preserve">Kas yra </w:t>
      </w:r>
      <w:proofErr w:type="spellStart"/>
      <w:r w:rsidR="00E47068">
        <w:rPr>
          <w:lang w:val="lt-LT"/>
        </w:rPr>
        <w:t>Cymvigo</w:t>
      </w:r>
      <w:proofErr w:type="spellEnd"/>
      <w:r w:rsidRPr="00561601">
        <w:rPr>
          <w:lang w:val="lt-LT"/>
        </w:rPr>
        <w:t xml:space="preserve"> ir kam jis vartojamas</w:t>
      </w:r>
      <w:r w:rsidRPr="00561601">
        <w:rPr>
          <w:szCs w:val="24"/>
          <w:lang w:val="lt-LT"/>
        </w:rPr>
        <w:t xml:space="preserve"> </w:t>
      </w:r>
    </w:p>
    <w:p w14:paraId="450D9BF2" w14:textId="18FCE34E" w:rsidR="00F34163" w:rsidRPr="00561601" w:rsidRDefault="00F34163" w:rsidP="00A2673F">
      <w:pPr>
        <w:numPr>
          <w:ilvl w:val="12"/>
          <w:numId w:val="0"/>
        </w:numPr>
        <w:spacing w:line="240" w:lineRule="auto"/>
        <w:ind w:right="-2"/>
        <w:rPr>
          <w:szCs w:val="24"/>
          <w:lang w:val="lt-LT"/>
        </w:rPr>
      </w:pPr>
      <w:r w:rsidRPr="00561601">
        <w:rPr>
          <w:szCs w:val="24"/>
          <w:lang w:val="lt-LT"/>
        </w:rPr>
        <w:t>2.</w:t>
      </w:r>
      <w:r w:rsidRPr="00561601">
        <w:rPr>
          <w:szCs w:val="24"/>
          <w:lang w:val="lt-LT"/>
        </w:rPr>
        <w:tab/>
      </w:r>
      <w:r w:rsidRPr="00561601">
        <w:rPr>
          <w:noProof/>
          <w:szCs w:val="24"/>
          <w:lang w:val="lt-LT"/>
        </w:rPr>
        <w:t xml:space="preserve">Kas žinotina prieš vartojant </w:t>
      </w:r>
      <w:proofErr w:type="spellStart"/>
      <w:r w:rsidR="00E47068">
        <w:rPr>
          <w:lang w:val="lt-LT"/>
        </w:rPr>
        <w:t>Cymvigo</w:t>
      </w:r>
      <w:proofErr w:type="spellEnd"/>
      <w:r w:rsidRPr="00561601">
        <w:rPr>
          <w:szCs w:val="24"/>
          <w:lang w:val="lt-LT"/>
        </w:rPr>
        <w:t xml:space="preserve">  </w:t>
      </w:r>
    </w:p>
    <w:p w14:paraId="3624796B" w14:textId="38A8F3EA" w:rsidR="00F34163" w:rsidRPr="00561601" w:rsidRDefault="00F34163" w:rsidP="00A2673F">
      <w:pPr>
        <w:numPr>
          <w:ilvl w:val="12"/>
          <w:numId w:val="0"/>
        </w:numPr>
        <w:spacing w:line="240" w:lineRule="auto"/>
        <w:ind w:right="-2"/>
        <w:rPr>
          <w:szCs w:val="24"/>
          <w:lang w:val="lt-LT"/>
        </w:rPr>
      </w:pPr>
      <w:r w:rsidRPr="00561601">
        <w:rPr>
          <w:szCs w:val="24"/>
          <w:lang w:val="lt-LT"/>
        </w:rPr>
        <w:t>3.</w:t>
      </w:r>
      <w:r w:rsidRPr="00561601">
        <w:rPr>
          <w:szCs w:val="24"/>
          <w:lang w:val="lt-LT"/>
        </w:rPr>
        <w:tab/>
      </w:r>
      <w:r w:rsidRPr="00561601">
        <w:rPr>
          <w:noProof/>
          <w:szCs w:val="24"/>
          <w:lang w:val="lt-LT"/>
        </w:rPr>
        <w:t xml:space="preserve">Kaip vartoti </w:t>
      </w:r>
      <w:proofErr w:type="spellStart"/>
      <w:r w:rsidR="00E47068">
        <w:rPr>
          <w:lang w:val="lt-LT"/>
        </w:rPr>
        <w:t>Cymvigo</w:t>
      </w:r>
      <w:proofErr w:type="spellEnd"/>
      <w:r w:rsidRPr="00561601">
        <w:rPr>
          <w:szCs w:val="24"/>
          <w:lang w:val="lt-LT"/>
        </w:rPr>
        <w:t xml:space="preserve"> </w:t>
      </w:r>
    </w:p>
    <w:p w14:paraId="3052C3EE" w14:textId="77777777" w:rsidR="00F34163" w:rsidRPr="00561601" w:rsidRDefault="00F34163" w:rsidP="00A2673F">
      <w:pPr>
        <w:numPr>
          <w:ilvl w:val="12"/>
          <w:numId w:val="0"/>
        </w:numPr>
        <w:spacing w:line="240" w:lineRule="auto"/>
        <w:ind w:right="-2"/>
        <w:rPr>
          <w:szCs w:val="24"/>
          <w:lang w:val="lt-LT"/>
        </w:rPr>
      </w:pPr>
      <w:r w:rsidRPr="00561601">
        <w:rPr>
          <w:szCs w:val="24"/>
          <w:lang w:val="lt-LT"/>
        </w:rPr>
        <w:t>4.</w:t>
      </w:r>
      <w:r w:rsidRPr="00561601">
        <w:rPr>
          <w:szCs w:val="24"/>
          <w:lang w:val="lt-LT"/>
        </w:rPr>
        <w:tab/>
      </w:r>
      <w:r w:rsidRPr="00561601">
        <w:rPr>
          <w:lang w:val="lt-LT"/>
        </w:rPr>
        <w:t>Galimas šalutinis poveikis</w:t>
      </w:r>
      <w:r w:rsidRPr="00561601">
        <w:rPr>
          <w:szCs w:val="24"/>
          <w:lang w:val="lt-LT"/>
        </w:rPr>
        <w:t xml:space="preserve"> </w:t>
      </w:r>
    </w:p>
    <w:p w14:paraId="723354EE" w14:textId="44A223E9" w:rsidR="00F34163" w:rsidRPr="00561601" w:rsidRDefault="00F34163" w:rsidP="00A2673F">
      <w:pPr>
        <w:numPr>
          <w:ilvl w:val="12"/>
          <w:numId w:val="0"/>
        </w:numPr>
        <w:tabs>
          <w:tab w:val="left" w:pos="1260"/>
        </w:tabs>
        <w:spacing w:line="240" w:lineRule="auto"/>
        <w:ind w:right="-2"/>
        <w:rPr>
          <w:szCs w:val="24"/>
          <w:lang w:val="lt-LT"/>
        </w:rPr>
      </w:pPr>
      <w:r w:rsidRPr="00561601">
        <w:rPr>
          <w:szCs w:val="24"/>
          <w:lang w:val="lt-LT"/>
        </w:rPr>
        <w:t>5.</w:t>
      </w:r>
      <w:r w:rsidR="00461F31" w:rsidRPr="00561601">
        <w:rPr>
          <w:szCs w:val="24"/>
          <w:lang w:val="lt-LT"/>
        </w:rPr>
        <w:tab/>
      </w:r>
      <w:r w:rsidRPr="00561601">
        <w:rPr>
          <w:lang w:val="lt-LT"/>
        </w:rPr>
        <w:t xml:space="preserve">Kaip laikyti </w:t>
      </w:r>
      <w:proofErr w:type="spellStart"/>
      <w:r w:rsidR="00E47068">
        <w:rPr>
          <w:lang w:val="lt-LT"/>
        </w:rPr>
        <w:t>Cymvigo</w:t>
      </w:r>
      <w:proofErr w:type="spellEnd"/>
      <w:r w:rsidRPr="00561601">
        <w:rPr>
          <w:szCs w:val="24"/>
          <w:lang w:val="lt-LT"/>
        </w:rPr>
        <w:t xml:space="preserve"> </w:t>
      </w:r>
    </w:p>
    <w:p w14:paraId="364E15A3" w14:textId="77777777" w:rsidR="00F34163" w:rsidRPr="00561601" w:rsidRDefault="00F34163" w:rsidP="00A2673F">
      <w:pPr>
        <w:numPr>
          <w:ilvl w:val="12"/>
          <w:numId w:val="0"/>
        </w:numPr>
        <w:spacing w:line="240" w:lineRule="auto"/>
        <w:ind w:right="-2"/>
        <w:rPr>
          <w:szCs w:val="24"/>
          <w:lang w:val="lt-LT"/>
        </w:rPr>
      </w:pPr>
      <w:r w:rsidRPr="00561601">
        <w:rPr>
          <w:szCs w:val="24"/>
          <w:lang w:val="lt-LT"/>
        </w:rPr>
        <w:t>6.</w:t>
      </w:r>
      <w:r w:rsidRPr="00561601">
        <w:rPr>
          <w:szCs w:val="24"/>
          <w:lang w:val="lt-LT"/>
        </w:rPr>
        <w:tab/>
      </w:r>
      <w:r w:rsidRPr="00561601">
        <w:rPr>
          <w:noProof/>
          <w:szCs w:val="24"/>
          <w:lang w:val="lt-LT"/>
        </w:rPr>
        <w:t>Pakuotės turinys ir kita informacija</w:t>
      </w:r>
    </w:p>
    <w:p w14:paraId="6CA0ECB2" w14:textId="77777777" w:rsidR="00F34163" w:rsidRPr="00561601" w:rsidRDefault="00F34163" w:rsidP="00F34163">
      <w:pPr>
        <w:numPr>
          <w:ilvl w:val="12"/>
          <w:numId w:val="0"/>
        </w:numPr>
        <w:tabs>
          <w:tab w:val="clear" w:pos="567"/>
        </w:tabs>
        <w:spacing w:line="240" w:lineRule="auto"/>
        <w:ind w:right="-2"/>
        <w:rPr>
          <w:szCs w:val="24"/>
          <w:lang w:val="lt-LT"/>
        </w:rPr>
      </w:pPr>
    </w:p>
    <w:p w14:paraId="74A56ABD" w14:textId="77777777" w:rsidR="00F34163" w:rsidRPr="00561601" w:rsidRDefault="00F34163" w:rsidP="00F34163">
      <w:pPr>
        <w:numPr>
          <w:ilvl w:val="12"/>
          <w:numId w:val="0"/>
        </w:numPr>
        <w:tabs>
          <w:tab w:val="clear" w:pos="567"/>
        </w:tabs>
        <w:spacing w:line="240" w:lineRule="auto"/>
        <w:ind w:right="-2"/>
        <w:rPr>
          <w:szCs w:val="24"/>
          <w:lang w:val="lt-LT"/>
        </w:rPr>
      </w:pPr>
    </w:p>
    <w:p w14:paraId="08FCBB17" w14:textId="1B487B90"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1.</w:t>
      </w:r>
      <w:r w:rsidRPr="00561601">
        <w:rPr>
          <w:rFonts w:ascii="Times New Roman" w:hAnsi="Times New Roman"/>
          <w:sz w:val="22"/>
          <w:lang w:val="lt-LT"/>
        </w:rPr>
        <w:tab/>
        <w:t xml:space="preserve">Kas yra </w:t>
      </w:r>
      <w:bookmarkStart w:id="2" w:name="_Hlk106622972"/>
      <w:proofErr w:type="spellStart"/>
      <w:r w:rsidR="00E47068">
        <w:rPr>
          <w:rFonts w:ascii="Times New Roman" w:hAnsi="Times New Roman" w:cs="Arial"/>
          <w:bCs w:val="0"/>
          <w:snapToGrid/>
          <w:sz w:val="22"/>
          <w:szCs w:val="22"/>
          <w:lang w:val="lt-LT" w:eastAsia="de-DE"/>
        </w:rPr>
        <w:t>Cymvigo</w:t>
      </w:r>
      <w:proofErr w:type="spellEnd"/>
      <w:r w:rsidRPr="00561601">
        <w:rPr>
          <w:rFonts w:ascii="Times New Roman" w:hAnsi="Times New Roman"/>
          <w:sz w:val="22"/>
          <w:lang w:val="lt-LT"/>
        </w:rPr>
        <w:t xml:space="preserve"> </w:t>
      </w:r>
      <w:bookmarkEnd w:id="2"/>
      <w:r w:rsidRPr="00561601">
        <w:rPr>
          <w:rFonts w:ascii="Times New Roman" w:hAnsi="Times New Roman"/>
          <w:sz w:val="22"/>
          <w:lang w:val="lt-LT"/>
        </w:rPr>
        <w:t>ir kam jis vartojamas</w:t>
      </w:r>
    </w:p>
    <w:p w14:paraId="62A22085" w14:textId="77777777" w:rsidR="00F34163" w:rsidRPr="00561601" w:rsidRDefault="00F34163" w:rsidP="00F34163">
      <w:pPr>
        <w:numPr>
          <w:ilvl w:val="12"/>
          <w:numId w:val="0"/>
        </w:numPr>
        <w:tabs>
          <w:tab w:val="clear" w:pos="567"/>
        </w:tabs>
        <w:spacing w:line="240" w:lineRule="auto"/>
        <w:ind w:right="-2"/>
        <w:rPr>
          <w:szCs w:val="24"/>
          <w:lang w:val="lt-LT"/>
        </w:rPr>
      </w:pPr>
    </w:p>
    <w:p w14:paraId="00C66CE1" w14:textId="46B8F597" w:rsidR="007D3834" w:rsidRPr="00561601" w:rsidRDefault="00E47068" w:rsidP="007D3834">
      <w:pPr>
        <w:tabs>
          <w:tab w:val="clear" w:pos="567"/>
          <w:tab w:val="left" w:pos="1134"/>
        </w:tabs>
        <w:overflowPunct w:val="0"/>
        <w:autoSpaceDE w:val="0"/>
        <w:autoSpaceDN w:val="0"/>
        <w:adjustRightInd w:val="0"/>
        <w:spacing w:line="240" w:lineRule="auto"/>
        <w:textAlignment w:val="baseline"/>
        <w:rPr>
          <w:snapToGrid/>
          <w:szCs w:val="22"/>
          <w:lang w:val="lt-LT" w:eastAsia="de-DE"/>
        </w:rPr>
      </w:pPr>
      <w:proofErr w:type="spellStart"/>
      <w:r>
        <w:rPr>
          <w:rFonts w:cs="Arial"/>
          <w:snapToGrid/>
          <w:szCs w:val="22"/>
          <w:lang w:val="lt-LT" w:eastAsia="de-DE"/>
        </w:rPr>
        <w:t>Cymvigo</w:t>
      </w:r>
      <w:proofErr w:type="spellEnd"/>
    </w:p>
    <w:p w14:paraId="574BB00E" w14:textId="77777777" w:rsidR="007D3834" w:rsidRPr="00561601" w:rsidRDefault="007D3834" w:rsidP="00D71CE4">
      <w:pPr>
        <w:numPr>
          <w:ilvl w:val="0"/>
          <w:numId w:val="10"/>
        </w:numPr>
        <w:tabs>
          <w:tab w:val="clear" w:pos="567"/>
        </w:tabs>
        <w:overflowPunct w:val="0"/>
        <w:autoSpaceDE w:val="0"/>
        <w:autoSpaceDN w:val="0"/>
        <w:adjustRightInd w:val="0"/>
        <w:spacing w:line="240" w:lineRule="auto"/>
        <w:ind w:left="709" w:hanging="349"/>
        <w:textAlignment w:val="baseline"/>
        <w:rPr>
          <w:snapToGrid/>
          <w:szCs w:val="22"/>
          <w:lang w:val="lt-LT" w:eastAsia="de-DE"/>
        </w:rPr>
      </w:pPr>
      <w:r w:rsidRPr="00561601">
        <w:rPr>
          <w:rFonts w:cs="Arial"/>
          <w:snapToGrid/>
          <w:szCs w:val="22"/>
          <w:lang w:val="lt-LT" w:eastAsia="de-DE"/>
        </w:rPr>
        <w:t>priklauso imunoglobulinų grupei. Šiuose vaistuose yra antikūnų (antikūnai yra organizmo imuninės sistemos dalis);</w:t>
      </w:r>
    </w:p>
    <w:p w14:paraId="0DADEB65" w14:textId="77777777" w:rsidR="007D3834" w:rsidRPr="00561601" w:rsidRDefault="007D3834" w:rsidP="00D71CE4">
      <w:pPr>
        <w:numPr>
          <w:ilvl w:val="0"/>
          <w:numId w:val="10"/>
        </w:numPr>
        <w:tabs>
          <w:tab w:val="clear" w:pos="567"/>
        </w:tabs>
        <w:overflowPunct w:val="0"/>
        <w:autoSpaceDE w:val="0"/>
        <w:autoSpaceDN w:val="0"/>
        <w:adjustRightInd w:val="0"/>
        <w:spacing w:line="240" w:lineRule="auto"/>
        <w:ind w:left="709" w:hanging="349"/>
        <w:textAlignment w:val="baseline"/>
        <w:rPr>
          <w:snapToGrid/>
          <w:szCs w:val="22"/>
          <w:lang w:val="lt-LT" w:eastAsia="de-DE"/>
        </w:rPr>
      </w:pPr>
      <w:r w:rsidRPr="00561601">
        <w:rPr>
          <w:rFonts w:cs="Arial"/>
          <w:snapToGrid/>
          <w:szCs w:val="22"/>
          <w:lang w:val="lt-LT" w:eastAsia="de-DE"/>
        </w:rPr>
        <w:t xml:space="preserve">yra antikūnų prieš </w:t>
      </w:r>
      <w:proofErr w:type="spellStart"/>
      <w:r w:rsidRPr="00561601">
        <w:rPr>
          <w:rFonts w:cs="Arial"/>
          <w:snapToGrid/>
          <w:szCs w:val="22"/>
          <w:lang w:val="lt-LT" w:eastAsia="de-DE"/>
        </w:rPr>
        <w:t>citomegalo</w:t>
      </w:r>
      <w:proofErr w:type="spellEnd"/>
      <w:r w:rsidRPr="00561601">
        <w:rPr>
          <w:rFonts w:cs="Arial"/>
          <w:snapToGrid/>
          <w:szCs w:val="22"/>
          <w:lang w:val="lt-LT" w:eastAsia="de-DE"/>
        </w:rPr>
        <w:t xml:space="preserve"> virusą;</w:t>
      </w:r>
    </w:p>
    <w:p w14:paraId="642C4C9E" w14:textId="77777777" w:rsidR="007D3834" w:rsidRPr="00561601" w:rsidRDefault="007D3834" w:rsidP="00D71CE4">
      <w:pPr>
        <w:numPr>
          <w:ilvl w:val="0"/>
          <w:numId w:val="10"/>
        </w:numPr>
        <w:tabs>
          <w:tab w:val="clear" w:pos="567"/>
        </w:tabs>
        <w:overflowPunct w:val="0"/>
        <w:autoSpaceDE w:val="0"/>
        <w:autoSpaceDN w:val="0"/>
        <w:adjustRightInd w:val="0"/>
        <w:spacing w:line="240" w:lineRule="auto"/>
        <w:ind w:left="709" w:hanging="349"/>
        <w:textAlignment w:val="baseline"/>
        <w:rPr>
          <w:snapToGrid/>
          <w:szCs w:val="22"/>
          <w:lang w:val="lt-LT" w:eastAsia="de-DE"/>
        </w:rPr>
      </w:pPr>
      <w:r w:rsidRPr="00561601">
        <w:rPr>
          <w:rFonts w:cs="Arial"/>
          <w:snapToGrid/>
          <w:szCs w:val="22"/>
          <w:lang w:val="lt-LT" w:eastAsia="de-DE"/>
        </w:rPr>
        <w:t>yra infuzinis tirpalas, lašinamas (infuzijos būdu) į veną.</w:t>
      </w:r>
    </w:p>
    <w:p w14:paraId="12843BD1" w14:textId="77777777" w:rsidR="007D3834" w:rsidRPr="00561601" w:rsidRDefault="007D3834" w:rsidP="007D3834">
      <w:pPr>
        <w:tabs>
          <w:tab w:val="clear" w:pos="567"/>
          <w:tab w:val="left" w:pos="1134"/>
        </w:tabs>
        <w:overflowPunct w:val="0"/>
        <w:autoSpaceDE w:val="0"/>
        <w:autoSpaceDN w:val="0"/>
        <w:adjustRightInd w:val="0"/>
        <w:spacing w:line="240" w:lineRule="auto"/>
        <w:textAlignment w:val="baseline"/>
        <w:rPr>
          <w:snapToGrid/>
          <w:szCs w:val="22"/>
          <w:lang w:val="lt-LT" w:eastAsia="de-DE"/>
        </w:rPr>
      </w:pPr>
    </w:p>
    <w:p w14:paraId="75F78269" w14:textId="1990D53A" w:rsidR="007D3834" w:rsidRPr="00561601" w:rsidRDefault="00E47068" w:rsidP="007D3834">
      <w:pPr>
        <w:tabs>
          <w:tab w:val="clear" w:pos="567"/>
          <w:tab w:val="left" w:pos="1134"/>
        </w:tabs>
        <w:overflowPunct w:val="0"/>
        <w:autoSpaceDE w:val="0"/>
        <w:autoSpaceDN w:val="0"/>
        <w:adjustRightInd w:val="0"/>
        <w:spacing w:line="240" w:lineRule="auto"/>
        <w:textAlignment w:val="baseline"/>
        <w:rPr>
          <w:snapToGrid/>
          <w:szCs w:val="22"/>
          <w:lang w:val="lt-LT" w:eastAsia="de-DE"/>
        </w:rPr>
      </w:pPr>
      <w:proofErr w:type="spellStart"/>
      <w:r>
        <w:rPr>
          <w:rFonts w:cs="Arial"/>
          <w:snapToGrid/>
          <w:szCs w:val="22"/>
          <w:lang w:val="lt-LT" w:eastAsia="de-DE"/>
        </w:rPr>
        <w:t>Cymvigo</w:t>
      </w:r>
      <w:proofErr w:type="spellEnd"/>
      <w:r w:rsidR="007D3834" w:rsidRPr="00561601">
        <w:rPr>
          <w:rFonts w:cs="Arial"/>
          <w:snapToGrid/>
          <w:szCs w:val="22"/>
          <w:lang w:val="lt-LT" w:eastAsia="de-DE"/>
        </w:rPr>
        <w:t xml:space="preserve"> skiriamas pacientams, kuriems taikomas imunosupresinis gydymas (gydymas, skirtas imuninei sistemai slopinti), siekiant išvengti klinikinių </w:t>
      </w:r>
      <w:proofErr w:type="spellStart"/>
      <w:r w:rsidR="007D3834" w:rsidRPr="00561601">
        <w:rPr>
          <w:rFonts w:cs="Arial"/>
          <w:snapToGrid/>
          <w:szCs w:val="22"/>
          <w:lang w:val="lt-LT" w:eastAsia="de-DE"/>
        </w:rPr>
        <w:t>citomegalo</w:t>
      </w:r>
      <w:proofErr w:type="spellEnd"/>
      <w:r w:rsidR="007D3834" w:rsidRPr="00561601">
        <w:rPr>
          <w:rFonts w:cs="Arial"/>
          <w:snapToGrid/>
          <w:szCs w:val="22"/>
          <w:lang w:val="lt-LT" w:eastAsia="de-DE"/>
        </w:rPr>
        <w:t xml:space="preserve"> virusinės infekcijos apraiškų, ypač pacientams po organų transplantacijos.</w:t>
      </w:r>
    </w:p>
    <w:p w14:paraId="3352ECE8" w14:textId="77777777" w:rsidR="007D3834" w:rsidRPr="00561601" w:rsidRDefault="007D3834" w:rsidP="007D3834">
      <w:pPr>
        <w:tabs>
          <w:tab w:val="clear" w:pos="567"/>
          <w:tab w:val="left" w:pos="1134"/>
        </w:tabs>
        <w:overflowPunct w:val="0"/>
        <w:autoSpaceDE w:val="0"/>
        <w:autoSpaceDN w:val="0"/>
        <w:adjustRightInd w:val="0"/>
        <w:spacing w:line="240" w:lineRule="auto"/>
        <w:textAlignment w:val="baseline"/>
        <w:rPr>
          <w:snapToGrid/>
          <w:szCs w:val="22"/>
          <w:lang w:val="lt-LT" w:eastAsia="de-DE" w:bidi="he-IL"/>
        </w:rPr>
      </w:pPr>
    </w:p>
    <w:p w14:paraId="0F575661" w14:textId="7767FDB3" w:rsidR="007D3834" w:rsidRPr="00561601" w:rsidRDefault="007D3834" w:rsidP="007D3834">
      <w:pPr>
        <w:tabs>
          <w:tab w:val="clear" w:pos="567"/>
          <w:tab w:val="left" w:pos="1134"/>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Gydytojas, skirdamas </w:t>
      </w:r>
      <w:proofErr w:type="spellStart"/>
      <w:r w:rsidR="00E47068">
        <w:rPr>
          <w:rFonts w:cs="Arial"/>
          <w:snapToGrid/>
          <w:szCs w:val="22"/>
          <w:lang w:val="lt-LT" w:eastAsia="de-DE"/>
        </w:rPr>
        <w:t>Cymvigo</w:t>
      </w:r>
      <w:proofErr w:type="spellEnd"/>
      <w:r w:rsidRPr="00561601">
        <w:rPr>
          <w:rFonts w:cs="Arial"/>
          <w:snapToGrid/>
          <w:szCs w:val="22"/>
          <w:lang w:val="lt-LT" w:eastAsia="de-DE"/>
        </w:rPr>
        <w:t>, apsvarstys</w:t>
      </w:r>
      <w:r w:rsidR="00087EF9">
        <w:rPr>
          <w:rFonts w:cs="Arial"/>
          <w:snapToGrid/>
          <w:szCs w:val="22"/>
          <w:lang w:val="lt-LT" w:eastAsia="de-DE"/>
        </w:rPr>
        <w:t xml:space="preserve"> </w:t>
      </w:r>
      <w:r w:rsidRPr="00561601">
        <w:rPr>
          <w:rFonts w:cs="Arial"/>
          <w:snapToGrid/>
          <w:szCs w:val="22"/>
          <w:lang w:val="lt-LT" w:eastAsia="de-DE"/>
        </w:rPr>
        <w:t>ati</w:t>
      </w:r>
      <w:r w:rsidR="00FC1474">
        <w:rPr>
          <w:rFonts w:cs="Arial"/>
          <w:snapToGrid/>
          <w:szCs w:val="22"/>
          <w:lang w:val="lt-LT" w:eastAsia="de-DE"/>
        </w:rPr>
        <w:t>ti</w:t>
      </w:r>
      <w:r w:rsidRPr="00561601">
        <w:rPr>
          <w:rFonts w:cs="Arial"/>
          <w:snapToGrid/>
          <w:szCs w:val="22"/>
          <w:lang w:val="lt-LT" w:eastAsia="de-DE"/>
        </w:rPr>
        <w:t>nkam</w:t>
      </w:r>
      <w:r w:rsidR="00087EF9">
        <w:rPr>
          <w:rFonts w:cs="Arial"/>
          <w:snapToGrid/>
          <w:szCs w:val="22"/>
          <w:lang w:val="lt-LT" w:eastAsia="de-DE"/>
        </w:rPr>
        <w:t>ų</w:t>
      </w:r>
      <w:r w:rsidRPr="00561601">
        <w:rPr>
          <w:rFonts w:cs="Arial"/>
          <w:snapToGrid/>
          <w:szCs w:val="22"/>
          <w:lang w:val="lt-LT" w:eastAsia="de-DE"/>
        </w:rPr>
        <w:t xml:space="preserve"> virusus </w:t>
      </w:r>
      <w:r w:rsidR="00087EF9" w:rsidRPr="00561601">
        <w:rPr>
          <w:rFonts w:cs="Arial"/>
          <w:snapToGrid/>
          <w:szCs w:val="22"/>
          <w:lang w:val="lt-LT" w:eastAsia="de-DE"/>
        </w:rPr>
        <w:t>stabdanči</w:t>
      </w:r>
      <w:r w:rsidR="00087EF9">
        <w:rPr>
          <w:rFonts w:cs="Arial"/>
          <w:snapToGrid/>
          <w:szCs w:val="22"/>
          <w:lang w:val="lt-LT" w:eastAsia="de-DE"/>
        </w:rPr>
        <w:t>ų medžiagų</w:t>
      </w:r>
      <w:r w:rsidR="00FC1474">
        <w:rPr>
          <w:rFonts w:cs="Arial"/>
          <w:snapToGrid/>
          <w:szCs w:val="22"/>
          <w:lang w:val="lt-LT" w:eastAsia="de-DE"/>
        </w:rPr>
        <w:t xml:space="preserve"> vartojimą kartu</w:t>
      </w:r>
      <w:r w:rsidRPr="00561601">
        <w:rPr>
          <w:rFonts w:cs="Arial"/>
          <w:snapToGrid/>
          <w:szCs w:val="22"/>
          <w:lang w:val="lt-LT" w:eastAsia="de-DE"/>
        </w:rPr>
        <w:t>.</w:t>
      </w:r>
    </w:p>
    <w:p w14:paraId="24996F67" w14:textId="77777777" w:rsidR="00F34163" w:rsidRPr="00561601" w:rsidRDefault="00F34163" w:rsidP="00F34163">
      <w:pPr>
        <w:numPr>
          <w:ilvl w:val="12"/>
          <w:numId w:val="0"/>
        </w:numPr>
        <w:tabs>
          <w:tab w:val="clear" w:pos="567"/>
        </w:tabs>
        <w:spacing w:line="240" w:lineRule="auto"/>
        <w:ind w:right="-2"/>
        <w:rPr>
          <w:szCs w:val="24"/>
          <w:lang w:val="lt-LT"/>
        </w:rPr>
      </w:pPr>
    </w:p>
    <w:p w14:paraId="2D5383AF" w14:textId="77777777" w:rsidR="00F34163" w:rsidRPr="00561601" w:rsidRDefault="00F34163" w:rsidP="00F34163">
      <w:pPr>
        <w:numPr>
          <w:ilvl w:val="12"/>
          <w:numId w:val="0"/>
        </w:numPr>
        <w:tabs>
          <w:tab w:val="clear" w:pos="567"/>
        </w:tabs>
        <w:spacing w:line="240" w:lineRule="auto"/>
        <w:ind w:right="-2"/>
        <w:rPr>
          <w:szCs w:val="24"/>
          <w:lang w:val="lt-LT"/>
        </w:rPr>
      </w:pPr>
    </w:p>
    <w:p w14:paraId="77EF8C10" w14:textId="6B7CB196"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2.</w:t>
      </w:r>
      <w:r w:rsidRPr="00561601">
        <w:rPr>
          <w:rFonts w:ascii="Times New Roman" w:hAnsi="Times New Roman"/>
          <w:sz w:val="22"/>
          <w:lang w:val="lt-LT"/>
        </w:rPr>
        <w:tab/>
        <w:t xml:space="preserve">Kas žinotina prieš vartojant </w:t>
      </w:r>
      <w:proofErr w:type="spellStart"/>
      <w:r w:rsidR="00E47068">
        <w:rPr>
          <w:rFonts w:ascii="Times New Roman" w:hAnsi="Times New Roman" w:cs="Arial"/>
          <w:bCs w:val="0"/>
          <w:snapToGrid/>
          <w:sz w:val="22"/>
          <w:szCs w:val="22"/>
          <w:lang w:val="lt-LT" w:eastAsia="de-DE"/>
        </w:rPr>
        <w:t>Cymvigo</w:t>
      </w:r>
      <w:proofErr w:type="spellEnd"/>
    </w:p>
    <w:p w14:paraId="3BDD4A8F" w14:textId="77777777" w:rsidR="00F34163" w:rsidRPr="00561601" w:rsidRDefault="00F34163" w:rsidP="00F34163">
      <w:pPr>
        <w:numPr>
          <w:ilvl w:val="12"/>
          <w:numId w:val="0"/>
        </w:numPr>
        <w:tabs>
          <w:tab w:val="clear" w:pos="567"/>
        </w:tabs>
        <w:spacing w:line="240" w:lineRule="auto"/>
        <w:ind w:right="-2"/>
        <w:rPr>
          <w:szCs w:val="24"/>
          <w:lang w:val="lt-LT"/>
        </w:rPr>
      </w:pPr>
    </w:p>
    <w:p w14:paraId="33821675" w14:textId="29B5C78C" w:rsidR="00F34163" w:rsidRPr="00561601" w:rsidRDefault="00E47068" w:rsidP="00F34163">
      <w:pPr>
        <w:pStyle w:val="Antrat4"/>
        <w:rPr>
          <w:rFonts w:ascii="Times New Roman" w:hAnsi="Times New Roman"/>
          <w:sz w:val="22"/>
          <w:lang w:val="lt-LT"/>
        </w:rPr>
      </w:pPr>
      <w:proofErr w:type="spellStart"/>
      <w:r>
        <w:rPr>
          <w:rFonts w:ascii="Times New Roman" w:hAnsi="Times New Roman" w:cs="Arial"/>
          <w:bCs w:val="0"/>
          <w:snapToGrid/>
          <w:sz w:val="22"/>
          <w:szCs w:val="22"/>
          <w:lang w:val="lt-LT" w:eastAsia="de-DE"/>
        </w:rPr>
        <w:t>Cymvigo</w:t>
      </w:r>
      <w:proofErr w:type="spellEnd"/>
      <w:r w:rsidR="00F34163" w:rsidRPr="00561601">
        <w:rPr>
          <w:rFonts w:ascii="Times New Roman" w:hAnsi="Times New Roman"/>
          <w:sz w:val="22"/>
          <w:lang w:val="lt-LT"/>
        </w:rPr>
        <w:t xml:space="preserve"> vartoti </w:t>
      </w:r>
      <w:r w:rsidR="00C54BE9">
        <w:rPr>
          <w:rFonts w:ascii="Times New Roman" w:hAnsi="Times New Roman"/>
          <w:sz w:val="22"/>
          <w:lang w:val="lt-LT"/>
        </w:rPr>
        <w:t>draudžiama</w:t>
      </w:r>
      <w:r w:rsidR="00F34163" w:rsidRPr="00561601">
        <w:rPr>
          <w:rFonts w:ascii="Times New Roman" w:hAnsi="Times New Roman"/>
          <w:sz w:val="22"/>
          <w:lang w:val="lt-LT"/>
        </w:rPr>
        <w:t>:</w:t>
      </w:r>
    </w:p>
    <w:p w14:paraId="20A45D6C" w14:textId="77777777" w:rsidR="00F34163" w:rsidRPr="00561601" w:rsidRDefault="001428D9" w:rsidP="00404D3A">
      <w:pPr>
        <w:numPr>
          <w:ilvl w:val="0"/>
          <w:numId w:val="18"/>
        </w:numPr>
        <w:tabs>
          <w:tab w:val="clear" w:pos="567"/>
          <w:tab w:val="left" w:pos="426"/>
        </w:tabs>
        <w:spacing w:line="240" w:lineRule="auto"/>
        <w:ind w:left="426"/>
        <w:rPr>
          <w:rFonts w:cs="Arial"/>
          <w:snapToGrid/>
          <w:szCs w:val="22"/>
          <w:lang w:val="lt-LT" w:eastAsia="de-DE"/>
        </w:rPr>
      </w:pPr>
      <w:r w:rsidRPr="00561601">
        <w:rPr>
          <w:rFonts w:cs="Arial"/>
          <w:snapToGrid/>
          <w:szCs w:val="22"/>
          <w:lang w:val="lt-LT" w:eastAsia="de-DE"/>
        </w:rPr>
        <w:t xml:space="preserve">jeigu yra </w:t>
      </w:r>
      <w:r w:rsidRPr="00561601">
        <w:rPr>
          <w:rFonts w:cs="Arial"/>
          <w:b/>
          <w:bCs/>
          <w:snapToGrid/>
          <w:szCs w:val="22"/>
          <w:lang w:val="lt-LT" w:eastAsia="de-DE"/>
        </w:rPr>
        <w:t>alergija</w:t>
      </w:r>
      <w:r w:rsidRPr="00561601">
        <w:rPr>
          <w:rFonts w:cs="Arial"/>
          <w:snapToGrid/>
          <w:szCs w:val="22"/>
          <w:lang w:val="lt-LT" w:eastAsia="de-DE"/>
        </w:rPr>
        <w:t xml:space="preserve"> žmogaus </w:t>
      </w:r>
      <w:proofErr w:type="spellStart"/>
      <w:r w:rsidRPr="00561601">
        <w:rPr>
          <w:rFonts w:cs="Arial"/>
          <w:snapToGrid/>
          <w:szCs w:val="22"/>
          <w:lang w:val="lt-LT" w:eastAsia="de-DE"/>
        </w:rPr>
        <w:t>citomegalo</w:t>
      </w:r>
      <w:proofErr w:type="spellEnd"/>
      <w:r w:rsidRPr="00561601">
        <w:rPr>
          <w:rFonts w:cs="Arial"/>
          <w:snapToGrid/>
          <w:szCs w:val="22"/>
          <w:lang w:val="lt-LT" w:eastAsia="de-DE"/>
        </w:rPr>
        <w:t xml:space="preserve"> viruso imunoglobulinui arba bet kuriai pagalbinei šio vaisto medžiagai (jos išvardytos 6 skyriuje);</w:t>
      </w:r>
    </w:p>
    <w:p w14:paraId="5CA0C6AF" w14:textId="77777777" w:rsidR="001428D9" w:rsidRPr="00561601" w:rsidRDefault="001428D9" w:rsidP="00404D3A">
      <w:pPr>
        <w:numPr>
          <w:ilvl w:val="0"/>
          <w:numId w:val="18"/>
        </w:numPr>
        <w:tabs>
          <w:tab w:val="clear" w:pos="567"/>
          <w:tab w:val="left" w:pos="426"/>
        </w:tabs>
        <w:spacing w:line="240" w:lineRule="auto"/>
        <w:ind w:left="426"/>
        <w:rPr>
          <w:rFonts w:cs="Arial"/>
          <w:snapToGrid/>
          <w:szCs w:val="22"/>
          <w:lang w:val="lt-LT" w:eastAsia="de-DE"/>
        </w:rPr>
      </w:pPr>
      <w:r w:rsidRPr="00561601">
        <w:rPr>
          <w:rFonts w:cs="Arial"/>
          <w:snapToGrid/>
          <w:szCs w:val="22"/>
          <w:lang w:val="lt-LT" w:eastAsia="de-DE"/>
        </w:rPr>
        <w:t>jeigu yra imunoglobulino A (</w:t>
      </w:r>
      <w:proofErr w:type="spellStart"/>
      <w:r w:rsidRPr="00561601">
        <w:rPr>
          <w:rFonts w:cs="Arial"/>
          <w:snapToGrid/>
          <w:szCs w:val="22"/>
          <w:lang w:val="lt-LT" w:eastAsia="de-DE"/>
        </w:rPr>
        <w:t>IgA</w:t>
      </w:r>
      <w:proofErr w:type="spellEnd"/>
      <w:r w:rsidRPr="00561601">
        <w:rPr>
          <w:rFonts w:cs="Arial"/>
          <w:snapToGrid/>
          <w:szCs w:val="22"/>
          <w:lang w:val="lt-LT" w:eastAsia="de-DE"/>
        </w:rPr>
        <w:t xml:space="preserve">) trūkumas, ypač jeigu Jūsų kraujyje yra antikūnų prieš </w:t>
      </w:r>
      <w:proofErr w:type="spellStart"/>
      <w:r w:rsidRPr="00561601">
        <w:rPr>
          <w:rFonts w:cs="Arial"/>
          <w:snapToGrid/>
          <w:szCs w:val="22"/>
          <w:lang w:val="lt-LT" w:eastAsia="de-DE"/>
        </w:rPr>
        <w:t>IgA</w:t>
      </w:r>
      <w:proofErr w:type="spellEnd"/>
      <w:r w:rsidRPr="00561601">
        <w:rPr>
          <w:rFonts w:cs="Arial"/>
          <w:snapToGrid/>
          <w:szCs w:val="22"/>
          <w:lang w:val="lt-LT" w:eastAsia="de-DE"/>
        </w:rPr>
        <w:t xml:space="preserve">, nes tai gali sukelti </w:t>
      </w:r>
      <w:proofErr w:type="spellStart"/>
      <w:r w:rsidRPr="00561601">
        <w:rPr>
          <w:rFonts w:cs="Arial"/>
          <w:snapToGrid/>
          <w:szCs w:val="22"/>
          <w:lang w:val="lt-LT" w:eastAsia="de-DE"/>
        </w:rPr>
        <w:t>anafilaksiją</w:t>
      </w:r>
      <w:proofErr w:type="spellEnd"/>
      <w:r w:rsidRPr="00561601">
        <w:rPr>
          <w:rFonts w:cs="Arial"/>
          <w:snapToGrid/>
          <w:szCs w:val="22"/>
          <w:lang w:val="lt-LT" w:eastAsia="de-DE"/>
        </w:rPr>
        <w:t>.</w:t>
      </w:r>
    </w:p>
    <w:p w14:paraId="6C8FA569" w14:textId="77777777" w:rsidR="00F34163" w:rsidRPr="00561601" w:rsidRDefault="00F34163" w:rsidP="00F34163">
      <w:pPr>
        <w:numPr>
          <w:ilvl w:val="12"/>
          <w:numId w:val="0"/>
        </w:numPr>
        <w:tabs>
          <w:tab w:val="clear" w:pos="567"/>
        </w:tabs>
        <w:spacing w:line="240" w:lineRule="auto"/>
        <w:ind w:right="-2"/>
        <w:rPr>
          <w:szCs w:val="24"/>
          <w:lang w:val="lt-LT"/>
        </w:rPr>
      </w:pPr>
    </w:p>
    <w:p w14:paraId="5DC98F26" w14:textId="77777777"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 xml:space="preserve">Įspėjimai ir atsargumo priemonės </w:t>
      </w:r>
    </w:p>
    <w:p w14:paraId="18859520" w14:textId="3DB509AC" w:rsidR="00F34163" w:rsidRPr="00411E9F" w:rsidRDefault="00F34163" w:rsidP="00F34163">
      <w:pPr>
        <w:numPr>
          <w:ilvl w:val="12"/>
          <w:numId w:val="0"/>
        </w:numPr>
        <w:tabs>
          <w:tab w:val="clear" w:pos="567"/>
        </w:tabs>
        <w:spacing w:line="240" w:lineRule="auto"/>
        <w:ind w:right="-2"/>
        <w:rPr>
          <w:b/>
          <w:szCs w:val="24"/>
          <w:lang w:val="lt-LT"/>
        </w:rPr>
      </w:pPr>
      <w:r w:rsidRPr="00411E9F">
        <w:rPr>
          <w:b/>
          <w:noProof/>
          <w:szCs w:val="24"/>
          <w:lang w:val="lt-LT"/>
        </w:rPr>
        <w:t>Pasitarkite su gydytoju</w:t>
      </w:r>
      <w:r w:rsidR="001428D9" w:rsidRPr="00411E9F">
        <w:rPr>
          <w:b/>
          <w:noProof/>
          <w:szCs w:val="24"/>
          <w:lang w:val="lt-LT"/>
        </w:rPr>
        <w:t>,</w:t>
      </w:r>
      <w:r w:rsidRPr="00411E9F">
        <w:rPr>
          <w:b/>
          <w:noProof/>
          <w:szCs w:val="24"/>
          <w:lang w:val="lt-LT"/>
        </w:rPr>
        <w:t xml:space="preserve"> vaistininku</w:t>
      </w:r>
      <w:r w:rsidR="001428D9" w:rsidRPr="00411E9F">
        <w:rPr>
          <w:b/>
          <w:noProof/>
          <w:szCs w:val="24"/>
          <w:lang w:val="lt-LT"/>
        </w:rPr>
        <w:t xml:space="preserve"> </w:t>
      </w:r>
      <w:r w:rsidRPr="00411E9F">
        <w:rPr>
          <w:b/>
          <w:noProof/>
          <w:szCs w:val="24"/>
          <w:lang w:val="lt-LT"/>
        </w:rPr>
        <w:t xml:space="preserve">arba slaugytoju, prieš pradėdami vartoti </w:t>
      </w:r>
      <w:r w:rsidR="00E47068">
        <w:rPr>
          <w:b/>
          <w:noProof/>
          <w:szCs w:val="24"/>
          <w:lang w:val="lt-LT"/>
        </w:rPr>
        <w:t>Cymvigo</w:t>
      </w:r>
    </w:p>
    <w:p w14:paraId="57B6AAD0" w14:textId="60DC6BF2" w:rsidR="004A59A1" w:rsidRPr="009B6F40" w:rsidRDefault="004A59A1" w:rsidP="004A59A1">
      <w:pPr>
        <w:numPr>
          <w:ilvl w:val="0"/>
          <w:numId w:val="11"/>
        </w:numPr>
        <w:tabs>
          <w:tab w:val="clear" w:pos="567"/>
        </w:tabs>
        <w:overflowPunct w:val="0"/>
        <w:autoSpaceDE w:val="0"/>
        <w:autoSpaceDN w:val="0"/>
        <w:adjustRightInd w:val="0"/>
        <w:spacing w:line="240" w:lineRule="auto"/>
        <w:ind w:left="357" w:hanging="357"/>
        <w:textAlignment w:val="baseline"/>
        <w:rPr>
          <w:bCs/>
          <w:snapToGrid/>
          <w:szCs w:val="22"/>
          <w:lang w:val="lt-LT" w:eastAsia="de-DE"/>
        </w:rPr>
      </w:pPr>
      <w:r w:rsidRPr="009B6F40">
        <w:rPr>
          <w:rFonts w:cs="Arial"/>
          <w:bCs/>
          <w:snapToGrid/>
          <w:szCs w:val="22"/>
          <w:lang w:val="lt-LT" w:eastAsia="de-DE"/>
        </w:rPr>
        <w:t xml:space="preserve">jeigu žmogaus imunoglobulinas skiriamas </w:t>
      </w:r>
      <w:r w:rsidRPr="00EF6F56">
        <w:rPr>
          <w:rFonts w:cs="Arial"/>
          <w:b/>
          <w:snapToGrid/>
          <w:szCs w:val="22"/>
          <w:lang w:val="lt-LT" w:eastAsia="de-DE"/>
        </w:rPr>
        <w:t>pirmą kartą arba po ilgos gydymo pertraukos, arba keičiamas imunoglobulino vaistas</w:t>
      </w:r>
      <w:r w:rsidRPr="009B6F40">
        <w:rPr>
          <w:rFonts w:cs="Arial"/>
          <w:bCs/>
          <w:snapToGrid/>
          <w:szCs w:val="22"/>
          <w:lang w:val="lt-LT" w:eastAsia="de-DE"/>
        </w:rPr>
        <w:t xml:space="preserve">. Tokiais atvejais </w:t>
      </w:r>
      <w:r w:rsidR="00087EF9">
        <w:rPr>
          <w:rFonts w:cs="Arial"/>
          <w:bCs/>
          <w:snapToGrid/>
          <w:szCs w:val="22"/>
          <w:lang w:val="lt-LT" w:eastAsia="de-DE"/>
        </w:rPr>
        <w:t>šalutinės</w:t>
      </w:r>
      <w:r w:rsidR="00087EF9" w:rsidRPr="009B6F40">
        <w:rPr>
          <w:rFonts w:cs="Arial"/>
          <w:bCs/>
          <w:snapToGrid/>
          <w:szCs w:val="22"/>
          <w:lang w:val="lt-LT" w:eastAsia="de-DE"/>
        </w:rPr>
        <w:t xml:space="preserve"> </w:t>
      </w:r>
      <w:r w:rsidRPr="009B6F40">
        <w:rPr>
          <w:rFonts w:cs="Arial"/>
          <w:bCs/>
          <w:snapToGrid/>
          <w:szCs w:val="22"/>
          <w:lang w:val="lt-LT" w:eastAsia="de-DE"/>
        </w:rPr>
        <w:t xml:space="preserve">reakcijos gali pasireikšti dažniau, todėl gydytojas </w:t>
      </w:r>
      <w:r w:rsidR="00F33A26">
        <w:rPr>
          <w:rFonts w:cs="Arial"/>
          <w:bCs/>
          <w:snapToGrid/>
          <w:szCs w:val="22"/>
          <w:lang w:val="lt-LT" w:eastAsia="de-DE"/>
        </w:rPr>
        <w:t>J</w:t>
      </w:r>
      <w:r w:rsidRPr="009B6F40">
        <w:rPr>
          <w:rFonts w:cs="Arial"/>
          <w:bCs/>
          <w:snapToGrid/>
          <w:szCs w:val="22"/>
          <w:lang w:val="lt-LT" w:eastAsia="de-DE"/>
        </w:rPr>
        <w:t>us atidžiai stebės;</w:t>
      </w:r>
    </w:p>
    <w:p w14:paraId="15C3E4A0" w14:textId="032611D0" w:rsidR="004A59A1" w:rsidRPr="009B6F40" w:rsidRDefault="004A59A1" w:rsidP="004A59A1">
      <w:pPr>
        <w:numPr>
          <w:ilvl w:val="0"/>
          <w:numId w:val="11"/>
        </w:numPr>
        <w:tabs>
          <w:tab w:val="clear" w:pos="567"/>
        </w:tabs>
        <w:overflowPunct w:val="0"/>
        <w:autoSpaceDE w:val="0"/>
        <w:autoSpaceDN w:val="0"/>
        <w:adjustRightInd w:val="0"/>
        <w:spacing w:line="240" w:lineRule="auto"/>
        <w:ind w:left="357" w:hanging="357"/>
        <w:textAlignment w:val="baseline"/>
        <w:rPr>
          <w:bCs/>
          <w:snapToGrid/>
          <w:szCs w:val="22"/>
          <w:lang w:val="lt-LT" w:eastAsia="de-DE"/>
        </w:rPr>
      </w:pPr>
      <w:r w:rsidRPr="009B6F40">
        <w:rPr>
          <w:rFonts w:cs="Arial"/>
          <w:bCs/>
          <w:snapToGrid/>
          <w:szCs w:val="22"/>
          <w:lang w:val="lt-LT" w:eastAsia="de-DE"/>
        </w:rPr>
        <w:t xml:space="preserve">jeigu yra </w:t>
      </w:r>
      <w:r w:rsidRPr="00E7565F">
        <w:rPr>
          <w:rFonts w:cs="Arial"/>
          <w:bCs/>
          <w:snapToGrid/>
          <w:szCs w:val="22"/>
          <w:lang w:val="lt-LT" w:eastAsia="de-DE"/>
        </w:rPr>
        <w:t>alergija</w:t>
      </w:r>
      <w:r w:rsidRPr="009B6F40">
        <w:rPr>
          <w:rFonts w:cs="Arial"/>
          <w:bCs/>
          <w:snapToGrid/>
          <w:szCs w:val="22"/>
          <w:lang w:val="lt-LT" w:eastAsia="de-DE"/>
        </w:rPr>
        <w:t xml:space="preserve"> imunoglobulinams (žr. skyrių „</w:t>
      </w:r>
      <w:proofErr w:type="spellStart"/>
      <w:r w:rsidR="00E47068">
        <w:rPr>
          <w:rFonts w:cs="Arial"/>
          <w:bCs/>
          <w:snapToGrid/>
          <w:szCs w:val="22"/>
          <w:lang w:val="lt-LT" w:eastAsia="de-DE"/>
        </w:rPr>
        <w:t>Cymvigo</w:t>
      </w:r>
      <w:proofErr w:type="spellEnd"/>
      <w:r w:rsidRPr="009B6F40">
        <w:rPr>
          <w:rFonts w:cs="Arial"/>
          <w:bCs/>
          <w:snapToGrid/>
          <w:szCs w:val="22"/>
          <w:lang w:val="lt-LT" w:eastAsia="de-DE"/>
        </w:rPr>
        <w:t xml:space="preserve"> vartoti </w:t>
      </w:r>
      <w:r w:rsidR="00C54BE9" w:rsidRPr="009B6F40">
        <w:rPr>
          <w:rFonts w:cs="Arial"/>
          <w:bCs/>
          <w:snapToGrid/>
          <w:szCs w:val="22"/>
          <w:lang w:val="lt-LT" w:eastAsia="de-DE"/>
        </w:rPr>
        <w:t>d</w:t>
      </w:r>
      <w:r w:rsidR="00E942E1">
        <w:rPr>
          <w:rFonts w:cs="Arial"/>
          <w:bCs/>
          <w:snapToGrid/>
          <w:szCs w:val="22"/>
          <w:lang w:val="lt-LT" w:eastAsia="de-DE"/>
        </w:rPr>
        <w:t>ra</w:t>
      </w:r>
      <w:r w:rsidR="00C54BE9" w:rsidRPr="009B6F40">
        <w:rPr>
          <w:rFonts w:cs="Arial"/>
          <w:bCs/>
          <w:snapToGrid/>
          <w:szCs w:val="22"/>
          <w:lang w:val="lt-LT" w:eastAsia="de-DE"/>
        </w:rPr>
        <w:t>udžiama</w:t>
      </w:r>
      <w:r w:rsidRPr="009B6F40">
        <w:rPr>
          <w:rFonts w:cs="Arial"/>
          <w:bCs/>
          <w:snapToGrid/>
          <w:szCs w:val="22"/>
          <w:lang w:val="lt-LT" w:eastAsia="de-DE"/>
        </w:rPr>
        <w:t>“). Jūs galite būti alergiškas imunoglobulinams ir to nežinoti, net jei anksčiau vartojote imunoglobulinų ir juos gerai toleravote. Tačiau padidėjusio jautrumo reakcijos yra retos;</w:t>
      </w:r>
    </w:p>
    <w:p w14:paraId="172699A8" w14:textId="5C1CDE5A" w:rsidR="004A59A1" w:rsidRPr="009B6F40" w:rsidRDefault="004A59A1" w:rsidP="004A59A1">
      <w:pPr>
        <w:numPr>
          <w:ilvl w:val="0"/>
          <w:numId w:val="11"/>
        </w:numPr>
        <w:tabs>
          <w:tab w:val="clear" w:pos="567"/>
        </w:tabs>
        <w:overflowPunct w:val="0"/>
        <w:autoSpaceDE w:val="0"/>
        <w:autoSpaceDN w:val="0"/>
        <w:adjustRightInd w:val="0"/>
        <w:spacing w:line="240" w:lineRule="auto"/>
        <w:ind w:left="357" w:hanging="357"/>
        <w:textAlignment w:val="baseline"/>
        <w:rPr>
          <w:bCs/>
          <w:snapToGrid/>
          <w:szCs w:val="22"/>
          <w:lang w:val="lt-LT" w:eastAsia="de-DE"/>
        </w:rPr>
      </w:pPr>
      <w:r w:rsidRPr="009B6F40">
        <w:rPr>
          <w:rFonts w:cs="Arial"/>
          <w:bCs/>
          <w:snapToGrid/>
          <w:szCs w:val="22"/>
          <w:lang w:val="lt-LT" w:eastAsia="de-DE"/>
        </w:rPr>
        <w:t xml:space="preserve">jeigu </w:t>
      </w:r>
      <w:r w:rsidR="00087EF9">
        <w:rPr>
          <w:rFonts w:cs="Arial"/>
          <w:bCs/>
          <w:snapToGrid/>
          <w:szCs w:val="22"/>
          <w:lang w:val="lt-LT" w:eastAsia="de-DE"/>
        </w:rPr>
        <w:t>yra</w:t>
      </w:r>
      <w:r w:rsidR="00087EF9" w:rsidRPr="009B6F40">
        <w:rPr>
          <w:rFonts w:cs="Arial"/>
          <w:bCs/>
          <w:snapToGrid/>
          <w:szCs w:val="22"/>
          <w:lang w:val="lt-LT" w:eastAsia="de-DE"/>
        </w:rPr>
        <w:t xml:space="preserve"> </w:t>
      </w:r>
      <w:r w:rsidRPr="009B6F40">
        <w:rPr>
          <w:rFonts w:cs="Arial"/>
          <w:bCs/>
          <w:snapToGrid/>
          <w:szCs w:val="22"/>
          <w:lang w:val="lt-LT" w:eastAsia="de-DE"/>
        </w:rPr>
        <w:t>ne</w:t>
      </w:r>
      <w:r w:rsidR="00087EF9">
        <w:rPr>
          <w:rFonts w:cs="Arial"/>
          <w:bCs/>
          <w:snapToGrid/>
          <w:szCs w:val="22"/>
          <w:lang w:val="lt-LT" w:eastAsia="de-DE"/>
        </w:rPr>
        <w:t>iš</w:t>
      </w:r>
      <w:r w:rsidRPr="009B6F40">
        <w:rPr>
          <w:rFonts w:cs="Arial"/>
          <w:bCs/>
          <w:snapToGrid/>
          <w:szCs w:val="22"/>
          <w:lang w:val="lt-LT" w:eastAsia="de-DE"/>
        </w:rPr>
        <w:t>gyd</w:t>
      </w:r>
      <w:r w:rsidR="00087EF9">
        <w:rPr>
          <w:rFonts w:cs="Arial"/>
          <w:bCs/>
          <w:snapToGrid/>
          <w:szCs w:val="22"/>
          <w:lang w:val="lt-LT" w:eastAsia="de-DE"/>
        </w:rPr>
        <w:t>yta</w:t>
      </w:r>
      <w:r w:rsidRPr="009B6F40">
        <w:rPr>
          <w:rFonts w:cs="Arial"/>
          <w:bCs/>
          <w:snapToGrid/>
          <w:szCs w:val="22"/>
          <w:lang w:val="lt-LT" w:eastAsia="de-DE"/>
        </w:rPr>
        <w:t xml:space="preserve"> infekcija arba yra ilgalaikis (lėtinis) uždegimas;</w:t>
      </w:r>
    </w:p>
    <w:p w14:paraId="3EE1791B" w14:textId="77777777" w:rsidR="004A59A1" w:rsidRPr="005832AB" w:rsidRDefault="004A59A1" w:rsidP="004A59A1">
      <w:pPr>
        <w:numPr>
          <w:ilvl w:val="0"/>
          <w:numId w:val="11"/>
        </w:numPr>
        <w:tabs>
          <w:tab w:val="clear" w:pos="567"/>
        </w:tabs>
        <w:overflowPunct w:val="0"/>
        <w:autoSpaceDE w:val="0"/>
        <w:autoSpaceDN w:val="0"/>
        <w:adjustRightInd w:val="0"/>
        <w:spacing w:line="240" w:lineRule="auto"/>
        <w:ind w:left="357" w:hanging="357"/>
        <w:textAlignment w:val="baseline"/>
        <w:rPr>
          <w:bCs/>
          <w:snapToGrid/>
          <w:szCs w:val="22"/>
          <w:lang w:val="lt-LT" w:eastAsia="de-DE"/>
        </w:rPr>
      </w:pPr>
      <w:r w:rsidRPr="009B6F40">
        <w:rPr>
          <w:rFonts w:cs="Arial"/>
          <w:bCs/>
          <w:snapToGrid/>
          <w:szCs w:val="22"/>
          <w:lang w:val="lt-LT" w:eastAsia="de-DE"/>
        </w:rPr>
        <w:t>jeigu:</w:t>
      </w:r>
    </w:p>
    <w:p w14:paraId="6AEFC7B0" w14:textId="1CC78997" w:rsidR="004A59A1" w:rsidRPr="009B6F40" w:rsidRDefault="00087EF9" w:rsidP="004A59A1">
      <w:pPr>
        <w:numPr>
          <w:ilvl w:val="1"/>
          <w:numId w:val="12"/>
        </w:numPr>
        <w:tabs>
          <w:tab w:val="clear" w:pos="567"/>
        </w:tabs>
        <w:overflowPunct w:val="0"/>
        <w:autoSpaceDE w:val="0"/>
        <w:autoSpaceDN w:val="0"/>
        <w:adjustRightInd w:val="0"/>
        <w:spacing w:line="240" w:lineRule="auto"/>
        <w:ind w:left="709" w:hanging="352"/>
        <w:textAlignment w:val="baseline"/>
        <w:rPr>
          <w:bCs/>
          <w:snapToGrid/>
          <w:szCs w:val="22"/>
          <w:lang w:val="lt-LT" w:eastAsia="de-DE"/>
        </w:rPr>
      </w:pPr>
      <w:r>
        <w:rPr>
          <w:rFonts w:cs="Arial"/>
          <w:bCs/>
          <w:snapToGrid/>
          <w:szCs w:val="22"/>
          <w:lang w:val="lt-LT" w:eastAsia="de-DE"/>
        </w:rPr>
        <w:t>yra</w:t>
      </w:r>
      <w:r w:rsidRPr="005832AB">
        <w:rPr>
          <w:rFonts w:cs="Arial"/>
          <w:bCs/>
          <w:snapToGrid/>
          <w:szCs w:val="22"/>
          <w:lang w:val="lt-LT" w:eastAsia="de-DE"/>
        </w:rPr>
        <w:t xml:space="preserve"> </w:t>
      </w:r>
      <w:r w:rsidR="004A59A1" w:rsidRPr="00EF6F56">
        <w:rPr>
          <w:rFonts w:cs="Arial"/>
          <w:b/>
          <w:snapToGrid/>
          <w:szCs w:val="22"/>
          <w:lang w:val="lt-LT" w:eastAsia="de-DE"/>
        </w:rPr>
        <w:t xml:space="preserve">labai </w:t>
      </w:r>
      <w:r w:rsidRPr="00EF6F56">
        <w:rPr>
          <w:rFonts w:cs="Arial"/>
          <w:b/>
          <w:snapToGrid/>
          <w:szCs w:val="22"/>
          <w:lang w:val="lt-LT" w:eastAsia="de-DE"/>
        </w:rPr>
        <w:t>didelis antsvoris</w:t>
      </w:r>
      <w:r w:rsidRPr="005832AB">
        <w:rPr>
          <w:rFonts w:cs="Arial"/>
          <w:bCs/>
          <w:snapToGrid/>
          <w:szCs w:val="22"/>
          <w:lang w:val="lt-LT" w:eastAsia="de-DE"/>
        </w:rPr>
        <w:t xml:space="preserve"> </w:t>
      </w:r>
      <w:r w:rsidR="004A59A1" w:rsidRPr="005832AB">
        <w:rPr>
          <w:rFonts w:cs="Arial"/>
          <w:bCs/>
          <w:snapToGrid/>
          <w:szCs w:val="22"/>
          <w:lang w:val="lt-LT" w:eastAsia="de-DE"/>
        </w:rPr>
        <w:t>arba</w:t>
      </w:r>
      <w:r w:rsidR="004A59A1" w:rsidRPr="009B6F40">
        <w:rPr>
          <w:rFonts w:cs="Arial"/>
          <w:bCs/>
          <w:snapToGrid/>
          <w:szCs w:val="22"/>
          <w:lang w:val="lt-LT" w:eastAsia="de-DE"/>
        </w:rPr>
        <w:t xml:space="preserve"> esate </w:t>
      </w:r>
      <w:r w:rsidR="004A59A1" w:rsidRPr="00EF6F56">
        <w:rPr>
          <w:rFonts w:cs="Arial"/>
          <w:b/>
          <w:snapToGrid/>
          <w:szCs w:val="22"/>
          <w:lang w:val="lt-LT" w:eastAsia="de-DE"/>
        </w:rPr>
        <w:t>senyv</w:t>
      </w:r>
      <w:r w:rsidRPr="00EF6F56">
        <w:rPr>
          <w:rFonts w:cs="Arial"/>
          <w:b/>
          <w:snapToGrid/>
          <w:szCs w:val="22"/>
          <w:lang w:val="lt-LT" w:eastAsia="de-DE"/>
        </w:rPr>
        <w:t>as</w:t>
      </w:r>
      <w:r w:rsidR="004A59A1" w:rsidRPr="009B6F40">
        <w:rPr>
          <w:rFonts w:cs="Arial"/>
          <w:bCs/>
          <w:snapToGrid/>
          <w:szCs w:val="22"/>
          <w:lang w:val="lt-LT" w:eastAsia="de-DE"/>
        </w:rPr>
        <w:t>;</w:t>
      </w:r>
    </w:p>
    <w:p w14:paraId="0BCCA4B3" w14:textId="77777777" w:rsidR="004A59A1" w:rsidRPr="009B6F40" w:rsidRDefault="004A59A1" w:rsidP="004A59A1">
      <w:pPr>
        <w:numPr>
          <w:ilvl w:val="1"/>
          <w:numId w:val="12"/>
        </w:numPr>
        <w:tabs>
          <w:tab w:val="clear" w:pos="567"/>
        </w:tabs>
        <w:overflowPunct w:val="0"/>
        <w:autoSpaceDE w:val="0"/>
        <w:autoSpaceDN w:val="0"/>
        <w:adjustRightInd w:val="0"/>
        <w:spacing w:line="240" w:lineRule="auto"/>
        <w:ind w:left="709" w:hanging="352"/>
        <w:textAlignment w:val="baseline"/>
        <w:rPr>
          <w:bCs/>
          <w:snapToGrid/>
          <w:szCs w:val="22"/>
          <w:lang w:val="lt-LT" w:eastAsia="de-DE"/>
        </w:rPr>
      </w:pPr>
      <w:r w:rsidRPr="009B6F40">
        <w:rPr>
          <w:rFonts w:cs="Arial"/>
          <w:bCs/>
          <w:snapToGrid/>
          <w:szCs w:val="22"/>
          <w:lang w:val="lt-LT" w:eastAsia="de-DE"/>
        </w:rPr>
        <w:t xml:space="preserve">yra </w:t>
      </w:r>
      <w:r w:rsidRPr="00EF6F56">
        <w:rPr>
          <w:rFonts w:cs="Arial"/>
          <w:b/>
          <w:snapToGrid/>
          <w:szCs w:val="22"/>
          <w:lang w:val="lt-LT" w:eastAsia="de-DE"/>
        </w:rPr>
        <w:t>aukštas kraujospūdis (hipertenzija)</w:t>
      </w:r>
      <w:r w:rsidRPr="009B6F40">
        <w:rPr>
          <w:rFonts w:cs="Arial"/>
          <w:bCs/>
          <w:snapToGrid/>
          <w:szCs w:val="22"/>
          <w:lang w:val="lt-LT" w:eastAsia="de-DE"/>
        </w:rPr>
        <w:t xml:space="preserve">, sergate </w:t>
      </w:r>
      <w:r w:rsidRPr="00EF6F56">
        <w:rPr>
          <w:rFonts w:cs="Arial"/>
          <w:b/>
          <w:snapToGrid/>
          <w:szCs w:val="22"/>
          <w:lang w:val="lt-LT" w:eastAsia="de-DE"/>
        </w:rPr>
        <w:t xml:space="preserve">diabetu </w:t>
      </w:r>
      <w:r w:rsidRPr="009B6F40">
        <w:rPr>
          <w:rFonts w:cs="Arial"/>
          <w:bCs/>
          <w:snapToGrid/>
          <w:szCs w:val="22"/>
          <w:lang w:val="lt-LT" w:eastAsia="de-DE"/>
        </w:rPr>
        <w:t xml:space="preserve">arba </w:t>
      </w:r>
      <w:r w:rsidRPr="00EF6F56">
        <w:rPr>
          <w:rFonts w:cs="Arial"/>
          <w:b/>
          <w:snapToGrid/>
          <w:szCs w:val="22"/>
          <w:lang w:val="lt-LT" w:eastAsia="de-DE"/>
        </w:rPr>
        <w:t>kraujagyslių liga</w:t>
      </w:r>
      <w:r w:rsidRPr="009B6F40">
        <w:rPr>
          <w:rFonts w:cs="Arial"/>
          <w:bCs/>
          <w:snapToGrid/>
          <w:szCs w:val="22"/>
          <w:lang w:val="lt-LT" w:eastAsia="de-DE"/>
        </w:rPr>
        <w:t>;</w:t>
      </w:r>
    </w:p>
    <w:p w14:paraId="44D720F2" w14:textId="77777777" w:rsidR="004A59A1" w:rsidRPr="009B6F40" w:rsidRDefault="004A59A1" w:rsidP="004A59A1">
      <w:pPr>
        <w:numPr>
          <w:ilvl w:val="1"/>
          <w:numId w:val="12"/>
        </w:numPr>
        <w:tabs>
          <w:tab w:val="clear" w:pos="567"/>
        </w:tabs>
        <w:overflowPunct w:val="0"/>
        <w:autoSpaceDE w:val="0"/>
        <w:autoSpaceDN w:val="0"/>
        <w:adjustRightInd w:val="0"/>
        <w:spacing w:line="240" w:lineRule="auto"/>
        <w:ind w:left="709" w:hanging="352"/>
        <w:textAlignment w:val="baseline"/>
        <w:rPr>
          <w:bCs/>
          <w:snapToGrid/>
          <w:szCs w:val="22"/>
          <w:lang w:val="lt-LT" w:eastAsia="de-DE"/>
        </w:rPr>
      </w:pPr>
      <w:r w:rsidRPr="009B6F40">
        <w:rPr>
          <w:rFonts w:cs="Arial"/>
          <w:bCs/>
          <w:snapToGrid/>
          <w:szCs w:val="22"/>
          <w:lang w:val="lt-LT" w:eastAsia="de-DE"/>
        </w:rPr>
        <w:t xml:space="preserve">yra </w:t>
      </w:r>
      <w:r w:rsidRPr="00E7565F">
        <w:rPr>
          <w:rFonts w:cs="Arial"/>
          <w:bCs/>
          <w:snapToGrid/>
          <w:szCs w:val="22"/>
          <w:lang w:val="lt-LT" w:eastAsia="de-DE"/>
        </w:rPr>
        <w:t xml:space="preserve">padidėjęs </w:t>
      </w:r>
      <w:r w:rsidRPr="00EF6F56">
        <w:rPr>
          <w:rFonts w:cs="Arial"/>
          <w:b/>
          <w:snapToGrid/>
          <w:szCs w:val="22"/>
          <w:lang w:val="lt-LT" w:eastAsia="de-DE"/>
        </w:rPr>
        <w:t>polinkis į kraujo krešėjimą</w:t>
      </w:r>
      <w:r w:rsidRPr="009B6F40">
        <w:rPr>
          <w:rFonts w:cs="Arial"/>
          <w:bCs/>
          <w:snapToGrid/>
          <w:szCs w:val="22"/>
          <w:lang w:val="lt-LT" w:eastAsia="de-DE"/>
        </w:rPr>
        <w:t>;</w:t>
      </w:r>
    </w:p>
    <w:p w14:paraId="0C17CD6B" w14:textId="2DF638BA" w:rsidR="004A59A1" w:rsidRPr="009B6F40" w:rsidRDefault="004A59A1" w:rsidP="004A59A1">
      <w:pPr>
        <w:numPr>
          <w:ilvl w:val="1"/>
          <w:numId w:val="12"/>
        </w:numPr>
        <w:tabs>
          <w:tab w:val="clear" w:pos="567"/>
        </w:tabs>
        <w:overflowPunct w:val="0"/>
        <w:autoSpaceDE w:val="0"/>
        <w:autoSpaceDN w:val="0"/>
        <w:adjustRightInd w:val="0"/>
        <w:spacing w:line="240" w:lineRule="auto"/>
        <w:ind w:left="709" w:hanging="352"/>
        <w:textAlignment w:val="baseline"/>
        <w:rPr>
          <w:bCs/>
          <w:snapToGrid/>
          <w:szCs w:val="22"/>
          <w:lang w:val="lt-LT" w:eastAsia="de-DE"/>
        </w:rPr>
      </w:pPr>
      <w:r w:rsidRPr="009B6F40">
        <w:rPr>
          <w:rFonts w:cs="Arial"/>
          <w:bCs/>
          <w:snapToGrid/>
          <w:szCs w:val="22"/>
          <w:lang w:val="lt-LT" w:eastAsia="de-DE"/>
        </w:rPr>
        <w:t xml:space="preserve">ilgą laiką </w:t>
      </w:r>
      <w:r w:rsidR="00087EF9" w:rsidRPr="009B6F40">
        <w:rPr>
          <w:rFonts w:cs="Arial"/>
          <w:bCs/>
          <w:snapToGrid/>
          <w:szCs w:val="22"/>
          <w:lang w:val="lt-LT" w:eastAsia="de-DE"/>
        </w:rPr>
        <w:t>tur</w:t>
      </w:r>
      <w:r w:rsidR="00087EF9">
        <w:rPr>
          <w:rFonts w:cs="Arial"/>
          <w:bCs/>
          <w:snapToGrid/>
          <w:szCs w:val="22"/>
          <w:lang w:val="lt-LT" w:eastAsia="de-DE"/>
        </w:rPr>
        <w:t>ite</w:t>
      </w:r>
      <w:r w:rsidR="00087EF9" w:rsidRPr="009B6F40">
        <w:rPr>
          <w:rFonts w:cs="Arial"/>
          <w:bCs/>
          <w:snapToGrid/>
          <w:szCs w:val="22"/>
          <w:lang w:val="lt-LT" w:eastAsia="de-DE"/>
        </w:rPr>
        <w:t xml:space="preserve"> </w:t>
      </w:r>
      <w:r w:rsidRPr="00EF6F56">
        <w:rPr>
          <w:rFonts w:cs="Arial"/>
          <w:b/>
          <w:snapToGrid/>
          <w:szCs w:val="22"/>
          <w:lang w:val="lt-LT" w:eastAsia="de-DE"/>
        </w:rPr>
        <w:t>gulėti lovoje</w:t>
      </w:r>
      <w:r w:rsidRPr="009B6F40">
        <w:rPr>
          <w:rFonts w:cs="Arial"/>
          <w:bCs/>
          <w:snapToGrid/>
          <w:szCs w:val="22"/>
          <w:lang w:val="lt-LT" w:eastAsia="de-DE"/>
        </w:rPr>
        <w:t>;</w:t>
      </w:r>
    </w:p>
    <w:p w14:paraId="08302BC2" w14:textId="77777777" w:rsidR="004A59A1" w:rsidRPr="009B6F40" w:rsidRDefault="004A59A1" w:rsidP="004A59A1">
      <w:pPr>
        <w:numPr>
          <w:ilvl w:val="1"/>
          <w:numId w:val="12"/>
        </w:numPr>
        <w:tabs>
          <w:tab w:val="clear" w:pos="567"/>
        </w:tabs>
        <w:overflowPunct w:val="0"/>
        <w:autoSpaceDE w:val="0"/>
        <w:autoSpaceDN w:val="0"/>
        <w:adjustRightInd w:val="0"/>
        <w:spacing w:line="240" w:lineRule="auto"/>
        <w:ind w:left="709" w:hanging="352"/>
        <w:textAlignment w:val="baseline"/>
        <w:rPr>
          <w:bCs/>
          <w:snapToGrid/>
          <w:szCs w:val="22"/>
          <w:lang w:val="lt-LT" w:eastAsia="de-DE"/>
        </w:rPr>
      </w:pPr>
      <w:r w:rsidRPr="009B6F40">
        <w:rPr>
          <w:rFonts w:cs="Arial"/>
          <w:bCs/>
          <w:snapToGrid/>
          <w:szCs w:val="22"/>
          <w:lang w:val="lt-LT" w:eastAsia="de-DE"/>
        </w:rPr>
        <w:t xml:space="preserve">yra </w:t>
      </w:r>
      <w:r w:rsidRPr="00E7565F">
        <w:rPr>
          <w:rFonts w:cs="Arial"/>
          <w:bCs/>
          <w:snapToGrid/>
          <w:szCs w:val="22"/>
          <w:lang w:val="lt-LT" w:eastAsia="de-DE"/>
        </w:rPr>
        <w:t xml:space="preserve">sumažėjęs </w:t>
      </w:r>
      <w:r w:rsidRPr="00EF6F56">
        <w:rPr>
          <w:rFonts w:cs="Arial"/>
          <w:b/>
          <w:snapToGrid/>
          <w:szCs w:val="22"/>
          <w:lang w:val="lt-LT" w:eastAsia="de-DE"/>
        </w:rPr>
        <w:t xml:space="preserve">bendras kraujo </w:t>
      </w:r>
      <w:r w:rsidR="00C64E44" w:rsidRPr="00EF6F56">
        <w:rPr>
          <w:rFonts w:cs="Arial"/>
          <w:b/>
          <w:snapToGrid/>
          <w:szCs w:val="22"/>
          <w:lang w:val="lt-LT" w:eastAsia="de-DE"/>
        </w:rPr>
        <w:t>tūris</w:t>
      </w:r>
      <w:r w:rsidR="00C64E44" w:rsidRPr="009B6F40">
        <w:rPr>
          <w:rFonts w:cs="Arial"/>
          <w:bCs/>
          <w:snapToGrid/>
          <w:szCs w:val="22"/>
          <w:lang w:val="lt-LT" w:eastAsia="de-DE"/>
        </w:rPr>
        <w:t xml:space="preserve"> </w:t>
      </w:r>
      <w:r w:rsidRPr="009B6F40">
        <w:rPr>
          <w:rFonts w:cs="Arial"/>
          <w:bCs/>
          <w:snapToGrid/>
          <w:szCs w:val="22"/>
          <w:lang w:val="lt-LT" w:eastAsia="de-DE"/>
        </w:rPr>
        <w:t>(</w:t>
      </w:r>
      <w:proofErr w:type="spellStart"/>
      <w:r w:rsidRPr="009B6F40">
        <w:rPr>
          <w:rFonts w:cs="Arial"/>
          <w:bCs/>
          <w:snapToGrid/>
          <w:szCs w:val="22"/>
          <w:lang w:val="lt-LT" w:eastAsia="de-DE"/>
        </w:rPr>
        <w:t>hipovolemija</w:t>
      </w:r>
      <w:proofErr w:type="spellEnd"/>
      <w:r w:rsidRPr="009B6F40">
        <w:rPr>
          <w:rFonts w:cs="Arial"/>
          <w:bCs/>
          <w:snapToGrid/>
          <w:szCs w:val="22"/>
          <w:lang w:val="lt-LT" w:eastAsia="de-DE"/>
        </w:rPr>
        <w:t xml:space="preserve">) arba </w:t>
      </w:r>
      <w:r w:rsidRPr="00EF6F56">
        <w:rPr>
          <w:rFonts w:cs="Arial"/>
          <w:b/>
          <w:snapToGrid/>
          <w:szCs w:val="22"/>
          <w:lang w:val="lt-LT" w:eastAsia="de-DE"/>
        </w:rPr>
        <w:t>kraujas yra tirštesnis nei įprasta</w:t>
      </w:r>
      <w:r w:rsidRPr="009B6F40">
        <w:rPr>
          <w:rFonts w:cs="Arial"/>
          <w:bCs/>
          <w:snapToGrid/>
          <w:szCs w:val="22"/>
          <w:lang w:val="lt-LT" w:eastAsia="de-DE"/>
        </w:rPr>
        <w:t>;</w:t>
      </w:r>
    </w:p>
    <w:p w14:paraId="3B0B798F" w14:textId="296C81CD" w:rsidR="004A59A1" w:rsidRPr="009B6F40" w:rsidRDefault="004A59A1" w:rsidP="004A59A1">
      <w:pPr>
        <w:numPr>
          <w:ilvl w:val="1"/>
          <w:numId w:val="12"/>
        </w:numPr>
        <w:tabs>
          <w:tab w:val="clear" w:pos="567"/>
        </w:tabs>
        <w:overflowPunct w:val="0"/>
        <w:autoSpaceDE w:val="0"/>
        <w:autoSpaceDN w:val="0"/>
        <w:adjustRightInd w:val="0"/>
        <w:spacing w:line="240" w:lineRule="auto"/>
        <w:ind w:left="709" w:hanging="352"/>
        <w:textAlignment w:val="baseline"/>
        <w:rPr>
          <w:bCs/>
          <w:snapToGrid/>
          <w:szCs w:val="22"/>
          <w:lang w:val="lt-LT" w:eastAsia="de-DE"/>
        </w:rPr>
      </w:pPr>
      <w:r w:rsidRPr="009B6F40">
        <w:rPr>
          <w:rFonts w:cs="Arial"/>
          <w:bCs/>
          <w:snapToGrid/>
          <w:szCs w:val="22"/>
          <w:lang w:val="lt-LT" w:eastAsia="de-DE"/>
        </w:rPr>
        <w:t xml:space="preserve">jau sergate </w:t>
      </w:r>
      <w:r w:rsidRPr="00EF6F56">
        <w:rPr>
          <w:rFonts w:cs="Arial"/>
          <w:b/>
          <w:snapToGrid/>
          <w:szCs w:val="22"/>
          <w:lang w:val="lt-LT" w:eastAsia="de-DE"/>
        </w:rPr>
        <w:t>inkstų liga</w:t>
      </w:r>
      <w:r w:rsidRPr="009B6F40">
        <w:rPr>
          <w:rFonts w:cs="Arial"/>
          <w:bCs/>
          <w:snapToGrid/>
          <w:szCs w:val="22"/>
          <w:lang w:val="lt-LT" w:eastAsia="de-DE"/>
        </w:rPr>
        <w:t xml:space="preserve"> arba </w:t>
      </w:r>
      <w:r w:rsidRPr="00E7565F">
        <w:rPr>
          <w:rFonts w:cs="Arial"/>
          <w:bCs/>
          <w:snapToGrid/>
          <w:szCs w:val="22"/>
          <w:lang w:val="lt-LT" w:eastAsia="de-DE"/>
        </w:rPr>
        <w:t xml:space="preserve">vartojate </w:t>
      </w:r>
      <w:r w:rsidR="00087EF9" w:rsidRPr="00EF6F56">
        <w:rPr>
          <w:rFonts w:cs="Arial"/>
          <w:b/>
          <w:snapToGrid/>
          <w:szCs w:val="22"/>
          <w:lang w:val="lt-LT" w:eastAsia="de-DE"/>
        </w:rPr>
        <w:t>vaistų</w:t>
      </w:r>
      <w:r w:rsidRPr="00EF6F56">
        <w:rPr>
          <w:rFonts w:cs="Arial"/>
          <w:b/>
          <w:snapToGrid/>
          <w:szCs w:val="22"/>
          <w:lang w:val="lt-LT" w:eastAsia="de-DE"/>
        </w:rPr>
        <w:t xml:space="preserve">, kurie gali pakenkti </w:t>
      </w:r>
      <w:r w:rsidR="00087EF9" w:rsidRPr="00EF6F56">
        <w:rPr>
          <w:rFonts w:cs="Arial"/>
          <w:b/>
          <w:snapToGrid/>
          <w:szCs w:val="22"/>
          <w:lang w:val="lt-LT" w:eastAsia="de-DE"/>
        </w:rPr>
        <w:t xml:space="preserve">Jūsų </w:t>
      </w:r>
      <w:r w:rsidRPr="00EF6F56">
        <w:rPr>
          <w:rFonts w:cs="Arial"/>
          <w:b/>
          <w:snapToGrid/>
          <w:szCs w:val="22"/>
          <w:lang w:val="lt-LT" w:eastAsia="de-DE"/>
        </w:rPr>
        <w:t>inkstams</w:t>
      </w:r>
      <w:r w:rsidRPr="009B6F40">
        <w:rPr>
          <w:rFonts w:cs="Arial"/>
          <w:bCs/>
          <w:snapToGrid/>
          <w:szCs w:val="22"/>
          <w:lang w:val="lt-LT" w:eastAsia="de-DE"/>
        </w:rPr>
        <w:t>.</w:t>
      </w:r>
    </w:p>
    <w:p w14:paraId="424332BF" w14:textId="70F1567E" w:rsidR="004A59A1" w:rsidRPr="009B6F40" w:rsidRDefault="004A59A1" w:rsidP="004A59A1">
      <w:pPr>
        <w:tabs>
          <w:tab w:val="clear" w:pos="567"/>
        </w:tabs>
        <w:overflowPunct w:val="0"/>
        <w:autoSpaceDE w:val="0"/>
        <w:autoSpaceDN w:val="0"/>
        <w:adjustRightInd w:val="0"/>
        <w:spacing w:line="240" w:lineRule="auto"/>
        <w:ind w:left="357"/>
        <w:textAlignment w:val="baseline"/>
        <w:rPr>
          <w:bCs/>
          <w:snapToGrid/>
          <w:szCs w:val="22"/>
          <w:lang w:val="lt-LT" w:eastAsia="de-DE"/>
        </w:rPr>
      </w:pPr>
      <w:r w:rsidRPr="009B6F40">
        <w:rPr>
          <w:rFonts w:cs="Arial"/>
          <w:bCs/>
          <w:snapToGrid/>
          <w:szCs w:val="22"/>
          <w:lang w:val="lt-LT" w:eastAsia="de-DE"/>
        </w:rPr>
        <w:t xml:space="preserve">Tokiais atvejais padidėja šalutinio poveikio rizika. Gydytojas gali nutraukti gydymą </w:t>
      </w:r>
      <w:proofErr w:type="spellStart"/>
      <w:r w:rsidR="00E47068">
        <w:rPr>
          <w:rFonts w:cs="Arial"/>
          <w:bCs/>
          <w:snapToGrid/>
          <w:szCs w:val="22"/>
          <w:lang w:val="lt-LT" w:eastAsia="de-DE"/>
        </w:rPr>
        <w:t>Cymvigo</w:t>
      </w:r>
      <w:proofErr w:type="spellEnd"/>
      <w:r w:rsidRPr="009B6F40">
        <w:rPr>
          <w:rFonts w:cs="Arial"/>
          <w:bCs/>
          <w:snapToGrid/>
          <w:szCs w:val="22"/>
          <w:lang w:val="lt-LT" w:eastAsia="de-DE"/>
        </w:rPr>
        <w:t xml:space="preserve"> arba imtis kitų atsargumo priemonių (pvz., skirti </w:t>
      </w:r>
      <w:r w:rsidR="00041E90">
        <w:rPr>
          <w:rFonts w:cs="Arial"/>
          <w:bCs/>
          <w:snapToGrid/>
          <w:szCs w:val="22"/>
          <w:lang w:val="lt-LT" w:eastAsia="de-DE"/>
        </w:rPr>
        <w:t xml:space="preserve">infuziją </w:t>
      </w:r>
      <w:r w:rsidRPr="009B6F40">
        <w:rPr>
          <w:rFonts w:cs="Arial"/>
          <w:bCs/>
          <w:snapToGrid/>
          <w:szCs w:val="22"/>
          <w:lang w:val="lt-LT" w:eastAsia="de-DE"/>
        </w:rPr>
        <w:t xml:space="preserve">itin </w:t>
      </w:r>
      <w:r w:rsidR="00041E90" w:rsidRPr="009B6F40">
        <w:rPr>
          <w:rFonts w:cs="Arial"/>
          <w:bCs/>
          <w:snapToGrid/>
          <w:szCs w:val="22"/>
          <w:lang w:val="lt-LT" w:eastAsia="de-DE"/>
        </w:rPr>
        <w:t>lėt</w:t>
      </w:r>
      <w:r w:rsidR="00041E90">
        <w:rPr>
          <w:rFonts w:cs="Arial"/>
          <w:bCs/>
          <w:snapToGrid/>
          <w:szCs w:val="22"/>
          <w:lang w:val="lt-LT" w:eastAsia="de-DE"/>
        </w:rPr>
        <w:t>u</w:t>
      </w:r>
      <w:r w:rsidR="00041E90" w:rsidRPr="009B6F40">
        <w:rPr>
          <w:rFonts w:cs="Arial"/>
          <w:bCs/>
          <w:snapToGrid/>
          <w:szCs w:val="22"/>
          <w:lang w:val="lt-LT" w:eastAsia="de-DE"/>
        </w:rPr>
        <w:t xml:space="preserve"> </w:t>
      </w:r>
      <w:r w:rsidRPr="009B6F40">
        <w:rPr>
          <w:rFonts w:cs="Arial"/>
          <w:bCs/>
          <w:snapToGrid/>
          <w:szCs w:val="22"/>
          <w:lang w:val="lt-LT" w:eastAsia="de-DE"/>
        </w:rPr>
        <w:t>greiči</w:t>
      </w:r>
      <w:r w:rsidR="00041E90">
        <w:rPr>
          <w:rFonts w:cs="Arial"/>
          <w:bCs/>
          <w:snapToGrid/>
          <w:szCs w:val="22"/>
          <w:lang w:val="lt-LT" w:eastAsia="de-DE"/>
        </w:rPr>
        <w:t>u</w:t>
      </w:r>
      <w:r w:rsidRPr="009B6F40">
        <w:rPr>
          <w:rFonts w:cs="Arial"/>
          <w:bCs/>
          <w:snapToGrid/>
          <w:szCs w:val="22"/>
          <w:lang w:val="lt-LT" w:eastAsia="de-DE"/>
        </w:rPr>
        <w:t>).</w:t>
      </w:r>
    </w:p>
    <w:p w14:paraId="26FEB463" w14:textId="77777777" w:rsidR="004A59A1" w:rsidRPr="00561601" w:rsidRDefault="004A59A1" w:rsidP="004A59A1">
      <w:pPr>
        <w:tabs>
          <w:tab w:val="clear" w:pos="567"/>
        </w:tabs>
        <w:overflowPunct w:val="0"/>
        <w:autoSpaceDE w:val="0"/>
        <w:autoSpaceDN w:val="0"/>
        <w:adjustRightInd w:val="0"/>
        <w:spacing w:line="240" w:lineRule="auto"/>
        <w:textAlignment w:val="baseline"/>
        <w:rPr>
          <w:b/>
          <w:bCs/>
          <w:snapToGrid/>
          <w:szCs w:val="22"/>
          <w:lang w:val="lt-LT" w:eastAsia="de-DE"/>
        </w:rPr>
      </w:pPr>
    </w:p>
    <w:p w14:paraId="145AFC21" w14:textId="77777777" w:rsidR="004A59A1" w:rsidRPr="00561601" w:rsidRDefault="004A59A1" w:rsidP="004A59A1">
      <w:pPr>
        <w:keepNext/>
        <w:tabs>
          <w:tab w:val="clear" w:pos="567"/>
        </w:tabs>
        <w:overflowPunct w:val="0"/>
        <w:autoSpaceDE w:val="0"/>
        <w:autoSpaceDN w:val="0"/>
        <w:adjustRightInd w:val="0"/>
        <w:spacing w:line="240" w:lineRule="auto"/>
        <w:textAlignment w:val="baseline"/>
        <w:outlineLvl w:val="2"/>
        <w:rPr>
          <w:snapToGrid/>
          <w:szCs w:val="22"/>
          <w:u w:val="single"/>
          <w:lang w:val="lt-LT" w:eastAsia="de-DE"/>
        </w:rPr>
      </w:pPr>
      <w:r w:rsidRPr="00561601">
        <w:rPr>
          <w:snapToGrid/>
          <w:szCs w:val="22"/>
          <w:u w:val="single"/>
          <w:lang w:val="lt-LT" w:eastAsia="de-DE"/>
        </w:rPr>
        <w:t>Reakcijos į infuziją</w:t>
      </w:r>
    </w:p>
    <w:p w14:paraId="01874061" w14:textId="33198329" w:rsidR="004A59A1" w:rsidRPr="00561601" w:rsidRDefault="004A59A1" w:rsidP="004A59A1">
      <w:pPr>
        <w:tabs>
          <w:tab w:val="clear" w:pos="567"/>
        </w:tabs>
        <w:overflowPunct w:val="0"/>
        <w:autoSpaceDE w:val="0"/>
        <w:autoSpaceDN w:val="0"/>
        <w:adjustRightInd w:val="0"/>
        <w:spacing w:line="240" w:lineRule="auto"/>
        <w:textAlignment w:val="baseline"/>
        <w:rPr>
          <w:bCs/>
          <w:snapToGrid/>
          <w:szCs w:val="22"/>
          <w:lang w:val="lt-LT" w:eastAsia="de-DE"/>
        </w:rPr>
      </w:pPr>
      <w:r w:rsidRPr="00561601">
        <w:rPr>
          <w:rFonts w:cs="Arial"/>
          <w:snapToGrid/>
          <w:szCs w:val="22"/>
          <w:lang w:val="lt-LT" w:eastAsia="de-DE"/>
        </w:rPr>
        <w:t xml:space="preserve">Jeigu </w:t>
      </w:r>
      <w:proofErr w:type="spellStart"/>
      <w:r w:rsidR="00E47068">
        <w:rPr>
          <w:rFonts w:cs="Arial"/>
          <w:snapToGrid/>
          <w:szCs w:val="22"/>
          <w:lang w:val="lt-LT" w:eastAsia="de-DE"/>
        </w:rPr>
        <w:t>Cymvigo</w:t>
      </w:r>
      <w:proofErr w:type="spellEnd"/>
      <w:r w:rsidRPr="00561601">
        <w:rPr>
          <w:rFonts w:cs="Arial"/>
          <w:snapToGrid/>
          <w:szCs w:val="22"/>
          <w:lang w:val="lt-LT" w:eastAsia="de-DE"/>
        </w:rPr>
        <w:t xml:space="preserve"> infuzijos metu pasireiškė bet kuris iš toliau išvardytų reakcijos požymių, pvz., galvos skausmas, </w:t>
      </w:r>
      <w:r w:rsidR="00041E90">
        <w:rPr>
          <w:rFonts w:cs="Arial"/>
          <w:snapToGrid/>
          <w:szCs w:val="22"/>
          <w:lang w:val="lt-LT" w:eastAsia="de-DE"/>
        </w:rPr>
        <w:t>staigus</w:t>
      </w:r>
      <w:r w:rsidRPr="00561601">
        <w:rPr>
          <w:rFonts w:cs="Arial"/>
          <w:snapToGrid/>
          <w:szCs w:val="22"/>
          <w:lang w:val="lt-LT" w:eastAsia="de-DE"/>
        </w:rPr>
        <w:t xml:space="preserve"> paraudimas, </w:t>
      </w:r>
      <w:proofErr w:type="spellStart"/>
      <w:r w:rsidRPr="00561601">
        <w:rPr>
          <w:rFonts w:cs="Arial"/>
          <w:snapToGrid/>
          <w:szCs w:val="22"/>
          <w:lang w:val="lt-LT" w:eastAsia="de-DE"/>
        </w:rPr>
        <w:t>šaltkrėtis</w:t>
      </w:r>
      <w:proofErr w:type="spellEnd"/>
      <w:r w:rsidRPr="00561601">
        <w:rPr>
          <w:rFonts w:cs="Arial"/>
          <w:snapToGrid/>
          <w:szCs w:val="22"/>
          <w:lang w:val="lt-LT" w:eastAsia="de-DE"/>
        </w:rPr>
        <w:t>, raumenų skausmas, švokštimas, dažnas širdies plakimas, apatinės nugaros dalies skausmas, pykinimas ir žemas kraujospūdis, nedelsdami praneškite gydytojui.</w:t>
      </w:r>
    </w:p>
    <w:p w14:paraId="3CBD7A2B" w14:textId="77777777" w:rsidR="004A59A1" w:rsidRPr="00561601" w:rsidRDefault="004A59A1" w:rsidP="004A59A1">
      <w:pPr>
        <w:tabs>
          <w:tab w:val="clear" w:pos="567"/>
        </w:tabs>
        <w:overflowPunct w:val="0"/>
        <w:autoSpaceDE w:val="0"/>
        <w:autoSpaceDN w:val="0"/>
        <w:adjustRightInd w:val="0"/>
        <w:spacing w:line="240" w:lineRule="auto"/>
        <w:textAlignment w:val="baseline"/>
        <w:rPr>
          <w:bCs/>
          <w:snapToGrid/>
          <w:szCs w:val="22"/>
          <w:lang w:val="lt-LT" w:eastAsia="de-DE"/>
        </w:rPr>
      </w:pPr>
    </w:p>
    <w:p w14:paraId="4C048E8D" w14:textId="74C9883E" w:rsidR="004A59A1" w:rsidRPr="00561601" w:rsidRDefault="004A59A1" w:rsidP="004A59A1">
      <w:pPr>
        <w:tabs>
          <w:tab w:val="clear" w:pos="567"/>
        </w:tabs>
        <w:overflowPunct w:val="0"/>
        <w:autoSpaceDE w:val="0"/>
        <w:autoSpaceDN w:val="0"/>
        <w:adjustRightInd w:val="0"/>
        <w:spacing w:line="240" w:lineRule="auto"/>
        <w:textAlignment w:val="baseline"/>
        <w:rPr>
          <w:bCs/>
          <w:snapToGrid/>
          <w:szCs w:val="22"/>
          <w:lang w:val="lt-LT" w:eastAsia="de-DE"/>
        </w:rPr>
      </w:pPr>
      <w:r w:rsidRPr="00561601">
        <w:rPr>
          <w:rFonts w:cs="Arial"/>
          <w:b/>
          <w:bCs/>
          <w:snapToGrid/>
          <w:szCs w:val="22"/>
          <w:lang w:val="lt-LT" w:eastAsia="de-DE"/>
        </w:rPr>
        <w:t>Nedelsdami pasakykite gydytojui</w:t>
      </w:r>
      <w:r w:rsidRPr="00561601">
        <w:rPr>
          <w:rFonts w:cs="Arial"/>
          <w:snapToGrid/>
          <w:szCs w:val="22"/>
          <w:lang w:val="lt-LT" w:eastAsia="de-DE"/>
        </w:rPr>
        <w:t xml:space="preserve">, jeigu pastebėsite tokias reakcijas vartojant </w:t>
      </w:r>
      <w:proofErr w:type="spellStart"/>
      <w:r w:rsidR="00E47068">
        <w:rPr>
          <w:rFonts w:cs="Arial"/>
          <w:snapToGrid/>
          <w:szCs w:val="22"/>
          <w:lang w:val="lt-LT" w:eastAsia="de-DE"/>
        </w:rPr>
        <w:t>Cymvigo</w:t>
      </w:r>
      <w:proofErr w:type="spellEnd"/>
      <w:r w:rsidRPr="00561601">
        <w:rPr>
          <w:rFonts w:cs="Arial"/>
          <w:snapToGrid/>
          <w:szCs w:val="22"/>
          <w:lang w:val="lt-LT" w:eastAsia="de-DE"/>
        </w:rPr>
        <w:t>. Jis nuspręs, ar sumažinti infuzijos greitį, ar visiškai nutraukti infuziją ir imtis reikiamų medicininių priemonių šiems simptomams gydyti.</w:t>
      </w:r>
    </w:p>
    <w:p w14:paraId="65DD8EBD" w14:textId="77777777" w:rsidR="004A59A1" w:rsidRPr="00561601" w:rsidRDefault="004A59A1" w:rsidP="004A59A1">
      <w:pPr>
        <w:tabs>
          <w:tab w:val="clear" w:pos="567"/>
        </w:tabs>
        <w:overflowPunct w:val="0"/>
        <w:autoSpaceDE w:val="0"/>
        <w:autoSpaceDN w:val="0"/>
        <w:adjustRightInd w:val="0"/>
        <w:spacing w:line="240" w:lineRule="auto"/>
        <w:textAlignment w:val="baseline"/>
        <w:rPr>
          <w:bCs/>
          <w:snapToGrid/>
          <w:szCs w:val="22"/>
          <w:lang w:val="lt-LT" w:eastAsia="de-DE" w:bidi="en-GB"/>
        </w:rPr>
      </w:pPr>
    </w:p>
    <w:p w14:paraId="7FB9C87D" w14:textId="77777777" w:rsidR="004A59A1" w:rsidRPr="00561601" w:rsidRDefault="004A59A1" w:rsidP="004A59A1">
      <w:pPr>
        <w:numPr>
          <w:ilvl w:val="12"/>
          <w:numId w:val="0"/>
        </w:numPr>
        <w:tabs>
          <w:tab w:val="clear" w:pos="567"/>
        </w:tabs>
        <w:overflowPunct w:val="0"/>
        <w:autoSpaceDE w:val="0"/>
        <w:autoSpaceDN w:val="0"/>
        <w:adjustRightInd w:val="0"/>
        <w:spacing w:line="240" w:lineRule="auto"/>
        <w:ind w:right="-2"/>
        <w:textAlignment w:val="baseline"/>
        <w:rPr>
          <w:snapToGrid/>
          <w:szCs w:val="22"/>
          <w:u w:val="single"/>
          <w:lang w:val="lt-LT" w:eastAsia="de-DE"/>
        </w:rPr>
      </w:pPr>
      <w:r w:rsidRPr="00561601">
        <w:rPr>
          <w:rFonts w:cs="Arial"/>
          <w:snapToGrid/>
          <w:szCs w:val="22"/>
          <w:u w:val="single"/>
          <w:lang w:val="lt-LT" w:eastAsia="de-DE"/>
        </w:rPr>
        <w:t>Informacija apie saugumą infekcijų atžvilgiu</w:t>
      </w:r>
    </w:p>
    <w:p w14:paraId="154D6FD4" w14:textId="03696398" w:rsidR="004A59A1" w:rsidRPr="00561601" w:rsidRDefault="00E47068" w:rsidP="004A59A1">
      <w:pPr>
        <w:numPr>
          <w:ilvl w:val="12"/>
          <w:numId w:val="0"/>
        </w:numPr>
        <w:tabs>
          <w:tab w:val="clear" w:pos="567"/>
        </w:tabs>
        <w:overflowPunct w:val="0"/>
        <w:autoSpaceDE w:val="0"/>
        <w:autoSpaceDN w:val="0"/>
        <w:adjustRightInd w:val="0"/>
        <w:spacing w:line="240" w:lineRule="auto"/>
        <w:ind w:right="-2"/>
        <w:textAlignment w:val="baseline"/>
        <w:rPr>
          <w:snapToGrid/>
          <w:szCs w:val="22"/>
          <w:lang w:val="lt-LT" w:eastAsia="de-DE"/>
        </w:rPr>
      </w:pPr>
      <w:proofErr w:type="spellStart"/>
      <w:r>
        <w:rPr>
          <w:rFonts w:cs="Arial"/>
          <w:snapToGrid/>
          <w:szCs w:val="22"/>
          <w:lang w:val="lt-LT" w:eastAsia="de-DE"/>
        </w:rPr>
        <w:t>Cymvigo</w:t>
      </w:r>
      <w:proofErr w:type="spellEnd"/>
      <w:r w:rsidR="004A59A1" w:rsidRPr="00561601">
        <w:rPr>
          <w:rFonts w:cs="Arial"/>
          <w:snapToGrid/>
          <w:szCs w:val="22"/>
          <w:lang w:val="lt-LT" w:eastAsia="de-DE"/>
        </w:rPr>
        <w:t xml:space="preserve"> gaminamas iš žmogaus plazmos (tai yra skystoji kraujo dalis). Kai vaistai gaminami iš žmogaus kraujo ar plazmos, imamasi tam tikrų priemonių, kad būtų išvengta infekcijų perdavimo pacientams, vartojantiems </w:t>
      </w:r>
      <w:r w:rsidR="00041E90" w:rsidRPr="00561601">
        <w:rPr>
          <w:rFonts w:cs="Arial"/>
          <w:snapToGrid/>
          <w:szCs w:val="22"/>
          <w:lang w:val="lt-LT" w:eastAsia="de-DE"/>
        </w:rPr>
        <w:t>š</w:t>
      </w:r>
      <w:r w:rsidR="00041E90">
        <w:rPr>
          <w:rFonts w:cs="Arial"/>
          <w:snapToGrid/>
          <w:szCs w:val="22"/>
          <w:lang w:val="lt-LT" w:eastAsia="de-DE"/>
        </w:rPr>
        <w:t>io</w:t>
      </w:r>
      <w:r w:rsidR="00041E90" w:rsidRPr="00561601">
        <w:rPr>
          <w:rFonts w:cs="Arial"/>
          <w:snapToGrid/>
          <w:szCs w:val="22"/>
          <w:lang w:val="lt-LT" w:eastAsia="de-DE"/>
        </w:rPr>
        <w:t xml:space="preserve"> vaist</w:t>
      </w:r>
      <w:r w:rsidR="00041E90">
        <w:rPr>
          <w:rFonts w:cs="Arial"/>
          <w:snapToGrid/>
          <w:szCs w:val="22"/>
          <w:lang w:val="lt-LT" w:eastAsia="de-DE"/>
        </w:rPr>
        <w:t>o</w:t>
      </w:r>
      <w:r w:rsidR="004A59A1" w:rsidRPr="00561601">
        <w:rPr>
          <w:rFonts w:cs="Arial"/>
          <w:snapToGrid/>
          <w:szCs w:val="22"/>
          <w:lang w:val="lt-LT" w:eastAsia="de-DE"/>
        </w:rPr>
        <w:t>. Visi kraujo donorai yra tiriami dėl virusų ir infekcijų. Be to, kraujo arba plazmos apdorojimas apima veiksmus, kurie gali virus</w:t>
      </w:r>
      <w:r w:rsidR="00B61254">
        <w:rPr>
          <w:rFonts w:cs="Arial"/>
          <w:snapToGrid/>
          <w:szCs w:val="22"/>
          <w:lang w:val="lt-LT" w:eastAsia="de-DE"/>
        </w:rPr>
        <w:t>u</w:t>
      </w:r>
      <w:r w:rsidR="004A59A1" w:rsidRPr="00561601">
        <w:rPr>
          <w:rFonts w:cs="Arial"/>
          <w:snapToGrid/>
          <w:szCs w:val="22"/>
          <w:lang w:val="lt-LT" w:eastAsia="de-DE"/>
        </w:rPr>
        <w:t>s padaryti neaktyvius arba juos pašalinti.</w:t>
      </w:r>
    </w:p>
    <w:p w14:paraId="56C7DAC7" w14:textId="77777777" w:rsidR="004A59A1" w:rsidRPr="00561601" w:rsidRDefault="004A59A1" w:rsidP="004A59A1">
      <w:pPr>
        <w:numPr>
          <w:ilvl w:val="12"/>
          <w:numId w:val="0"/>
        </w:numPr>
        <w:tabs>
          <w:tab w:val="clear" w:pos="567"/>
        </w:tabs>
        <w:overflowPunct w:val="0"/>
        <w:autoSpaceDE w:val="0"/>
        <w:autoSpaceDN w:val="0"/>
        <w:adjustRightInd w:val="0"/>
        <w:spacing w:line="240" w:lineRule="auto"/>
        <w:ind w:right="-2"/>
        <w:textAlignment w:val="baseline"/>
        <w:rPr>
          <w:snapToGrid/>
          <w:szCs w:val="22"/>
          <w:lang w:val="lt-LT" w:eastAsia="de-DE"/>
        </w:rPr>
      </w:pPr>
    </w:p>
    <w:p w14:paraId="4C20D810" w14:textId="14B1A331" w:rsidR="004A59A1" w:rsidRPr="00561601" w:rsidRDefault="004A59A1" w:rsidP="004A59A1">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Nepaisant šių priemonių, vartojant iš žmogaus kraujo ar plazmos </w:t>
      </w:r>
      <w:r w:rsidR="00041E90" w:rsidRPr="00561601">
        <w:rPr>
          <w:rFonts w:cs="Arial"/>
          <w:snapToGrid/>
          <w:szCs w:val="22"/>
          <w:lang w:val="lt-LT" w:eastAsia="de-DE"/>
        </w:rPr>
        <w:t>pagamint</w:t>
      </w:r>
      <w:r w:rsidR="00041E90">
        <w:rPr>
          <w:rFonts w:cs="Arial"/>
          <w:snapToGrid/>
          <w:szCs w:val="22"/>
          <w:lang w:val="lt-LT" w:eastAsia="de-DE"/>
        </w:rPr>
        <w:t>ų</w:t>
      </w:r>
      <w:r w:rsidR="00041E90" w:rsidRPr="00561601">
        <w:rPr>
          <w:rFonts w:cs="Arial"/>
          <w:snapToGrid/>
          <w:szCs w:val="22"/>
          <w:lang w:val="lt-LT" w:eastAsia="de-DE"/>
        </w:rPr>
        <w:t xml:space="preserve"> vaist</w:t>
      </w:r>
      <w:r w:rsidR="00041E90">
        <w:rPr>
          <w:rFonts w:cs="Arial"/>
          <w:snapToGrid/>
          <w:szCs w:val="22"/>
          <w:lang w:val="lt-LT" w:eastAsia="de-DE"/>
        </w:rPr>
        <w:t>ų</w:t>
      </w:r>
      <w:r w:rsidRPr="00561601">
        <w:rPr>
          <w:rFonts w:cs="Arial"/>
          <w:snapToGrid/>
          <w:szCs w:val="22"/>
          <w:lang w:val="lt-LT" w:eastAsia="de-DE"/>
        </w:rPr>
        <w:t>, negalima visiškai išvengti tikimybės, kad bus perduota infekcija.</w:t>
      </w:r>
    </w:p>
    <w:p w14:paraId="230DBA80" w14:textId="77777777" w:rsidR="004A59A1" w:rsidRPr="00561601" w:rsidRDefault="004A59A1" w:rsidP="004A59A1">
      <w:pPr>
        <w:tabs>
          <w:tab w:val="clear" w:pos="567"/>
        </w:tabs>
        <w:overflowPunct w:val="0"/>
        <w:autoSpaceDE w:val="0"/>
        <w:autoSpaceDN w:val="0"/>
        <w:adjustRightInd w:val="0"/>
        <w:spacing w:line="240" w:lineRule="auto"/>
        <w:textAlignment w:val="baseline"/>
        <w:rPr>
          <w:snapToGrid/>
          <w:szCs w:val="22"/>
          <w:lang w:val="lt-LT" w:eastAsia="de-DE"/>
        </w:rPr>
      </w:pPr>
    </w:p>
    <w:p w14:paraId="60B88E6C" w14:textId="77777777" w:rsidR="004A59A1" w:rsidRPr="00561601" w:rsidRDefault="004A59A1" w:rsidP="004A59A1">
      <w:pPr>
        <w:tabs>
          <w:tab w:val="clear" w:pos="567"/>
        </w:tabs>
        <w:overflowPunct w:val="0"/>
        <w:autoSpaceDE w:val="0"/>
        <w:autoSpaceDN w:val="0"/>
        <w:adjustRightInd w:val="0"/>
        <w:spacing w:line="240" w:lineRule="auto"/>
        <w:textAlignment w:val="baseline"/>
        <w:rPr>
          <w:bCs/>
          <w:snapToGrid/>
          <w:szCs w:val="22"/>
          <w:lang w:val="lt-LT" w:eastAsia="de-DE"/>
        </w:rPr>
      </w:pPr>
      <w:r w:rsidRPr="00561601">
        <w:rPr>
          <w:rFonts w:cs="Arial"/>
          <w:snapToGrid/>
          <w:szCs w:val="22"/>
          <w:lang w:val="lt-LT" w:eastAsia="de-DE"/>
        </w:rPr>
        <w:t>Priemonės, kurių buvo imtasi, laikomos veiksmingomis nuo tokių virusų kaip:</w:t>
      </w:r>
    </w:p>
    <w:p w14:paraId="233CC1D8" w14:textId="77777777" w:rsidR="004A59A1" w:rsidRPr="00561601" w:rsidRDefault="004A59A1" w:rsidP="004A59A1">
      <w:pPr>
        <w:numPr>
          <w:ilvl w:val="0"/>
          <w:numId w:val="13"/>
        </w:numPr>
        <w:tabs>
          <w:tab w:val="clear" w:pos="567"/>
        </w:tabs>
        <w:overflowPunct w:val="0"/>
        <w:autoSpaceDE w:val="0"/>
        <w:autoSpaceDN w:val="0"/>
        <w:adjustRightInd w:val="0"/>
        <w:spacing w:line="240" w:lineRule="auto"/>
        <w:ind w:left="357" w:hanging="357"/>
        <w:textAlignment w:val="baseline"/>
        <w:rPr>
          <w:bCs/>
          <w:snapToGrid/>
          <w:szCs w:val="22"/>
          <w:lang w:val="lt-LT" w:eastAsia="de-DE"/>
        </w:rPr>
      </w:pPr>
      <w:r w:rsidRPr="00561601">
        <w:rPr>
          <w:rFonts w:cs="Arial"/>
          <w:snapToGrid/>
          <w:szCs w:val="22"/>
          <w:lang w:val="lt-LT" w:eastAsia="de-DE"/>
        </w:rPr>
        <w:t>žmogaus imunodeficito virusas (ŽIV);</w:t>
      </w:r>
    </w:p>
    <w:p w14:paraId="6CE53191" w14:textId="77777777" w:rsidR="004A59A1" w:rsidRPr="00561601" w:rsidRDefault="004A59A1" w:rsidP="004A59A1">
      <w:pPr>
        <w:numPr>
          <w:ilvl w:val="0"/>
          <w:numId w:val="13"/>
        </w:numPr>
        <w:tabs>
          <w:tab w:val="clear" w:pos="567"/>
        </w:tabs>
        <w:overflowPunct w:val="0"/>
        <w:autoSpaceDE w:val="0"/>
        <w:autoSpaceDN w:val="0"/>
        <w:adjustRightInd w:val="0"/>
        <w:spacing w:line="240" w:lineRule="auto"/>
        <w:ind w:left="357" w:hanging="357"/>
        <w:textAlignment w:val="baseline"/>
        <w:rPr>
          <w:bCs/>
          <w:snapToGrid/>
          <w:szCs w:val="22"/>
          <w:lang w:val="lt-LT" w:eastAsia="de-DE"/>
        </w:rPr>
      </w:pPr>
      <w:r w:rsidRPr="00561601">
        <w:rPr>
          <w:rFonts w:cs="Arial"/>
          <w:snapToGrid/>
          <w:szCs w:val="22"/>
          <w:lang w:val="lt-LT" w:eastAsia="de-DE"/>
        </w:rPr>
        <w:t>hepatito A virusas (HAV);</w:t>
      </w:r>
    </w:p>
    <w:p w14:paraId="2FAB6710" w14:textId="77777777" w:rsidR="004A59A1" w:rsidRPr="00561601" w:rsidRDefault="004A59A1" w:rsidP="004A59A1">
      <w:pPr>
        <w:numPr>
          <w:ilvl w:val="0"/>
          <w:numId w:val="13"/>
        </w:numPr>
        <w:tabs>
          <w:tab w:val="clear" w:pos="567"/>
        </w:tabs>
        <w:overflowPunct w:val="0"/>
        <w:autoSpaceDE w:val="0"/>
        <w:autoSpaceDN w:val="0"/>
        <w:adjustRightInd w:val="0"/>
        <w:spacing w:line="240" w:lineRule="auto"/>
        <w:ind w:left="357" w:hanging="357"/>
        <w:textAlignment w:val="baseline"/>
        <w:rPr>
          <w:bCs/>
          <w:snapToGrid/>
          <w:szCs w:val="22"/>
          <w:lang w:val="lt-LT" w:eastAsia="de-DE"/>
        </w:rPr>
      </w:pPr>
      <w:r w:rsidRPr="00561601">
        <w:rPr>
          <w:rFonts w:cs="Arial"/>
          <w:snapToGrid/>
          <w:szCs w:val="22"/>
          <w:lang w:val="lt-LT" w:eastAsia="de-DE"/>
        </w:rPr>
        <w:t>hepatito B virusas (HBV);</w:t>
      </w:r>
    </w:p>
    <w:p w14:paraId="5D9D8D21" w14:textId="77777777" w:rsidR="004A59A1" w:rsidRPr="00561601" w:rsidRDefault="004A59A1" w:rsidP="004A59A1">
      <w:pPr>
        <w:numPr>
          <w:ilvl w:val="0"/>
          <w:numId w:val="13"/>
        </w:numPr>
        <w:tabs>
          <w:tab w:val="clear" w:pos="567"/>
        </w:tabs>
        <w:overflowPunct w:val="0"/>
        <w:autoSpaceDE w:val="0"/>
        <w:autoSpaceDN w:val="0"/>
        <w:adjustRightInd w:val="0"/>
        <w:spacing w:line="240" w:lineRule="auto"/>
        <w:ind w:left="357" w:hanging="357"/>
        <w:textAlignment w:val="baseline"/>
        <w:rPr>
          <w:bCs/>
          <w:snapToGrid/>
          <w:szCs w:val="22"/>
          <w:lang w:val="lt-LT" w:eastAsia="de-DE"/>
        </w:rPr>
      </w:pPr>
      <w:r w:rsidRPr="00561601">
        <w:rPr>
          <w:rFonts w:cs="Arial"/>
          <w:snapToGrid/>
          <w:szCs w:val="22"/>
          <w:lang w:val="lt-LT" w:eastAsia="de-DE"/>
        </w:rPr>
        <w:t>hepatito C virusas (HCV).</w:t>
      </w:r>
    </w:p>
    <w:p w14:paraId="003C0D4C" w14:textId="77777777" w:rsidR="004A59A1" w:rsidRPr="00561601" w:rsidRDefault="004A59A1" w:rsidP="004A59A1">
      <w:pPr>
        <w:tabs>
          <w:tab w:val="clear" w:pos="567"/>
        </w:tabs>
        <w:overflowPunct w:val="0"/>
        <w:autoSpaceDE w:val="0"/>
        <w:autoSpaceDN w:val="0"/>
        <w:adjustRightInd w:val="0"/>
        <w:spacing w:line="240" w:lineRule="auto"/>
        <w:textAlignment w:val="baseline"/>
        <w:rPr>
          <w:bCs/>
          <w:snapToGrid/>
          <w:szCs w:val="22"/>
          <w:lang w:val="lt-LT" w:eastAsia="de-DE"/>
        </w:rPr>
      </w:pPr>
    </w:p>
    <w:p w14:paraId="1AD6DC14" w14:textId="77777777" w:rsidR="004A59A1" w:rsidRPr="00561601" w:rsidRDefault="004A59A1" w:rsidP="004A59A1">
      <w:pPr>
        <w:tabs>
          <w:tab w:val="clear" w:pos="567"/>
        </w:tabs>
        <w:overflowPunct w:val="0"/>
        <w:autoSpaceDE w:val="0"/>
        <w:autoSpaceDN w:val="0"/>
        <w:adjustRightInd w:val="0"/>
        <w:spacing w:line="240" w:lineRule="auto"/>
        <w:textAlignment w:val="baseline"/>
        <w:rPr>
          <w:bCs/>
          <w:snapToGrid/>
          <w:szCs w:val="22"/>
          <w:lang w:val="lt-LT" w:eastAsia="de-DE"/>
        </w:rPr>
      </w:pPr>
      <w:r w:rsidRPr="00561601">
        <w:rPr>
          <w:rFonts w:cs="Arial"/>
          <w:snapToGrid/>
          <w:szCs w:val="22"/>
          <w:lang w:val="lt-LT" w:eastAsia="de-DE"/>
        </w:rPr>
        <w:t>Ši</w:t>
      </w:r>
      <w:r w:rsidR="00373268">
        <w:rPr>
          <w:rFonts w:cs="Arial"/>
          <w:snapToGrid/>
          <w:szCs w:val="22"/>
          <w:lang w:val="lt-LT" w:eastAsia="de-DE"/>
        </w:rPr>
        <w:t>ų</w:t>
      </w:r>
      <w:r w:rsidRPr="00561601">
        <w:rPr>
          <w:rFonts w:cs="Arial"/>
          <w:snapToGrid/>
          <w:szCs w:val="22"/>
          <w:lang w:val="lt-LT" w:eastAsia="de-DE"/>
        </w:rPr>
        <w:t xml:space="preserve"> priemonių nauda prieš šiuos virusus gali būti ribota:</w:t>
      </w:r>
    </w:p>
    <w:p w14:paraId="3FC598F9" w14:textId="77777777" w:rsidR="004A59A1" w:rsidRPr="00561601" w:rsidRDefault="004A59A1" w:rsidP="004A59A1">
      <w:pPr>
        <w:numPr>
          <w:ilvl w:val="0"/>
          <w:numId w:val="13"/>
        </w:numPr>
        <w:tabs>
          <w:tab w:val="clear" w:pos="567"/>
        </w:tabs>
        <w:overflowPunct w:val="0"/>
        <w:autoSpaceDE w:val="0"/>
        <w:autoSpaceDN w:val="0"/>
        <w:adjustRightInd w:val="0"/>
        <w:spacing w:line="240" w:lineRule="auto"/>
        <w:ind w:left="357" w:hanging="357"/>
        <w:textAlignment w:val="baseline"/>
        <w:rPr>
          <w:bCs/>
          <w:snapToGrid/>
          <w:szCs w:val="22"/>
          <w:lang w:val="lt-LT" w:eastAsia="de-DE"/>
        </w:rPr>
      </w:pPr>
      <w:proofErr w:type="spellStart"/>
      <w:r w:rsidRPr="00561601">
        <w:rPr>
          <w:rFonts w:cs="Arial"/>
          <w:snapToGrid/>
          <w:szCs w:val="22"/>
          <w:lang w:val="lt-LT" w:eastAsia="de-DE"/>
        </w:rPr>
        <w:t>parvovirusas</w:t>
      </w:r>
      <w:proofErr w:type="spellEnd"/>
      <w:r w:rsidRPr="00561601">
        <w:rPr>
          <w:rFonts w:cs="Arial"/>
          <w:snapToGrid/>
          <w:szCs w:val="22"/>
          <w:lang w:val="lt-LT" w:eastAsia="de-DE"/>
        </w:rPr>
        <w:t xml:space="preserve"> B19.</w:t>
      </w:r>
    </w:p>
    <w:p w14:paraId="1A8A690B" w14:textId="77777777" w:rsidR="004A59A1" w:rsidRPr="00561601" w:rsidRDefault="004A59A1" w:rsidP="004A59A1">
      <w:pPr>
        <w:tabs>
          <w:tab w:val="clear" w:pos="567"/>
        </w:tabs>
        <w:overflowPunct w:val="0"/>
        <w:autoSpaceDE w:val="0"/>
        <w:autoSpaceDN w:val="0"/>
        <w:adjustRightInd w:val="0"/>
        <w:spacing w:line="240" w:lineRule="auto"/>
        <w:textAlignment w:val="baseline"/>
        <w:rPr>
          <w:bCs/>
          <w:snapToGrid/>
          <w:szCs w:val="22"/>
          <w:lang w:val="lt-LT" w:eastAsia="de-DE"/>
        </w:rPr>
      </w:pPr>
    </w:p>
    <w:p w14:paraId="4AEC83A4" w14:textId="7DCE4AD1" w:rsidR="004A59A1" w:rsidRPr="00561601" w:rsidRDefault="004A59A1" w:rsidP="004A59A1">
      <w:pPr>
        <w:tabs>
          <w:tab w:val="clear" w:pos="567"/>
        </w:tabs>
        <w:overflowPunct w:val="0"/>
        <w:autoSpaceDE w:val="0"/>
        <w:autoSpaceDN w:val="0"/>
        <w:adjustRightInd w:val="0"/>
        <w:spacing w:line="240" w:lineRule="auto"/>
        <w:textAlignment w:val="baseline"/>
        <w:rPr>
          <w:bCs/>
          <w:snapToGrid/>
          <w:szCs w:val="22"/>
          <w:lang w:val="lt-LT" w:eastAsia="de-DE"/>
        </w:rPr>
      </w:pPr>
      <w:r w:rsidRPr="00561601">
        <w:rPr>
          <w:rFonts w:cs="Arial"/>
          <w:snapToGrid/>
          <w:szCs w:val="22"/>
          <w:lang w:val="lt-LT" w:eastAsia="de-DE"/>
        </w:rPr>
        <w:t xml:space="preserve">Imunoglobulinai iki šiol nebuvo siejami su hepatito A ar </w:t>
      </w:r>
      <w:proofErr w:type="spellStart"/>
      <w:r w:rsidRPr="00561601">
        <w:rPr>
          <w:rFonts w:cs="Arial"/>
          <w:snapToGrid/>
          <w:szCs w:val="22"/>
          <w:lang w:val="lt-LT" w:eastAsia="de-DE"/>
        </w:rPr>
        <w:t>parvoviruso</w:t>
      </w:r>
      <w:proofErr w:type="spellEnd"/>
      <w:r w:rsidRPr="00561601">
        <w:rPr>
          <w:rFonts w:cs="Arial"/>
          <w:snapToGrid/>
          <w:szCs w:val="22"/>
          <w:lang w:val="lt-LT" w:eastAsia="de-DE"/>
        </w:rPr>
        <w:t xml:space="preserve"> B19 infekcijomis. Galbūt taip yra dėl to, kad antikūnai, esantys </w:t>
      </w:r>
      <w:proofErr w:type="spellStart"/>
      <w:r w:rsidR="00E47068">
        <w:rPr>
          <w:rFonts w:cs="Arial"/>
          <w:snapToGrid/>
          <w:szCs w:val="22"/>
          <w:lang w:val="lt-LT" w:eastAsia="de-DE"/>
        </w:rPr>
        <w:t>Cymvigo</w:t>
      </w:r>
      <w:proofErr w:type="spellEnd"/>
      <w:r w:rsidRPr="00561601">
        <w:rPr>
          <w:rFonts w:cs="Arial"/>
          <w:snapToGrid/>
          <w:szCs w:val="22"/>
          <w:lang w:val="lt-LT" w:eastAsia="de-DE"/>
        </w:rPr>
        <w:t>, apsaugo nuo šių infekcijų.</w:t>
      </w:r>
    </w:p>
    <w:p w14:paraId="6E8310B4" w14:textId="77777777" w:rsidR="004A59A1" w:rsidRPr="00561601" w:rsidRDefault="004A59A1" w:rsidP="004A59A1">
      <w:pPr>
        <w:tabs>
          <w:tab w:val="clear" w:pos="567"/>
        </w:tabs>
        <w:overflowPunct w:val="0"/>
        <w:autoSpaceDE w:val="0"/>
        <w:autoSpaceDN w:val="0"/>
        <w:adjustRightInd w:val="0"/>
        <w:spacing w:line="240" w:lineRule="auto"/>
        <w:textAlignment w:val="baseline"/>
        <w:rPr>
          <w:bCs/>
          <w:snapToGrid/>
          <w:szCs w:val="22"/>
          <w:lang w:val="lt-LT" w:eastAsia="de-DE"/>
        </w:rPr>
      </w:pPr>
    </w:p>
    <w:p w14:paraId="3524B956" w14:textId="6E1920B8" w:rsidR="004A59A1" w:rsidRPr="00561601" w:rsidRDefault="004A59A1" w:rsidP="004A59A1">
      <w:pPr>
        <w:tabs>
          <w:tab w:val="clear" w:pos="567"/>
        </w:tabs>
        <w:overflowPunct w:val="0"/>
        <w:autoSpaceDE w:val="0"/>
        <w:autoSpaceDN w:val="0"/>
        <w:adjustRightInd w:val="0"/>
        <w:spacing w:line="240" w:lineRule="auto"/>
        <w:textAlignment w:val="baseline"/>
        <w:rPr>
          <w:bCs/>
          <w:snapToGrid/>
          <w:szCs w:val="22"/>
          <w:lang w:val="lt-LT" w:eastAsia="de-DE"/>
        </w:rPr>
      </w:pPr>
      <w:r w:rsidRPr="00561601">
        <w:rPr>
          <w:rFonts w:cs="Arial"/>
          <w:snapToGrid/>
          <w:szCs w:val="22"/>
          <w:lang w:val="lt-LT" w:eastAsia="de-DE"/>
        </w:rPr>
        <w:t xml:space="preserve">Primygtinai rekomenduojama kiekvieną kartą, kai Jums skiriama </w:t>
      </w:r>
      <w:proofErr w:type="spellStart"/>
      <w:r w:rsidR="00E47068">
        <w:rPr>
          <w:rFonts w:cs="Arial"/>
          <w:snapToGrid/>
          <w:szCs w:val="22"/>
          <w:lang w:val="lt-LT" w:eastAsia="de-DE"/>
        </w:rPr>
        <w:t>Cymvigo</w:t>
      </w:r>
      <w:proofErr w:type="spellEnd"/>
      <w:r w:rsidRPr="00561601">
        <w:rPr>
          <w:rFonts w:cs="Arial"/>
          <w:snapToGrid/>
          <w:szCs w:val="22"/>
          <w:lang w:val="lt-LT" w:eastAsia="de-DE"/>
        </w:rPr>
        <w:t xml:space="preserve"> dozė, užrašyti vaisto pavadinimą ir </w:t>
      </w:r>
      <w:r w:rsidR="00F41E74">
        <w:rPr>
          <w:rFonts w:cs="Arial"/>
          <w:snapToGrid/>
          <w:szCs w:val="22"/>
          <w:lang w:val="lt-LT" w:eastAsia="de-DE"/>
        </w:rPr>
        <w:t>serijos</w:t>
      </w:r>
      <w:r w:rsidR="00F41E74" w:rsidRPr="00561601">
        <w:rPr>
          <w:rFonts w:cs="Arial"/>
          <w:snapToGrid/>
          <w:szCs w:val="22"/>
          <w:lang w:val="lt-LT" w:eastAsia="de-DE"/>
        </w:rPr>
        <w:t xml:space="preserve"> </w:t>
      </w:r>
      <w:r w:rsidRPr="00561601">
        <w:rPr>
          <w:rFonts w:cs="Arial"/>
          <w:snapToGrid/>
          <w:szCs w:val="22"/>
          <w:lang w:val="lt-LT" w:eastAsia="de-DE"/>
        </w:rPr>
        <w:t xml:space="preserve">numerį. </w:t>
      </w:r>
      <w:r w:rsidR="00F41E74">
        <w:rPr>
          <w:rFonts w:cs="Arial"/>
          <w:snapToGrid/>
          <w:szCs w:val="22"/>
          <w:lang w:val="lt-LT" w:eastAsia="de-DE"/>
        </w:rPr>
        <w:t>Serijos</w:t>
      </w:r>
      <w:r w:rsidR="00F41E74" w:rsidRPr="00561601">
        <w:rPr>
          <w:rFonts w:cs="Arial"/>
          <w:snapToGrid/>
          <w:szCs w:val="22"/>
          <w:lang w:val="lt-LT" w:eastAsia="de-DE"/>
        </w:rPr>
        <w:t xml:space="preserve"> </w:t>
      </w:r>
      <w:r w:rsidRPr="00561601">
        <w:rPr>
          <w:rFonts w:cs="Arial"/>
          <w:snapToGrid/>
          <w:szCs w:val="22"/>
          <w:lang w:val="lt-LT" w:eastAsia="de-DE"/>
        </w:rPr>
        <w:t>numeryje pateikiama informacija apie Jūsų vaisto specialiąsias pradines medžiagas. Jeigu rei</w:t>
      </w:r>
      <w:r w:rsidR="00F41E74">
        <w:rPr>
          <w:rFonts w:cs="Arial"/>
          <w:snapToGrid/>
          <w:szCs w:val="22"/>
          <w:lang w:val="lt-LT" w:eastAsia="de-DE"/>
        </w:rPr>
        <w:t>k</w:t>
      </w:r>
      <w:r w:rsidRPr="00561601">
        <w:rPr>
          <w:rFonts w:cs="Arial"/>
          <w:snapToGrid/>
          <w:szCs w:val="22"/>
          <w:lang w:val="lt-LT" w:eastAsia="de-DE"/>
        </w:rPr>
        <w:t>ės, taip bus galima nusta</w:t>
      </w:r>
      <w:r w:rsidR="00F41E74">
        <w:rPr>
          <w:rFonts w:cs="Arial"/>
          <w:snapToGrid/>
          <w:szCs w:val="22"/>
          <w:lang w:val="lt-LT" w:eastAsia="de-DE"/>
        </w:rPr>
        <w:t>t</w:t>
      </w:r>
      <w:r w:rsidRPr="00561601">
        <w:rPr>
          <w:rFonts w:cs="Arial"/>
          <w:snapToGrid/>
          <w:szCs w:val="22"/>
          <w:lang w:val="lt-LT" w:eastAsia="de-DE"/>
        </w:rPr>
        <w:t>yti ryšį tarp Jūsų ir naudotos pradinės medžiagos.</w:t>
      </w:r>
    </w:p>
    <w:p w14:paraId="5CE6DA1A" w14:textId="77777777" w:rsidR="00F34163" w:rsidRPr="00561601" w:rsidRDefault="00F34163" w:rsidP="00F34163">
      <w:pPr>
        <w:numPr>
          <w:ilvl w:val="12"/>
          <w:numId w:val="0"/>
        </w:numPr>
        <w:tabs>
          <w:tab w:val="clear" w:pos="567"/>
        </w:tabs>
        <w:spacing w:line="240" w:lineRule="auto"/>
        <w:ind w:right="-2"/>
        <w:rPr>
          <w:szCs w:val="24"/>
          <w:lang w:val="lt-LT"/>
        </w:rPr>
      </w:pPr>
    </w:p>
    <w:p w14:paraId="1F4A0AB0" w14:textId="77777777" w:rsidR="00F34163" w:rsidRPr="00561601" w:rsidRDefault="00F34163" w:rsidP="00F34163">
      <w:pPr>
        <w:pStyle w:val="Antrat4"/>
        <w:rPr>
          <w:rFonts w:ascii="Times New Roman" w:hAnsi="Times New Roman"/>
          <w:b w:val="0"/>
          <w:sz w:val="22"/>
          <w:u w:val="single"/>
          <w:lang w:val="lt-LT"/>
        </w:rPr>
      </w:pPr>
      <w:r w:rsidRPr="00561601">
        <w:rPr>
          <w:rFonts w:ascii="Times New Roman" w:hAnsi="Times New Roman"/>
          <w:b w:val="0"/>
          <w:sz w:val="22"/>
          <w:u w:val="single"/>
          <w:lang w:val="lt-LT"/>
        </w:rPr>
        <w:t>Vaikams ir paaugliams</w:t>
      </w:r>
    </w:p>
    <w:p w14:paraId="7688C359" w14:textId="77777777" w:rsidR="00F34163" w:rsidRPr="00561601" w:rsidRDefault="004A59A1" w:rsidP="00F34163">
      <w:pPr>
        <w:numPr>
          <w:ilvl w:val="12"/>
          <w:numId w:val="0"/>
        </w:numPr>
        <w:tabs>
          <w:tab w:val="clear" w:pos="567"/>
        </w:tabs>
        <w:spacing w:line="240" w:lineRule="auto"/>
        <w:rPr>
          <w:rFonts w:cs="Arial"/>
          <w:snapToGrid/>
          <w:szCs w:val="22"/>
          <w:lang w:val="lt-LT" w:eastAsia="de-DE"/>
        </w:rPr>
      </w:pPr>
      <w:r w:rsidRPr="00561601">
        <w:rPr>
          <w:rFonts w:cs="Arial"/>
          <w:snapToGrid/>
          <w:szCs w:val="22"/>
          <w:lang w:val="lt-LT" w:eastAsia="de-DE"/>
        </w:rPr>
        <w:t>Specialūs įspėjimai ir atsargumo priemonės suaugusiesiems taip pat galioja vaikams bei paaugliams.</w:t>
      </w:r>
    </w:p>
    <w:p w14:paraId="77BB1D1F" w14:textId="77777777" w:rsidR="004A59A1" w:rsidRPr="00561601" w:rsidRDefault="004A59A1" w:rsidP="00F34163">
      <w:pPr>
        <w:numPr>
          <w:ilvl w:val="12"/>
          <w:numId w:val="0"/>
        </w:numPr>
        <w:tabs>
          <w:tab w:val="clear" w:pos="567"/>
        </w:tabs>
        <w:spacing w:line="240" w:lineRule="auto"/>
        <w:rPr>
          <w:b/>
          <w:szCs w:val="24"/>
          <w:lang w:val="lt-LT"/>
        </w:rPr>
      </w:pPr>
    </w:p>
    <w:p w14:paraId="60592EC3" w14:textId="55092928"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 xml:space="preserve">Kiti vaistai ir </w:t>
      </w:r>
      <w:proofErr w:type="spellStart"/>
      <w:r w:rsidR="00E47068">
        <w:rPr>
          <w:rFonts w:ascii="Times New Roman" w:hAnsi="Times New Roman" w:cs="Arial"/>
          <w:bCs w:val="0"/>
          <w:snapToGrid/>
          <w:sz w:val="22"/>
          <w:szCs w:val="22"/>
          <w:lang w:val="lt-LT" w:eastAsia="de-DE"/>
        </w:rPr>
        <w:t>Cymvigo</w:t>
      </w:r>
      <w:proofErr w:type="spellEnd"/>
    </w:p>
    <w:p w14:paraId="5863DC75" w14:textId="77777777" w:rsidR="00F34163" w:rsidRPr="00561601" w:rsidRDefault="00F34163" w:rsidP="00F34163">
      <w:pPr>
        <w:numPr>
          <w:ilvl w:val="12"/>
          <w:numId w:val="0"/>
        </w:numPr>
        <w:tabs>
          <w:tab w:val="clear" w:pos="567"/>
        </w:tabs>
        <w:spacing w:line="240" w:lineRule="auto"/>
        <w:ind w:right="-2"/>
        <w:rPr>
          <w:szCs w:val="24"/>
          <w:lang w:val="lt-LT"/>
        </w:rPr>
      </w:pPr>
      <w:r w:rsidRPr="00561601">
        <w:rPr>
          <w:noProof/>
          <w:szCs w:val="24"/>
          <w:lang w:val="lt-LT"/>
        </w:rPr>
        <w:t>Jeigu vartojate ar neseniai vartojote kitų vaistų arba dėl to nesate tikri, apie tai pasakykite gydytojui</w:t>
      </w:r>
      <w:r w:rsidR="004A59A1" w:rsidRPr="00561601">
        <w:rPr>
          <w:noProof/>
          <w:szCs w:val="24"/>
          <w:lang w:val="lt-LT"/>
        </w:rPr>
        <w:t xml:space="preserve"> </w:t>
      </w:r>
      <w:r w:rsidRPr="00561601">
        <w:rPr>
          <w:noProof/>
          <w:szCs w:val="24"/>
          <w:lang w:val="lt-LT"/>
        </w:rPr>
        <w:t>arba vaistininkui</w:t>
      </w:r>
      <w:r w:rsidR="004A59A1" w:rsidRPr="00561601">
        <w:rPr>
          <w:noProof/>
          <w:szCs w:val="24"/>
          <w:lang w:val="lt-LT"/>
        </w:rPr>
        <w:t>.</w:t>
      </w:r>
    </w:p>
    <w:p w14:paraId="0A0D6ABF" w14:textId="77777777" w:rsidR="00F34163" w:rsidRPr="00561601" w:rsidRDefault="00F34163" w:rsidP="00F34163">
      <w:pPr>
        <w:numPr>
          <w:ilvl w:val="12"/>
          <w:numId w:val="0"/>
        </w:numPr>
        <w:tabs>
          <w:tab w:val="clear" w:pos="567"/>
        </w:tabs>
        <w:spacing w:line="240" w:lineRule="auto"/>
        <w:ind w:right="-2"/>
        <w:rPr>
          <w:szCs w:val="24"/>
          <w:lang w:val="lt-LT"/>
        </w:rPr>
      </w:pPr>
    </w:p>
    <w:p w14:paraId="3FC4C6A0" w14:textId="5B7CB62D" w:rsidR="004A59A1" w:rsidRPr="00561601" w:rsidRDefault="00E47068" w:rsidP="004A59A1">
      <w:pPr>
        <w:tabs>
          <w:tab w:val="clear" w:pos="567"/>
        </w:tabs>
        <w:overflowPunct w:val="0"/>
        <w:autoSpaceDE w:val="0"/>
        <w:autoSpaceDN w:val="0"/>
        <w:adjustRightInd w:val="0"/>
        <w:spacing w:line="240" w:lineRule="auto"/>
        <w:textAlignment w:val="baseline"/>
        <w:rPr>
          <w:snapToGrid/>
          <w:szCs w:val="22"/>
          <w:lang w:val="lt-LT" w:eastAsia="de-DE"/>
        </w:rPr>
      </w:pPr>
      <w:proofErr w:type="spellStart"/>
      <w:r>
        <w:rPr>
          <w:rFonts w:cs="Arial"/>
          <w:snapToGrid/>
          <w:szCs w:val="22"/>
          <w:lang w:val="lt-LT" w:eastAsia="de-DE"/>
        </w:rPr>
        <w:t>Cymvigo</w:t>
      </w:r>
      <w:proofErr w:type="spellEnd"/>
      <w:r w:rsidR="004A59A1" w:rsidRPr="00561601">
        <w:rPr>
          <w:rFonts w:cs="Arial"/>
          <w:snapToGrid/>
          <w:szCs w:val="22"/>
          <w:lang w:val="lt-LT" w:eastAsia="de-DE"/>
        </w:rPr>
        <w:t xml:space="preserve"> gali sumažinti tam tikrų </w:t>
      </w:r>
      <w:r w:rsidR="004A59A1" w:rsidRPr="00561601">
        <w:rPr>
          <w:rFonts w:cs="Arial"/>
          <w:b/>
          <w:bCs/>
          <w:snapToGrid/>
          <w:szCs w:val="22"/>
          <w:lang w:val="lt-LT" w:eastAsia="de-DE"/>
        </w:rPr>
        <w:t>vakcinų</w:t>
      </w:r>
      <w:r w:rsidR="004A59A1" w:rsidRPr="00561601">
        <w:rPr>
          <w:rFonts w:cs="Arial"/>
          <w:snapToGrid/>
          <w:szCs w:val="22"/>
          <w:lang w:val="lt-LT" w:eastAsia="de-DE"/>
        </w:rPr>
        <w:t xml:space="preserve"> veiksmingumą, pvz. vakcinų veiksmingumą nuo:</w:t>
      </w:r>
    </w:p>
    <w:p w14:paraId="7B04CC87" w14:textId="77777777" w:rsidR="004A59A1" w:rsidRPr="00561601" w:rsidRDefault="004A59A1" w:rsidP="004A59A1">
      <w:pPr>
        <w:numPr>
          <w:ilvl w:val="0"/>
          <w:numId w:val="11"/>
        </w:numPr>
        <w:tabs>
          <w:tab w:val="clear" w:pos="567"/>
        </w:tabs>
        <w:overflowPunct w:val="0"/>
        <w:autoSpaceDE w:val="0"/>
        <w:autoSpaceDN w:val="0"/>
        <w:adjustRightInd w:val="0"/>
        <w:spacing w:line="240" w:lineRule="auto"/>
        <w:ind w:left="357" w:hanging="357"/>
        <w:textAlignment w:val="baseline"/>
        <w:rPr>
          <w:b/>
          <w:snapToGrid/>
          <w:szCs w:val="22"/>
          <w:lang w:val="lt-LT" w:eastAsia="de-DE"/>
        </w:rPr>
      </w:pPr>
      <w:r w:rsidRPr="00561601">
        <w:rPr>
          <w:rFonts w:cs="Arial"/>
          <w:b/>
          <w:snapToGrid/>
          <w:szCs w:val="22"/>
          <w:lang w:val="lt-LT" w:eastAsia="de-DE"/>
        </w:rPr>
        <w:t>tymų;</w:t>
      </w:r>
    </w:p>
    <w:p w14:paraId="0227402C" w14:textId="77777777" w:rsidR="004A59A1" w:rsidRPr="00561601" w:rsidRDefault="004A59A1" w:rsidP="004A59A1">
      <w:pPr>
        <w:numPr>
          <w:ilvl w:val="0"/>
          <w:numId w:val="11"/>
        </w:numPr>
        <w:tabs>
          <w:tab w:val="clear" w:pos="567"/>
        </w:tabs>
        <w:overflowPunct w:val="0"/>
        <w:autoSpaceDE w:val="0"/>
        <w:autoSpaceDN w:val="0"/>
        <w:adjustRightInd w:val="0"/>
        <w:spacing w:line="240" w:lineRule="auto"/>
        <w:ind w:left="357" w:hanging="357"/>
        <w:textAlignment w:val="baseline"/>
        <w:rPr>
          <w:b/>
          <w:snapToGrid/>
          <w:szCs w:val="22"/>
          <w:lang w:val="lt-LT" w:eastAsia="de-DE"/>
        </w:rPr>
      </w:pPr>
      <w:r w:rsidRPr="00561601">
        <w:rPr>
          <w:rFonts w:cs="Arial"/>
          <w:b/>
          <w:snapToGrid/>
          <w:szCs w:val="22"/>
          <w:lang w:val="lt-LT" w:eastAsia="de-DE"/>
        </w:rPr>
        <w:t>raudonukės;</w:t>
      </w:r>
    </w:p>
    <w:p w14:paraId="36D58577" w14:textId="77777777" w:rsidR="004A59A1" w:rsidRPr="00561601" w:rsidRDefault="004A59A1" w:rsidP="004A59A1">
      <w:pPr>
        <w:numPr>
          <w:ilvl w:val="0"/>
          <w:numId w:val="11"/>
        </w:numPr>
        <w:tabs>
          <w:tab w:val="clear" w:pos="567"/>
        </w:tabs>
        <w:overflowPunct w:val="0"/>
        <w:autoSpaceDE w:val="0"/>
        <w:autoSpaceDN w:val="0"/>
        <w:adjustRightInd w:val="0"/>
        <w:spacing w:line="240" w:lineRule="auto"/>
        <w:ind w:left="357" w:hanging="357"/>
        <w:textAlignment w:val="baseline"/>
        <w:rPr>
          <w:b/>
          <w:snapToGrid/>
          <w:szCs w:val="22"/>
          <w:lang w:val="lt-LT" w:eastAsia="de-DE"/>
        </w:rPr>
      </w:pPr>
      <w:r w:rsidRPr="00561601">
        <w:rPr>
          <w:rFonts w:cs="Arial"/>
          <w:b/>
          <w:snapToGrid/>
          <w:szCs w:val="22"/>
          <w:lang w:val="lt-LT" w:eastAsia="de-DE"/>
        </w:rPr>
        <w:t>kiaulytės</w:t>
      </w:r>
      <w:r w:rsidRPr="00561601">
        <w:rPr>
          <w:rFonts w:cs="Arial"/>
          <w:b/>
          <w:bCs/>
          <w:snapToGrid/>
          <w:szCs w:val="22"/>
          <w:lang w:val="lt-LT" w:eastAsia="de-DE"/>
        </w:rPr>
        <w:t>;</w:t>
      </w:r>
    </w:p>
    <w:p w14:paraId="386E09E3" w14:textId="77777777" w:rsidR="004A59A1" w:rsidRPr="00561601" w:rsidRDefault="004A59A1" w:rsidP="004A59A1">
      <w:pPr>
        <w:numPr>
          <w:ilvl w:val="0"/>
          <w:numId w:val="11"/>
        </w:numPr>
        <w:tabs>
          <w:tab w:val="clear" w:pos="567"/>
        </w:tabs>
        <w:overflowPunct w:val="0"/>
        <w:autoSpaceDE w:val="0"/>
        <w:autoSpaceDN w:val="0"/>
        <w:adjustRightInd w:val="0"/>
        <w:spacing w:line="240" w:lineRule="auto"/>
        <w:ind w:left="357" w:hanging="357"/>
        <w:textAlignment w:val="baseline"/>
        <w:rPr>
          <w:snapToGrid/>
          <w:szCs w:val="22"/>
          <w:lang w:val="lt-LT" w:eastAsia="de-DE"/>
        </w:rPr>
      </w:pPr>
      <w:r w:rsidRPr="00561601">
        <w:rPr>
          <w:rFonts w:cs="Arial"/>
          <w:b/>
          <w:bCs/>
          <w:snapToGrid/>
          <w:szCs w:val="22"/>
          <w:lang w:val="lt-LT" w:eastAsia="de-DE"/>
        </w:rPr>
        <w:t>vėjaraupių</w:t>
      </w:r>
      <w:r w:rsidRPr="00561601">
        <w:rPr>
          <w:rFonts w:cs="Arial"/>
          <w:snapToGrid/>
          <w:szCs w:val="22"/>
          <w:lang w:val="lt-LT" w:eastAsia="de-DE"/>
        </w:rPr>
        <w:t>.</w:t>
      </w:r>
    </w:p>
    <w:p w14:paraId="707E2A45" w14:textId="5A65C399" w:rsidR="004A59A1" w:rsidRPr="00561601" w:rsidRDefault="004A59A1" w:rsidP="004A59A1">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Sulašinus </w:t>
      </w:r>
      <w:proofErr w:type="spellStart"/>
      <w:r w:rsidR="00E47068">
        <w:rPr>
          <w:rFonts w:cs="Arial"/>
          <w:snapToGrid/>
          <w:szCs w:val="22"/>
          <w:lang w:val="lt-LT" w:eastAsia="de-DE"/>
        </w:rPr>
        <w:t>Cymvigo</w:t>
      </w:r>
      <w:proofErr w:type="spellEnd"/>
      <w:r w:rsidRPr="00561601">
        <w:rPr>
          <w:rFonts w:cs="Arial"/>
          <w:snapToGrid/>
          <w:szCs w:val="22"/>
          <w:lang w:val="lt-LT" w:eastAsia="de-DE"/>
        </w:rPr>
        <w:t>, gali tekti palaukti iki 3 mėnesių, kol galėsite pasiskiepyti kai kuriomis vakcinomis, ir iki metų, kol galėsite pasiskiepyti nuo tymų.</w:t>
      </w:r>
    </w:p>
    <w:p w14:paraId="33288CFB" w14:textId="77777777" w:rsidR="004A59A1" w:rsidRPr="00561601" w:rsidRDefault="004A59A1" w:rsidP="004A59A1">
      <w:pPr>
        <w:tabs>
          <w:tab w:val="clear" w:pos="567"/>
        </w:tabs>
        <w:overflowPunct w:val="0"/>
        <w:autoSpaceDE w:val="0"/>
        <w:autoSpaceDN w:val="0"/>
        <w:adjustRightInd w:val="0"/>
        <w:spacing w:line="240" w:lineRule="auto"/>
        <w:textAlignment w:val="baseline"/>
        <w:rPr>
          <w:snapToGrid/>
          <w:szCs w:val="22"/>
          <w:lang w:val="lt-LT" w:eastAsia="de-DE"/>
        </w:rPr>
      </w:pPr>
    </w:p>
    <w:p w14:paraId="35B55306" w14:textId="603E12FD" w:rsidR="004A59A1" w:rsidRPr="00561601" w:rsidRDefault="004A59A1" w:rsidP="004A59A1">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Kartu su </w:t>
      </w:r>
      <w:proofErr w:type="spellStart"/>
      <w:r w:rsidR="00E47068">
        <w:rPr>
          <w:rFonts w:cs="Arial"/>
          <w:snapToGrid/>
          <w:szCs w:val="22"/>
          <w:lang w:val="lt-LT" w:eastAsia="de-DE"/>
        </w:rPr>
        <w:t>Cymvigo</w:t>
      </w:r>
      <w:proofErr w:type="spellEnd"/>
      <w:r w:rsidRPr="00561601">
        <w:rPr>
          <w:rFonts w:cs="Arial"/>
          <w:snapToGrid/>
          <w:szCs w:val="22"/>
          <w:lang w:val="lt-LT" w:eastAsia="de-DE"/>
        </w:rPr>
        <w:t xml:space="preserve"> ne</w:t>
      </w:r>
      <w:r w:rsidR="00723904">
        <w:rPr>
          <w:rFonts w:cs="Arial"/>
          <w:snapToGrid/>
          <w:szCs w:val="22"/>
          <w:lang w:val="lt-LT" w:eastAsia="de-DE"/>
        </w:rPr>
        <w:t>vartokite</w:t>
      </w:r>
      <w:r w:rsidRPr="00561601">
        <w:rPr>
          <w:rFonts w:cs="Arial"/>
          <w:snapToGrid/>
          <w:szCs w:val="22"/>
          <w:lang w:val="lt-LT" w:eastAsia="de-DE"/>
        </w:rPr>
        <w:t xml:space="preserve"> kilpinių diuretikų (šlapimo išsiskyrimą skatinančių vaistų).</w:t>
      </w:r>
    </w:p>
    <w:p w14:paraId="083EDEDB" w14:textId="77777777" w:rsidR="004A59A1" w:rsidRPr="00561601" w:rsidRDefault="004A59A1" w:rsidP="004A59A1">
      <w:pPr>
        <w:tabs>
          <w:tab w:val="clear" w:pos="567"/>
        </w:tabs>
        <w:overflowPunct w:val="0"/>
        <w:autoSpaceDE w:val="0"/>
        <w:autoSpaceDN w:val="0"/>
        <w:adjustRightInd w:val="0"/>
        <w:spacing w:line="240" w:lineRule="auto"/>
        <w:textAlignment w:val="baseline"/>
        <w:rPr>
          <w:snapToGrid/>
          <w:szCs w:val="22"/>
          <w:lang w:val="lt-LT" w:eastAsia="de-DE"/>
        </w:rPr>
      </w:pPr>
    </w:p>
    <w:p w14:paraId="6EF82A95" w14:textId="77777777" w:rsidR="00056AC0" w:rsidRPr="00561601" w:rsidRDefault="00056AC0" w:rsidP="00056AC0">
      <w:pPr>
        <w:pStyle w:val="Antrat4"/>
        <w:rPr>
          <w:rFonts w:ascii="Times New Roman" w:hAnsi="Times New Roman"/>
          <w:b w:val="0"/>
          <w:sz w:val="22"/>
          <w:u w:val="single"/>
          <w:lang w:val="lt-LT"/>
        </w:rPr>
      </w:pPr>
      <w:r w:rsidRPr="00561601">
        <w:rPr>
          <w:rFonts w:ascii="Times New Roman" w:hAnsi="Times New Roman"/>
          <w:b w:val="0"/>
          <w:sz w:val="22"/>
          <w:u w:val="single"/>
          <w:lang w:val="lt-LT"/>
        </w:rPr>
        <w:t>Vaikams ir paaugliams</w:t>
      </w:r>
    </w:p>
    <w:p w14:paraId="41868AB8" w14:textId="486B5ED5" w:rsidR="004A59A1" w:rsidRPr="00561601" w:rsidRDefault="004A59A1" w:rsidP="004A59A1">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Tik</w:t>
      </w:r>
      <w:r w:rsidR="00723904">
        <w:rPr>
          <w:rFonts w:cs="Arial"/>
          <w:snapToGrid/>
          <w:szCs w:val="22"/>
          <w:lang w:val="lt-LT" w:eastAsia="de-DE"/>
        </w:rPr>
        <w:t>ėtina</w:t>
      </w:r>
      <w:r w:rsidRPr="00561601">
        <w:rPr>
          <w:rFonts w:cs="Arial"/>
          <w:snapToGrid/>
          <w:szCs w:val="22"/>
          <w:lang w:val="lt-LT" w:eastAsia="de-DE"/>
        </w:rPr>
        <w:t>, kad suaugusiesiems išvardytos sąveikos bus tokios pačios vaikams ir paaugliams.</w:t>
      </w:r>
    </w:p>
    <w:p w14:paraId="61848098" w14:textId="77777777" w:rsidR="004A59A1" w:rsidRPr="00561601" w:rsidRDefault="004A59A1" w:rsidP="00F34163">
      <w:pPr>
        <w:numPr>
          <w:ilvl w:val="12"/>
          <w:numId w:val="0"/>
        </w:numPr>
        <w:tabs>
          <w:tab w:val="clear" w:pos="567"/>
        </w:tabs>
        <w:spacing w:line="240" w:lineRule="auto"/>
        <w:ind w:right="-2"/>
        <w:rPr>
          <w:szCs w:val="24"/>
          <w:lang w:val="lt-LT"/>
        </w:rPr>
      </w:pPr>
    </w:p>
    <w:p w14:paraId="3346398F" w14:textId="77777777"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Nėštumas</w:t>
      </w:r>
      <w:r w:rsidR="00056AC0" w:rsidRPr="00561601">
        <w:rPr>
          <w:rFonts w:ascii="Times New Roman" w:hAnsi="Times New Roman"/>
          <w:sz w:val="22"/>
          <w:lang w:val="lt-LT"/>
        </w:rPr>
        <w:t xml:space="preserve">, </w:t>
      </w:r>
      <w:r w:rsidRPr="00561601">
        <w:rPr>
          <w:rFonts w:ascii="Times New Roman" w:hAnsi="Times New Roman"/>
          <w:sz w:val="22"/>
          <w:lang w:val="lt-LT"/>
        </w:rPr>
        <w:t>žindymo laikotarpis ir vaisingumas</w:t>
      </w:r>
    </w:p>
    <w:p w14:paraId="281B03D5" w14:textId="77777777" w:rsidR="00F34163" w:rsidRPr="00561601" w:rsidRDefault="00F34163" w:rsidP="00F34163">
      <w:pPr>
        <w:numPr>
          <w:ilvl w:val="12"/>
          <w:numId w:val="0"/>
        </w:numPr>
        <w:tabs>
          <w:tab w:val="clear" w:pos="567"/>
        </w:tabs>
        <w:spacing w:line="240" w:lineRule="auto"/>
        <w:rPr>
          <w:noProof/>
          <w:szCs w:val="24"/>
          <w:lang w:val="lt-LT"/>
        </w:rPr>
      </w:pPr>
      <w:r w:rsidRPr="00561601">
        <w:rPr>
          <w:noProof/>
          <w:szCs w:val="24"/>
          <w:lang w:val="lt-LT"/>
        </w:rPr>
        <w:t>Jeigu esate nėščia, žindote kūdikį, manote, kad galbūt esate nėščia, arba planuojate pastoti, tai prieš vartodama šį vaistą, pasitarkite su gydytoju</w:t>
      </w:r>
      <w:r w:rsidR="00056AC0" w:rsidRPr="00561601">
        <w:rPr>
          <w:noProof/>
          <w:szCs w:val="24"/>
          <w:lang w:val="lt-LT"/>
        </w:rPr>
        <w:t xml:space="preserve"> </w:t>
      </w:r>
      <w:r w:rsidRPr="00561601">
        <w:rPr>
          <w:noProof/>
          <w:szCs w:val="24"/>
          <w:lang w:val="lt-LT"/>
        </w:rPr>
        <w:t>arba</w:t>
      </w:r>
      <w:r w:rsidR="00056AC0" w:rsidRPr="00561601">
        <w:rPr>
          <w:noProof/>
          <w:szCs w:val="24"/>
          <w:lang w:val="lt-LT"/>
        </w:rPr>
        <w:t xml:space="preserve"> </w:t>
      </w:r>
      <w:r w:rsidRPr="00561601">
        <w:rPr>
          <w:noProof/>
          <w:szCs w:val="24"/>
          <w:lang w:val="lt-LT"/>
        </w:rPr>
        <w:t>vaistininku</w:t>
      </w:r>
      <w:r w:rsidR="00056AC0" w:rsidRPr="00561601">
        <w:rPr>
          <w:noProof/>
          <w:szCs w:val="24"/>
          <w:lang w:val="lt-LT"/>
        </w:rPr>
        <w:t>.</w:t>
      </w:r>
    </w:p>
    <w:p w14:paraId="2F6ED6E6" w14:textId="77777777" w:rsidR="00056AC0" w:rsidRPr="00561601" w:rsidRDefault="00056AC0" w:rsidP="00F34163">
      <w:pPr>
        <w:numPr>
          <w:ilvl w:val="12"/>
          <w:numId w:val="0"/>
        </w:numPr>
        <w:tabs>
          <w:tab w:val="clear" w:pos="567"/>
        </w:tabs>
        <w:spacing w:line="240" w:lineRule="auto"/>
        <w:rPr>
          <w:szCs w:val="24"/>
          <w:lang w:val="lt-LT"/>
        </w:rPr>
      </w:pPr>
    </w:p>
    <w:p w14:paraId="4A370B33" w14:textId="5A21F2EF" w:rsidR="00056AC0" w:rsidRPr="00561601" w:rsidRDefault="00056AC0" w:rsidP="00056AC0">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Gydytojas nuspręs, ar </w:t>
      </w:r>
      <w:proofErr w:type="spellStart"/>
      <w:r w:rsidR="00E47068">
        <w:rPr>
          <w:rFonts w:cs="Arial"/>
          <w:snapToGrid/>
          <w:szCs w:val="22"/>
          <w:lang w:val="lt-LT" w:eastAsia="de-DE"/>
        </w:rPr>
        <w:t>Cymvigo</w:t>
      </w:r>
      <w:proofErr w:type="spellEnd"/>
      <w:r w:rsidRPr="00561601">
        <w:rPr>
          <w:rFonts w:cs="Arial"/>
          <w:snapToGrid/>
          <w:szCs w:val="22"/>
          <w:lang w:val="lt-LT" w:eastAsia="de-DE"/>
        </w:rPr>
        <w:t xml:space="preserve"> galima vartoti nėštumo ir žindymo laikotarpiu.</w:t>
      </w:r>
    </w:p>
    <w:p w14:paraId="3CB56E9B" w14:textId="77777777" w:rsidR="00056AC0" w:rsidRPr="00561601" w:rsidRDefault="00056AC0" w:rsidP="00056AC0">
      <w:pPr>
        <w:tabs>
          <w:tab w:val="clear" w:pos="567"/>
        </w:tabs>
        <w:overflowPunct w:val="0"/>
        <w:autoSpaceDE w:val="0"/>
        <w:autoSpaceDN w:val="0"/>
        <w:adjustRightInd w:val="0"/>
        <w:spacing w:line="240" w:lineRule="auto"/>
        <w:textAlignment w:val="baseline"/>
        <w:rPr>
          <w:snapToGrid/>
          <w:szCs w:val="22"/>
          <w:lang w:val="lt-LT" w:eastAsia="de-DE"/>
        </w:rPr>
      </w:pPr>
    </w:p>
    <w:p w14:paraId="17610A4D" w14:textId="77777777"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Vairavimas ir mechanizmų valdymas</w:t>
      </w:r>
    </w:p>
    <w:p w14:paraId="00D4E539" w14:textId="6371A7B1" w:rsidR="00056AC0" w:rsidRPr="00561601" w:rsidRDefault="00E47068" w:rsidP="00056AC0">
      <w:pPr>
        <w:tabs>
          <w:tab w:val="clear" w:pos="567"/>
        </w:tabs>
        <w:overflowPunct w:val="0"/>
        <w:autoSpaceDE w:val="0"/>
        <w:autoSpaceDN w:val="0"/>
        <w:adjustRightInd w:val="0"/>
        <w:spacing w:line="240" w:lineRule="auto"/>
        <w:textAlignment w:val="baseline"/>
        <w:rPr>
          <w:snapToGrid/>
          <w:szCs w:val="22"/>
          <w:lang w:val="lt-LT" w:eastAsia="de-DE"/>
        </w:rPr>
      </w:pPr>
      <w:proofErr w:type="spellStart"/>
      <w:r>
        <w:rPr>
          <w:rFonts w:cs="Arial"/>
          <w:snapToGrid/>
          <w:szCs w:val="22"/>
          <w:lang w:val="lt-LT" w:eastAsia="de-DE"/>
        </w:rPr>
        <w:t>Cymvigo</w:t>
      </w:r>
      <w:proofErr w:type="spellEnd"/>
      <w:r w:rsidR="00056AC0" w:rsidRPr="00561601">
        <w:rPr>
          <w:rFonts w:cs="Arial"/>
          <w:snapToGrid/>
          <w:szCs w:val="22"/>
          <w:lang w:val="lt-LT" w:eastAsia="de-DE"/>
        </w:rPr>
        <w:t xml:space="preserve"> gebėjimą vairuoti ir valdyti mechanizmus veikia silpnai. Jei gydymo metu pasireiškė šalutinis poveikis, prieš vairuodami ar valdydami mechanizmus palaukite, kol jis praeis.</w:t>
      </w:r>
    </w:p>
    <w:p w14:paraId="026A667F" w14:textId="77777777" w:rsidR="00F34163" w:rsidRPr="00561601" w:rsidRDefault="00F34163" w:rsidP="00F34163">
      <w:pPr>
        <w:numPr>
          <w:ilvl w:val="12"/>
          <w:numId w:val="0"/>
        </w:numPr>
        <w:tabs>
          <w:tab w:val="clear" w:pos="567"/>
        </w:tabs>
        <w:spacing w:line="240" w:lineRule="auto"/>
        <w:ind w:right="-2"/>
        <w:rPr>
          <w:szCs w:val="24"/>
          <w:lang w:val="lt-LT"/>
        </w:rPr>
      </w:pPr>
    </w:p>
    <w:p w14:paraId="46EABEC0" w14:textId="77777777" w:rsidR="00F34163" w:rsidRPr="00561601" w:rsidRDefault="00F34163" w:rsidP="00F34163">
      <w:pPr>
        <w:numPr>
          <w:ilvl w:val="12"/>
          <w:numId w:val="0"/>
        </w:numPr>
        <w:tabs>
          <w:tab w:val="clear" w:pos="567"/>
        </w:tabs>
        <w:spacing w:line="240" w:lineRule="auto"/>
        <w:ind w:right="-2"/>
        <w:rPr>
          <w:szCs w:val="24"/>
          <w:lang w:val="lt-LT"/>
        </w:rPr>
      </w:pPr>
    </w:p>
    <w:p w14:paraId="36A49BF6" w14:textId="1A3B2E95" w:rsidR="00F34163" w:rsidRPr="00561601" w:rsidRDefault="00F34163" w:rsidP="00F34163">
      <w:pPr>
        <w:pStyle w:val="Antrat3"/>
        <w:spacing w:before="0" w:after="0" w:line="240" w:lineRule="auto"/>
        <w:rPr>
          <w:rFonts w:ascii="Times New Roman" w:hAnsi="Times New Roman"/>
          <w:sz w:val="22"/>
          <w:lang w:val="lt-LT"/>
        </w:rPr>
      </w:pPr>
      <w:r w:rsidRPr="00561601">
        <w:rPr>
          <w:rFonts w:ascii="Times New Roman" w:hAnsi="Times New Roman"/>
          <w:sz w:val="22"/>
          <w:lang w:val="lt-LT"/>
        </w:rPr>
        <w:t>3.</w:t>
      </w:r>
      <w:r w:rsidRPr="00561601">
        <w:rPr>
          <w:rFonts w:ascii="Times New Roman" w:hAnsi="Times New Roman"/>
          <w:sz w:val="22"/>
          <w:lang w:val="lt-LT"/>
        </w:rPr>
        <w:tab/>
        <w:t xml:space="preserve">Kaip vartoti </w:t>
      </w:r>
      <w:proofErr w:type="spellStart"/>
      <w:r w:rsidR="00E47068">
        <w:rPr>
          <w:rFonts w:ascii="Times New Roman" w:hAnsi="Times New Roman" w:cs="Arial"/>
          <w:bCs w:val="0"/>
          <w:snapToGrid/>
          <w:sz w:val="22"/>
          <w:szCs w:val="22"/>
          <w:lang w:val="lt-LT" w:eastAsia="de-DE"/>
        </w:rPr>
        <w:t>Cymvigo</w:t>
      </w:r>
      <w:proofErr w:type="spellEnd"/>
    </w:p>
    <w:p w14:paraId="63FFED2E" w14:textId="77777777" w:rsidR="00F34163" w:rsidRPr="00561601" w:rsidRDefault="00F34163" w:rsidP="00F34163">
      <w:pPr>
        <w:numPr>
          <w:ilvl w:val="12"/>
          <w:numId w:val="0"/>
        </w:numPr>
        <w:tabs>
          <w:tab w:val="clear" w:pos="567"/>
        </w:tabs>
        <w:spacing w:line="240" w:lineRule="auto"/>
        <w:ind w:right="-2"/>
        <w:rPr>
          <w:szCs w:val="24"/>
          <w:lang w:val="lt-LT"/>
        </w:rPr>
      </w:pPr>
    </w:p>
    <w:p w14:paraId="6C3ADC1E" w14:textId="70B4C35C" w:rsidR="00056AC0" w:rsidRPr="00561601" w:rsidRDefault="00E47068" w:rsidP="00056AC0">
      <w:pPr>
        <w:tabs>
          <w:tab w:val="clear" w:pos="567"/>
        </w:tabs>
        <w:overflowPunct w:val="0"/>
        <w:autoSpaceDE w:val="0"/>
        <w:autoSpaceDN w:val="0"/>
        <w:adjustRightInd w:val="0"/>
        <w:spacing w:line="240" w:lineRule="auto"/>
        <w:textAlignment w:val="baseline"/>
        <w:rPr>
          <w:snapToGrid/>
          <w:szCs w:val="22"/>
          <w:lang w:val="lt-LT" w:eastAsia="de-DE"/>
        </w:rPr>
      </w:pPr>
      <w:proofErr w:type="spellStart"/>
      <w:r>
        <w:rPr>
          <w:rFonts w:cs="Arial"/>
          <w:snapToGrid/>
          <w:szCs w:val="22"/>
          <w:lang w:val="lt-LT" w:eastAsia="de-DE"/>
        </w:rPr>
        <w:t>Cymvigo</w:t>
      </w:r>
      <w:proofErr w:type="spellEnd"/>
      <w:r w:rsidR="00056AC0" w:rsidRPr="00561601">
        <w:rPr>
          <w:rFonts w:cs="Arial"/>
          <w:snapToGrid/>
          <w:szCs w:val="22"/>
          <w:lang w:val="lt-LT" w:eastAsia="de-DE"/>
        </w:rPr>
        <w:t xml:space="preserve"> Jums skirs gyd</w:t>
      </w:r>
      <w:r w:rsidR="00723904">
        <w:rPr>
          <w:rFonts w:cs="Arial"/>
          <w:snapToGrid/>
          <w:szCs w:val="22"/>
          <w:lang w:val="lt-LT" w:eastAsia="de-DE"/>
        </w:rPr>
        <w:t>ymą prižiūrintis</w:t>
      </w:r>
      <w:r w:rsidR="00056AC0" w:rsidRPr="00561601">
        <w:rPr>
          <w:rFonts w:cs="Arial"/>
          <w:snapToGrid/>
          <w:szCs w:val="22"/>
          <w:lang w:val="lt-LT" w:eastAsia="de-DE"/>
        </w:rPr>
        <w:t xml:space="preserve"> gydytojas.</w:t>
      </w:r>
    </w:p>
    <w:p w14:paraId="291B6602" w14:textId="77777777" w:rsidR="00056AC0" w:rsidRPr="00561601" w:rsidRDefault="00056AC0" w:rsidP="00056AC0">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Suaugusiesiems, vaikams ir paaugliams rekomenduojama paros dozė yra 1 ml 1 kg kūno svorio.</w:t>
      </w:r>
    </w:p>
    <w:p w14:paraId="1B251EFD" w14:textId="77777777" w:rsidR="00056AC0" w:rsidRPr="00561601" w:rsidRDefault="00056AC0" w:rsidP="00056AC0">
      <w:pPr>
        <w:tabs>
          <w:tab w:val="clear" w:pos="567"/>
        </w:tabs>
        <w:overflowPunct w:val="0"/>
        <w:autoSpaceDE w:val="0"/>
        <w:autoSpaceDN w:val="0"/>
        <w:adjustRightInd w:val="0"/>
        <w:spacing w:line="240" w:lineRule="auto"/>
        <w:textAlignment w:val="baseline"/>
        <w:rPr>
          <w:snapToGrid/>
          <w:szCs w:val="22"/>
          <w:lang w:val="lt-LT" w:eastAsia="de-DE"/>
        </w:rPr>
      </w:pPr>
    </w:p>
    <w:p w14:paraId="7A229597" w14:textId="61B7905D" w:rsidR="00056AC0" w:rsidRPr="00561601" w:rsidRDefault="00056AC0" w:rsidP="00056AC0">
      <w:pPr>
        <w:tabs>
          <w:tab w:val="clear" w:pos="567"/>
          <w:tab w:val="center" w:pos="4536"/>
          <w:tab w:val="right" w:pos="9072"/>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Iš viso šis vaistas bus skiriamas mažiausiai 6 kartus kas 2–3 savaites. Jūsų gydytojas nuspręs, kiek tiksliai infuzijų </w:t>
      </w:r>
      <w:r w:rsidR="00723904">
        <w:rPr>
          <w:rFonts w:cs="Arial"/>
          <w:snapToGrid/>
          <w:szCs w:val="22"/>
          <w:lang w:val="lt-LT" w:eastAsia="de-DE"/>
        </w:rPr>
        <w:t>J</w:t>
      </w:r>
      <w:r w:rsidR="00723904" w:rsidRPr="00561601">
        <w:rPr>
          <w:rFonts w:cs="Arial"/>
          <w:snapToGrid/>
          <w:szCs w:val="22"/>
          <w:lang w:val="lt-LT" w:eastAsia="de-DE"/>
        </w:rPr>
        <w:t xml:space="preserve">ums </w:t>
      </w:r>
      <w:r w:rsidRPr="00561601">
        <w:rPr>
          <w:rFonts w:cs="Arial"/>
          <w:snapToGrid/>
          <w:szCs w:val="22"/>
          <w:lang w:val="lt-LT" w:eastAsia="de-DE"/>
        </w:rPr>
        <w:t>reikės ir kada pradėti gydymą.</w:t>
      </w:r>
    </w:p>
    <w:p w14:paraId="1BD1BF37" w14:textId="77777777" w:rsidR="00056AC0" w:rsidRPr="00561601" w:rsidRDefault="00056AC0" w:rsidP="00056AC0">
      <w:pPr>
        <w:tabs>
          <w:tab w:val="clear" w:pos="567"/>
          <w:tab w:val="center" w:pos="4536"/>
          <w:tab w:val="right" w:pos="9072"/>
        </w:tabs>
        <w:overflowPunct w:val="0"/>
        <w:autoSpaceDE w:val="0"/>
        <w:autoSpaceDN w:val="0"/>
        <w:adjustRightInd w:val="0"/>
        <w:spacing w:line="240" w:lineRule="auto"/>
        <w:textAlignment w:val="baseline"/>
        <w:rPr>
          <w:snapToGrid/>
          <w:szCs w:val="22"/>
          <w:lang w:val="lt-LT" w:eastAsia="de-DE"/>
        </w:rPr>
      </w:pPr>
    </w:p>
    <w:p w14:paraId="58A1501C" w14:textId="5A2A2802" w:rsidR="00056AC0" w:rsidRPr="00561601" w:rsidRDefault="00E47068" w:rsidP="00056AC0">
      <w:pPr>
        <w:tabs>
          <w:tab w:val="clear" w:pos="567"/>
        </w:tabs>
        <w:overflowPunct w:val="0"/>
        <w:autoSpaceDE w:val="0"/>
        <w:autoSpaceDN w:val="0"/>
        <w:adjustRightInd w:val="0"/>
        <w:spacing w:line="240" w:lineRule="auto"/>
        <w:textAlignment w:val="baseline"/>
        <w:rPr>
          <w:snapToGrid/>
          <w:szCs w:val="22"/>
          <w:lang w:val="lt-LT" w:eastAsia="de-DE"/>
        </w:rPr>
      </w:pPr>
      <w:proofErr w:type="spellStart"/>
      <w:r>
        <w:rPr>
          <w:rFonts w:cs="Arial"/>
          <w:snapToGrid/>
          <w:szCs w:val="22"/>
          <w:lang w:val="lt-LT" w:eastAsia="de-DE"/>
        </w:rPr>
        <w:t>Cymvigo</w:t>
      </w:r>
      <w:proofErr w:type="spellEnd"/>
      <w:r w:rsidR="00056AC0" w:rsidRPr="00561601">
        <w:rPr>
          <w:rFonts w:cs="Arial"/>
          <w:snapToGrid/>
          <w:szCs w:val="22"/>
          <w:lang w:val="lt-LT" w:eastAsia="de-DE"/>
        </w:rPr>
        <w:t xml:space="preserve"> bus lašinamas (infuzijos būdu) į veną. Prieš vartojimą vaistą reikia atšildyti iki kambario arba kūno temperatūros</w:t>
      </w:r>
      <w:r w:rsidR="00056AC0" w:rsidRPr="00561601">
        <w:rPr>
          <w:rFonts w:ascii="Arial" w:hAnsi="Arial" w:cs="Arial"/>
          <w:snapToGrid/>
          <w:szCs w:val="22"/>
          <w:lang w:val="lt-LT" w:eastAsia="de-DE"/>
        </w:rPr>
        <w:t>.</w:t>
      </w:r>
    </w:p>
    <w:p w14:paraId="3F8B25AD" w14:textId="77777777" w:rsidR="00056AC0" w:rsidRPr="00561601" w:rsidRDefault="00056AC0" w:rsidP="00056AC0">
      <w:pPr>
        <w:tabs>
          <w:tab w:val="clear" w:pos="567"/>
        </w:tabs>
        <w:overflowPunct w:val="0"/>
        <w:autoSpaceDE w:val="0"/>
        <w:autoSpaceDN w:val="0"/>
        <w:adjustRightInd w:val="0"/>
        <w:spacing w:line="240" w:lineRule="auto"/>
        <w:textAlignment w:val="baseline"/>
        <w:rPr>
          <w:snapToGrid/>
          <w:szCs w:val="22"/>
          <w:lang w:val="lt-LT" w:eastAsia="de-DE"/>
        </w:rPr>
      </w:pPr>
    </w:p>
    <w:p w14:paraId="58314014" w14:textId="28FD3682" w:rsidR="00056AC0" w:rsidRPr="00561601" w:rsidRDefault="00056AC0" w:rsidP="00056AC0">
      <w:pPr>
        <w:tabs>
          <w:tab w:val="clear" w:pos="567"/>
        </w:tabs>
        <w:overflowPunct w:val="0"/>
        <w:autoSpaceDE w:val="0"/>
        <w:autoSpaceDN w:val="0"/>
        <w:adjustRightInd w:val="0"/>
        <w:spacing w:line="240" w:lineRule="auto"/>
        <w:textAlignment w:val="baseline"/>
        <w:rPr>
          <w:b/>
          <w:bCs/>
          <w:snapToGrid/>
          <w:szCs w:val="22"/>
          <w:lang w:val="lt-LT" w:eastAsia="de-DE"/>
        </w:rPr>
      </w:pPr>
      <w:r w:rsidRPr="00561601">
        <w:rPr>
          <w:rFonts w:cs="Arial"/>
          <w:b/>
          <w:snapToGrid/>
          <w:szCs w:val="22"/>
          <w:lang w:val="lt-LT" w:eastAsia="de-DE"/>
        </w:rPr>
        <w:t xml:space="preserve">Jeigu Jums buvo skirta daugiau </w:t>
      </w:r>
      <w:proofErr w:type="spellStart"/>
      <w:r w:rsidR="00E47068">
        <w:rPr>
          <w:rFonts w:cs="Arial"/>
          <w:b/>
          <w:snapToGrid/>
          <w:szCs w:val="22"/>
          <w:lang w:val="lt-LT" w:eastAsia="de-DE"/>
        </w:rPr>
        <w:t>Cymvigo</w:t>
      </w:r>
      <w:proofErr w:type="spellEnd"/>
      <w:r w:rsidRPr="00561601">
        <w:rPr>
          <w:rFonts w:cs="Arial"/>
          <w:b/>
          <w:snapToGrid/>
          <w:szCs w:val="22"/>
          <w:lang w:val="lt-LT" w:eastAsia="de-DE"/>
        </w:rPr>
        <w:t>, nei reikėjo</w:t>
      </w:r>
    </w:p>
    <w:p w14:paraId="74741E1F" w14:textId="29A4212C" w:rsidR="00056AC0" w:rsidRPr="00561601" w:rsidRDefault="00056AC0" w:rsidP="00056AC0">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Per daug </w:t>
      </w:r>
      <w:proofErr w:type="spellStart"/>
      <w:r w:rsidR="00E47068">
        <w:rPr>
          <w:rFonts w:cs="Arial"/>
          <w:snapToGrid/>
          <w:szCs w:val="22"/>
          <w:lang w:val="lt-LT" w:eastAsia="de-DE"/>
        </w:rPr>
        <w:t>Cymvigo</w:t>
      </w:r>
      <w:proofErr w:type="spellEnd"/>
      <w:r w:rsidRPr="00561601">
        <w:rPr>
          <w:rFonts w:cs="Arial"/>
          <w:snapToGrid/>
          <w:szCs w:val="22"/>
          <w:lang w:val="lt-LT" w:eastAsia="de-DE"/>
        </w:rPr>
        <w:t xml:space="preserve"> gali sukelti </w:t>
      </w:r>
      <w:r w:rsidR="00723904" w:rsidRPr="00561601">
        <w:rPr>
          <w:rFonts w:cs="Arial"/>
          <w:snapToGrid/>
          <w:szCs w:val="22"/>
          <w:lang w:val="lt-LT" w:eastAsia="de-DE"/>
        </w:rPr>
        <w:t>skysči</w:t>
      </w:r>
      <w:r w:rsidR="00723904">
        <w:rPr>
          <w:rFonts w:cs="Arial"/>
          <w:snapToGrid/>
          <w:szCs w:val="22"/>
          <w:lang w:val="lt-LT" w:eastAsia="de-DE"/>
        </w:rPr>
        <w:t>o</w:t>
      </w:r>
      <w:r w:rsidR="00723904" w:rsidRPr="00561601">
        <w:rPr>
          <w:rFonts w:cs="Arial"/>
          <w:snapToGrid/>
          <w:szCs w:val="22"/>
          <w:lang w:val="lt-LT" w:eastAsia="de-DE"/>
        </w:rPr>
        <w:t xml:space="preserve"> </w:t>
      </w:r>
      <w:r w:rsidRPr="00561601">
        <w:rPr>
          <w:rFonts w:cs="Arial"/>
          <w:snapToGrid/>
          <w:szCs w:val="22"/>
          <w:lang w:val="lt-LT" w:eastAsia="de-DE"/>
        </w:rPr>
        <w:t>perteklių ir padidėjusį kraujo klampumą (sutirštėjimą), ypač jeigu esate vyresnis nei 65 metų ir (arba) sutrikusi širdies ar inkstų funkcija.</w:t>
      </w:r>
    </w:p>
    <w:p w14:paraId="25B489D1" w14:textId="18995C2B" w:rsidR="00056AC0" w:rsidRPr="00561601" w:rsidRDefault="00056AC0" w:rsidP="00056AC0">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Jeigu manote, kad buvo paskirta daugiau </w:t>
      </w:r>
      <w:proofErr w:type="spellStart"/>
      <w:r w:rsidR="00E47068">
        <w:rPr>
          <w:rFonts w:cs="Arial"/>
          <w:snapToGrid/>
          <w:szCs w:val="22"/>
          <w:lang w:val="lt-LT" w:eastAsia="de-DE"/>
        </w:rPr>
        <w:t>Cymvigo</w:t>
      </w:r>
      <w:proofErr w:type="spellEnd"/>
      <w:r w:rsidRPr="00561601">
        <w:rPr>
          <w:rFonts w:cs="Arial"/>
          <w:snapToGrid/>
          <w:szCs w:val="22"/>
          <w:lang w:val="lt-LT" w:eastAsia="de-DE"/>
        </w:rPr>
        <w:t>, nei reikėjo, kuo greičiau kreipkitės į gydytoją.</w:t>
      </w:r>
    </w:p>
    <w:p w14:paraId="1A17E8D3" w14:textId="77777777" w:rsidR="00056AC0" w:rsidRPr="00561601" w:rsidRDefault="00056AC0" w:rsidP="00056AC0">
      <w:pPr>
        <w:tabs>
          <w:tab w:val="clear" w:pos="567"/>
        </w:tabs>
        <w:overflowPunct w:val="0"/>
        <w:autoSpaceDE w:val="0"/>
        <w:autoSpaceDN w:val="0"/>
        <w:adjustRightInd w:val="0"/>
        <w:spacing w:line="240" w:lineRule="auto"/>
        <w:textAlignment w:val="baseline"/>
        <w:rPr>
          <w:snapToGrid/>
          <w:szCs w:val="22"/>
          <w:lang w:val="lt-LT" w:eastAsia="de-DE"/>
        </w:rPr>
      </w:pPr>
    </w:p>
    <w:p w14:paraId="224BAE96" w14:textId="77777777" w:rsidR="00F34163" w:rsidRPr="00561601" w:rsidRDefault="00F34163" w:rsidP="00F34163">
      <w:pPr>
        <w:numPr>
          <w:ilvl w:val="12"/>
          <w:numId w:val="0"/>
        </w:numPr>
        <w:tabs>
          <w:tab w:val="clear" w:pos="567"/>
        </w:tabs>
        <w:spacing w:line="240" w:lineRule="auto"/>
        <w:ind w:right="-29"/>
        <w:rPr>
          <w:szCs w:val="24"/>
          <w:lang w:val="lt-LT"/>
        </w:rPr>
      </w:pPr>
      <w:r w:rsidRPr="00561601">
        <w:rPr>
          <w:noProof/>
          <w:szCs w:val="24"/>
          <w:lang w:val="lt-LT"/>
        </w:rPr>
        <w:t xml:space="preserve">Jeigu kiltų daugiau klausimų dėl šio vaisto vartojimo, kreipkitės į </w:t>
      </w:r>
      <w:r w:rsidR="00056AC0" w:rsidRPr="00561601">
        <w:rPr>
          <w:rFonts w:cs="Arial"/>
          <w:snapToGrid/>
          <w:szCs w:val="22"/>
          <w:lang w:val="lt-LT" w:eastAsia="de-DE"/>
        </w:rPr>
        <w:t>gydytoją, vaistininką arba slaugytoją.</w:t>
      </w:r>
    </w:p>
    <w:p w14:paraId="4C75725B" w14:textId="77777777" w:rsidR="00F34163" w:rsidRPr="00561601" w:rsidRDefault="00F34163" w:rsidP="00F34163">
      <w:pPr>
        <w:numPr>
          <w:ilvl w:val="12"/>
          <w:numId w:val="0"/>
        </w:numPr>
        <w:tabs>
          <w:tab w:val="clear" w:pos="567"/>
        </w:tabs>
        <w:spacing w:line="240" w:lineRule="auto"/>
        <w:rPr>
          <w:szCs w:val="24"/>
          <w:lang w:val="lt-LT"/>
        </w:rPr>
      </w:pPr>
    </w:p>
    <w:p w14:paraId="50B0D9EF" w14:textId="77777777" w:rsidR="00447DE7" w:rsidRPr="00561601" w:rsidRDefault="00447DE7" w:rsidP="00F34163">
      <w:pPr>
        <w:numPr>
          <w:ilvl w:val="12"/>
          <w:numId w:val="0"/>
        </w:numPr>
        <w:tabs>
          <w:tab w:val="clear" w:pos="567"/>
        </w:tabs>
        <w:spacing w:line="240" w:lineRule="auto"/>
        <w:rPr>
          <w:szCs w:val="24"/>
          <w:lang w:val="lt-LT"/>
        </w:rPr>
      </w:pPr>
    </w:p>
    <w:p w14:paraId="2BA58D9A" w14:textId="77777777" w:rsidR="00F34163" w:rsidRPr="00561601" w:rsidRDefault="00F34163" w:rsidP="00F34163">
      <w:pPr>
        <w:pStyle w:val="Antrat3"/>
        <w:spacing w:before="0" w:after="0" w:line="240" w:lineRule="auto"/>
        <w:rPr>
          <w:rFonts w:ascii="Times New Roman" w:hAnsi="Times New Roman"/>
          <w:sz w:val="22"/>
          <w:lang w:val="lt-LT"/>
        </w:rPr>
      </w:pPr>
      <w:r w:rsidRPr="00561601">
        <w:rPr>
          <w:rFonts w:ascii="Times New Roman" w:hAnsi="Times New Roman"/>
          <w:sz w:val="22"/>
          <w:lang w:val="lt-LT"/>
        </w:rPr>
        <w:t>4.</w:t>
      </w:r>
      <w:r w:rsidRPr="00561601">
        <w:rPr>
          <w:rFonts w:ascii="Times New Roman" w:hAnsi="Times New Roman"/>
          <w:sz w:val="22"/>
          <w:lang w:val="lt-LT"/>
        </w:rPr>
        <w:tab/>
        <w:t>Galimas šalutinis poveikis</w:t>
      </w:r>
    </w:p>
    <w:p w14:paraId="09361661" w14:textId="77777777" w:rsidR="00F34163" w:rsidRPr="00561601" w:rsidRDefault="00F34163" w:rsidP="00F34163">
      <w:pPr>
        <w:numPr>
          <w:ilvl w:val="12"/>
          <w:numId w:val="0"/>
        </w:numPr>
        <w:tabs>
          <w:tab w:val="clear" w:pos="567"/>
        </w:tabs>
        <w:spacing w:line="240" w:lineRule="auto"/>
        <w:rPr>
          <w:szCs w:val="24"/>
          <w:lang w:val="lt-LT"/>
        </w:rPr>
      </w:pPr>
    </w:p>
    <w:p w14:paraId="7B053B03" w14:textId="77777777" w:rsidR="00F34163" w:rsidRPr="00561601" w:rsidRDefault="00F34163" w:rsidP="00F34163">
      <w:pPr>
        <w:numPr>
          <w:ilvl w:val="12"/>
          <w:numId w:val="0"/>
        </w:numPr>
        <w:tabs>
          <w:tab w:val="clear" w:pos="567"/>
        </w:tabs>
        <w:spacing w:line="240" w:lineRule="auto"/>
        <w:ind w:right="-29"/>
        <w:rPr>
          <w:szCs w:val="24"/>
          <w:lang w:val="lt-LT"/>
        </w:rPr>
      </w:pPr>
      <w:r w:rsidRPr="00561601">
        <w:rPr>
          <w:noProof/>
          <w:szCs w:val="24"/>
          <w:lang w:val="lt-LT"/>
        </w:rPr>
        <w:t>Šis vaistas, kaip ir visi kiti, gali sukelti šalutinį poveikį, nors jis pasireiškia ne visiems žmonėms.</w:t>
      </w:r>
    </w:p>
    <w:p w14:paraId="12B5CFA3" w14:textId="77777777" w:rsidR="00056AC0" w:rsidRPr="00561601" w:rsidRDefault="00056AC0" w:rsidP="00056AC0">
      <w:pPr>
        <w:tabs>
          <w:tab w:val="clear" w:pos="567"/>
        </w:tabs>
        <w:overflowPunct w:val="0"/>
        <w:autoSpaceDE w:val="0"/>
        <w:autoSpaceDN w:val="0"/>
        <w:adjustRightInd w:val="0"/>
        <w:spacing w:line="240" w:lineRule="auto"/>
        <w:textAlignment w:val="baseline"/>
        <w:rPr>
          <w:rFonts w:cs="Arial"/>
          <w:b/>
          <w:snapToGrid/>
          <w:szCs w:val="22"/>
          <w:lang w:val="lt-LT" w:eastAsia="de-DE"/>
        </w:rPr>
      </w:pPr>
    </w:p>
    <w:p w14:paraId="63EB6945" w14:textId="790E58C3" w:rsidR="00056AC0" w:rsidRPr="00561601" w:rsidRDefault="00056AC0" w:rsidP="00056AC0">
      <w:pPr>
        <w:tabs>
          <w:tab w:val="clear" w:pos="567"/>
        </w:tabs>
        <w:overflowPunct w:val="0"/>
        <w:autoSpaceDE w:val="0"/>
        <w:autoSpaceDN w:val="0"/>
        <w:adjustRightInd w:val="0"/>
        <w:spacing w:line="240" w:lineRule="auto"/>
        <w:textAlignment w:val="baseline"/>
        <w:rPr>
          <w:b/>
          <w:snapToGrid/>
          <w:szCs w:val="22"/>
          <w:lang w:val="lt-LT" w:eastAsia="de-DE"/>
        </w:rPr>
      </w:pPr>
      <w:r w:rsidRPr="00561601">
        <w:rPr>
          <w:rFonts w:cs="Arial"/>
          <w:b/>
          <w:snapToGrid/>
          <w:szCs w:val="22"/>
          <w:lang w:val="lt-LT" w:eastAsia="de-DE"/>
        </w:rPr>
        <w:t xml:space="preserve">Vartojant </w:t>
      </w:r>
      <w:proofErr w:type="spellStart"/>
      <w:r w:rsidR="00E47068">
        <w:rPr>
          <w:rFonts w:cs="Arial"/>
          <w:b/>
          <w:snapToGrid/>
          <w:szCs w:val="22"/>
          <w:lang w:val="lt-LT" w:eastAsia="de-DE"/>
        </w:rPr>
        <w:t>Cymvigo</w:t>
      </w:r>
      <w:proofErr w:type="spellEnd"/>
      <w:r w:rsidRPr="00561601">
        <w:rPr>
          <w:rFonts w:cs="Arial"/>
          <w:b/>
          <w:snapToGrid/>
          <w:szCs w:val="22"/>
          <w:lang w:val="lt-LT" w:eastAsia="de-DE"/>
        </w:rPr>
        <w:t xml:space="preserve"> buvo gauta </w:t>
      </w:r>
      <w:r w:rsidR="00723904">
        <w:rPr>
          <w:rFonts w:cs="Arial"/>
          <w:b/>
          <w:snapToGrid/>
          <w:szCs w:val="22"/>
          <w:lang w:val="lt-LT" w:eastAsia="de-DE"/>
        </w:rPr>
        <w:t xml:space="preserve">savanoriškų </w:t>
      </w:r>
      <w:r w:rsidRPr="00561601">
        <w:rPr>
          <w:rFonts w:cs="Arial"/>
          <w:b/>
          <w:snapToGrid/>
          <w:szCs w:val="22"/>
          <w:lang w:val="lt-LT" w:eastAsia="de-DE"/>
        </w:rPr>
        <w:t xml:space="preserve">pavienių pranešimų apie šį šalutinį poveikį: </w:t>
      </w:r>
    </w:p>
    <w:p w14:paraId="593259BA" w14:textId="77777777" w:rsidR="00056AC0" w:rsidRPr="00561601" w:rsidRDefault="00056AC0" w:rsidP="00056AC0">
      <w:pPr>
        <w:tabs>
          <w:tab w:val="clear" w:pos="567"/>
        </w:tabs>
        <w:overflowPunct w:val="0"/>
        <w:autoSpaceDE w:val="0"/>
        <w:autoSpaceDN w:val="0"/>
        <w:adjustRightInd w:val="0"/>
        <w:spacing w:line="240" w:lineRule="auto"/>
        <w:textAlignment w:val="baseline"/>
        <w:rPr>
          <w:b/>
          <w:snapToGrid/>
          <w:szCs w:val="22"/>
          <w:lang w:val="lt-LT" w:eastAsia="de-DE"/>
        </w:rPr>
      </w:pPr>
      <w:r w:rsidRPr="00561601">
        <w:rPr>
          <w:rFonts w:cs="Arial"/>
          <w:b/>
          <w:snapToGrid/>
          <w:szCs w:val="22"/>
          <w:lang w:val="lt-LT" w:eastAsia="de-DE"/>
        </w:rPr>
        <w:t>Dažnis nežinomas (negali būti apskaičiuotas pagal turimus duomenis)</w:t>
      </w:r>
    </w:p>
    <w:p w14:paraId="7BA9105B" w14:textId="77777777" w:rsidR="00056AC0" w:rsidRPr="00561601" w:rsidRDefault="00056AC0" w:rsidP="00056AC0">
      <w:pPr>
        <w:numPr>
          <w:ilvl w:val="0"/>
          <w:numId w:val="14"/>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sidRPr="00561601">
        <w:rPr>
          <w:rFonts w:cs="Arial"/>
          <w:snapToGrid/>
          <w:szCs w:val="22"/>
          <w:lang w:val="lt-LT" w:eastAsia="de-DE"/>
        </w:rPr>
        <w:t>Anemija (hemolizinė anemija)</w:t>
      </w:r>
    </w:p>
    <w:p w14:paraId="1FE56075" w14:textId="77777777" w:rsidR="00056AC0" w:rsidRPr="00561601" w:rsidRDefault="00056AC0" w:rsidP="00056AC0">
      <w:pPr>
        <w:numPr>
          <w:ilvl w:val="0"/>
          <w:numId w:val="14"/>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sidRPr="00561601">
        <w:rPr>
          <w:rFonts w:cs="Arial"/>
          <w:snapToGrid/>
          <w:szCs w:val="22"/>
          <w:lang w:val="lt-LT" w:eastAsia="de-DE"/>
        </w:rPr>
        <w:t xml:space="preserve">Sunki alerginė reakcija, pvz., anafilaksinis šokas, anafilaksinės reakcijos, </w:t>
      </w:r>
      <w:proofErr w:type="spellStart"/>
      <w:r w:rsidRPr="00561601">
        <w:rPr>
          <w:rFonts w:cs="Arial"/>
          <w:snapToGrid/>
          <w:szCs w:val="22"/>
          <w:lang w:val="lt-LT" w:eastAsia="de-DE"/>
        </w:rPr>
        <w:t>anafilaktoidinės</w:t>
      </w:r>
      <w:proofErr w:type="spellEnd"/>
      <w:r w:rsidRPr="00561601">
        <w:rPr>
          <w:rFonts w:cs="Arial"/>
          <w:snapToGrid/>
          <w:szCs w:val="22"/>
          <w:lang w:val="lt-LT" w:eastAsia="de-DE"/>
        </w:rPr>
        <w:t xml:space="preserve"> reakcijos, padidėjęs jautrumas </w:t>
      </w:r>
    </w:p>
    <w:p w14:paraId="3DB22379" w14:textId="77777777" w:rsidR="00056AC0" w:rsidRPr="00561601" w:rsidRDefault="00056AC0" w:rsidP="00056AC0">
      <w:pPr>
        <w:numPr>
          <w:ilvl w:val="0"/>
          <w:numId w:val="14"/>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sidRPr="00561601">
        <w:rPr>
          <w:rFonts w:cs="Arial"/>
          <w:snapToGrid/>
          <w:szCs w:val="22"/>
          <w:lang w:val="lt-LT" w:eastAsia="de-DE"/>
        </w:rPr>
        <w:t>Galvos skausmas, svaigulys</w:t>
      </w:r>
    </w:p>
    <w:p w14:paraId="7607B0EB" w14:textId="77777777" w:rsidR="00056AC0" w:rsidRPr="00561601" w:rsidRDefault="00056AC0" w:rsidP="00056AC0">
      <w:pPr>
        <w:numPr>
          <w:ilvl w:val="0"/>
          <w:numId w:val="14"/>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sidRPr="00561601">
        <w:rPr>
          <w:rFonts w:cs="Arial"/>
          <w:snapToGrid/>
          <w:szCs w:val="22"/>
          <w:lang w:val="lt-LT" w:eastAsia="de-DE"/>
        </w:rPr>
        <w:t>Vėmimas</w:t>
      </w:r>
    </w:p>
    <w:p w14:paraId="201B3104" w14:textId="77777777" w:rsidR="00056AC0" w:rsidRPr="00561601" w:rsidRDefault="00056AC0" w:rsidP="00056AC0">
      <w:pPr>
        <w:numPr>
          <w:ilvl w:val="0"/>
          <w:numId w:val="14"/>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sidRPr="00561601">
        <w:rPr>
          <w:rFonts w:cs="Arial"/>
          <w:snapToGrid/>
          <w:szCs w:val="22"/>
          <w:lang w:val="lt-LT" w:eastAsia="de-DE"/>
        </w:rPr>
        <w:t>Odos reakcijos, įskaitant išbėrimą, nenormalų odos paraudimą, niežėjimą</w:t>
      </w:r>
    </w:p>
    <w:p w14:paraId="4E3433DA" w14:textId="77777777" w:rsidR="00056AC0" w:rsidRPr="00561601" w:rsidRDefault="00056AC0" w:rsidP="00056AC0">
      <w:pPr>
        <w:numPr>
          <w:ilvl w:val="0"/>
          <w:numId w:val="14"/>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sidRPr="00561601">
        <w:rPr>
          <w:rFonts w:cs="Arial"/>
          <w:snapToGrid/>
          <w:szCs w:val="22"/>
          <w:lang w:val="lt-LT" w:eastAsia="de-DE"/>
        </w:rPr>
        <w:t>Sąnarių skausmas</w:t>
      </w:r>
    </w:p>
    <w:p w14:paraId="43B62463" w14:textId="36703B3C" w:rsidR="00056AC0" w:rsidRPr="00561601" w:rsidRDefault="00723904" w:rsidP="00056AC0">
      <w:pPr>
        <w:numPr>
          <w:ilvl w:val="0"/>
          <w:numId w:val="14"/>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Pr>
          <w:rFonts w:cs="Arial"/>
          <w:snapToGrid/>
          <w:szCs w:val="22"/>
          <w:lang w:val="lt-LT" w:eastAsia="de-DE"/>
        </w:rPr>
        <w:t>K</w:t>
      </w:r>
      <w:r w:rsidRPr="00561601">
        <w:rPr>
          <w:rFonts w:cs="Arial"/>
          <w:snapToGrid/>
          <w:szCs w:val="22"/>
          <w:lang w:val="lt-LT" w:eastAsia="de-DE"/>
        </w:rPr>
        <w:t xml:space="preserve">raujo </w:t>
      </w:r>
      <w:r w:rsidR="00056AC0" w:rsidRPr="00561601">
        <w:rPr>
          <w:rFonts w:cs="Arial"/>
          <w:snapToGrid/>
          <w:szCs w:val="22"/>
          <w:lang w:val="lt-LT" w:eastAsia="de-DE"/>
        </w:rPr>
        <w:t>tyrimų, rodančių, kad inkstų funkcija sutrikusi (padidėjęs kreatinino kiekis serume) ir (arba) ūminis inkstų nepakankamumas, rezultatai</w:t>
      </w:r>
    </w:p>
    <w:p w14:paraId="3D9EBCE9" w14:textId="77777777" w:rsidR="00056AC0" w:rsidRPr="00561601" w:rsidRDefault="00056AC0" w:rsidP="00056AC0">
      <w:pPr>
        <w:numPr>
          <w:ilvl w:val="0"/>
          <w:numId w:val="14"/>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proofErr w:type="spellStart"/>
      <w:r w:rsidRPr="00561601">
        <w:rPr>
          <w:rFonts w:cs="Arial"/>
          <w:snapToGrid/>
          <w:szCs w:val="22"/>
          <w:lang w:val="lt-LT" w:eastAsia="de-DE"/>
        </w:rPr>
        <w:t>Šaltkrėtis</w:t>
      </w:r>
      <w:proofErr w:type="spellEnd"/>
      <w:r w:rsidRPr="00561601">
        <w:rPr>
          <w:rFonts w:cs="Arial"/>
          <w:snapToGrid/>
          <w:szCs w:val="22"/>
          <w:lang w:val="lt-LT" w:eastAsia="de-DE"/>
        </w:rPr>
        <w:t>, karščiavimas, nuovargis</w:t>
      </w:r>
    </w:p>
    <w:p w14:paraId="0DC21369" w14:textId="77777777" w:rsidR="00056AC0" w:rsidRPr="00561601" w:rsidRDefault="00056AC0" w:rsidP="00056AC0">
      <w:pPr>
        <w:tabs>
          <w:tab w:val="clear" w:pos="567"/>
        </w:tabs>
        <w:overflowPunct w:val="0"/>
        <w:autoSpaceDE w:val="0"/>
        <w:autoSpaceDN w:val="0"/>
        <w:adjustRightInd w:val="0"/>
        <w:spacing w:line="240" w:lineRule="auto"/>
        <w:textAlignment w:val="baseline"/>
        <w:rPr>
          <w:snapToGrid/>
          <w:szCs w:val="22"/>
          <w:lang w:val="lt-LT" w:eastAsia="de-DE"/>
        </w:rPr>
      </w:pPr>
    </w:p>
    <w:p w14:paraId="696F51AC" w14:textId="6D468010" w:rsidR="00056AC0" w:rsidRPr="00561601" w:rsidRDefault="00056AC0" w:rsidP="00056AC0">
      <w:pPr>
        <w:tabs>
          <w:tab w:val="clear" w:pos="567"/>
        </w:tabs>
        <w:overflowPunct w:val="0"/>
        <w:autoSpaceDE w:val="0"/>
        <w:autoSpaceDN w:val="0"/>
        <w:adjustRightInd w:val="0"/>
        <w:spacing w:line="240" w:lineRule="auto"/>
        <w:textAlignment w:val="baseline"/>
        <w:rPr>
          <w:b/>
          <w:snapToGrid/>
          <w:szCs w:val="22"/>
          <w:lang w:val="lt-LT" w:eastAsia="de-DE"/>
        </w:rPr>
      </w:pPr>
      <w:r w:rsidRPr="00561601">
        <w:rPr>
          <w:rFonts w:cs="Arial"/>
          <w:b/>
          <w:snapToGrid/>
          <w:szCs w:val="22"/>
          <w:lang w:val="lt-LT" w:eastAsia="de-DE"/>
        </w:rPr>
        <w:t>Žmogaus normaliojo imunoglobulino vaistai</w:t>
      </w:r>
      <w:r w:rsidR="00EB1A01">
        <w:rPr>
          <w:rFonts w:cs="Arial"/>
          <w:b/>
          <w:snapToGrid/>
          <w:szCs w:val="22"/>
          <w:lang w:val="lt-LT" w:eastAsia="de-DE"/>
        </w:rPr>
        <w:t xml:space="preserve"> </w:t>
      </w:r>
      <w:r w:rsidRPr="00561601">
        <w:rPr>
          <w:rFonts w:cs="Arial"/>
          <w:b/>
          <w:snapToGrid/>
          <w:szCs w:val="22"/>
          <w:lang w:val="lt-LT" w:eastAsia="de-DE"/>
        </w:rPr>
        <w:t>apskritai gali sukelti tokį šalutinį poveikį</w:t>
      </w:r>
      <w:r w:rsidR="00C22EF3">
        <w:rPr>
          <w:rFonts w:cs="Arial"/>
          <w:b/>
          <w:snapToGrid/>
          <w:szCs w:val="22"/>
          <w:lang w:val="lt-LT" w:eastAsia="de-DE"/>
        </w:rPr>
        <w:t>, kaip</w:t>
      </w:r>
      <w:r w:rsidRPr="00561601">
        <w:rPr>
          <w:rFonts w:cs="Arial"/>
          <w:b/>
          <w:snapToGrid/>
          <w:szCs w:val="22"/>
          <w:lang w:val="lt-LT" w:eastAsia="de-DE"/>
        </w:rPr>
        <w:t xml:space="preserve"> (</w:t>
      </w:r>
      <w:r w:rsidR="00723904">
        <w:rPr>
          <w:rFonts w:cs="Arial"/>
          <w:b/>
          <w:snapToGrid/>
          <w:szCs w:val="22"/>
          <w:lang w:val="lt-LT" w:eastAsia="de-DE"/>
        </w:rPr>
        <w:t>išvardytas dažnio mažėjimo tvarka</w:t>
      </w:r>
      <w:r w:rsidRPr="00561601">
        <w:rPr>
          <w:rFonts w:cs="Arial"/>
          <w:b/>
          <w:snapToGrid/>
          <w:szCs w:val="22"/>
          <w:lang w:val="lt-LT" w:eastAsia="de-DE"/>
        </w:rPr>
        <w:t>):</w:t>
      </w:r>
    </w:p>
    <w:p w14:paraId="6E9D2BF7" w14:textId="77777777" w:rsidR="00056AC0" w:rsidRPr="00561601" w:rsidRDefault="00056AC0" w:rsidP="00056AC0">
      <w:pPr>
        <w:numPr>
          <w:ilvl w:val="0"/>
          <w:numId w:val="9"/>
        </w:numPr>
        <w:shd w:val="clear" w:color="auto" w:fill="FFFFFF"/>
        <w:tabs>
          <w:tab w:val="clear" w:pos="567"/>
        </w:tabs>
        <w:overflowPunct w:val="0"/>
        <w:autoSpaceDE w:val="0"/>
        <w:autoSpaceDN w:val="0"/>
        <w:adjustRightInd w:val="0"/>
        <w:spacing w:line="240" w:lineRule="auto"/>
        <w:ind w:left="426"/>
        <w:contextualSpacing/>
        <w:textAlignment w:val="baseline"/>
        <w:rPr>
          <w:snapToGrid/>
          <w:szCs w:val="22"/>
          <w:lang w:val="lt-LT" w:eastAsia="de-DE"/>
        </w:rPr>
      </w:pPr>
      <w:proofErr w:type="spellStart"/>
      <w:r w:rsidRPr="00561601">
        <w:rPr>
          <w:rFonts w:cs="Arial"/>
          <w:snapToGrid/>
          <w:szCs w:val="22"/>
          <w:lang w:val="lt-LT" w:eastAsia="de-DE"/>
        </w:rPr>
        <w:t>šaltkrėtis</w:t>
      </w:r>
      <w:proofErr w:type="spellEnd"/>
      <w:r w:rsidRPr="00561601">
        <w:rPr>
          <w:rFonts w:cs="Arial"/>
          <w:snapToGrid/>
          <w:szCs w:val="22"/>
          <w:lang w:val="lt-LT" w:eastAsia="de-DE"/>
        </w:rPr>
        <w:t>, galvos skausmas, svaigulys, karščiavimas, vėmimas, alerginės reakcijos, pykinimas, sąnarių skausmas, žemas kraujospūdis ir vidutinio stiprumo juosmens skausmas;</w:t>
      </w:r>
    </w:p>
    <w:p w14:paraId="1EACA5EF" w14:textId="607E0FA9" w:rsidR="00056AC0" w:rsidRPr="00561601" w:rsidRDefault="00056AC0" w:rsidP="00056AC0">
      <w:pPr>
        <w:numPr>
          <w:ilvl w:val="0"/>
          <w:numId w:val="9"/>
        </w:numPr>
        <w:tabs>
          <w:tab w:val="clear" w:pos="567"/>
        </w:tabs>
        <w:overflowPunct w:val="0"/>
        <w:autoSpaceDE w:val="0"/>
        <w:autoSpaceDN w:val="0"/>
        <w:adjustRightInd w:val="0"/>
        <w:spacing w:line="240" w:lineRule="auto"/>
        <w:ind w:left="426" w:right="-29"/>
        <w:contextualSpacing/>
        <w:textAlignment w:val="baseline"/>
        <w:rPr>
          <w:noProof/>
          <w:snapToGrid/>
          <w:szCs w:val="22"/>
          <w:lang w:val="lt-LT" w:eastAsia="de-DE"/>
        </w:rPr>
      </w:pPr>
      <w:r w:rsidRPr="00561601">
        <w:rPr>
          <w:rFonts w:cs="Arial"/>
          <w:snapToGrid/>
          <w:szCs w:val="22"/>
          <w:lang w:val="lt-LT" w:eastAsia="de-DE"/>
        </w:rPr>
        <w:t>raudonųjų kraujo ląstelių skaičiaus sumažėjimas dėl šių ląstelių irimo kraujagyslėse (</w:t>
      </w:r>
      <w:r w:rsidR="00C22EF3">
        <w:rPr>
          <w:rFonts w:cs="Arial"/>
          <w:snapToGrid/>
          <w:szCs w:val="22"/>
          <w:lang w:val="lt-LT" w:eastAsia="de-DE"/>
        </w:rPr>
        <w:t xml:space="preserve">laikinos </w:t>
      </w:r>
      <w:r w:rsidRPr="00561601">
        <w:rPr>
          <w:rFonts w:cs="Arial"/>
          <w:snapToGrid/>
          <w:szCs w:val="22"/>
          <w:lang w:val="lt-LT" w:eastAsia="de-DE"/>
        </w:rPr>
        <w:t xml:space="preserve"> hemolizinės reakcijos ir </w:t>
      </w:r>
      <w:r w:rsidR="00C22EF3">
        <w:rPr>
          <w:rFonts w:cs="Arial"/>
          <w:snapToGrid/>
          <w:szCs w:val="22"/>
          <w:lang w:val="lt-LT" w:eastAsia="de-DE"/>
        </w:rPr>
        <w:t>[</w:t>
      </w:r>
      <w:r w:rsidRPr="00561601">
        <w:rPr>
          <w:rFonts w:cs="Arial"/>
          <w:snapToGrid/>
          <w:szCs w:val="22"/>
          <w:lang w:val="lt-LT" w:eastAsia="de-DE"/>
        </w:rPr>
        <w:t>retai</w:t>
      </w:r>
      <w:r w:rsidR="00C22EF3">
        <w:rPr>
          <w:rFonts w:cs="Arial"/>
          <w:snapToGrid/>
          <w:szCs w:val="22"/>
          <w:lang w:val="lt-LT" w:eastAsia="de-DE"/>
        </w:rPr>
        <w:t>]</w:t>
      </w:r>
      <w:r w:rsidR="00C22EF3" w:rsidRPr="00561601">
        <w:rPr>
          <w:rFonts w:cs="Arial"/>
          <w:snapToGrid/>
          <w:szCs w:val="22"/>
          <w:lang w:val="lt-LT" w:eastAsia="de-DE"/>
        </w:rPr>
        <w:t xml:space="preserve"> </w:t>
      </w:r>
      <w:r w:rsidRPr="00561601">
        <w:rPr>
          <w:rFonts w:cs="Arial"/>
          <w:snapToGrid/>
          <w:szCs w:val="22"/>
          <w:lang w:val="lt-LT" w:eastAsia="de-DE"/>
        </w:rPr>
        <w:t>hemolizinė anemija, dėl kurios reikia kraujo perpylimo</w:t>
      </w:r>
      <w:r w:rsidR="00C22EF3">
        <w:rPr>
          <w:rFonts w:cs="Arial"/>
          <w:snapToGrid/>
          <w:szCs w:val="22"/>
          <w:lang w:val="lt-LT" w:eastAsia="de-DE"/>
        </w:rPr>
        <w:t>)</w:t>
      </w:r>
      <w:r w:rsidRPr="00561601">
        <w:rPr>
          <w:rFonts w:cs="Arial"/>
          <w:snapToGrid/>
          <w:szCs w:val="22"/>
          <w:lang w:val="lt-LT" w:eastAsia="de-DE"/>
        </w:rPr>
        <w:t>;</w:t>
      </w:r>
    </w:p>
    <w:p w14:paraId="60667765" w14:textId="77777777" w:rsidR="00056AC0" w:rsidRPr="00561601" w:rsidRDefault="00056AC0" w:rsidP="00056AC0">
      <w:pPr>
        <w:numPr>
          <w:ilvl w:val="0"/>
          <w:numId w:val="9"/>
        </w:numPr>
        <w:shd w:val="clear" w:color="auto" w:fill="FFFFFF"/>
        <w:tabs>
          <w:tab w:val="clear" w:pos="567"/>
        </w:tabs>
        <w:overflowPunct w:val="0"/>
        <w:autoSpaceDE w:val="0"/>
        <w:autoSpaceDN w:val="0"/>
        <w:adjustRightInd w:val="0"/>
        <w:spacing w:line="240" w:lineRule="auto"/>
        <w:ind w:left="426"/>
        <w:contextualSpacing/>
        <w:textAlignment w:val="baseline"/>
        <w:rPr>
          <w:snapToGrid/>
          <w:szCs w:val="22"/>
          <w:lang w:val="lt-LT" w:eastAsia="de-DE"/>
        </w:rPr>
      </w:pPr>
      <w:r w:rsidRPr="00561601">
        <w:rPr>
          <w:rFonts w:cs="Arial"/>
          <w:snapToGrid/>
          <w:szCs w:val="22"/>
          <w:lang w:val="lt-LT" w:eastAsia="de-DE"/>
        </w:rPr>
        <w:t>(retai) staigus kraujospūdžio sumažėjimas ir pavieniais atvejais anafilaksinis šokas;</w:t>
      </w:r>
    </w:p>
    <w:p w14:paraId="55FF5906" w14:textId="77777777" w:rsidR="00056AC0" w:rsidRPr="00561601" w:rsidRDefault="00056AC0" w:rsidP="00056AC0">
      <w:pPr>
        <w:numPr>
          <w:ilvl w:val="0"/>
          <w:numId w:val="9"/>
        </w:numPr>
        <w:shd w:val="clear" w:color="auto" w:fill="FFFFFF"/>
        <w:tabs>
          <w:tab w:val="clear" w:pos="567"/>
        </w:tabs>
        <w:overflowPunct w:val="0"/>
        <w:autoSpaceDE w:val="0"/>
        <w:autoSpaceDN w:val="0"/>
        <w:adjustRightInd w:val="0"/>
        <w:spacing w:line="240" w:lineRule="auto"/>
        <w:ind w:left="426"/>
        <w:contextualSpacing/>
        <w:textAlignment w:val="baseline"/>
        <w:rPr>
          <w:snapToGrid/>
          <w:szCs w:val="22"/>
          <w:lang w:val="lt-LT" w:eastAsia="de-DE"/>
        </w:rPr>
      </w:pPr>
      <w:r w:rsidRPr="00561601">
        <w:rPr>
          <w:rFonts w:cs="Arial"/>
          <w:snapToGrid/>
          <w:szCs w:val="22"/>
          <w:lang w:val="lt-LT" w:eastAsia="de-DE"/>
        </w:rPr>
        <w:t>(retai) trumpalaikės odos reakcijos (įskaitant odos raudonąją vilkligę – dažnis nežinomas);</w:t>
      </w:r>
    </w:p>
    <w:p w14:paraId="40071445" w14:textId="77777777" w:rsidR="00056AC0" w:rsidRPr="00561601" w:rsidRDefault="00056AC0" w:rsidP="00056AC0">
      <w:pPr>
        <w:numPr>
          <w:ilvl w:val="0"/>
          <w:numId w:val="9"/>
        </w:numPr>
        <w:shd w:val="clear" w:color="auto" w:fill="FFFFFF"/>
        <w:tabs>
          <w:tab w:val="clear" w:pos="567"/>
        </w:tabs>
        <w:overflowPunct w:val="0"/>
        <w:autoSpaceDE w:val="0"/>
        <w:autoSpaceDN w:val="0"/>
        <w:adjustRightInd w:val="0"/>
        <w:spacing w:line="240" w:lineRule="auto"/>
        <w:ind w:left="426"/>
        <w:contextualSpacing/>
        <w:textAlignment w:val="baseline"/>
        <w:rPr>
          <w:snapToGrid/>
          <w:szCs w:val="22"/>
          <w:lang w:val="lt-LT" w:eastAsia="de-DE"/>
        </w:rPr>
      </w:pPr>
      <w:r w:rsidRPr="00561601">
        <w:rPr>
          <w:rFonts w:cs="Arial"/>
          <w:snapToGrid/>
          <w:szCs w:val="22"/>
          <w:lang w:val="lt-LT" w:eastAsia="de-DE"/>
        </w:rPr>
        <w:t xml:space="preserve">(labai retai) </w:t>
      </w:r>
      <w:proofErr w:type="spellStart"/>
      <w:r w:rsidRPr="00561601">
        <w:rPr>
          <w:rFonts w:cs="Arial"/>
          <w:snapToGrid/>
          <w:szCs w:val="22"/>
          <w:lang w:val="lt-LT" w:eastAsia="de-DE"/>
        </w:rPr>
        <w:t>tromboembolinės</w:t>
      </w:r>
      <w:proofErr w:type="spellEnd"/>
      <w:r w:rsidRPr="00561601">
        <w:rPr>
          <w:rFonts w:cs="Arial"/>
          <w:snapToGrid/>
          <w:szCs w:val="22"/>
          <w:lang w:val="lt-LT" w:eastAsia="de-DE"/>
        </w:rPr>
        <w:t xml:space="preserve"> reakcijos, tokios kaip širdies priepuolis (miokardo infarktas), insultas, kraujo krešuliai plaučių kraujagyslėse (plaučių embolija), kraujo krešuliai venose (giliųjų venų trombozė);</w:t>
      </w:r>
    </w:p>
    <w:p w14:paraId="6AA173C7" w14:textId="5F2BA5B4" w:rsidR="00056AC0" w:rsidRPr="00561601" w:rsidRDefault="00056AC0" w:rsidP="00056AC0">
      <w:pPr>
        <w:numPr>
          <w:ilvl w:val="0"/>
          <w:numId w:val="9"/>
        </w:numPr>
        <w:shd w:val="clear" w:color="auto" w:fill="FFFFFF"/>
        <w:tabs>
          <w:tab w:val="clear" w:pos="567"/>
        </w:tabs>
        <w:overflowPunct w:val="0"/>
        <w:autoSpaceDE w:val="0"/>
        <w:autoSpaceDN w:val="0"/>
        <w:adjustRightInd w:val="0"/>
        <w:spacing w:line="240" w:lineRule="auto"/>
        <w:ind w:left="426"/>
        <w:contextualSpacing/>
        <w:textAlignment w:val="baseline"/>
        <w:rPr>
          <w:snapToGrid/>
          <w:szCs w:val="22"/>
          <w:lang w:val="lt-LT" w:eastAsia="de-DE"/>
        </w:rPr>
      </w:pPr>
      <w:r w:rsidRPr="00561601">
        <w:rPr>
          <w:rFonts w:cs="Arial"/>
          <w:snapToGrid/>
          <w:szCs w:val="22"/>
          <w:lang w:val="lt-LT" w:eastAsia="de-DE"/>
        </w:rPr>
        <w:t>laikinas ūminis galvos ir nugaros smegenis dengiančių apsauginių membranų uždegimas (</w:t>
      </w:r>
      <w:r w:rsidR="00C22EF3">
        <w:rPr>
          <w:rFonts w:cs="Arial"/>
          <w:snapToGrid/>
          <w:szCs w:val="22"/>
          <w:lang w:val="lt-LT" w:eastAsia="de-DE"/>
        </w:rPr>
        <w:t>laikinas</w:t>
      </w:r>
      <w:r w:rsidR="00C22EF3" w:rsidRPr="00561601">
        <w:rPr>
          <w:rFonts w:cs="Arial"/>
          <w:snapToGrid/>
          <w:szCs w:val="22"/>
          <w:lang w:val="lt-LT" w:eastAsia="de-DE"/>
        </w:rPr>
        <w:t xml:space="preserve"> </w:t>
      </w:r>
      <w:proofErr w:type="spellStart"/>
      <w:r w:rsidRPr="00561601">
        <w:rPr>
          <w:rFonts w:cs="Arial"/>
          <w:snapToGrid/>
          <w:szCs w:val="22"/>
          <w:lang w:val="lt-LT" w:eastAsia="de-DE"/>
        </w:rPr>
        <w:t>aseptinis</w:t>
      </w:r>
      <w:proofErr w:type="spellEnd"/>
      <w:r w:rsidRPr="00561601">
        <w:rPr>
          <w:rFonts w:cs="Arial"/>
          <w:snapToGrid/>
          <w:szCs w:val="22"/>
          <w:lang w:val="lt-LT" w:eastAsia="de-DE"/>
        </w:rPr>
        <w:t xml:space="preserve"> meningitas);</w:t>
      </w:r>
    </w:p>
    <w:p w14:paraId="4EE39BE4" w14:textId="6F39DA00" w:rsidR="00056AC0" w:rsidRPr="00561601" w:rsidRDefault="00056AC0" w:rsidP="00056AC0">
      <w:pPr>
        <w:numPr>
          <w:ilvl w:val="0"/>
          <w:numId w:val="9"/>
        </w:numPr>
        <w:shd w:val="clear" w:color="auto" w:fill="FFFFFF"/>
        <w:tabs>
          <w:tab w:val="clear" w:pos="567"/>
        </w:tabs>
        <w:overflowPunct w:val="0"/>
        <w:autoSpaceDE w:val="0"/>
        <w:autoSpaceDN w:val="0"/>
        <w:adjustRightInd w:val="0"/>
        <w:spacing w:line="240" w:lineRule="auto"/>
        <w:ind w:left="426"/>
        <w:contextualSpacing/>
        <w:textAlignment w:val="baseline"/>
        <w:rPr>
          <w:snapToGrid/>
          <w:szCs w:val="22"/>
          <w:lang w:val="lt-LT" w:eastAsia="de-DE"/>
        </w:rPr>
      </w:pPr>
      <w:r w:rsidRPr="00561601">
        <w:rPr>
          <w:rFonts w:cs="Arial"/>
          <w:snapToGrid/>
          <w:color w:val="000000"/>
          <w:szCs w:val="22"/>
          <w:lang w:val="lt-LT" w:eastAsia="de-DE"/>
        </w:rPr>
        <w:t xml:space="preserve">kraujo tyrimų rezultatai, rodantys, kad inkstų funkcija sutrikusi ir (arba) </w:t>
      </w:r>
      <w:r w:rsidR="005F28BE">
        <w:rPr>
          <w:rFonts w:cs="Arial"/>
          <w:snapToGrid/>
          <w:color w:val="000000"/>
          <w:szCs w:val="22"/>
          <w:lang w:val="lt-LT" w:eastAsia="de-DE"/>
        </w:rPr>
        <w:t xml:space="preserve">yra </w:t>
      </w:r>
      <w:r w:rsidR="00C22EF3">
        <w:rPr>
          <w:rFonts w:cs="Arial"/>
          <w:snapToGrid/>
          <w:color w:val="000000"/>
          <w:szCs w:val="22"/>
          <w:lang w:val="lt-LT" w:eastAsia="de-DE"/>
        </w:rPr>
        <w:t>ūm</w:t>
      </w:r>
      <w:r w:rsidR="005F28BE">
        <w:rPr>
          <w:rFonts w:cs="Arial"/>
          <w:snapToGrid/>
          <w:color w:val="000000"/>
          <w:szCs w:val="22"/>
          <w:lang w:val="lt-LT" w:eastAsia="de-DE"/>
        </w:rPr>
        <w:t>inis</w:t>
      </w:r>
      <w:r w:rsidR="00C22EF3" w:rsidRPr="00561601">
        <w:rPr>
          <w:rFonts w:cs="Arial"/>
          <w:snapToGrid/>
          <w:color w:val="000000"/>
          <w:szCs w:val="22"/>
          <w:lang w:val="lt-LT" w:eastAsia="de-DE"/>
        </w:rPr>
        <w:t xml:space="preserve"> </w:t>
      </w:r>
      <w:r w:rsidRPr="00561601">
        <w:rPr>
          <w:rFonts w:cs="Arial"/>
          <w:snapToGrid/>
          <w:color w:val="000000"/>
          <w:szCs w:val="22"/>
          <w:lang w:val="lt-LT" w:eastAsia="de-DE"/>
        </w:rPr>
        <w:t>inkstų nepakankamumas;</w:t>
      </w:r>
    </w:p>
    <w:p w14:paraId="0CE06AAC" w14:textId="196D1B94" w:rsidR="00056AC0" w:rsidRPr="00561601" w:rsidRDefault="00056AC0" w:rsidP="00056AC0">
      <w:pPr>
        <w:numPr>
          <w:ilvl w:val="0"/>
          <w:numId w:val="9"/>
        </w:numPr>
        <w:shd w:val="clear" w:color="auto" w:fill="FFFFFF"/>
        <w:tabs>
          <w:tab w:val="clear" w:pos="567"/>
        </w:tabs>
        <w:overflowPunct w:val="0"/>
        <w:autoSpaceDE w:val="0"/>
        <w:autoSpaceDN w:val="0"/>
        <w:adjustRightInd w:val="0"/>
        <w:spacing w:line="240" w:lineRule="auto"/>
        <w:ind w:left="426"/>
        <w:contextualSpacing/>
        <w:textAlignment w:val="baseline"/>
        <w:rPr>
          <w:snapToGrid/>
          <w:color w:val="000000"/>
          <w:szCs w:val="22"/>
          <w:lang w:val="lt-LT" w:eastAsia="de-DE"/>
        </w:rPr>
      </w:pPr>
      <w:r w:rsidRPr="00561601">
        <w:rPr>
          <w:rFonts w:cs="Arial"/>
          <w:snapToGrid/>
          <w:color w:val="000000"/>
          <w:szCs w:val="22"/>
          <w:lang w:val="lt-LT" w:eastAsia="de-DE"/>
        </w:rPr>
        <w:t>su transfuzija susijusio ūm</w:t>
      </w:r>
      <w:r w:rsidR="00AE2760">
        <w:rPr>
          <w:rFonts w:cs="Arial"/>
          <w:snapToGrid/>
          <w:color w:val="000000"/>
          <w:szCs w:val="22"/>
          <w:lang w:val="lt-LT" w:eastAsia="de-DE"/>
        </w:rPr>
        <w:t>inio</w:t>
      </w:r>
      <w:r w:rsidRPr="00561601">
        <w:rPr>
          <w:rFonts w:cs="Arial"/>
          <w:snapToGrid/>
          <w:color w:val="000000"/>
          <w:szCs w:val="22"/>
          <w:lang w:val="lt-LT" w:eastAsia="de-DE"/>
        </w:rPr>
        <w:t xml:space="preserve"> plaučių pažeidimo (TRALI) atvejai. Tai sukels su širdimi nesusijusį </w:t>
      </w:r>
      <w:r w:rsidR="00C22EF3" w:rsidRPr="00561601">
        <w:rPr>
          <w:rFonts w:cs="Arial"/>
          <w:snapToGrid/>
          <w:color w:val="000000"/>
          <w:szCs w:val="22"/>
          <w:lang w:val="lt-LT" w:eastAsia="de-DE"/>
        </w:rPr>
        <w:t>skysči</w:t>
      </w:r>
      <w:r w:rsidR="00C22EF3">
        <w:rPr>
          <w:rFonts w:cs="Arial"/>
          <w:snapToGrid/>
          <w:color w:val="000000"/>
          <w:szCs w:val="22"/>
          <w:lang w:val="lt-LT" w:eastAsia="de-DE"/>
        </w:rPr>
        <w:t>o</w:t>
      </w:r>
      <w:r w:rsidR="00C22EF3" w:rsidRPr="00561601">
        <w:rPr>
          <w:rFonts w:cs="Arial"/>
          <w:snapToGrid/>
          <w:color w:val="000000"/>
          <w:szCs w:val="22"/>
          <w:lang w:val="lt-LT" w:eastAsia="de-DE"/>
        </w:rPr>
        <w:t xml:space="preserve"> </w:t>
      </w:r>
      <w:r w:rsidRPr="00561601">
        <w:rPr>
          <w:rFonts w:cs="Arial"/>
          <w:snapToGrid/>
          <w:color w:val="000000"/>
          <w:szCs w:val="22"/>
          <w:lang w:val="lt-LT" w:eastAsia="de-DE"/>
        </w:rPr>
        <w:t>kaupimąsi plaučių oro erdvėse (</w:t>
      </w:r>
      <w:proofErr w:type="spellStart"/>
      <w:r w:rsidRPr="00561601">
        <w:rPr>
          <w:rFonts w:cs="Arial"/>
          <w:snapToGrid/>
          <w:color w:val="000000"/>
          <w:szCs w:val="22"/>
          <w:lang w:val="lt-LT" w:eastAsia="de-DE"/>
        </w:rPr>
        <w:t>nekardiogeninė</w:t>
      </w:r>
      <w:proofErr w:type="spellEnd"/>
      <w:r w:rsidRPr="00561601">
        <w:rPr>
          <w:rFonts w:cs="Arial"/>
          <w:snapToGrid/>
          <w:color w:val="000000"/>
          <w:szCs w:val="22"/>
          <w:lang w:val="lt-LT" w:eastAsia="de-DE"/>
        </w:rPr>
        <w:t xml:space="preserve"> plaučių edema). Labai pasunkės kvėpavimas (kvėpavimo sutrikimas), pagreitės kvėpavimas (</w:t>
      </w:r>
      <w:proofErr w:type="spellStart"/>
      <w:r w:rsidRPr="00561601">
        <w:rPr>
          <w:rFonts w:cs="Arial"/>
          <w:snapToGrid/>
          <w:color w:val="000000"/>
          <w:szCs w:val="22"/>
          <w:lang w:val="lt-LT" w:eastAsia="de-DE"/>
        </w:rPr>
        <w:t>tachipnėja</w:t>
      </w:r>
      <w:proofErr w:type="spellEnd"/>
      <w:r w:rsidRPr="00561601">
        <w:rPr>
          <w:rFonts w:cs="Arial"/>
          <w:snapToGrid/>
          <w:color w:val="000000"/>
          <w:szCs w:val="22"/>
          <w:lang w:val="lt-LT" w:eastAsia="de-DE"/>
        </w:rPr>
        <w:t xml:space="preserve">), neįprastai sumažės deguonies kiekis kraujyje (hipoksija) ir padidės kūno temperatūra (karščiavimas). </w:t>
      </w:r>
    </w:p>
    <w:p w14:paraId="11C17993" w14:textId="77777777" w:rsidR="00F34163" w:rsidRPr="00561601" w:rsidRDefault="00F34163" w:rsidP="00F34163">
      <w:pPr>
        <w:spacing w:line="240" w:lineRule="auto"/>
        <w:rPr>
          <w:b/>
          <w:szCs w:val="24"/>
          <w:lang w:val="lt-LT"/>
        </w:rPr>
      </w:pPr>
    </w:p>
    <w:p w14:paraId="4661A430" w14:textId="77777777" w:rsidR="00F34163" w:rsidRPr="00561601" w:rsidRDefault="00F34163" w:rsidP="00F34163">
      <w:pPr>
        <w:spacing w:line="240" w:lineRule="auto"/>
        <w:rPr>
          <w:b/>
          <w:szCs w:val="24"/>
          <w:lang w:val="lt-LT"/>
        </w:rPr>
      </w:pPr>
      <w:r w:rsidRPr="00561601">
        <w:rPr>
          <w:b/>
          <w:noProof/>
          <w:szCs w:val="24"/>
          <w:lang w:val="lt-LT"/>
        </w:rPr>
        <w:t>Pranešimas apie šalutinį poveikį</w:t>
      </w:r>
    </w:p>
    <w:p w14:paraId="2AE4B096" w14:textId="00DDFC72" w:rsidR="00384AC2" w:rsidRPr="00E7565F" w:rsidRDefault="00384AC2" w:rsidP="00384AC2">
      <w:pPr>
        <w:ind w:right="-1"/>
        <w:rPr>
          <w:lang w:val="lt-LT"/>
        </w:rPr>
      </w:pPr>
      <w:r w:rsidRPr="00E7565F">
        <w:rPr>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w:t>
      </w:r>
      <w:r w:rsidRPr="006D0F58">
        <w:rPr>
          <w:lang w:val="lt-LT"/>
        </w:rPr>
        <w:t xml:space="preserve">sistemoje </w:t>
      </w:r>
      <w:hyperlink r:id="rId9" w:history="1">
        <w:r w:rsidRPr="006D0F58">
          <w:rPr>
            <w:lang w:val="lt-LT"/>
          </w:rPr>
          <w:t>https://vapris.vvkt.lt/vvkt-web/public/nrv</w:t>
        </w:r>
      </w:hyperlink>
      <w:r w:rsidRPr="006D0F58">
        <w:rPr>
          <w:lang w:val="lt-LT"/>
        </w:rPr>
        <w:t xml:space="preserve"> arba užpildant Paciento pranešimo apie įtariamą nepageidaujamą reakciją (ĮNR) formą, kuri skelbiama </w:t>
      </w:r>
      <w:hyperlink r:id="rId10" w:history="1">
        <w:r w:rsidRPr="006D0F58">
          <w:rPr>
            <w:lang w:val="lt-LT"/>
          </w:rPr>
          <w:t>https://www.vvkt.lt/index.php?4004286486</w:t>
        </w:r>
      </w:hyperlink>
      <w:r w:rsidRPr="006D0F58">
        <w:rPr>
          <w:lang w:val="lt-LT"/>
        </w:rPr>
        <w:t xml:space="preserve">, ir atsiunčiant elektroniniu paštu (adresu </w:t>
      </w:r>
      <w:hyperlink r:id="rId11" w:history="1">
        <w:r w:rsidRPr="006D0F58">
          <w:rPr>
            <w:lang w:val="lt-LT"/>
          </w:rPr>
          <w:t>NepageidaujamaR@vvkt.lt</w:t>
        </w:r>
      </w:hyperlink>
      <w:r w:rsidRPr="006D0F58">
        <w:rPr>
          <w:lang w:val="lt-LT"/>
        </w:rPr>
        <w:t>) arba nemokamu</w:t>
      </w:r>
      <w:r w:rsidRPr="00E7565F">
        <w:rPr>
          <w:lang w:val="lt-LT"/>
        </w:rPr>
        <w:t xml:space="preserve"> telefonu 8 800 73 568. Pranešdami apie šalutinį poveikį galite mums padėti gauti daugiau informacijos apie šio vaisto saugumą.</w:t>
      </w:r>
    </w:p>
    <w:p w14:paraId="22573A98" w14:textId="77777777" w:rsidR="00AA148B" w:rsidRPr="00561601" w:rsidRDefault="00AA148B" w:rsidP="00AA148B">
      <w:pPr>
        <w:ind w:right="-449"/>
        <w:rPr>
          <w:noProof/>
          <w:szCs w:val="24"/>
          <w:lang w:val="lt-LT"/>
        </w:rPr>
      </w:pPr>
    </w:p>
    <w:p w14:paraId="076F935E" w14:textId="77777777" w:rsidR="00447DE7" w:rsidRPr="00561601" w:rsidRDefault="00447DE7" w:rsidP="00AA148B">
      <w:pPr>
        <w:ind w:right="-449"/>
        <w:rPr>
          <w:noProof/>
          <w:szCs w:val="24"/>
          <w:lang w:val="lt-LT"/>
        </w:rPr>
      </w:pPr>
    </w:p>
    <w:p w14:paraId="5E752ED3" w14:textId="09C7ADB3" w:rsidR="00F34163" w:rsidRPr="00561601" w:rsidRDefault="00F34163" w:rsidP="00F34163">
      <w:pPr>
        <w:pStyle w:val="Antrat3"/>
        <w:spacing w:before="0" w:after="0" w:line="240" w:lineRule="auto"/>
        <w:rPr>
          <w:rFonts w:ascii="Times New Roman" w:hAnsi="Times New Roman"/>
          <w:sz w:val="22"/>
          <w:lang w:val="lt-LT"/>
        </w:rPr>
      </w:pPr>
      <w:r w:rsidRPr="00561601">
        <w:rPr>
          <w:rFonts w:ascii="Times New Roman" w:hAnsi="Times New Roman"/>
          <w:sz w:val="22"/>
          <w:lang w:val="lt-LT"/>
        </w:rPr>
        <w:t>5.</w:t>
      </w:r>
      <w:r w:rsidRPr="00561601">
        <w:rPr>
          <w:rFonts w:ascii="Times New Roman" w:hAnsi="Times New Roman"/>
          <w:sz w:val="22"/>
          <w:lang w:val="lt-LT"/>
        </w:rPr>
        <w:tab/>
        <w:t xml:space="preserve">Kaip laikyti </w:t>
      </w:r>
      <w:proofErr w:type="spellStart"/>
      <w:r w:rsidR="00E47068">
        <w:rPr>
          <w:rFonts w:ascii="Times New Roman" w:hAnsi="Times New Roman" w:cs="Arial"/>
          <w:bCs w:val="0"/>
          <w:snapToGrid/>
          <w:sz w:val="22"/>
          <w:szCs w:val="22"/>
          <w:lang w:val="lt-LT" w:eastAsia="de-DE"/>
        </w:rPr>
        <w:t>Cymvigo</w:t>
      </w:r>
      <w:proofErr w:type="spellEnd"/>
    </w:p>
    <w:p w14:paraId="50923EE6" w14:textId="77777777" w:rsidR="00F34163" w:rsidRPr="00561601" w:rsidRDefault="00F34163" w:rsidP="00F34163">
      <w:pPr>
        <w:numPr>
          <w:ilvl w:val="12"/>
          <w:numId w:val="0"/>
        </w:numPr>
        <w:tabs>
          <w:tab w:val="clear" w:pos="567"/>
        </w:tabs>
        <w:spacing w:line="240" w:lineRule="auto"/>
        <w:ind w:right="-2"/>
        <w:rPr>
          <w:szCs w:val="24"/>
          <w:lang w:val="lt-LT"/>
        </w:rPr>
      </w:pPr>
    </w:p>
    <w:p w14:paraId="1583ED20" w14:textId="77777777" w:rsidR="00F34163" w:rsidRPr="00561601" w:rsidRDefault="00F34163" w:rsidP="00F34163">
      <w:pPr>
        <w:numPr>
          <w:ilvl w:val="12"/>
          <w:numId w:val="0"/>
        </w:numPr>
        <w:tabs>
          <w:tab w:val="clear" w:pos="567"/>
        </w:tabs>
        <w:spacing w:line="240" w:lineRule="auto"/>
        <w:ind w:right="-2"/>
        <w:rPr>
          <w:szCs w:val="24"/>
          <w:lang w:val="lt-LT"/>
        </w:rPr>
      </w:pPr>
      <w:r w:rsidRPr="00561601">
        <w:rPr>
          <w:noProof/>
          <w:szCs w:val="24"/>
          <w:lang w:val="lt-LT"/>
        </w:rPr>
        <w:t>Šį vaistą laikykite vaikams nepastebimoje ir nepasiekiamoje vietoje.</w:t>
      </w:r>
    </w:p>
    <w:p w14:paraId="012CA9DD" w14:textId="77777777" w:rsidR="00F34163" w:rsidRPr="00561601" w:rsidRDefault="00F34163" w:rsidP="00F34163">
      <w:pPr>
        <w:numPr>
          <w:ilvl w:val="12"/>
          <w:numId w:val="0"/>
        </w:numPr>
        <w:tabs>
          <w:tab w:val="clear" w:pos="567"/>
        </w:tabs>
        <w:spacing w:line="240" w:lineRule="auto"/>
        <w:ind w:right="-2"/>
        <w:rPr>
          <w:szCs w:val="24"/>
          <w:lang w:val="lt-LT"/>
        </w:rPr>
      </w:pPr>
    </w:p>
    <w:p w14:paraId="297D3078" w14:textId="77777777"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Ant išorinės dėžutės ir flakono po „Tinka iki“ nurodytam tinkamumo laikui pasibaigus, šio vaisto vartoti negalima. </w:t>
      </w:r>
    </w:p>
    <w:p w14:paraId="42B93360" w14:textId="77777777"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Laikyti šaldytuve (2 °C – 8 °C). Laikyti gamintojo pakuotėje, kad vaistas būtų apsaugotas nuo šviesos.</w:t>
      </w:r>
    </w:p>
    <w:p w14:paraId="55F4CFAA" w14:textId="77777777"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Negalima užšaldyti.</w:t>
      </w:r>
    </w:p>
    <w:p w14:paraId="2BCF9090" w14:textId="77777777"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p>
    <w:p w14:paraId="54E9BC0D" w14:textId="43BB75EB"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Prieš </w:t>
      </w:r>
      <w:r w:rsidR="00196F8B">
        <w:rPr>
          <w:rFonts w:cs="Arial"/>
          <w:snapToGrid/>
          <w:szCs w:val="22"/>
          <w:lang w:val="lt-LT" w:eastAsia="de-DE"/>
        </w:rPr>
        <w:t>vartojimą</w:t>
      </w:r>
      <w:r w:rsidRPr="00561601">
        <w:rPr>
          <w:rFonts w:cs="Arial"/>
          <w:snapToGrid/>
          <w:szCs w:val="22"/>
          <w:lang w:val="lt-LT" w:eastAsia="de-DE"/>
        </w:rPr>
        <w:t xml:space="preserve"> vaistą reikia apžiūrėti: tirpalas turi būti skaidrus arba šiek tiek opalinis (turintis pienišką blizgesį) ir bespalvis arba gelsvas. </w:t>
      </w:r>
      <w:proofErr w:type="spellStart"/>
      <w:r w:rsidR="00E47068">
        <w:rPr>
          <w:rFonts w:cs="Arial"/>
          <w:snapToGrid/>
          <w:szCs w:val="22"/>
          <w:lang w:val="lt-LT" w:eastAsia="de-DE"/>
        </w:rPr>
        <w:t>Cymvigo</w:t>
      </w:r>
      <w:proofErr w:type="spellEnd"/>
      <w:r w:rsidRPr="00561601">
        <w:rPr>
          <w:rFonts w:cs="Arial"/>
          <w:snapToGrid/>
          <w:szCs w:val="22"/>
          <w:lang w:val="lt-LT" w:eastAsia="de-DE"/>
        </w:rPr>
        <w:t xml:space="preserve"> negalima </w:t>
      </w:r>
      <w:r w:rsidR="00196F8B">
        <w:rPr>
          <w:rFonts w:cs="Arial"/>
          <w:snapToGrid/>
          <w:szCs w:val="22"/>
          <w:lang w:val="lt-LT" w:eastAsia="de-DE"/>
        </w:rPr>
        <w:t>vartoti</w:t>
      </w:r>
      <w:r w:rsidRPr="00561601">
        <w:rPr>
          <w:rFonts w:cs="Arial"/>
          <w:snapToGrid/>
          <w:szCs w:val="22"/>
          <w:lang w:val="lt-LT" w:eastAsia="de-DE"/>
        </w:rPr>
        <w:t>, jei tirpalas yra drumstas arba jame susidarė nuosėdos.</w:t>
      </w:r>
    </w:p>
    <w:p w14:paraId="25E03376" w14:textId="77777777"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p>
    <w:p w14:paraId="25230F8F" w14:textId="77777777"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Pirmą kartą atidarius, vaistą reikia vartoti nedelsiant.</w:t>
      </w:r>
    </w:p>
    <w:p w14:paraId="4D18A4AF" w14:textId="77777777" w:rsidR="00F34163" w:rsidRPr="00561601" w:rsidRDefault="00F34163" w:rsidP="00F34163">
      <w:pPr>
        <w:numPr>
          <w:ilvl w:val="12"/>
          <w:numId w:val="0"/>
        </w:numPr>
        <w:tabs>
          <w:tab w:val="clear" w:pos="567"/>
        </w:tabs>
        <w:spacing w:line="240" w:lineRule="auto"/>
        <w:ind w:right="-2"/>
        <w:rPr>
          <w:szCs w:val="24"/>
          <w:lang w:val="lt-LT"/>
        </w:rPr>
      </w:pPr>
    </w:p>
    <w:p w14:paraId="4572AF35" w14:textId="77777777" w:rsidR="00F34163" w:rsidRPr="00561601" w:rsidRDefault="00F34163" w:rsidP="00F34163">
      <w:pPr>
        <w:numPr>
          <w:ilvl w:val="12"/>
          <w:numId w:val="0"/>
        </w:numPr>
        <w:tabs>
          <w:tab w:val="clear" w:pos="567"/>
        </w:tabs>
        <w:spacing w:line="240" w:lineRule="auto"/>
        <w:ind w:right="-2"/>
        <w:rPr>
          <w:i/>
          <w:lang w:val="lt-LT"/>
        </w:rPr>
      </w:pPr>
      <w:r w:rsidRPr="00561601">
        <w:rPr>
          <w:noProof/>
          <w:szCs w:val="24"/>
          <w:lang w:val="lt-LT"/>
        </w:rPr>
        <w:t>Vaistų negalima išmesti į kanalizaciją arba su buitinėmis atliekomis.</w:t>
      </w:r>
      <w:r w:rsidRPr="00561601">
        <w:rPr>
          <w:szCs w:val="24"/>
          <w:lang w:val="lt-LT"/>
        </w:rPr>
        <w:t xml:space="preserve"> </w:t>
      </w:r>
      <w:r w:rsidRPr="00561601">
        <w:rPr>
          <w:noProof/>
          <w:szCs w:val="24"/>
          <w:lang w:val="lt-LT"/>
        </w:rPr>
        <w:t>Kaip išmesti nereikalingus vaistus, klauskite vaistininko.</w:t>
      </w:r>
      <w:r w:rsidRPr="00561601">
        <w:rPr>
          <w:szCs w:val="24"/>
          <w:lang w:val="lt-LT"/>
        </w:rPr>
        <w:t xml:space="preserve"> </w:t>
      </w:r>
      <w:r w:rsidRPr="00561601">
        <w:rPr>
          <w:noProof/>
          <w:szCs w:val="24"/>
          <w:lang w:val="lt-LT"/>
        </w:rPr>
        <w:t>Šios priemonės padės apsaugoti aplinką.</w:t>
      </w:r>
    </w:p>
    <w:p w14:paraId="5BB851BA" w14:textId="77777777" w:rsidR="00F34163" w:rsidRPr="00561601" w:rsidRDefault="00F34163" w:rsidP="00F34163">
      <w:pPr>
        <w:numPr>
          <w:ilvl w:val="12"/>
          <w:numId w:val="0"/>
        </w:numPr>
        <w:tabs>
          <w:tab w:val="clear" w:pos="567"/>
        </w:tabs>
        <w:spacing w:line="240" w:lineRule="auto"/>
        <w:ind w:right="-2"/>
        <w:rPr>
          <w:noProof/>
          <w:szCs w:val="24"/>
          <w:lang w:val="lt-LT"/>
        </w:rPr>
      </w:pPr>
    </w:p>
    <w:p w14:paraId="492445BB" w14:textId="77777777" w:rsidR="00447DE7" w:rsidRPr="00561601" w:rsidRDefault="00447DE7" w:rsidP="00F34163">
      <w:pPr>
        <w:numPr>
          <w:ilvl w:val="12"/>
          <w:numId w:val="0"/>
        </w:numPr>
        <w:tabs>
          <w:tab w:val="clear" w:pos="567"/>
        </w:tabs>
        <w:spacing w:line="240" w:lineRule="auto"/>
        <w:ind w:right="-2"/>
        <w:rPr>
          <w:noProof/>
          <w:szCs w:val="24"/>
          <w:lang w:val="lt-LT"/>
        </w:rPr>
      </w:pPr>
    </w:p>
    <w:p w14:paraId="0F93E5C3" w14:textId="77777777" w:rsidR="00F34163" w:rsidRPr="00561601" w:rsidRDefault="00F34163" w:rsidP="00F34163">
      <w:pPr>
        <w:pStyle w:val="Antrat3"/>
        <w:spacing w:before="0" w:after="0" w:line="240" w:lineRule="auto"/>
        <w:rPr>
          <w:rFonts w:ascii="Times New Roman" w:hAnsi="Times New Roman"/>
          <w:sz w:val="22"/>
          <w:lang w:val="lt-LT"/>
        </w:rPr>
      </w:pPr>
      <w:r w:rsidRPr="00561601">
        <w:rPr>
          <w:rFonts w:ascii="Times New Roman" w:hAnsi="Times New Roman"/>
          <w:sz w:val="22"/>
          <w:lang w:val="lt-LT"/>
        </w:rPr>
        <w:t>6.</w:t>
      </w:r>
      <w:r w:rsidRPr="00561601">
        <w:rPr>
          <w:rFonts w:ascii="Times New Roman" w:hAnsi="Times New Roman"/>
          <w:b w:val="0"/>
          <w:sz w:val="22"/>
          <w:lang w:val="lt-LT"/>
        </w:rPr>
        <w:tab/>
      </w:r>
      <w:r w:rsidRPr="00561601">
        <w:rPr>
          <w:rFonts w:ascii="Times New Roman" w:hAnsi="Times New Roman"/>
          <w:sz w:val="22"/>
          <w:lang w:val="lt-LT"/>
        </w:rPr>
        <w:t>Pakuotės turinys ir kita informacija</w:t>
      </w:r>
    </w:p>
    <w:p w14:paraId="37E2209D" w14:textId="77777777" w:rsidR="00F34163" w:rsidRPr="00561601" w:rsidRDefault="00F34163" w:rsidP="00F34163">
      <w:pPr>
        <w:numPr>
          <w:ilvl w:val="12"/>
          <w:numId w:val="0"/>
        </w:numPr>
        <w:tabs>
          <w:tab w:val="clear" w:pos="567"/>
        </w:tabs>
        <w:spacing w:line="240" w:lineRule="auto"/>
        <w:rPr>
          <w:szCs w:val="24"/>
          <w:lang w:val="lt-LT"/>
        </w:rPr>
      </w:pPr>
    </w:p>
    <w:p w14:paraId="7909F867" w14:textId="09A788EC" w:rsidR="00C30A9B" w:rsidRPr="00561601" w:rsidRDefault="00E47068" w:rsidP="00C30A9B">
      <w:pPr>
        <w:pStyle w:val="Antrat4"/>
        <w:rPr>
          <w:rFonts w:ascii="Times New Roman" w:hAnsi="Times New Roman"/>
          <w:sz w:val="22"/>
          <w:lang w:val="lt-LT"/>
        </w:rPr>
      </w:pPr>
      <w:proofErr w:type="spellStart"/>
      <w:r>
        <w:rPr>
          <w:rFonts w:ascii="Times New Roman" w:hAnsi="Times New Roman" w:cs="Arial"/>
          <w:bCs w:val="0"/>
          <w:snapToGrid/>
          <w:sz w:val="22"/>
          <w:szCs w:val="22"/>
          <w:lang w:val="lt-LT" w:eastAsia="de-DE"/>
        </w:rPr>
        <w:t>Cymvigo</w:t>
      </w:r>
      <w:proofErr w:type="spellEnd"/>
      <w:r w:rsidR="00F34163" w:rsidRPr="00561601">
        <w:rPr>
          <w:rFonts w:ascii="Times New Roman" w:hAnsi="Times New Roman"/>
          <w:sz w:val="22"/>
          <w:lang w:val="lt-LT"/>
        </w:rPr>
        <w:t xml:space="preserve"> sudėtis </w:t>
      </w:r>
    </w:p>
    <w:p w14:paraId="0E8B91AA" w14:textId="77777777" w:rsidR="002C19BF" w:rsidRPr="00561601" w:rsidRDefault="002C19BF" w:rsidP="00E7565F">
      <w:pPr>
        <w:numPr>
          <w:ilvl w:val="0"/>
          <w:numId w:val="19"/>
        </w:numPr>
        <w:tabs>
          <w:tab w:val="clear" w:pos="567"/>
          <w:tab w:val="left" w:pos="709"/>
        </w:tabs>
        <w:overflowPunct w:val="0"/>
        <w:autoSpaceDE w:val="0"/>
        <w:autoSpaceDN w:val="0"/>
        <w:adjustRightInd w:val="0"/>
        <w:spacing w:line="240" w:lineRule="auto"/>
        <w:textAlignment w:val="baseline"/>
        <w:rPr>
          <w:snapToGrid/>
          <w:szCs w:val="22"/>
          <w:lang w:val="lt-LT" w:eastAsia="de-DE"/>
        </w:rPr>
      </w:pPr>
      <w:r w:rsidRPr="00E7565F">
        <w:rPr>
          <w:rFonts w:cs="Arial"/>
          <w:snapToGrid/>
          <w:szCs w:val="22"/>
          <w:lang w:val="lt-LT" w:eastAsia="de-DE"/>
        </w:rPr>
        <w:t>Veiklioji medžiaga yra žmogaus</w:t>
      </w:r>
      <w:r w:rsidRPr="00033FE1">
        <w:rPr>
          <w:rFonts w:cs="Arial"/>
          <w:snapToGrid/>
          <w:szCs w:val="22"/>
          <w:lang w:val="lt-LT" w:eastAsia="de-DE"/>
        </w:rPr>
        <w:t xml:space="preserve"> </w:t>
      </w:r>
      <w:proofErr w:type="spellStart"/>
      <w:r w:rsidRPr="00033FE1">
        <w:rPr>
          <w:rFonts w:cs="Arial"/>
          <w:snapToGrid/>
          <w:szCs w:val="22"/>
          <w:lang w:val="lt-LT" w:eastAsia="de-DE"/>
        </w:rPr>
        <w:t>citomegalo</w:t>
      </w:r>
      <w:proofErr w:type="spellEnd"/>
      <w:r w:rsidRPr="00561601">
        <w:rPr>
          <w:rFonts w:cs="Arial"/>
          <w:snapToGrid/>
          <w:szCs w:val="22"/>
          <w:lang w:val="lt-LT" w:eastAsia="de-DE"/>
        </w:rPr>
        <w:t xml:space="preserve"> viruso imunoglobulinas (CMVIG).</w:t>
      </w:r>
    </w:p>
    <w:p w14:paraId="1B5FDF2E" w14:textId="77777777" w:rsidR="002C19BF" w:rsidRPr="00561601" w:rsidRDefault="002C19BF" w:rsidP="00E7565F">
      <w:pPr>
        <w:tabs>
          <w:tab w:val="clear" w:pos="567"/>
          <w:tab w:val="left" w:pos="709"/>
        </w:tabs>
        <w:overflowPunct w:val="0"/>
        <w:autoSpaceDE w:val="0"/>
        <w:autoSpaceDN w:val="0"/>
        <w:adjustRightInd w:val="0"/>
        <w:spacing w:line="240" w:lineRule="auto"/>
        <w:ind w:left="709"/>
        <w:textAlignment w:val="baseline"/>
        <w:rPr>
          <w:snapToGrid/>
          <w:szCs w:val="22"/>
          <w:lang w:val="lt-LT" w:eastAsia="de-DE"/>
        </w:rPr>
      </w:pPr>
      <w:r w:rsidRPr="00561601">
        <w:rPr>
          <w:rFonts w:cs="Arial"/>
          <w:snapToGrid/>
          <w:szCs w:val="22"/>
          <w:lang w:val="lt-LT" w:eastAsia="de-DE"/>
        </w:rPr>
        <w:t>1 ml tirpalo yra:</w:t>
      </w:r>
    </w:p>
    <w:p w14:paraId="4801B8EF" w14:textId="7B3C8352" w:rsidR="002C19BF" w:rsidRPr="00561601" w:rsidRDefault="002C19BF" w:rsidP="00E7565F">
      <w:pPr>
        <w:tabs>
          <w:tab w:val="clear" w:pos="567"/>
          <w:tab w:val="left" w:pos="-3402"/>
          <w:tab w:val="left" w:pos="-3261"/>
          <w:tab w:val="left" w:pos="709"/>
          <w:tab w:val="left" w:pos="4820"/>
          <w:tab w:val="left" w:pos="5400"/>
        </w:tabs>
        <w:overflowPunct w:val="0"/>
        <w:autoSpaceDE w:val="0"/>
        <w:autoSpaceDN w:val="0"/>
        <w:adjustRightInd w:val="0"/>
        <w:spacing w:line="240" w:lineRule="auto"/>
        <w:ind w:left="709"/>
        <w:textAlignment w:val="baseline"/>
        <w:rPr>
          <w:snapToGrid/>
          <w:szCs w:val="22"/>
          <w:lang w:val="lt-LT" w:eastAsia="de-DE"/>
        </w:rPr>
      </w:pPr>
      <w:r w:rsidRPr="00561601">
        <w:rPr>
          <w:rFonts w:cs="Arial"/>
          <w:snapToGrid/>
          <w:szCs w:val="22"/>
          <w:lang w:val="lt-LT" w:eastAsia="de-DE"/>
        </w:rPr>
        <w:t xml:space="preserve">50 mg žmogaus plazmos baltymo </w:t>
      </w:r>
      <w:r w:rsidR="00FB6F43">
        <w:rPr>
          <w:rFonts w:cs="Arial"/>
          <w:snapToGrid/>
          <w:szCs w:val="22"/>
          <w:lang w:val="lt-LT" w:eastAsia="de-DE"/>
        </w:rPr>
        <w:t>(</w:t>
      </w:r>
      <w:r w:rsidR="00C22EF3">
        <w:rPr>
          <w:rFonts w:cs="Arial"/>
          <w:snapToGrid/>
          <w:szCs w:val="22"/>
          <w:lang w:val="lt-LT" w:eastAsia="de-DE"/>
        </w:rPr>
        <w:t>iš kurio</w:t>
      </w:r>
      <w:r w:rsidR="00FB6F43">
        <w:rPr>
          <w:rFonts w:cs="Arial"/>
          <w:snapToGrid/>
          <w:szCs w:val="22"/>
          <w:lang w:val="lt-LT" w:eastAsia="de-DE"/>
        </w:rPr>
        <w:t xml:space="preserve"> </w:t>
      </w:r>
      <w:r w:rsidRPr="00561601">
        <w:rPr>
          <w:rFonts w:cs="Arial"/>
          <w:snapToGrid/>
          <w:szCs w:val="22"/>
          <w:lang w:val="lt-LT" w:eastAsia="de-DE"/>
        </w:rPr>
        <w:t>yra ne mažiau kaip 96 % imunoglobulino G (</w:t>
      </w:r>
      <w:proofErr w:type="spellStart"/>
      <w:r w:rsidRPr="00561601">
        <w:rPr>
          <w:rFonts w:cs="Arial"/>
          <w:snapToGrid/>
          <w:szCs w:val="22"/>
          <w:lang w:val="lt-LT" w:eastAsia="de-DE"/>
        </w:rPr>
        <w:t>IgG</w:t>
      </w:r>
      <w:proofErr w:type="spellEnd"/>
      <w:r w:rsidRPr="00561601">
        <w:rPr>
          <w:rFonts w:cs="Arial"/>
          <w:snapToGrid/>
          <w:szCs w:val="22"/>
          <w:lang w:val="lt-LT" w:eastAsia="de-DE"/>
        </w:rPr>
        <w:t>)</w:t>
      </w:r>
      <w:r w:rsidR="00FB6F43">
        <w:rPr>
          <w:rFonts w:cs="Arial"/>
          <w:snapToGrid/>
          <w:szCs w:val="22"/>
          <w:lang w:val="lt-LT" w:eastAsia="de-DE"/>
        </w:rPr>
        <w:t>)</w:t>
      </w:r>
      <w:r w:rsidRPr="00561601">
        <w:rPr>
          <w:rFonts w:cs="Arial"/>
          <w:snapToGrid/>
          <w:szCs w:val="22"/>
          <w:lang w:val="lt-LT" w:eastAsia="de-DE"/>
        </w:rPr>
        <w:t xml:space="preserve">, kuriame antikūnų prieš </w:t>
      </w:r>
      <w:proofErr w:type="spellStart"/>
      <w:r w:rsidRPr="00561601">
        <w:rPr>
          <w:rFonts w:cs="Arial"/>
          <w:snapToGrid/>
          <w:szCs w:val="22"/>
          <w:lang w:val="lt-LT" w:eastAsia="de-DE"/>
        </w:rPr>
        <w:t>citomegalo</w:t>
      </w:r>
      <w:proofErr w:type="spellEnd"/>
      <w:r w:rsidRPr="00561601">
        <w:rPr>
          <w:rFonts w:cs="Arial"/>
          <w:snapToGrid/>
          <w:szCs w:val="22"/>
          <w:lang w:val="lt-LT" w:eastAsia="de-DE"/>
        </w:rPr>
        <w:t xml:space="preserve"> virusą kiekis yra 100 V*.</w:t>
      </w:r>
    </w:p>
    <w:p w14:paraId="05207EC5" w14:textId="77777777" w:rsidR="002C19BF" w:rsidRPr="00561601" w:rsidRDefault="002C19BF" w:rsidP="00E7565F">
      <w:pPr>
        <w:tabs>
          <w:tab w:val="clear" w:pos="567"/>
          <w:tab w:val="left" w:pos="-3402"/>
          <w:tab w:val="left" w:pos="-3261"/>
          <w:tab w:val="left" w:pos="709"/>
          <w:tab w:val="left" w:pos="4820"/>
          <w:tab w:val="left" w:pos="5400"/>
        </w:tabs>
        <w:overflowPunct w:val="0"/>
        <w:autoSpaceDE w:val="0"/>
        <w:autoSpaceDN w:val="0"/>
        <w:adjustRightInd w:val="0"/>
        <w:spacing w:line="240" w:lineRule="auto"/>
        <w:ind w:left="709"/>
        <w:textAlignment w:val="baseline"/>
        <w:rPr>
          <w:snapToGrid/>
          <w:szCs w:val="22"/>
          <w:lang w:val="lt-LT" w:eastAsia="de-DE"/>
        </w:rPr>
      </w:pPr>
    </w:p>
    <w:p w14:paraId="4AAC0C27" w14:textId="5B86ECD4" w:rsidR="002C19BF" w:rsidRPr="00561601" w:rsidRDefault="002C19BF" w:rsidP="00E7565F">
      <w:pPr>
        <w:tabs>
          <w:tab w:val="clear" w:pos="567"/>
          <w:tab w:val="left" w:pos="709"/>
        </w:tabs>
        <w:overflowPunct w:val="0"/>
        <w:autoSpaceDE w:val="0"/>
        <w:autoSpaceDN w:val="0"/>
        <w:adjustRightInd w:val="0"/>
        <w:spacing w:line="240" w:lineRule="auto"/>
        <w:ind w:left="709"/>
        <w:textAlignment w:val="baseline"/>
        <w:rPr>
          <w:snapToGrid/>
          <w:szCs w:val="22"/>
          <w:lang w:val="lt-LT" w:eastAsia="de-DE"/>
        </w:rPr>
      </w:pPr>
      <w:r w:rsidRPr="00561601">
        <w:rPr>
          <w:rFonts w:cs="Arial"/>
          <w:snapToGrid/>
          <w:szCs w:val="22"/>
          <w:lang w:val="lt-LT" w:eastAsia="de-DE"/>
        </w:rPr>
        <w:t>Kiekviename 10 ml flakone yra: 500 mg žmogaus plazmos baltymo (</w:t>
      </w:r>
      <w:r w:rsidR="00C22EF3">
        <w:rPr>
          <w:rFonts w:cs="Arial"/>
          <w:snapToGrid/>
          <w:szCs w:val="22"/>
          <w:lang w:val="lt-LT" w:eastAsia="de-DE"/>
        </w:rPr>
        <w:t>iš kurio</w:t>
      </w:r>
      <w:r w:rsidR="00C22EF3" w:rsidRPr="00561601">
        <w:rPr>
          <w:rFonts w:cs="Arial"/>
          <w:snapToGrid/>
          <w:szCs w:val="22"/>
          <w:lang w:val="lt-LT" w:eastAsia="de-DE"/>
        </w:rPr>
        <w:t xml:space="preserve"> </w:t>
      </w:r>
      <w:r w:rsidRPr="00561601">
        <w:rPr>
          <w:rFonts w:cs="Arial"/>
          <w:snapToGrid/>
          <w:szCs w:val="22"/>
          <w:lang w:val="lt-LT" w:eastAsia="de-DE"/>
        </w:rPr>
        <w:t>yra ne mažiau kaip 96 % imunoglobulino G), kuriame antikūnų prieš CMV kiekis yra 1 000 V*.</w:t>
      </w:r>
    </w:p>
    <w:p w14:paraId="455B2409" w14:textId="62386D96" w:rsidR="002C19BF" w:rsidRPr="00561601" w:rsidRDefault="002C19BF" w:rsidP="00E7565F">
      <w:pPr>
        <w:tabs>
          <w:tab w:val="clear" w:pos="567"/>
          <w:tab w:val="left" w:pos="-3402"/>
          <w:tab w:val="left" w:pos="-3261"/>
          <w:tab w:val="left" w:pos="709"/>
          <w:tab w:val="left" w:pos="4820"/>
          <w:tab w:val="left" w:pos="5400"/>
        </w:tabs>
        <w:overflowPunct w:val="0"/>
        <w:autoSpaceDE w:val="0"/>
        <w:autoSpaceDN w:val="0"/>
        <w:adjustRightInd w:val="0"/>
        <w:spacing w:line="240" w:lineRule="auto"/>
        <w:ind w:left="709"/>
        <w:textAlignment w:val="baseline"/>
        <w:rPr>
          <w:rFonts w:ascii="Arial" w:hAnsi="Arial" w:cs="Arial"/>
          <w:iCs/>
          <w:snapToGrid/>
          <w:szCs w:val="22"/>
          <w:lang w:val="lt-LT" w:eastAsia="de-DE"/>
        </w:rPr>
      </w:pPr>
      <w:r w:rsidRPr="00561601">
        <w:rPr>
          <w:rFonts w:cs="Arial"/>
          <w:snapToGrid/>
          <w:szCs w:val="22"/>
          <w:lang w:val="lt-LT" w:eastAsia="de-DE"/>
        </w:rPr>
        <w:t>Kiekviename 50 ml flakone yra: 2 500 mg žmogaus plazmos baltymo (</w:t>
      </w:r>
      <w:r w:rsidR="00C22EF3">
        <w:rPr>
          <w:rFonts w:cs="Arial"/>
          <w:snapToGrid/>
          <w:szCs w:val="22"/>
          <w:lang w:val="lt-LT" w:eastAsia="de-DE"/>
        </w:rPr>
        <w:t>iš kurio</w:t>
      </w:r>
      <w:r w:rsidR="00C22EF3" w:rsidRPr="00561601">
        <w:rPr>
          <w:rFonts w:cs="Arial"/>
          <w:snapToGrid/>
          <w:szCs w:val="22"/>
          <w:lang w:val="lt-LT" w:eastAsia="de-DE"/>
        </w:rPr>
        <w:t xml:space="preserve"> </w:t>
      </w:r>
      <w:r w:rsidRPr="00561601">
        <w:rPr>
          <w:rFonts w:cs="Arial"/>
          <w:snapToGrid/>
          <w:szCs w:val="22"/>
          <w:lang w:val="lt-LT" w:eastAsia="de-DE"/>
        </w:rPr>
        <w:t>yra ne mažiau kaip 96 % imunoglobulino G), kuriame antikūnų prieš CMV kiekis yra 5 000 V*.</w:t>
      </w:r>
    </w:p>
    <w:p w14:paraId="54824E60" w14:textId="77777777" w:rsidR="002C19BF" w:rsidRPr="00561601" w:rsidRDefault="002C19BF" w:rsidP="00E7565F">
      <w:pPr>
        <w:tabs>
          <w:tab w:val="clear" w:pos="567"/>
          <w:tab w:val="left" w:pos="-3402"/>
          <w:tab w:val="left" w:pos="-3261"/>
          <w:tab w:val="left" w:pos="709"/>
          <w:tab w:val="left" w:pos="4820"/>
          <w:tab w:val="left" w:pos="5400"/>
        </w:tabs>
        <w:overflowPunct w:val="0"/>
        <w:autoSpaceDE w:val="0"/>
        <w:autoSpaceDN w:val="0"/>
        <w:adjustRightInd w:val="0"/>
        <w:spacing w:line="240" w:lineRule="auto"/>
        <w:ind w:left="709"/>
        <w:textAlignment w:val="baseline"/>
        <w:rPr>
          <w:snapToGrid/>
          <w:szCs w:val="22"/>
          <w:lang w:val="lt-LT" w:eastAsia="de-DE"/>
        </w:rPr>
      </w:pPr>
    </w:p>
    <w:p w14:paraId="2605A24D" w14:textId="77777777" w:rsidR="002C19BF" w:rsidRPr="00561601" w:rsidRDefault="002C19BF" w:rsidP="00E7565F">
      <w:pPr>
        <w:tabs>
          <w:tab w:val="clear" w:pos="567"/>
          <w:tab w:val="left" w:pos="709"/>
        </w:tabs>
        <w:overflowPunct w:val="0"/>
        <w:autoSpaceDE w:val="0"/>
        <w:autoSpaceDN w:val="0"/>
        <w:adjustRightInd w:val="0"/>
        <w:spacing w:line="240" w:lineRule="auto"/>
        <w:ind w:left="709"/>
        <w:textAlignment w:val="baseline"/>
        <w:rPr>
          <w:snapToGrid/>
          <w:szCs w:val="22"/>
          <w:lang w:val="lt-LT" w:eastAsia="de-DE"/>
        </w:rPr>
      </w:pPr>
      <w:proofErr w:type="spellStart"/>
      <w:r w:rsidRPr="00561601">
        <w:rPr>
          <w:rFonts w:cs="Arial"/>
          <w:snapToGrid/>
          <w:szCs w:val="22"/>
          <w:lang w:val="lt-LT" w:eastAsia="de-DE"/>
        </w:rPr>
        <w:t>IgG</w:t>
      </w:r>
      <w:proofErr w:type="spellEnd"/>
      <w:r w:rsidRPr="00561601">
        <w:rPr>
          <w:rFonts w:cs="Arial"/>
          <w:snapToGrid/>
          <w:szCs w:val="22"/>
          <w:lang w:val="lt-LT" w:eastAsia="de-DE"/>
        </w:rPr>
        <w:t xml:space="preserve"> poklasio pasiskirstymas yra maždaug 65 % IgG1, 30 % IgG2, 3 % IgG3, 2 % IgG4.</w:t>
      </w:r>
    </w:p>
    <w:p w14:paraId="41302D41" w14:textId="77777777" w:rsidR="002C19BF" w:rsidRPr="00561601" w:rsidRDefault="002C19BF" w:rsidP="00E7565F">
      <w:pPr>
        <w:tabs>
          <w:tab w:val="clear" w:pos="567"/>
          <w:tab w:val="left" w:pos="709"/>
        </w:tabs>
        <w:overflowPunct w:val="0"/>
        <w:autoSpaceDE w:val="0"/>
        <w:autoSpaceDN w:val="0"/>
        <w:adjustRightInd w:val="0"/>
        <w:spacing w:line="240" w:lineRule="auto"/>
        <w:ind w:left="709"/>
        <w:textAlignment w:val="baseline"/>
        <w:rPr>
          <w:snapToGrid/>
          <w:szCs w:val="22"/>
          <w:lang w:val="lt-LT" w:eastAsia="de-DE"/>
        </w:rPr>
      </w:pPr>
      <w:r w:rsidRPr="00561601">
        <w:rPr>
          <w:rFonts w:cs="Arial"/>
          <w:snapToGrid/>
          <w:szCs w:val="22"/>
          <w:lang w:val="lt-LT" w:eastAsia="de-DE"/>
        </w:rPr>
        <w:t>Didžiausias imunoglobulino A (</w:t>
      </w:r>
      <w:proofErr w:type="spellStart"/>
      <w:r w:rsidRPr="00561601">
        <w:rPr>
          <w:rFonts w:cs="Arial"/>
          <w:snapToGrid/>
          <w:szCs w:val="22"/>
          <w:lang w:val="lt-LT" w:eastAsia="de-DE"/>
        </w:rPr>
        <w:t>IgA</w:t>
      </w:r>
      <w:proofErr w:type="spellEnd"/>
      <w:r w:rsidRPr="00561601">
        <w:rPr>
          <w:rFonts w:cs="Arial"/>
          <w:snapToGrid/>
          <w:szCs w:val="22"/>
          <w:lang w:val="lt-LT" w:eastAsia="de-DE"/>
        </w:rPr>
        <w:t>) kiekis yra iki 2 000 </w:t>
      </w:r>
      <w:proofErr w:type="spellStart"/>
      <w:r w:rsidRPr="00561601">
        <w:rPr>
          <w:rFonts w:cs="Arial"/>
          <w:snapToGrid/>
          <w:szCs w:val="22"/>
          <w:lang w:val="lt-LT" w:eastAsia="de-DE"/>
        </w:rPr>
        <w:t>mikrogramų</w:t>
      </w:r>
      <w:proofErr w:type="spellEnd"/>
      <w:r w:rsidRPr="00561601">
        <w:rPr>
          <w:rFonts w:cs="Arial"/>
          <w:snapToGrid/>
          <w:szCs w:val="22"/>
          <w:lang w:val="lt-LT" w:eastAsia="de-DE"/>
        </w:rPr>
        <w:t>/ml.</w:t>
      </w:r>
    </w:p>
    <w:p w14:paraId="7044E2D0" w14:textId="77777777" w:rsidR="002C19BF" w:rsidRPr="00561601" w:rsidRDefault="002C19BF" w:rsidP="00C70BBD">
      <w:pPr>
        <w:tabs>
          <w:tab w:val="clear" w:pos="567"/>
          <w:tab w:val="left" w:pos="993"/>
        </w:tabs>
        <w:overflowPunct w:val="0"/>
        <w:autoSpaceDE w:val="0"/>
        <w:autoSpaceDN w:val="0"/>
        <w:adjustRightInd w:val="0"/>
        <w:spacing w:line="240" w:lineRule="auto"/>
        <w:textAlignment w:val="baseline"/>
        <w:rPr>
          <w:snapToGrid/>
          <w:szCs w:val="22"/>
          <w:lang w:val="lt-LT" w:eastAsia="de-DE"/>
        </w:rPr>
      </w:pPr>
      <w:r w:rsidRPr="00561601">
        <w:rPr>
          <w:rFonts w:cs="Arial"/>
          <w:i/>
          <w:snapToGrid/>
          <w:szCs w:val="22"/>
          <w:lang w:val="lt-LT" w:eastAsia="de-DE"/>
        </w:rPr>
        <w:tab/>
        <w:t xml:space="preserve">* </w:t>
      </w:r>
      <w:proofErr w:type="spellStart"/>
      <w:r w:rsidRPr="00561601">
        <w:rPr>
          <w:rFonts w:cs="Arial"/>
          <w:i/>
          <w:snapToGrid/>
          <w:szCs w:val="22"/>
          <w:lang w:val="lt-LT" w:eastAsia="de-DE"/>
        </w:rPr>
        <w:t>Paul-Ehrlich-Institut</w:t>
      </w:r>
      <w:proofErr w:type="spellEnd"/>
      <w:r w:rsidRPr="00561601">
        <w:rPr>
          <w:rFonts w:cs="Arial"/>
          <w:i/>
          <w:snapToGrid/>
          <w:szCs w:val="22"/>
          <w:lang w:val="lt-LT" w:eastAsia="de-DE"/>
        </w:rPr>
        <w:t xml:space="preserve"> etaloninio preparato vienetai</w:t>
      </w:r>
    </w:p>
    <w:p w14:paraId="1DBE3B5A" w14:textId="77777777" w:rsidR="002C19BF" w:rsidRPr="00561601" w:rsidRDefault="002C19BF" w:rsidP="00E7565F">
      <w:pPr>
        <w:tabs>
          <w:tab w:val="clear" w:pos="567"/>
          <w:tab w:val="left" w:pos="993"/>
        </w:tabs>
        <w:overflowPunct w:val="0"/>
        <w:autoSpaceDE w:val="0"/>
        <w:autoSpaceDN w:val="0"/>
        <w:adjustRightInd w:val="0"/>
        <w:spacing w:line="240" w:lineRule="auto"/>
        <w:ind w:left="709"/>
        <w:textAlignment w:val="baseline"/>
        <w:rPr>
          <w:snapToGrid/>
          <w:szCs w:val="22"/>
          <w:lang w:val="lt-LT" w:eastAsia="de-DE"/>
        </w:rPr>
      </w:pPr>
    </w:p>
    <w:p w14:paraId="25F7B3DA" w14:textId="77777777" w:rsidR="002C19BF" w:rsidRPr="00561601" w:rsidRDefault="002C19BF" w:rsidP="00E7565F">
      <w:pPr>
        <w:numPr>
          <w:ilvl w:val="0"/>
          <w:numId w:val="19"/>
        </w:numPr>
        <w:tabs>
          <w:tab w:val="clear" w:pos="567"/>
          <w:tab w:val="left" w:pos="709"/>
        </w:tabs>
        <w:overflowPunct w:val="0"/>
        <w:autoSpaceDE w:val="0"/>
        <w:autoSpaceDN w:val="0"/>
        <w:adjustRightInd w:val="0"/>
        <w:spacing w:line="240" w:lineRule="auto"/>
        <w:textAlignment w:val="baseline"/>
        <w:rPr>
          <w:snapToGrid/>
          <w:szCs w:val="22"/>
          <w:lang w:val="lt-LT" w:eastAsia="de-DE"/>
        </w:rPr>
      </w:pPr>
      <w:r w:rsidRPr="00E7565F">
        <w:rPr>
          <w:rFonts w:cs="Arial"/>
          <w:snapToGrid/>
          <w:szCs w:val="22"/>
          <w:lang w:val="lt-LT" w:eastAsia="de-DE"/>
        </w:rPr>
        <w:t>Pagalbinės medžiagos yra</w:t>
      </w:r>
      <w:r w:rsidRPr="00033FE1">
        <w:rPr>
          <w:rFonts w:cs="Arial"/>
          <w:snapToGrid/>
          <w:szCs w:val="22"/>
          <w:lang w:val="lt-LT" w:eastAsia="de-DE"/>
        </w:rPr>
        <w:t xml:space="preserve"> glicinas</w:t>
      </w:r>
      <w:r w:rsidRPr="00561601">
        <w:rPr>
          <w:rFonts w:cs="Arial"/>
          <w:snapToGrid/>
          <w:szCs w:val="22"/>
          <w:lang w:val="lt-LT" w:eastAsia="de-DE"/>
        </w:rPr>
        <w:t xml:space="preserve"> ir injekcinis vanduo.</w:t>
      </w:r>
    </w:p>
    <w:p w14:paraId="2ABB88F7" w14:textId="77777777"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p>
    <w:p w14:paraId="77822C3E" w14:textId="29D0F4E7" w:rsidR="002C19BF" w:rsidRPr="00561601" w:rsidRDefault="00E47068" w:rsidP="002C19BF">
      <w:pPr>
        <w:tabs>
          <w:tab w:val="clear" w:pos="567"/>
        </w:tabs>
        <w:overflowPunct w:val="0"/>
        <w:autoSpaceDE w:val="0"/>
        <w:autoSpaceDN w:val="0"/>
        <w:adjustRightInd w:val="0"/>
        <w:spacing w:line="240" w:lineRule="auto"/>
        <w:textAlignment w:val="baseline"/>
        <w:rPr>
          <w:b/>
          <w:bCs/>
          <w:snapToGrid/>
          <w:szCs w:val="22"/>
          <w:lang w:val="lt-LT" w:eastAsia="de-DE"/>
        </w:rPr>
      </w:pPr>
      <w:proofErr w:type="spellStart"/>
      <w:r>
        <w:rPr>
          <w:rFonts w:cs="Arial"/>
          <w:b/>
          <w:snapToGrid/>
          <w:szCs w:val="22"/>
          <w:lang w:val="lt-LT" w:eastAsia="de-DE"/>
        </w:rPr>
        <w:t>Cymvigo</w:t>
      </w:r>
      <w:proofErr w:type="spellEnd"/>
      <w:r>
        <w:rPr>
          <w:rFonts w:cs="Arial"/>
          <w:b/>
          <w:snapToGrid/>
          <w:szCs w:val="22"/>
          <w:lang w:val="lt-LT" w:eastAsia="de-DE"/>
        </w:rPr>
        <w:t xml:space="preserve"> </w:t>
      </w:r>
      <w:r w:rsidR="002C19BF" w:rsidRPr="00561601">
        <w:rPr>
          <w:rFonts w:cs="Arial"/>
          <w:b/>
          <w:snapToGrid/>
          <w:szCs w:val="22"/>
          <w:lang w:val="lt-LT" w:eastAsia="de-DE"/>
        </w:rPr>
        <w:t>išvaizda ir kiekis pakuotėje</w:t>
      </w:r>
    </w:p>
    <w:p w14:paraId="57E82F6C" w14:textId="504FFA7D" w:rsidR="002C19BF" w:rsidRPr="00561601" w:rsidRDefault="00E47068" w:rsidP="002C19BF">
      <w:pPr>
        <w:tabs>
          <w:tab w:val="clear" w:pos="567"/>
        </w:tabs>
        <w:overflowPunct w:val="0"/>
        <w:autoSpaceDE w:val="0"/>
        <w:autoSpaceDN w:val="0"/>
        <w:adjustRightInd w:val="0"/>
        <w:spacing w:line="240" w:lineRule="auto"/>
        <w:textAlignment w:val="baseline"/>
        <w:rPr>
          <w:snapToGrid/>
          <w:szCs w:val="22"/>
          <w:lang w:val="lt-LT" w:eastAsia="de-DE"/>
        </w:rPr>
      </w:pPr>
      <w:proofErr w:type="spellStart"/>
      <w:r>
        <w:rPr>
          <w:rFonts w:cs="Arial"/>
          <w:snapToGrid/>
          <w:szCs w:val="22"/>
          <w:lang w:val="lt-LT" w:eastAsia="de-DE"/>
        </w:rPr>
        <w:t>Cymvigo</w:t>
      </w:r>
      <w:proofErr w:type="spellEnd"/>
      <w:r w:rsidR="002C19BF" w:rsidRPr="00561601">
        <w:rPr>
          <w:rFonts w:cs="Arial"/>
          <w:snapToGrid/>
          <w:szCs w:val="22"/>
          <w:lang w:val="lt-LT" w:eastAsia="de-DE"/>
        </w:rPr>
        <w:t xml:space="preserve"> yra skaidrus arba šiek tiek opalinis (turintis pieniško blizgesio), bespalvis arba šiek tiek gelsvas tirpalas flakonuose, pagamintuose iš bespalvio stiklo.</w:t>
      </w:r>
    </w:p>
    <w:p w14:paraId="01702777" w14:textId="77777777"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p>
    <w:p w14:paraId="46A6C2EB" w14:textId="27496C92" w:rsidR="002C19BF" w:rsidRPr="00561601" w:rsidRDefault="00E47068" w:rsidP="002C19BF">
      <w:pPr>
        <w:tabs>
          <w:tab w:val="clear" w:pos="567"/>
        </w:tabs>
        <w:overflowPunct w:val="0"/>
        <w:autoSpaceDE w:val="0"/>
        <w:autoSpaceDN w:val="0"/>
        <w:adjustRightInd w:val="0"/>
        <w:spacing w:line="240" w:lineRule="auto"/>
        <w:textAlignment w:val="baseline"/>
        <w:rPr>
          <w:snapToGrid/>
          <w:szCs w:val="22"/>
          <w:lang w:val="lt-LT" w:eastAsia="de-DE"/>
        </w:rPr>
      </w:pPr>
      <w:proofErr w:type="spellStart"/>
      <w:r>
        <w:rPr>
          <w:rFonts w:cs="Arial"/>
          <w:snapToGrid/>
          <w:szCs w:val="22"/>
          <w:lang w:val="lt-LT" w:eastAsia="de-DE"/>
        </w:rPr>
        <w:t>Cymvigo</w:t>
      </w:r>
      <w:proofErr w:type="spellEnd"/>
      <w:r w:rsidR="002C19BF" w:rsidRPr="00561601">
        <w:rPr>
          <w:rFonts w:cs="Arial"/>
          <w:snapToGrid/>
          <w:szCs w:val="22"/>
          <w:lang w:val="lt-LT" w:eastAsia="de-DE"/>
        </w:rPr>
        <w:t xml:space="preserve"> tiekiamas šių dydžių pakuotėse:</w:t>
      </w:r>
    </w:p>
    <w:p w14:paraId="06907E2D" w14:textId="77777777"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viena dėžutė, kurioje yra 1 flakonas su 10 ml (1 000 V) infuzinio tirpalo;</w:t>
      </w:r>
    </w:p>
    <w:p w14:paraId="70454A41" w14:textId="77777777"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viena dėžutė, kurioje yra 1 flakonas su 50 ml (5 000 V) infuzinio tirpalo.</w:t>
      </w:r>
    </w:p>
    <w:p w14:paraId="2D3E8B83" w14:textId="77777777" w:rsidR="002C19BF" w:rsidRPr="006D0F58" w:rsidRDefault="002C19BF" w:rsidP="006D0F58">
      <w:pPr>
        <w:pStyle w:val="Porat"/>
        <w:tabs>
          <w:tab w:val="clear" w:pos="567"/>
          <w:tab w:val="clear" w:pos="4536"/>
          <w:tab w:val="clear" w:pos="8306"/>
        </w:tabs>
        <w:overflowPunct w:val="0"/>
        <w:autoSpaceDE w:val="0"/>
        <w:autoSpaceDN w:val="0"/>
        <w:adjustRightInd w:val="0"/>
        <w:spacing w:line="240" w:lineRule="auto"/>
        <w:textAlignment w:val="baseline"/>
        <w:rPr>
          <w:snapToGrid/>
          <w:szCs w:val="22"/>
          <w:lang w:val="lt-LT" w:eastAsia="de-DE"/>
        </w:rPr>
      </w:pPr>
    </w:p>
    <w:p w14:paraId="537AE9A5" w14:textId="77777777"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Gali būti tiekiamos ne visų dydžių pakuotės.</w:t>
      </w:r>
    </w:p>
    <w:p w14:paraId="2D623C9A" w14:textId="77777777" w:rsidR="002C19BF" w:rsidRPr="00561601" w:rsidRDefault="002C19BF" w:rsidP="00F34163">
      <w:pPr>
        <w:numPr>
          <w:ilvl w:val="12"/>
          <w:numId w:val="0"/>
        </w:numPr>
        <w:tabs>
          <w:tab w:val="clear" w:pos="567"/>
        </w:tabs>
        <w:spacing w:line="240" w:lineRule="auto"/>
        <w:ind w:right="-2"/>
        <w:rPr>
          <w:szCs w:val="24"/>
          <w:lang w:val="lt-LT"/>
        </w:rPr>
      </w:pPr>
    </w:p>
    <w:p w14:paraId="2CBBBBBC" w14:textId="77777777" w:rsidR="00F34163" w:rsidRPr="00561601" w:rsidRDefault="00461F31" w:rsidP="00F34163">
      <w:pPr>
        <w:pStyle w:val="Antrat4"/>
        <w:rPr>
          <w:rFonts w:ascii="Times New Roman" w:hAnsi="Times New Roman"/>
          <w:sz w:val="22"/>
          <w:lang w:val="lt-LT"/>
        </w:rPr>
      </w:pPr>
      <w:r w:rsidRPr="00561601">
        <w:rPr>
          <w:rFonts w:ascii="Times New Roman" w:hAnsi="Times New Roman"/>
          <w:sz w:val="22"/>
          <w:lang w:val="lt-LT"/>
        </w:rPr>
        <w:t>Registruotojas</w:t>
      </w:r>
      <w:r w:rsidR="00F34163" w:rsidRPr="00561601">
        <w:rPr>
          <w:rFonts w:ascii="Times New Roman" w:hAnsi="Times New Roman"/>
          <w:sz w:val="22"/>
          <w:lang w:val="lt-LT"/>
        </w:rPr>
        <w:t xml:space="preserve"> ir gamintojas</w:t>
      </w:r>
    </w:p>
    <w:p w14:paraId="391DE254" w14:textId="77777777" w:rsidR="00F34163" w:rsidRPr="00561601" w:rsidRDefault="00F34163" w:rsidP="00F34163">
      <w:pPr>
        <w:numPr>
          <w:ilvl w:val="12"/>
          <w:numId w:val="0"/>
        </w:numPr>
        <w:tabs>
          <w:tab w:val="clear" w:pos="567"/>
        </w:tabs>
        <w:spacing w:line="240" w:lineRule="auto"/>
        <w:ind w:right="-2"/>
        <w:rPr>
          <w:szCs w:val="24"/>
          <w:lang w:val="lt-LT"/>
        </w:rPr>
      </w:pPr>
    </w:p>
    <w:p w14:paraId="4A8091D9" w14:textId="77777777" w:rsidR="002C19BF" w:rsidRPr="00561601" w:rsidRDefault="002C19BF" w:rsidP="002C19BF">
      <w:pPr>
        <w:tabs>
          <w:tab w:val="clear" w:pos="567"/>
          <w:tab w:val="left" w:pos="2400"/>
          <w:tab w:val="left" w:pos="4800"/>
        </w:tabs>
        <w:overflowPunct w:val="0"/>
        <w:autoSpaceDE w:val="0"/>
        <w:autoSpaceDN w:val="0"/>
        <w:adjustRightInd w:val="0"/>
        <w:spacing w:line="240" w:lineRule="auto"/>
        <w:textAlignment w:val="baseline"/>
        <w:rPr>
          <w:snapToGrid/>
          <w:szCs w:val="22"/>
          <w:lang w:val="lt-LT" w:eastAsia="de-DE"/>
        </w:rPr>
      </w:pPr>
      <w:proofErr w:type="spellStart"/>
      <w:r w:rsidRPr="00561601">
        <w:rPr>
          <w:rFonts w:cs="Arial"/>
          <w:snapToGrid/>
          <w:szCs w:val="22"/>
          <w:lang w:val="lt-LT" w:eastAsia="de-DE"/>
        </w:rPr>
        <w:t>Biotest</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Pharma</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GmbH</w:t>
      </w:r>
      <w:proofErr w:type="spellEnd"/>
    </w:p>
    <w:p w14:paraId="416809CC" w14:textId="77777777" w:rsidR="002C19BF" w:rsidRPr="00561601" w:rsidRDefault="002C19BF" w:rsidP="002C19BF">
      <w:pPr>
        <w:tabs>
          <w:tab w:val="clear" w:pos="567"/>
          <w:tab w:val="left" w:pos="2400"/>
          <w:tab w:val="left" w:pos="4800"/>
        </w:tabs>
        <w:overflowPunct w:val="0"/>
        <w:autoSpaceDE w:val="0"/>
        <w:autoSpaceDN w:val="0"/>
        <w:adjustRightInd w:val="0"/>
        <w:spacing w:line="240" w:lineRule="auto"/>
        <w:textAlignment w:val="baseline"/>
        <w:rPr>
          <w:snapToGrid/>
          <w:szCs w:val="22"/>
          <w:lang w:val="lt-LT" w:eastAsia="de-DE"/>
        </w:rPr>
      </w:pPr>
      <w:proofErr w:type="spellStart"/>
      <w:r w:rsidRPr="00561601">
        <w:rPr>
          <w:rFonts w:cs="Arial"/>
          <w:snapToGrid/>
          <w:szCs w:val="22"/>
          <w:lang w:val="lt-LT" w:eastAsia="de-DE"/>
        </w:rPr>
        <w:t>Landsteinerstraße</w:t>
      </w:r>
      <w:proofErr w:type="spellEnd"/>
      <w:r w:rsidRPr="00561601">
        <w:rPr>
          <w:rFonts w:cs="Arial"/>
          <w:snapToGrid/>
          <w:szCs w:val="22"/>
          <w:lang w:val="lt-LT" w:eastAsia="de-DE"/>
        </w:rPr>
        <w:t xml:space="preserve"> 5</w:t>
      </w:r>
    </w:p>
    <w:p w14:paraId="4F4CBA64" w14:textId="77777777" w:rsidR="002C19BF" w:rsidRPr="00561601" w:rsidRDefault="002C19BF" w:rsidP="002C19BF">
      <w:pPr>
        <w:tabs>
          <w:tab w:val="clear" w:pos="567"/>
          <w:tab w:val="left" w:pos="2400"/>
          <w:tab w:val="left" w:pos="4800"/>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63303 </w:t>
      </w:r>
      <w:proofErr w:type="spellStart"/>
      <w:r w:rsidRPr="00561601">
        <w:rPr>
          <w:rFonts w:cs="Arial"/>
          <w:snapToGrid/>
          <w:szCs w:val="22"/>
          <w:lang w:val="lt-LT" w:eastAsia="de-DE"/>
        </w:rPr>
        <w:t>Dreieich</w:t>
      </w:r>
      <w:proofErr w:type="spellEnd"/>
    </w:p>
    <w:p w14:paraId="4D975BA7" w14:textId="77777777" w:rsidR="002C19BF" w:rsidRPr="00561601" w:rsidRDefault="002C19BF" w:rsidP="002C19BF">
      <w:pPr>
        <w:tabs>
          <w:tab w:val="clear" w:pos="567"/>
          <w:tab w:val="left" w:pos="2400"/>
          <w:tab w:val="left" w:pos="4800"/>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Vokietija</w:t>
      </w:r>
    </w:p>
    <w:p w14:paraId="42A400E4" w14:textId="77777777" w:rsidR="002C19BF" w:rsidRPr="00561601" w:rsidRDefault="002C19BF" w:rsidP="002C19BF">
      <w:pPr>
        <w:numPr>
          <w:ilvl w:val="12"/>
          <w:numId w:val="0"/>
        </w:numPr>
        <w:tabs>
          <w:tab w:val="clear" w:pos="567"/>
        </w:tabs>
        <w:overflowPunct w:val="0"/>
        <w:autoSpaceDE w:val="0"/>
        <w:autoSpaceDN w:val="0"/>
        <w:adjustRightInd w:val="0"/>
        <w:spacing w:line="240" w:lineRule="auto"/>
        <w:ind w:right="-2"/>
        <w:textAlignment w:val="baseline"/>
        <w:rPr>
          <w:snapToGrid/>
          <w:szCs w:val="22"/>
          <w:lang w:val="lt-LT" w:eastAsia="de-DE"/>
        </w:rPr>
      </w:pPr>
      <w:r w:rsidRPr="00561601">
        <w:rPr>
          <w:rFonts w:cs="Arial"/>
          <w:snapToGrid/>
          <w:szCs w:val="22"/>
          <w:lang w:val="lt-LT" w:eastAsia="de-DE"/>
        </w:rPr>
        <w:t>Tel.</w:t>
      </w:r>
      <w:r w:rsidR="00C30A9B" w:rsidRPr="00561601">
        <w:rPr>
          <w:rFonts w:cs="Arial"/>
          <w:snapToGrid/>
          <w:szCs w:val="22"/>
          <w:lang w:val="lt-LT" w:eastAsia="de-DE"/>
        </w:rPr>
        <w:t>:</w:t>
      </w:r>
      <w:r w:rsidRPr="00561601">
        <w:rPr>
          <w:rFonts w:cs="Arial"/>
          <w:snapToGrid/>
          <w:szCs w:val="22"/>
          <w:lang w:val="lt-LT" w:eastAsia="de-DE"/>
        </w:rPr>
        <w:t xml:space="preserve"> + 49 6103 801-0</w:t>
      </w:r>
    </w:p>
    <w:p w14:paraId="28C301E6" w14:textId="77777777" w:rsidR="002C19BF" w:rsidRPr="00561601" w:rsidRDefault="002C19BF" w:rsidP="002C19BF">
      <w:pPr>
        <w:numPr>
          <w:ilvl w:val="12"/>
          <w:numId w:val="0"/>
        </w:numPr>
        <w:tabs>
          <w:tab w:val="clear" w:pos="567"/>
        </w:tabs>
        <w:overflowPunct w:val="0"/>
        <w:autoSpaceDE w:val="0"/>
        <w:autoSpaceDN w:val="0"/>
        <w:adjustRightInd w:val="0"/>
        <w:spacing w:line="240" w:lineRule="auto"/>
        <w:ind w:right="-2"/>
        <w:textAlignment w:val="baseline"/>
        <w:rPr>
          <w:snapToGrid/>
          <w:szCs w:val="22"/>
          <w:lang w:val="lt-LT" w:eastAsia="de-DE"/>
        </w:rPr>
      </w:pPr>
      <w:r w:rsidRPr="00561601">
        <w:rPr>
          <w:rFonts w:cs="Arial"/>
          <w:snapToGrid/>
          <w:szCs w:val="22"/>
          <w:lang w:val="lt-LT" w:eastAsia="de-DE"/>
        </w:rPr>
        <w:t>Faks.</w:t>
      </w:r>
      <w:r w:rsidR="00C30A9B" w:rsidRPr="00561601">
        <w:rPr>
          <w:rFonts w:cs="Arial"/>
          <w:snapToGrid/>
          <w:szCs w:val="22"/>
          <w:lang w:val="lt-LT" w:eastAsia="de-DE"/>
        </w:rPr>
        <w:t>:</w:t>
      </w:r>
      <w:r w:rsidRPr="00561601">
        <w:rPr>
          <w:rFonts w:cs="Arial"/>
          <w:snapToGrid/>
          <w:szCs w:val="22"/>
          <w:lang w:val="lt-LT" w:eastAsia="de-DE"/>
        </w:rPr>
        <w:t xml:space="preserve"> + 49 6103 801-150</w:t>
      </w:r>
    </w:p>
    <w:p w14:paraId="5C2C8A94" w14:textId="77777777" w:rsidR="002C19BF" w:rsidRPr="00561601" w:rsidRDefault="002C19BF" w:rsidP="002C19BF">
      <w:pPr>
        <w:tabs>
          <w:tab w:val="clear" w:pos="567"/>
          <w:tab w:val="left" w:pos="2400"/>
          <w:tab w:val="left" w:pos="4800"/>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El. paštas</w:t>
      </w:r>
      <w:r w:rsidR="00C30A9B" w:rsidRPr="00561601">
        <w:rPr>
          <w:rFonts w:cs="Arial"/>
          <w:snapToGrid/>
          <w:szCs w:val="22"/>
          <w:lang w:val="lt-LT" w:eastAsia="de-DE"/>
        </w:rPr>
        <w:t>:</w:t>
      </w:r>
      <w:r w:rsidRPr="00561601">
        <w:rPr>
          <w:rFonts w:cs="Arial"/>
          <w:snapToGrid/>
          <w:szCs w:val="22"/>
          <w:lang w:val="lt-LT" w:eastAsia="de-DE"/>
        </w:rPr>
        <w:t xml:space="preserve"> mail@biotest.com</w:t>
      </w:r>
    </w:p>
    <w:p w14:paraId="33CD282F" w14:textId="77777777" w:rsidR="00F34163" w:rsidRPr="00561601" w:rsidRDefault="00F34163" w:rsidP="00F34163">
      <w:pPr>
        <w:numPr>
          <w:ilvl w:val="12"/>
          <w:numId w:val="0"/>
        </w:numPr>
        <w:tabs>
          <w:tab w:val="clear" w:pos="567"/>
        </w:tabs>
        <w:spacing w:line="240" w:lineRule="auto"/>
        <w:ind w:right="-2"/>
        <w:rPr>
          <w:szCs w:val="24"/>
          <w:lang w:val="lt-LT"/>
        </w:rPr>
      </w:pPr>
    </w:p>
    <w:p w14:paraId="608B5370" w14:textId="77777777" w:rsidR="00F34163" w:rsidRPr="00561601" w:rsidRDefault="00F34163" w:rsidP="00F34163">
      <w:pPr>
        <w:spacing w:line="240" w:lineRule="auto"/>
        <w:rPr>
          <w:noProof/>
          <w:szCs w:val="24"/>
          <w:lang w:val="lt-LT"/>
        </w:rPr>
      </w:pPr>
    </w:p>
    <w:p w14:paraId="5C0CCAA6" w14:textId="46D6EABD" w:rsidR="00F34163" w:rsidRPr="00561601" w:rsidRDefault="00461F31" w:rsidP="00F34163">
      <w:pPr>
        <w:numPr>
          <w:ilvl w:val="12"/>
          <w:numId w:val="0"/>
        </w:numPr>
        <w:ind w:right="-2"/>
        <w:rPr>
          <w:lang w:val="lt-LT"/>
        </w:rPr>
      </w:pPr>
      <w:r w:rsidRPr="00561601">
        <w:rPr>
          <w:b/>
          <w:lang w:val="lt-LT"/>
        </w:rPr>
        <w:t xml:space="preserve">Šis </w:t>
      </w:r>
      <w:r w:rsidR="00A76206" w:rsidRPr="00561601">
        <w:rPr>
          <w:b/>
          <w:lang w:val="lt-LT"/>
        </w:rPr>
        <w:t>vaistas</w:t>
      </w:r>
      <w:r w:rsidR="00F34163" w:rsidRPr="00561601">
        <w:rPr>
          <w:b/>
          <w:lang w:val="lt-LT"/>
        </w:rPr>
        <w:t xml:space="preserve"> E</w:t>
      </w:r>
      <w:r w:rsidR="00893B1F">
        <w:rPr>
          <w:b/>
          <w:lang w:val="lt-LT"/>
        </w:rPr>
        <w:t>uropos ekonominės erdvės</w:t>
      </w:r>
      <w:r w:rsidR="00F34163" w:rsidRPr="00561601">
        <w:rPr>
          <w:b/>
          <w:lang w:val="lt-LT"/>
        </w:rPr>
        <w:t xml:space="preserve"> valstybėse narėse </w:t>
      </w:r>
      <w:r w:rsidRPr="00561601">
        <w:rPr>
          <w:b/>
          <w:lang w:val="lt-LT"/>
        </w:rPr>
        <w:t xml:space="preserve">registruotas </w:t>
      </w:r>
      <w:r w:rsidR="00F34163" w:rsidRPr="00561601">
        <w:rPr>
          <w:b/>
          <w:lang w:val="lt-LT"/>
        </w:rPr>
        <w:t>tokiais pavadinimais</w:t>
      </w:r>
      <w:r w:rsidR="00F34163" w:rsidRPr="00561601">
        <w:rPr>
          <w:lang w:val="lt-LT"/>
        </w:rPr>
        <w:t>:</w:t>
      </w:r>
    </w:p>
    <w:p w14:paraId="71C72FC6" w14:textId="77777777" w:rsidR="00447DE7" w:rsidRPr="00561601" w:rsidRDefault="00447DE7" w:rsidP="00F34163">
      <w:pPr>
        <w:ind w:left="567" w:hanging="567"/>
        <w:rPr>
          <w:lang w:val="lt-LT"/>
        </w:rPr>
      </w:pPr>
    </w:p>
    <w:p w14:paraId="0180A73C" w14:textId="77777777" w:rsidR="00B945A9" w:rsidRPr="00561601" w:rsidRDefault="00B945A9" w:rsidP="00285FA7">
      <w:pPr>
        <w:tabs>
          <w:tab w:val="clear" w:pos="567"/>
          <w:tab w:val="left" w:pos="3686"/>
        </w:tabs>
        <w:overflowPunct w:val="0"/>
        <w:autoSpaceDE w:val="0"/>
        <w:autoSpaceDN w:val="0"/>
        <w:adjustRightInd w:val="0"/>
        <w:spacing w:line="240" w:lineRule="auto"/>
        <w:textAlignment w:val="baseline"/>
        <w:rPr>
          <w:bCs/>
          <w:snapToGrid/>
          <w:szCs w:val="22"/>
          <w:lang w:val="lt-LT" w:eastAsia="de-DE"/>
        </w:rPr>
      </w:pPr>
      <w:r w:rsidRPr="00561601">
        <w:rPr>
          <w:rFonts w:cs="Arial"/>
          <w:snapToGrid/>
          <w:szCs w:val="22"/>
          <w:lang w:val="lt-LT" w:eastAsia="de-DE"/>
        </w:rPr>
        <w:t>Kroatija, Vokietija, Vengrija</w:t>
      </w:r>
      <w:r w:rsidR="009D673B" w:rsidRPr="00561601">
        <w:rPr>
          <w:rFonts w:cs="Arial"/>
          <w:snapToGrid/>
          <w:szCs w:val="22"/>
          <w:lang w:val="lt-LT" w:eastAsia="de-DE"/>
        </w:rPr>
        <w:t>:</w:t>
      </w:r>
      <w:r w:rsidR="009D673B" w:rsidRPr="00561601">
        <w:rPr>
          <w:rFonts w:cs="Arial"/>
          <w:snapToGrid/>
          <w:szCs w:val="22"/>
          <w:lang w:val="lt-LT" w:eastAsia="de-DE"/>
        </w:rPr>
        <w:tab/>
      </w:r>
      <w:proofErr w:type="spellStart"/>
      <w:r w:rsidRPr="00561601">
        <w:rPr>
          <w:rFonts w:cs="Arial"/>
          <w:snapToGrid/>
          <w:szCs w:val="22"/>
          <w:lang w:val="lt-LT" w:eastAsia="de-DE"/>
        </w:rPr>
        <w:t>Cytotect</w:t>
      </w:r>
      <w:proofErr w:type="spellEnd"/>
      <w:r w:rsidRPr="00561601">
        <w:rPr>
          <w:rFonts w:cs="Arial"/>
          <w:snapToGrid/>
          <w:szCs w:val="22"/>
          <w:lang w:val="lt-LT" w:eastAsia="de-DE"/>
        </w:rPr>
        <w:t xml:space="preserve"> CP </w:t>
      </w:r>
      <w:proofErr w:type="spellStart"/>
      <w:r w:rsidRPr="00561601">
        <w:rPr>
          <w:rFonts w:cs="Arial"/>
          <w:snapToGrid/>
          <w:szCs w:val="22"/>
          <w:lang w:val="lt-LT" w:eastAsia="de-DE"/>
        </w:rPr>
        <w:t>Biotest</w:t>
      </w:r>
      <w:proofErr w:type="spellEnd"/>
    </w:p>
    <w:p w14:paraId="3F9C5647" w14:textId="77777777" w:rsidR="00B945A9" w:rsidRPr="00561601" w:rsidRDefault="00B945A9" w:rsidP="00285FA7">
      <w:pPr>
        <w:tabs>
          <w:tab w:val="clear" w:pos="567"/>
          <w:tab w:val="left" w:pos="3686"/>
        </w:tabs>
        <w:overflowPunct w:val="0"/>
        <w:autoSpaceDE w:val="0"/>
        <w:autoSpaceDN w:val="0"/>
        <w:adjustRightInd w:val="0"/>
        <w:spacing w:line="240" w:lineRule="auto"/>
        <w:textAlignment w:val="baseline"/>
        <w:rPr>
          <w:bCs/>
          <w:snapToGrid/>
          <w:szCs w:val="22"/>
          <w:lang w:val="lt-LT" w:eastAsia="de-DE"/>
        </w:rPr>
      </w:pPr>
      <w:r w:rsidRPr="00561601">
        <w:rPr>
          <w:rFonts w:cs="Arial"/>
          <w:snapToGrid/>
          <w:szCs w:val="22"/>
          <w:lang w:val="lt-LT" w:eastAsia="de-DE"/>
        </w:rPr>
        <w:t>Austrija</w:t>
      </w:r>
      <w:r w:rsidR="009D673B" w:rsidRPr="00561601">
        <w:rPr>
          <w:rFonts w:cs="Arial"/>
          <w:snapToGrid/>
          <w:szCs w:val="22"/>
          <w:lang w:val="lt-LT" w:eastAsia="de-DE"/>
        </w:rPr>
        <w:t>:</w:t>
      </w:r>
      <w:r w:rsidR="009D673B" w:rsidRPr="00561601">
        <w:rPr>
          <w:lang w:val="lt-LT"/>
        </w:rPr>
        <w:tab/>
      </w:r>
      <w:proofErr w:type="spellStart"/>
      <w:r w:rsidRPr="00561601">
        <w:rPr>
          <w:rFonts w:cs="Arial"/>
          <w:snapToGrid/>
          <w:szCs w:val="22"/>
          <w:lang w:val="lt-LT" w:eastAsia="de-DE"/>
        </w:rPr>
        <w:t>Cytotect</w:t>
      </w:r>
      <w:proofErr w:type="spellEnd"/>
      <w:r w:rsidRPr="00561601">
        <w:rPr>
          <w:rFonts w:cs="Arial"/>
          <w:snapToGrid/>
          <w:szCs w:val="22"/>
          <w:lang w:val="lt-LT" w:eastAsia="de-DE"/>
        </w:rPr>
        <w:t xml:space="preserve"> CP </w:t>
      </w:r>
      <w:proofErr w:type="spellStart"/>
      <w:r w:rsidRPr="00561601">
        <w:rPr>
          <w:rFonts w:cs="Arial"/>
          <w:snapToGrid/>
          <w:szCs w:val="22"/>
          <w:lang w:val="lt-LT" w:eastAsia="de-DE"/>
        </w:rPr>
        <w:t>Biotest</w:t>
      </w:r>
      <w:proofErr w:type="spellEnd"/>
      <w:r w:rsidRPr="00561601">
        <w:rPr>
          <w:rFonts w:cs="Arial"/>
          <w:snapToGrid/>
          <w:szCs w:val="22"/>
          <w:lang w:val="lt-LT" w:eastAsia="de-DE"/>
        </w:rPr>
        <w:t xml:space="preserve"> 100 E/ml </w:t>
      </w:r>
      <w:proofErr w:type="spellStart"/>
      <w:r w:rsidRPr="00561601">
        <w:rPr>
          <w:rFonts w:cs="Arial"/>
          <w:snapToGrid/>
          <w:szCs w:val="22"/>
          <w:lang w:val="lt-LT" w:eastAsia="de-DE"/>
        </w:rPr>
        <w:t>Infusionslösung</w:t>
      </w:r>
      <w:proofErr w:type="spellEnd"/>
    </w:p>
    <w:p w14:paraId="6BA6C572" w14:textId="77777777" w:rsidR="00B945A9" w:rsidRPr="00561601" w:rsidRDefault="00B945A9" w:rsidP="00285FA7">
      <w:pPr>
        <w:tabs>
          <w:tab w:val="clear" w:pos="567"/>
          <w:tab w:val="left" w:pos="3686"/>
        </w:tabs>
        <w:overflowPunct w:val="0"/>
        <w:autoSpaceDE w:val="0"/>
        <w:autoSpaceDN w:val="0"/>
        <w:adjustRightInd w:val="0"/>
        <w:spacing w:line="240" w:lineRule="auto"/>
        <w:textAlignment w:val="baseline"/>
        <w:rPr>
          <w:bCs/>
          <w:snapToGrid/>
          <w:szCs w:val="22"/>
          <w:lang w:val="lt-LT" w:eastAsia="de-DE"/>
        </w:rPr>
      </w:pPr>
      <w:r w:rsidRPr="00561601">
        <w:rPr>
          <w:rFonts w:cs="Arial"/>
          <w:snapToGrid/>
          <w:szCs w:val="22"/>
          <w:lang w:val="lt-LT" w:eastAsia="de-DE"/>
        </w:rPr>
        <w:t>Italija</w:t>
      </w:r>
      <w:r w:rsidR="009D673B" w:rsidRPr="00561601">
        <w:rPr>
          <w:rFonts w:cs="Arial"/>
          <w:snapToGrid/>
          <w:szCs w:val="22"/>
          <w:lang w:val="lt-LT" w:eastAsia="de-DE"/>
        </w:rPr>
        <w:t>:</w:t>
      </w:r>
      <w:r w:rsidR="009D673B" w:rsidRPr="00561601">
        <w:rPr>
          <w:lang w:val="lt-LT"/>
        </w:rPr>
        <w:tab/>
      </w:r>
      <w:proofErr w:type="spellStart"/>
      <w:r w:rsidRPr="00561601">
        <w:rPr>
          <w:rFonts w:cs="Arial"/>
          <w:snapToGrid/>
          <w:szCs w:val="22"/>
          <w:lang w:val="lt-LT" w:eastAsia="de-DE"/>
        </w:rPr>
        <w:t>Cytomegatect</w:t>
      </w:r>
      <w:proofErr w:type="spellEnd"/>
      <w:r w:rsidRPr="00561601">
        <w:rPr>
          <w:rFonts w:cs="Arial"/>
          <w:snapToGrid/>
          <w:szCs w:val="22"/>
          <w:lang w:val="lt-LT" w:eastAsia="de-DE"/>
        </w:rPr>
        <w:t xml:space="preserve"> </w:t>
      </w:r>
    </w:p>
    <w:p w14:paraId="77F1A20B" w14:textId="77777777" w:rsidR="00B945A9" w:rsidRPr="00561601" w:rsidRDefault="00B945A9" w:rsidP="00285FA7">
      <w:pPr>
        <w:tabs>
          <w:tab w:val="clear" w:pos="567"/>
          <w:tab w:val="left" w:pos="3686"/>
        </w:tabs>
        <w:overflowPunct w:val="0"/>
        <w:autoSpaceDE w:val="0"/>
        <w:autoSpaceDN w:val="0"/>
        <w:adjustRightInd w:val="0"/>
        <w:spacing w:line="240" w:lineRule="auto"/>
        <w:textAlignment w:val="baseline"/>
        <w:rPr>
          <w:bCs/>
          <w:snapToGrid/>
          <w:szCs w:val="22"/>
          <w:lang w:val="lt-LT" w:eastAsia="de-DE"/>
        </w:rPr>
      </w:pPr>
      <w:r w:rsidRPr="00561601">
        <w:rPr>
          <w:rFonts w:cs="Arial"/>
          <w:snapToGrid/>
          <w:szCs w:val="22"/>
          <w:lang w:val="lt-LT" w:eastAsia="de-DE"/>
        </w:rPr>
        <w:t>Ispanija</w:t>
      </w:r>
      <w:r w:rsidR="009D673B" w:rsidRPr="00561601">
        <w:rPr>
          <w:rFonts w:cs="Arial"/>
          <w:snapToGrid/>
          <w:szCs w:val="22"/>
          <w:lang w:val="lt-LT" w:eastAsia="de-DE"/>
        </w:rPr>
        <w:t>:</w:t>
      </w:r>
      <w:r w:rsidR="009D673B" w:rsidRPr="00561601">
        <w:rPr>
          <w:lang w:val="lt-LT"/>
        </w:rPr>
        <w:tab/>
      </w:r>
      <w:proofErr w:type="spellStart"/>
      <w:r w:rsidRPr="00561601">
        <w:rPr>
          <w:rFonts w:cs="Arial"/>
          <w:snapToGrid/>
          <w:szCs w:val="22"/>
          <w:lang w:val="lt-LT" w:eastAsia="de-DE"/>
        </w:rPr>
        <w:t>Megalotect</w:t>
      </w:r>
      <w:proofErr w:type="spellEnd"/>
    </w:p>
    <w:p w14:paraId="0BE2751D" w14:textId="77777777" w:rsidR="00B945A9" w:rsidRPr="00561601" w:rsidRDefault="00B945A9" w:rsidP="00285FA7">
      <w:pPr>
        <w:tabs>
          <w:tab w:val="clear" w:pos="567"/>
          <w:tab w:val="left" w:pos="3686"/>
        </w:tabs>
        <w:overflowPunct w:val="0"/>
        <w:autoSpaceDE w:val="0"/>
        <w:autoSpaceDN w:val="0"/>
        <w:adjustRightInd w:val="0"/>
        <w:spacing w:line="240" w:lineRule="auto"/>
        <w:textAlignment w:val="baseline"/>
        <w:rPr>
          <w:bCs/>
          <w:snapToGrid/>
          <w:szCs w:val="22"/>
          <w:lang w:val="lt-LT" w:eastAsia="de-DE"/>
        </w:rPr>
      </w:pPr>
      <w:r w:rsidRPr="00561601">
        <w:rPr>
          <w:rFonts w:cs="Arial"/>
          <w:snapToGrid/>
          <w:szCs w:val="22"/>
          <w:lang w:val="lt-LT" w:eastAsia="de-DE"/>
        </w:rPr>
        <w:t>Graikija, Lenkija, Portugalija</w:t>
      </w:r>
      <w:r w:rsidR="009D673B" w:rsidRPr="00561601">
        <w:rPr>
          <w:rFonts w:cs="Arial"/>
          <w:snapToGrid/>
          <w:szCs w:val="22"/>
          <w:lang w:val="lt-LT" w:eastAsia="de-DE"/>
        </w:rPr>
        <w:t>:</w:t>
      </w:r>
      <w:r w:rsidR="009D673B" w:rsidRPr="00561601">
        <w:rPr>
          <w:lang w:val="lt-LT"/>
        </w:rPr>
        <w:tab/>
      </w:r>
      <w:proofErr w:type="spellStart"/>
      <w:r w:rsidR="009D673B" w:rsidRPr="00561601">
        <w:rPr>
          <w:lang w:val="lt-LT"/>
        </w:rPr>
        <w:t>Megalotect</w:t>
      </w:r>
      <w:proofErr w:type="spellEnd"/>
      <w:r w:rsidR="009D673B" w:rsidRPr="00561601">
        <w:rPr>
          <w:lang w:val="lt-LT"/>
        </w:rPr>
        <w:t xml:space="preserve"> </w:t>
      </w:r>
      <w:r w:rsidRPr="00561601">
        <w:rPr>
          <w:rFonts w:cs="Arial"/>
          <w:snapToGrid/>
          <w:szCs w:val="22"/>
          <w:lang w:val="lt-LT" w:eastAsia="de-DE"/>
        </w:rPr>
        <w:t>CP</w:t>
      </w:r>
    </w:p>
    <w:p w14:paraId="09B3896B" w14:textId="77777777" w:rsidR="00B945A9" w:rsidRPr="00561601" w:rsidRDefault="00B945A9" w:rsidP="00285FA7">
      <w:pPr>
        <w:tabs>
          <w:tab w:val="clear" w:pos="567"/>
          <w:tab w:val="left" w:pos="3686"/>
        </w:tabs>
        <w:overflowPunct w:val="0"/>
        <w:autoSpaceDE w:val="0"/>
        <w:autoSpaceDN w:val="0"/>
        <w:adjustRightInd w:val="0"/>
        <w:spacing w:line="240" w:lineRule="auto"/>
        <w:textAlignment w:val="baseline"/>
        <w:rPr>
          <w:bCs/>
          <w:snapToGrid/>
          <w:szCs w:val="22"/>
          <w:lang w:val="lt-LT" w:eastAsia="de-DE"/>
        </w:rPr>
      </w:pPr>
      <w:r w:rsidRPr="00561601">
        <w:rPr>
          <w:rFonts w:cs="Arial"/>
          <w:snapToGrid/>
          <w:szCs w:val="22"/>
          <w:lang w:val="lt-LT" w:eastAsia="de-DE"/>
        </w:rPr>
        <w:t>Belgija, Nyderlandai</w:t>
      </w:r>
      <w:r w:rsidR="009D673B" w:rsidRPr="00561601">
        <w:rPr>
          <w:rFonts w:cs="Arial"/>
          <w:snapToGrid/>
          <w:szCs w:val="22"/>
          <w:lang w:val="lt-LT" w:eastAsia="de-DE"/>
        </w:rPr>
        <w:t>:</w:t>
      </w:r>
      <w:r w:rsidR="009D673B" w:rsidRPr="00561601">
        <w:rPr>
          <w:lang w:val="lt-LT"/>
        </w:rPr>
        <w:tab/>
      </w:r>
      <w:proofErr w:type="spellStart"/>
      <w:r w:rsidRPr="00561601">
        <w:rPr>
          <w:rFonts w:cs="Arial"/>
          <w:snapToGrid/>
          <w:szCs w:val="22"/>
          <w:lang w:val="lt-LT" w:eastAsia="de-DE"/>
        </w:rPr>
        <w:t>Megalotect</w:t>
      </w:r>
      <w:proofErr w:type="spellEnd"/>
      <w:r w:rsidRPr="00561601">
        <w:rPr>
          <w:rFonts w:cs="Arial"/>
          <w:snapToGrid/>
          <w:szCs w:val="22"/>
          <w:lang w:val="lt-LT" w:eastAsia="de-DE"/>
        </w:rPr>
        <w:t xml:space="preserve"> 100 E/ml</w:t>
      </w:r>
    </w:p>
    <w:p w14:paraId="47AB83F8" w14:textId="77777777" w:rsidR="00B945A9" w:rsidRPr="00561601" w:rsidRDefault="00B945A9" w:rsidP="00285FA7">
      <w:pPr>
        <w:tabs>
          <w:tab w:val="clear" w:pos="567"/>
          <w:tab w:val="left" w:pos="3686"/>
        </w:tabs>
        <w:overflowPunct w:val="0"/>
        <w:autoSpaceDE w:val="0"/>
        <w:autoSpaceDN w:val="0"/>
        <w:adjustRightInd w:val="0"/>
        <w:spacing w:line="240" w:lineRule="auto"/>
        <w:textAlignment w:val="baseline"/>
        <w:rPr>
          <w:bCs/>
          <w:snapToGrid/>
          <w:szCs w:val="22"/>
          <w:lang w:val="lt-LT" w:eastAsia="de-DE"/>
        </w:rPr>
      </w:pPr>
      <w:r w:rsidRPr="00561601">
        <w:rPr>
          <w:rFonts w:cs="Arial"/>
          <w:snapToGrid/>
          <w:szCs w:val="22"/>
          <w:lang w:val="lt-LT" w:eastAsia="de-DE"/>
        </w:rPr>
        <w:t>Slovėnija</w:t>
      </w:r>
      <w:r w:rsidR="009D673B" w:rsidRPr="00561601">
        <w:rPr>
          <w:rFonts w:cs="Arial"/>
          <w:snapToGrid/>
          <w:szCs w:val="22"/>
          <w:lang w:val="lt-LT" w:eastAsia="de-DE"/>
        </w:rPr>
        <w:t>:</w:t>
      </w:r>
      <w:r w:rsidR="009D673B" w:rsidRPr="00561601">
        <w:rPr>
          <w:lang w:val="lt-LT"/>
        </w:rPr>
        <w:tab/>
      </w:r>
      <w:proofErr w:type="spellStart"/>
      <w:r w:rsidRPr="00561601">
        <w:rPr>
          <w:rFonts w:cs="Arial"/>
          <w:snapToGrid/>
          <w:szCs w:val="22"/>
          <w:lang w:val="lt-LT" w:eastAsia="de-DE"/>
        </w:rPr>
        <w:t>Megalotect</w:t>
      </w:r>
      <w:proofErr w:type="spellEnd"/>
      <w:r w:rsidRPr="00561601">
        <w:rPr>
          <w:rFonts w:cs="Arial"/>
          <w:snapToGrid/>
          <w:szCs w:val="22"/>
          <w:lang w:val="lt-LT" w:eastAsia="de-DE"/>
        </w:rPr>
        <w:t xml:space="preserve"> 100 E./ml </w:t>
      </w:r>
      <w:proofErr w:type="spellStart"/>
      <w:r w:rsidRPr="00561601">
        <w:rPr>
          <w:rFonts w:cs="Arial"/>
          <w:snapToGrid/>
          <w:szCs w:val="22"/>
          <w:lang w:val="lt-LT" w:eastAsia="de-DE"/>
        </w:rPr>
        <w:t>raztopina</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za</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infundiranje</w:t>
      </w:r>
      <w:proofErr w:type="spellEnd"/>
    </w:p>
    <w:p w14:paraId="19F2A07B" w14:textId="77777777" w:rsidR="00B945A9" w:rsidRPr="00561601" w:rsidRDefault="00B945A9" w:rsidP="00F34163">
      <w:pPr>
        <w:ind w:left="567" w:hanging="567"/>
        <w:rPr>
          <w:lang w:val="lt-LT"/>
        </w:rPr>
      </w:pPr>
    </w:p>
    <w:p w14:paraId="0C034AEE" w14:textId="42EEC2FC" w:rsidR="00F34163" w:rsidRDefault="00F34163" w:rsidP="00227A69">
      <w:pPr>
        <w:numPr>
          <w:ilvl w:val="12"/>
          <w:numId w:val="0"/>
        </w:numPr>
        <w:tabs>
          <w:tab w:val="clear" w:pos="567"/>
        </w:tabs>
        <w:spacing w:line="240" w:lineRule="auto"/>
        <w:ind w:right="-2"/>
        <w:rPr>
          <w:b/>
          <w:lang w:val="lt-LT"/>
        </w:rPr>
      </w:pPr>
      <w:r w:rsidRPr="00561601">
        <w:rPr>
          <w:b/>
          <w:lang w:val="lt-LT"/>
        </w:rPr>
        <w:t xml:space="preserve">Šis pakuotės lapelis paskutinį kartą peržiūrėtas </w:t>
      </w:r>
      <w:r w:rsidR="001C6A4F">
        <w:rPr>
          <w:b/>
          <w:lang w:val="lt-LT"/>
        </w:rPr>
        <w:t>2023-06-08.</w:t>
      </w:r>
      <w:bookmarkStart w:id="3" w:name="_GoBack"/>
      <w:bookmarkEnd w:id="3"/>
    </w:p>
    <w:p w14:paraId="6265924A" w14:textId="77777777" w:rsidR="0036167A" w:rsidRPr="00561601" w:rsidRDefault="0036167A" w:rsidP="00F34163">
      <w:pPr>
        <w:numPr>
          <w:ilvl w:val="12"/>
          <w:numId w:val="0"/>
        </w:numPr>
        <w:tabs>
          <w:tab w:val="clear" w:pos="567"/>
        </w:tabs>
        <w:spacing w:line="240" w:lineRule="auto"/>
        <w:ind w:right="-2"/>
        <w:rPr>
          <w:b/>
          <w:lang w:val="lt-LT"/>
        </w:rPr>
      </w:pPr>
    </w:p>
    <w:p w14:paraId="755E416F" w14:textId="77777777" w:rsidR="00F34163" w:rsidRPr="00561601" w:rsidRDefault="00F34163" w:rsidP="00F34163">
      <w:pPr>
        <w:numPr>
          <w:ilvl w:val="12"/>
          <w:numId w:val="0"/>
        </w:numPr>
        <w:spacing w:line="240" w:lineRule="auto"/>
        <w:ind w:right="-2"/>
        <w:rPr>
          <w:i/>
          <w:lang w:val="lt-LT"/>
        </w:rPr>
      </w:pPr>
    </w:p>
    <w:p w14:paraId="3C012946" w14:textId="5F2A45C1" w:rsidR="00F34163" w:rsidRPr="00561601" w:rsidRDefault="00F34163" w:rsidP="00F34163">
      <w:pPr>
        <w:numPr>
          <w:ilvl w:val="12"/>
          <w:numId w:val="0"/>
        </w:numPr>
        <w:spacing w:line="240" w:lineRule="auto"/>
        <w:ind w:right="-2"/>
        <w:rPr>
          <w:szCs w:val="24"/>
          <w:lang w:val="lt-LT"/>
        </w:rPr>
      </w:pPr>
      <w:r w:rsidRPr="00561601">
        <w:rPr>
          <w:lang w:val="lt-LT"/>
        </w:rPr>
        <w:t xml:space="preserve">Išsami informacija apie šį </w:t>
      </w:r>
      <w:r w:rsidRPr="00561601">
        <w:rPr>
          <w:szCs w:val="24"/>
          <w:lang w:val="lt-LT"/>
        </w:rPr>
        <w:t>vaistą</w:t>
      </w:r>
      <w:r w:rsidRPr="00561601">
        <w:rPr>
          <w:lang w:val="lt-LT"/>
        </w:rPr>
        <w:t xml:space="preserve"> pateikiama Valstybinės vaistų kontrolės tarnybos prie Lietuvos Respublikos sveikatos apsaugos ministerijos tinklalapyje</w:t>
      </w:r>
      <w:r w:rsidRPr="00561601">
        <w:rPr>
          <w:i/>
          <w:szCs w:val="24"/>
          <w:lang w:val="lt-LT"/>
        </w:rPr>
        <w:t xml:space="preserve"> </w:t>
      </w:r>
      <w:hyperlink r:id="rId12" w:history="1">
        <w:r w:rsidR="00C30A9B" w:rsidRPr="00561601">
          <w:rPr>
            <w:rStyle w:val="Hipersaitas"/>
            <w:rFonts w:eastAsia="SimSun"/>
            <w:color w:val="auto"/>
            <w:u w:val="none"/>
            <w:lang w:val="lt-LT"/>
          </w:rPr>
          <w:t>http://www.vvkt.lt/</w:t>
        </w:r>
      </w:hyperlink>
      <w:r w:rsidRPr="00561601">
        <w:rPr>
          <w:lang w:val="lt-LT"/>
        </w:rPr>
        <w:t>.</w:t>
      </w:r>
    </w:p>
    <w:p w14:paraId="13993647" w14:textId="77777777" w:rsidR="00F34163" w:rsidRPr="00561601" w:rsidRDefault="00F34163" w:rsidP="00F34163">
      <w:pPr>
        <w:numPr>
          <w:ilvl w:val="12"/>
          <w:numId w:val="0"/>
        </w:numPr>
        <w:tabs>
          <w:tab w:val="clear" w:pos="567"/>
        </w:tabs>
        <w:spacing w:line="240" w:lineRule="auto"/>
        <w:ind w:right="-2"/>
        <w:rPr>
          <w:szCs w:val="24"/>
          <w:lang w:val="lt-LT"/>
        </w:rPr>
      </w:pPr>
      <w:r w:rsidRPr="00561601">
        <w:rPr>
          <w:szCs w:val="24"/>
          <w:lang w:val="lt-LT"/>
        </w:rPr>
        <w:t>---------------------------------------------------------------------------------------------------------------------------</w:t>
      </w:r>
    </w:p>
    <w:p w14:paraId="6DAA1E3C" w14:textId="77777777" w:rsidR="0036167A" w:rsidRDefault="0036167A" w:rsidP="00B945A9">
      <w:pPr>
        <w:tabs>
          <w:tab w:val="clear" w:pos="567"/>
        </w:tabs>
        <w:spacing w:line="240" w:lineRule="auto"/>
        <w:rPr>
          <w:b/>
          <w:lang w:val="lt-LT"/>
        </w:rPr>
      </w:pPr>
    </w:p>
    <w:p w14:paraId="3256DF94" w14:textId="77777777" w:rsidR="0036167A" w:rsidRDefault="0036167A" w:rsidP="00B945A9">
      <w:pPr>
        <w:tabs>
          <w:tab w:val="clear" w:pos="567"/>
        </w:tabs>
        <w:spacing w:line="240" w:lineRule="auto"/>
        <w:rPr>
          <w:b/>
          <w:lang w:val="lt-LT"/>
        </w:rPr>
      </w:pPr>
    </w:p>
    <w:p w14:paraId="49CC0D4D" w14:textId="77777777" w:rsidR="0036167A" w:rsidRDefault="0036167A" w:rsidP="00B945A9">
      <w:pPr>
        <w:tabs>
          <w:tab w:val="clear" w:pos="567"/>
        </w:tabs>
        <w:spacing w:line="240" w:lineRule="auto"/>
        <w:rPr>
          <w:b/>
          <w:lang w:val="lt-LT"/>
        </w:rPr>
      </w:pPr>
    </w:p>
    <w:p w14:paraId="77C3FF15" w14:textId="77777777" w:rsidR="00EC46F9" w:rsidRPr="00561601" w:rsidRDefault="00F34163" w:rsidP="00B945A9">
      <w:pPr>
        <w:tabs>
          <w:tab w:val="clear" w:pos="567"/>
        </w:tabs>
        <w:spacing w:line="240" w:lineRule="auto"/>
        <w:rPr>
          <w:b/>
          <w:lang w:val="lt-LT"/>
        </w:rPr>
      </w:pPr>
      <w:r w:rsidRPr="00561601">
        <w:rPr>
          <w:b/>
          <w:lang w:val="lt-LT"/>
        </w:rPr>
        <w:t>Toliau pateikta informacija skirta tik sveikatos priežiūros specialistams</w:t>
      </w:r>
      <w:r w:rsidR="00285FA7" w:rsidRPr="00561601">
        <w:rPr>
          <w:b/>
          <w:lang w:val="lt-LT"/>
        </w:rPr>
        <w:t>:</w:t>
      </w:r>
    </w:p>
    <w:p w14:paraId="351DB8CC" w14:textId="77777777" w:rsidR="00B945A9" w:rsidRPr="00561601" w:rsidRDefault="00B945A9" w:rsidP="00C30A9B">
      <w:pPr>
        <w:pStyle w:val="Porat"/>
        <w:tabs>
          <w:tab w:val="clear" w:pos="567"/>
          <w:tab w:val="clear" w:pos="4536"/>
          <w:tab w:val="clear" w:pos="8306"/>
        </w:tabs>
        <w:spacing w:line="240" w:lineRule="auto"/>
        <w:rPr>
          <w:lang w:val="lt-LT" w:eastAsia="en-US"/>
        </w:rPr>
      </w:pPr>
    </w:p>
    <w:p w14:paraId="504740CD" w14:textId="77777777" w:rsidR="00B945A9" w:rsidRPr="00561601" w:rsidRDefault="00B945A9" w:rsidP="00B945A9">
      <w:pPr>
        <w:tabs>
          <w:tab w:val="clear" w:pos="567"/>
        </w:tabs>
        <w:overflowPunct w:val="0"/>
        <w:autoSpaceDE w:val="0"/>
        <w:autoSpaceDN w:val="0"/>
        <w:adjustRightInd w:val="0"/>
        <w:spacing w:line="240" w:lineRule="auto"/>
        <w:textAlignment w:val="baseline"/>
        <w:rPr>
          <w:i/>
          <w:snapToGrid/>
          <w:szCs w:val="22"/>
          <w:u w:val="single"/>
          <w:lang w:val="lt-LT" w:eastAsia="de-DE"/>
        </w:rPr>
      </w:pPr>
      <w:r w:rsidRPr="00561601">
        <w:rPr>
          <w:rFonts w:cs="Arial"/>
          <w:i/>
          <w:snapToGrid/>
          <w:szCs w:val="22"/>
          <w:u w:val="single"/>
          <w:lang w:val="lt-LT" w:eastAsia="de-DE"/>
        </w:rPr>
        <w:t>Dozavimas ir vartojimo metodas</w:t>
      </w:r>
    </w:p>
    <w:p w14:paraId="588DD861" w14:textId="3DF83C5D"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Vartojimą reikia pradėti transplantacijos dieną. Kaulų čiulpų transplantacijos atveju taip pat galima numatyti profilaktikos pradžią likus 10 </w:t>
      </w:r>
      <w:r w:rsidR="00893B1F">
        <w:rPr>
          <w:rFonts w:cs="Arial"/>
          <w:snapToGrid/>
          <w:szCs w:val="22"/>
          <w:lang w:val="lt-LT" w:eastAsia="de-DE"/>
        </w:rPr>
        <w:t>p</w:t>
      </w:r>
      <w:r w:rsidR="007A1786">
        <w:rPr>
          <w:rFonts w:cs="Arial"/>
          <w:snapToGrid/>
          <w:szCs w:val="22"/>
          <w:lang w:val="lt-LT" w:eastAsia="de-DE"/>
        </w:rPr>
        <w:t>arų</w:t>
      </w:r>
      <w:r w:rsidR="00893B1F" w:rsidRPr="00561601">
        <w:rPr>
          <w:rFonts w:cs="Arial"/>
          <w:snapToGrid/>
          <w:szCs w:val="22"/>
          <w:lang w:val="lt-LT" w:eastAsia="de-DE"/>
        </w:rPr>
        <w:t xml:space="preserve"> </w:t>
      </w:r>
      <w:r w:rsidRPr="00561601">
        <w:rPr>
          <w:rFonts w:cs="Arial"/>
          <w:snapToGrid/>
          <w:szCs w:val="22"/>
          <w:lang w:val="lt-LT" w:eastAsia="de-DE"/>
        </w:rPr>
        <w:t>iki transplantacijos, ypač pacientams, kurių CMV serologinio tyrimo rezultatas yra teigiamas. Iš viso reikia skirti ne mažiau kaip 6 vienkartines dozes tarp dozių darant 2–3 savaičių pertrauką.</w:t>
      </w:r>
    </w:p>
    <w:p w14:paraId="54B2EE42"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6F6B3ED4"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u w:val="single"/>
          <w:lang w:val="lt-LT" w:eastAsia="de-DE"/>
        </w:rPr>
      </w:pPr>
      <w:r w:rsidRPr="00561601">
        <w:rPr>
          <w:rFonts w:cs="Arial"/>
          <w:snapToGrid/>
          <w:szCs w:val="22"/>
          <w:u w:val="single"/>
          <w:lang w:val="lt-LT" w:eastAsia="de-DE"/>
        </w:rPr>
        <w:t>Vartojimo metodas</w:t>
      </w:r>
    </w:p>
    <w:p w14:paraId="00563797" w14:textId="77777777" w:rsidR="00B945A9" w:rsidRPr="00561601" w:rsidRDefault="00B945A9" w:rsidP="00B945A9">
      <w:pPr>
        <w:tabs>
          <w:tab w:val="clear" w:pos="567"/>
        </w:tabs>
        <w:overflowPunct w:val="0"/>
        <w:autoSpaceDE w:val="0"/>
        <w:autoSpaceDN w:val="0"/>
        <w:adjustRightInd w:val="0"/>
        <w:spacing w:line="240" w:lineRule="auto"/>
        <w:textAlignment w:val="baseline"/>
        <w:rPr>
          <w:iCs/>
          <w:snapToGrid/>
          <w:szCs w:val="22"/>
          <w:lang w:val="lt-LT" w:eastAsia="de-DE"/>
        </w:rPr>
      </w:pPr>
      <w:r w:rsidRPr="00561601">
        <w:rPr>
          <w:rFonts w:cs="Arial"/>
          <w:snapToGrid/>
          <w:szCs w:val="22"/>
          <w:lang w:val="lt-LT" w:eastAsia="de-DE"/>
        </w:rPr>
        <w:t>Leisti į veną.</w:t>
      </w:r>
    </w:p>
    <w:p w14:paraId="069F56FA" w14:textId="77307E3E" w:rsidR="00B945A9" w:rsidRPr="00561601" w:rsidRDefault="00A34EF2" w:rsidP="00B945A9">
      <w:pPr>
        <w:tabs>
          <w:tab w:val="clear" w:pos="567"/>
        </w:tabs>
        <w:overflowPunct w:val="0"/>
        <w:autoSpaceDE w:val="0"/>
        <w:autoSpaceDN w:val="0"/>
        <w:adjustRightInd w:val="0"/>
        <w:spacing w:line="240" w:lineRule="auto"/>
        <w:textAlignment w:val="baseline"/>
        <w:rPr>
          <w:snapToGrid/>
          <w:szCs w:val="22"/>
          <w:lang w:val="lt-LT" w:eastAsia="de-DE"/>
        </w:rPr>
      </w:pPr>
      <w:proofErr w:type="spellStart"/>
      <w:r>
        <w:rPr>
          <w:rFonts w:cs="Arial"/>
          <w:snapToGrid/>
          <w:szCs w:val="22"/>
          <w:lang w:val="lt-LT" w:eastAsia="de-DE"/>
        </w:rPr>
        <w:t>Cymvigo</w:t>
      </w:r>
      <w:proofErr w:type="spellEnd"/>
      <w:r w:rsidR="00B945A9" w:rsidRPr="00561601">
        <w:rPr>
          <w:rFonts w:cs="Arial"/>
          <w:snapToGrid/>
          <w:szCs w:val="22"/>
          <w:lang w:val="lt-LT" w:eastAsia="de-DE"/>
        </w:rPr>
        <w:t xml:space="preserve"> reikia leisti į veną infuzijos būdu pradiniu greičiu 0,08 ml/kg KM/val. 10 minučių. Pasireiškus nepageidaujamai reakcijai, reikia sumažinti leidimo greitį arba nutraukti infuziją. Jei vaistinis preparatas toleruojamas gerai, likusios infuzijos dalies leidimo greitį galima palaipsniui didinti iki didžiausio 0,8 ml/kg K</w:t>
      </w:r>
      <w:r w:rsidR="00AD44C7">
        <w:rPr>
          <w:rFonts w:cs="Arial"/>
          <w:snapToGrid/>
          <w:szCs w:val="22"/>
          <w:lang w:val="lt-LT" w:eastAsia="de-DE"/>
        </w:rPr>
        <w:t>M</w:t>
      </w:r>
      <w:r w:rsidR="00B945A9" w:rsidRPr="00561601">
        <w:rPr>
          <w:rFonts w:cs="Arial"/>
          <w:snapToGrid/>
          <w:szCs w:val="22"/>
          <w:lang w:val="lt-LT" w:eastAsia="de-DE"/>
        </w:rPr>
        <w:t>/val. greičio.</w:t>
      </w:r>
    </w:p>
    <w:p w14:paraId="29D8745D"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6FF4D6D4" w14:textId="77777777" w:rsidR="00B945A9" w:rsidRPr="00561601" w:rsidRDefault="00B945A9" w:rsidP="00B945A9">
      <w:pPr>
        <w:tabs>
          <w:tab w:val="clear" w:pos="567"/>
        </w:tabs>
        <w:overflowPunct w:val="0"/>
        <w:autoSpaceDE w:val="0"/>
        <w:autoSpaceDN w:val="0"/>
        <w:adjustRightInd w:val="0"/>
        <w:spacing w:line="240" w:lineRule="auto"/>
        <w:textAlignment w:val="baseline"/>
        <w:rPr>
          <w:i/>
          <w:snapToGrid/>
          <w:szCs w:val="22"/>
          <w:lang w:val="lt-LT" w:eastAsia="de-DE"/>
        </w:rPr>
      </w:pPr>
      <w:r w:rsidRPr="00561601">
        <w:rPr>
          <w:rFonts w:cs="Arial"/>
          <w:i/>
          <w:snapToGrid/>
          <w:szCs w:val="22"/>
          <w:lang w:val="lt-LT" w:eastAsia="de-DE"/>
        </w:rPr>
        <w:t>Įspėjimai ir atsargumo priemonės</w:t>
      </w:r>
    </w:p>
    <w:p w14:paraId="1EE28222"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Tam tikros sunkios reakcijos į vaistą gali būti susijusios su infuzijos greičiu. Reikia atidžiai laikytis infuzijos greičio rekomendacijų. Per visą infuzijos laikotarpį reikia atidžiai stebėti, ar pacientams nepasireiškia kokių nors simptomų.</w:t>
      </w:r>
    </w:p>
    <w:p w14:paraId="72A71F00"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105D3C3D" w14:textId="77777777" w:rsidR="00B945A9" w:rsidRPr="00561601" w:rsidRDefault="00B945A9" w:rsidP="00B945A9">
      <w:pPr>
        <w:tabs>
          <w:tab w:val="clear" w:pos="567"/>
        </w:tabs>
        <w:overflowPunct w:val="0"/>
        <w:autoSpaceDE w:val="0"/>
        <w:autoSpaceDN w:val="0"/>
        <w:adjustRightInd w:val="0"/>
        <w:spacing w:line="240" w:lineRule="auto"/>
        <w:ind w:right="57"/>
        <w:textAlignment w:val="baseline"/>
        <w:rPr>
          <w:snapToGrid/>
          <w:szCs w:val="22"/>
          <w:lang w:val="lt-LT" w:eastAsia="de-DE"/>
        </w:rPr>
      </w:pPr>
      <w:r w:rsidRPr="00561601">
        <w:rPr>
          <w:rFonts w:cs="Arial"/>
          <w:snapToGrid/>
          <w:szCs w:val="22"/>
          <w:lang w:val="lt-LT" w:eastAsia="de-DE"/>
        </w:rPr>
        <w:t>Tam tikros nepageidaujamos reakcijos gali pasireikšti dažniau:</w:t>
      </w:r>
    </w:p>
    <w:p w14:paraId="63DC9FBD" w14:textId="77777777" w:rsidR="004D3EB8" w:rsidRPr="00561601" w:rsidRDefault="00B945A9" w:rsidP="00AD44C7">
      <w:pPr>
        <w:numPr>
          <w:ilvl w:val="0"/>
          <w:numId w:val="15"/>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sidRPr="00561601">
        <w:rPr>
          <w:rFonts w:cs="Arial"/>
          <w:snapToGrid/>
          <w:szCs w:val="22"/>
          <w:lang w:val="lt-LT" w:eastAsia="de-DE"/>
        </w:rPr>
        <w:t>esant dideliam infuzijos greičiui;</w:t>
      </w:r>
    </w:p>
    <w:p w14:paraId="21E8FC9D" w14:textId="77777777" w:rsidR="00B945A9" w:rsidRPr="00561601" w:rsidRDefault="00B945A9" w:rsidP="00AD44C7">
      <w:pPr>
        <w:numPr>
          <w:ilvl w:val="0"/>
          <w:numId w:val="15"/>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sidRPr="00561601">
        <w:rPr>
          <w:rFonts w:cs="Arial"/>
          <w:snapToGrid/>
          <w:szCs w:val="22"/>
          <w:lang w:val="lt-LT" w:eastAsia="de-DE"/>
        </w:rPr>
        <w:t>pacientams, kurie pirmą kartą gydomi žmogaus imunoglobulinu, arba retais atvejais, kai pakeičiamas žmogaus imunoglobulino vaistinis preparatas arba po ilgos pertraukos po gydymo.</w:t>
      </w:r>
    </w:p>
    <w:p w14:paraId="022FDC8B"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012C7B3E"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Galimų komplikacijų dažnai galima išvengti užtikrinant, kad pacientai</w:t>
      </w:r>
      <w:r w:rsidR="007A1786">
        <w:rPr>
          <w:rFonts w:cs="Arial"/>
          <w:snapToGrid/>
          <w:szCs w:val="22"/>
          <w:lang w:val="lt-LT" w:eastAsia="de-DE"/>
        </w:rPr>
        <w:t>:</w:t>
      </w:r>
    </w:p>
    <w:p w14:paraId="2280BC97" w14:textId="1139135A" w:rsidR="00B945A9" w:rsidRPr="006D0F58" w:rsidRDefault="00B945A9" w:rsidP="006D0F58">
      <w:pPr>
        <w:numPr>
          <w:ilvl w:val="0"/>
          <w:numId w:val="15"/>
        </w:numPr>
        <w:tabs>
          <w:tab w:val="clear" w:pos="567"/>
        </w:tabs>
        <w:overflowPunct w:val="0"/>
        <w:autoSpaceDE w:val="0"/>
        <w:autoSpaceDN w:val="0"/>
        <w:adjustRightInd w:val="0"/>
        <w:spacing w:line="240" w:lineRule="auto"/>
        <w:ind w:left="357" w:hanging="357"/>
        <w:contextualSpacing/>
        <w:textAlignment w:val="baseline"/>
        <w:rPr>
          <w:rFonts w:cs="Arial"/>
          <w:snapToGrid/>
          <w:szCs w:val="22"/>
          <w:lang w:val="lt-LT" w:eastAsia="de-DE"/>
        </w:rPr>
      </w:pPr>
      <w:r w:rsidRPr="00561601">
        <w:rPr>
          <w:rFonts w:cs="Arial"/>
          <w:snapToGrid/>
          <w:szCs w:val="22"/>
          <w:lang w:val="lt-LT" w:eastAsia="de-DE"/>
        </w:rPr>
        <w:t>nėra jautrūs žmogaus imunoglobulinui iš pradžių leidžiant vaistinį preparatą lėtai (</w:t>
      </w:r>
      <w:r w:rsidRPr="006D0F58">
        <w:rPr>
          <w:rFonts w:cs="Arial"/>
          <w:snapToGrid/>
          <w:szCs w:val="22"/>
          <w:lang w:val="lt-LT" w:eastAsia="de-DE"/>
        </w:rPr>
        <w:t xml:space="preserve">0,08 ml/kg </w:t>
      </w:r>
      <w:r w:rsidR="006D0F58" w:rsidRPr="006D0F58">
        <w:rPr>
          <w:rFonts w:cs="Arial"/>
          <w:snapToGrid/>
          <w:szCs w:val="22"/>
          <w:lang w:val="lt-LT" w:eastAsia="de-DE"/>
        </w:rPr>
        <w:t xml:space="preserve">kūno masė </w:t>
      </w:r>
      <w:r w:rsidRPr="00561601">
        <w:rPr>
          <w:rFonts w:cs="Arial"/>
          <w:snapToGrid/>
          <w:szCs w:val="22"/>
          <w:lang w:val="lt-LT" w:eastAsia="de-DE"/>
        </w:rPr>
        <w:t>/val.);</w:t>
      </w:r>
    </w:p>
    <w:p w14:paraId="3FCFA6C5" w14:textId="77777777" w:rsidR="00B945A9" w:rsidRPr="00561601" w:rsidRDefault="00B945A9" w:rsidP="00B945A9">
      <w:pPr>
        <w:numPr>
          <w:ilvl w:val="0"/>
          <w:numId w:val="15"/>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sidRPr="00561601">
        <w:rPr>
          <w:rFonts w:cs="Arial"/>
          <w:snapToGrid/>
          <w:szCs w:val="22"/>
          <w:lang w:val="lt-LT" w:eastAsia="de-DE"/>
        </w:rPr>
        <w:t>per visą infuzijos laikotarpį atidžiai stebimi, ar neatsirado kokių nors simptomų. Svarbu, kad pacientai, kuriems anksčiau nebuvo gydyti žmogaus imunoglobulinu, pacientai, kuriems šis gydymas paskirtas vietoj į veną leidžiamo žmogaus imunoglobulino (</w:t>
      </w:r>
      <w:proofErr w:type="spellStart"/>
      <w:r w:rsidRPr="00561601">
        <w:rPr>
          <w:rFonts w:cs="Arial"/>
          <w:snapToGrid/>
          <w:szCs w:val="22"/>
          <w:lang w:val="lt-LT" w:eastAsia="de-DE"/>
        </w:rPr>
        <w:t>i.v</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Ig</w:t>
      </w:r>
      <w:proofErr w:type="spellEnd"/>
      <w:r w:rsidRPr="00561601">
        <w:rPr>
          <w:rFonts w:cs="Arial"/>
          <w:snapToGrid/>
          <w:szCs w:val="22"/>
          <w:lang w:val="lt-LT" w:eastAsia="de-DE"/>
        </w:rPr>
        <w:t>), arba kai nuo ankstesnės infuzijos praėjo ilgas laiko tarpas, pirmosios infuzijos metu ir pirmąją valandą po jos turi būti stebimi ligoninėje dėl galimo šalutinio poveikio. Visus kitus pacientus reikia stebėti mažiausiai 20 minučių po vaistinio preparato suleidimo.</w:t>
      </w:r>
    </w:p>
    <w:p w14:paraId="1C3DA9EC"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04AC9682"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Pasireiškus nepageidaujamai reakcijai, reikia sumažinti infuzijos greitį arba nutraukti infuziją. Prireikus, nepageidaujamos reakcijos gydymas priklausys nuo jos pobūdžio ir sunkumo.</w:t>
      </w:r>
    </w:p>
    <w:p w14:paraId="6C16AF8C"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3D598226"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Šoko atveju reikia taikyti dabartinį standartinį šoko gydymą.</w:t>
      </w:r>
    </w:p>
    <w:p w14:paraId="2DE2C20C"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6F3B22D1"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Visiems imunoglobulinu gydomiems pacientams reikia:</w:t>
      </w:r>
    </w:p>
    <w:p w14:paraId="4AB3B1AC" w14:textId="1A681526" w:rsidR="00B945A9" w:rsidRPr="00561601" w:rsidRDefault="007A1786" w:rsidP="00B945A9">
      <w:pPr>
        <w:numPr>
          <w:ilvl w:val="0"/>
          <w:numId w:val="15"/>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Pr>
          <w:rFonts w:cs="Arial"/>
          <w:snapToGrid/>
          <w:szCs w:val="22"/>
          <w:lang w:val="lt-LT" w:eastAsia="de-DE"/>
        </w:rPr>
        <w:t xml:space="preserve">taikyti pakankamą </w:t>
      </w:r>
      <w:proofErr w:type="spellStart"/>
      <w:r>
        <w:rPr>
          <w:rFonts w:cs="Arial"/>
          <w:snapToGrid/>
          <w:szCs w:val="22"/>
          <w:lang w:val="lt-LT" w:eastAsia="de-DE"/>
        </w:rPr>
        <w:t>hidraciją</w:t>
      </w:r>
      <w:proofErr w:type="spellEnd"/>
      <w:r w:rsidR="00B945A9" w:rsidRPr="00561601">
        <w:rPr>
          <w:rFonts w:cs="Arial"/>
          <w:snapToGrid/>
          <w:szCs w:val="22"/>
          <w:lang w:val="lt-LT" w:eastAsia="de-DE"/>
        </w:rPr>
        <w:t xml:space="preserve"> prieš imunoglobulino infuzijos pradžią;</w:t>
      </w:r>
    </w:p>
    <w:p w14:paraId="6AB3F62A" w14:textId="77777777" w:rsidR="00B945A9" w:rsidRPr="00561601" w:rsidRDefault="00B945A9" w:rsidP="00B945A9">
      <w:pPr>
        <w:numPr>
          <w:ilvl w:val="0"/>
          <w:numId w:val="15"/>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sidRPr="00561601">
        <w:rPr>
          <w:rFonts w:cs="Arial"/>
          <w:snapToGrid/>
          <w:szCs w:val="22"/>
          <w:lang w:val="lt-LT" w:eastAsia="de-DE"/>
        </w:rPr>
        <w:t>stebėti šlapimo išsiskyrimą;</w:t>
      </w:r>
    </w:p>
    <w:p w14:paraId="14F78B91" w14:textId="77777777" w:rsidR="00B945A9" w:rsidRPr="00561601" w:rsidRDefault="00B945A9" w:rsidP="00B945A9">
      <w:pPr>
        <w:numPr>
          <w:ilvl w:val="0"/>
          <w:numId w:val="15"/>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sidRPr="00561601">
        <w:rPr>
          <w:rFonts w:cs="Arial"/>
          <w:snapToGrid/>
          <w:szCs w:val="22"/>
          <w:lang w:val="lt-LT" w:eastAsia="de-DE"/>
        </w:rPr>
        <w:t>stebėti kreatinino koncentraciją kraujo serume;</w:t>
      </w:r>
    </w:p>
    <w:p w14:paraId="77B1F923" w14:textId="260019C4" w:rsidR="00B945A9" w:rsidRPr="00561601" w:rsidRDefault="00B945A9" w:rsidP="00B945A9">
      <w:pPr>
        <w:numPr>
          <w:ilvl w:val="0"/>
          <w:numId w:val="15"/>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sidRPr="00561601">
        <w:rPr>
          <w:rFonts w:cs="Arial"/>
          <w:snapToGrid/>
          <w:szCs w:val="22"/>
          <w:lang w:val="lt-LT" w:eastAsia="de-DE"/>
        </w:rPr>
        <w:t xml:space="preserve">vengti kartu </w:t>
      </w:r>
      <w:r w:rsidR="007A1786">
        <w:rPr>
          <w:rFonts w:cs="Arial"/>
          <w:snapToGrid/>
          <w:szCs w:val="22"/>
          <w:lang w:val="lt-LT" w:eastAsia="de-DE"/>
        </w:rPr>
        <w:t>skirti</w:t>
      </w:r>
      <w:r w:rsidR="007A1786" w:rsidRPr="00561601">
        <w:rPr>
          <w:rFonts w:cs="Arial"/>
          <w:snapToGrid/>
          <w:szCs w:val="22"/>
          <w:lang w:val="lt-LT" w:eastAsia="de-DE"/>
        </w:rPr>
        <w:t xml:space="preserve"> </w:t>
      </w:r>
      <w:r w:rsidRPr="00561601">
        <w:rPr>
          <w:rFonts w:cs="Arial"/>
          <w:snapToGrid/>
          <w:szCs w:val="22"/>
          <w:lang w:val="lt-LT" w:eastAsia="de-DE"/>
        </w:rPr>
        <w:t>kilpinių diuretikų.</w:t>
      </w:r>
    </w:p>
    <w:p w14:paraId="01AFAE27"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4BB8BA27"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u w:val="single"/>
          <w:lang w:val="lt-LT" w:eastAsia="de-DE"/>
        </w:rPr>
      </w:pPr>
      <w:r w:rsidRPr="00561601">
        <w:rPr>
          <w:rFonts w:cs="Arial"/>
          <w:snapToGrid/>
          <w:szCs w:val="22"/>
          <w:u w:val="single"/>
          <w:lang w:val="lt-LT" w:eastAsia="de-DE"/>
        </w:rPr>
        <w:t>Padidėjęs jautrumas</w:t>
      </w:r>
    </w:p>
    <w:p w14:paraId="08CA358D" w14:textId="6CE92833"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Padidėjusio jautrumo reakcijos yra retos. Jos gali pasireikšti pacientams, </w:t>
      </w:r>
      <w:r w:rsidR="007A1786">
        <w:rPr>
          <w:rFonts w:cs="Arial"/>
          <w:snapToGrid/>
          <w:szCs w:val="22"/>
          <w:lang w:val="lt-LT" w:eastAsia="de-DE"/>
        </w:rPr>
        <w:t>kuriems yra</w:t>
      </w:r>
      <w:r w:rsidR="007A1786" w:rsidRPr="00561601">
        <w:rPr>
          <w:rFonts w:cs="Arial"/>
          <w:snapToGrid/>
          <w:szCs w:val="22"/>
          <w:lang w:val="lt-LT" w:eastAsia="de-DE"/>
        </w:rPr>
        <w:t xml:space="preserve"> </w:t>
      </w:r>
      <w:proofErr w:type="spellStart"/>
      <w:r w:rsidRPr="00561601">
        <w:rPr>
          <w:rFonts w:cs="Arial"/>
          <w:snapToGrid/>
          <w:szCs w:val="22"/>
          <w:lang w:val="lt-LT" w:eastAsia="de-DE"/>
        </w:rPr>
        <w:t>anti-IgA</w:t>
      </w:r>
      <w:proofErr w:type="spellEnd"/>
      <w:r w:rsidRPr="00561601">
        <w:rPr>
          <w:rFonts w:cs="Arial"/>
          <w:snapToGrid/>
          <w:szCs w:val="22"/>
          <w:lang w:val="lt-LT" w:eastAsia="de-DE"/>
        </w:rPr>
        <w:t xml:space="preserve"> antikūnų.</w:t>
      </w:r>
    </w:p>
    <w:p w14:paraId="5075225C"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38B40FD8" w14:textId="77777777" w:rsidR="00B945A9" w:rsidRPr="00561601" w:rsidRDefault="00B945A9" w:rsidP="00B945A9">
      <w:pPr>
        <w:keepNext/>
        <w:tabs>
          <w:tab w:val="clear" w:pos="567"/>
        </w:tabs>
        <w:overflowPunct w:val="0"/>
        <w:autoSpaceDE w:val="0"/>
        <w:autoSpaceDN w:val="0"/>
        <w:adjustRightInd w:val="0"/>
        <w:spacing w:line="240" w:lineRule="auto"/>
        <w:textAlignment w:val="baseline"/>
        <w:outlineLvl w:val="5"/>
        <w:rPr>
          <w:snapToGrid/>
          <w:szCs w:val="22"/>
          <w:lang w:val="lt-LT" w:eastAsia="de-DE"/>
        </w:rPr>
      </w:pPr>
      <w:proofErr w:type="spellStart"/>
      <w:r w:rsidRPr="00561601">
        <w:rPr>
          <w:rFonts w:cs="Arial"/>
          <w:snapToGrid/>
          <w:szCs w:val="22"/>
          <w:lang w:val="lt-LT" w:eastAsia="de-DE"/>
        </w:rPr>
        <w:t>Anafilaksija</w:t>
      </w:r>
      <w:proofErr w:type="spellEnd"/>
      <w:r w:rsidRPr="00561601">
        <w:rPr>
          <w:rFonts w:cs="Arial"/>
          <w:snapToGrid/>
          <w:szCs w:val="22"/>
          <w:lang w:val="lt-LT" w:eastAsia="de-DE"/>
        </w:rPr>
        <w:t xml:space="preserve"> gali pasireikšti pacientams:</w:t>
      </w:r>
    </w:p>
    <w:p w14:paraId="6ED0A4F0" w14:textId="77777777" w:rsidR="00B945A9" w:rsidRPr="00561601" w:rsidRDefault="00B945A9" w:rsidP="00B945A9">
      <w:pPr>
        <w:numPr>
          <w:ilvl w:val="0"/>
          <w:numId w:val="16"/>
        </w:numPr>
        <w:tabs>
          <w:tab w:val="clear" w:pos="567"/>
        </w:tabs>
        <w:overflowPunct w:val="0"/>
        <w:autoSpaceDE w:val="0"/>
        <w:autoSpaceDN w:val="0"/>
        <w:adjustRightInd w:val="0"/>
        <w:spacing w:line="240" w:lineRule="auto"/>
        <w:ind w:left="426"/>
        <w:contextualSpacing/>
        <w:textAlignment w:val="baseline"/>
        <w:rPr>
          <w:snapToGrid/>
          <w:szCs w:val="22"/>
          <w:lang w:val="lt-LT" w:eastAsia="de-DE"/>
        </w:rPr>
      </w:pPr>
      <w:r w:rsidRPr="00561601">
        <w:rPr>
          <w:rFonts w:cs="Arial"/>
          <w:snapToGrid/>
          <w:szCs w:val="22"/>
          <w:lang w:val="lt-LT" w:eastAsia="de-DE"/>
        </w:rPr>
        <w:t xml:space="preserve">kurių organizme yra antikūnų prieš </w:t>
      </w:r>
      <w:proofErr w:type="spellStart"/>
      <w:r w:rsidRPr="00561601">
        <w:rPr>
          <w:rFonts w:cs="Arial"/>
          <w:snapToGrid/>
          <w:szCs w:val="22"/>
          <w:lang w:val="lt-LT" w:eastAsia="de-DE"/>
        </w:rPr>
        <w:t>IgA</w:t>
      </w:r>
      <w:proofErr w:type="spellEnd"/>
      <w:r w:rsidRPr="00561601">
        <w:rPr>
          <w:rFonts w:cs="Arial"/>
          <w:snapToGrid/>
          <w:szCs w:val="22"/>
          <w:lang w:val="lt-LT" w:eastAsia="de-DE"/>
        </w:rPr>
        <w:t xml:space="preserve">, o </w:t>
      </w:r>
      <w:proofErr w:type="spellStart"/>
      <w:r w:rsidRPr="00561601">
        <w:rPr>
          <w:rFonts w:cs="Arial"/>
          <w:snapToGrid/>
          <w:szCs w:val="22"/>
          <w:lang w:val="lt-LT" w:eastAsia="de-DE"/>
        </w:rPr>
        <w:t>IgA</w:t>
      </w:r>
      <w:proofErr w:type="spellEnd"/>
      <w:r w:rsidRPr="00561601">
        <w:rPr>
          <w:rFonts w:cs="Arial"/>
          <w:snapToGrid/>
          <w:szCs w:val="22"/>
          <w:lang w:val="lt-LT" w:eastAsia="de-DE"/>
        </w:rPr>
        <w:t xml:space="preserve"> nenustatoma;</w:t>
      </w:r>
    </w:p>
    <w:p w14:paraId="5554725D" w14:textId="77777777" w:rsidR="00B945A9" w:rsidRPr="00561601" w:rsidRDefault="00B945A9" w:rsidP="00B945A9">
      <w:pPr>
        <w:numPr>
          <w:ilvl w:val="0"/>
          <w:numId w:val="16"/>
        </w:numPr>
        <w:tabs>
          <w:tab w:val="clear" w:pos="567"/>
        </w:tabs>
        <w:overflowPunct w:val="0"/>
        <w:autoSpaceDE w:val="0"/>
        <w:autoSpaceDN w:val="0"/>
        <w:adjustRightInd w:val="0"/>
        <w:spacing w:line="240" w:lineRule="auto"/>
        <w:ind w:left="426"/>
        <w:contextualSpacing/>
        <w:textAlignment w:val="baseline"/>
        <w:rPr>
          <w:snapToGrid/>
          <w:szCs w:val="22"/>
          <w:lang w:val="lt-LT" w:eastAsia="de-DE"/>
        </w:rPr>
      </w:pPr>
      <w:r w:rsidRPr="00561601">
        <w:rPr>
          <w:rFonts w:cs="Arial"/>
          <w:snapToGrid/>
          <w:szCs w:val="22"/>
          <w:lang w:val="lt-LT" w:eastAsia="de-DE"/>
        </w:rPr>
        <w:t>kurie toleravo ankstesnį gydymą žmogaus imunoglobulinu.</w:t>
      </w:r>
    </w:p>
    <w:p w14:paraId="23B43846"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53DF8AC7"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Šoko atveju reikia taikyti standartinį šoko gydymą.</w:t>
      </w:r>
    </w:p>
    <w:p w14:paraId="41DBDAB8" w14:textId="77777777" w:rsidR="00B945A9" w:rsidRPr="00561601" w:rsidRDefault="00B945A9" w:rsidP="00B945A9">
      <w:pPr>
        <w:tabs>
          <w:tab w:val="clear" w:pos="567"/>
        </w:tabs>
        <w:overflowPunct w:val="0"/>
        <w:autoSpaceDE w:val="0"/>
        <w:autoSpaceDN w:val="0"/>
        <w:adjustRightInd w:val="0"/>
        <w:spacing w:line="240" w:lineRule="auto"/>
        <w:textAlignment w:val="baseline"/>
        <w:rPr>
          <w:rFonts w:ascii="Arial" w:hAnsi="Arial" w:cs="Arial"/>
          <w:snapToGrid/>
          <w:szCs w:val="22"/>
          <w:lang w:val="lt-LT" w:eastAsia="de-DE"/>
        </w:rPr>
      </w:pPr>
    </w:p>
    <w:p w14:paraId="2A62AA4C"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u w:val="single"/>
          <w:lang w:val="lt-LT" w:eastAsia="de-DE"/>
        </w:rPr>
      </w:pPr>
      <w:r w:rsidRPr="00561601">
        <w:rPr>
          <w:rFonts w:cs="Arial"/>
          <w:snapToGrid/>
          <w:szCs w:val="22"/>
          <w:u w:val="single"/>
          <w:lang w:val="lt-LT" w:eastAsia="de-DE"/>
        </w:rPr>
        <w:t>Tromboembolija</w:t>
      </w:r>
    </w:p>
    <w:p w14:paraId="262BFD34" w14:textId="0EB59DA4"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Yra klinikinių duomenų apie sąsają tarp imunoglobulino vartojimo į veną (</w:t>
      </w:r>
      <w:proofErr w:type="spellStart"/>
      <w:r w:rsidRPr="00561601">
        <w:rPr>
          <w:rFonts w:cs="Arial"/>
          <w:snapToGrid/>
          <w:szCs w:val="22"/>
          <w:lang w:val="lt-LT" w:eastAsia="de-DE"/>
        </w:rPr>
        <w:t>i.v</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Ig</w:t>
      </w:r>
      <w:proofErr w:type="spellEnd"/>
      <w:r w:rsidRPr="00561601">
        <w:rPr>
          <w:rFonts w:cs="Arial"/>
          <w:snapToGrid/>
          <w:szCs w:val="22"/>
          <w:lang w:val="lt-LT" w:eastAsia="de-DE"/>
        </w:rPr>
        <w:t xml:space="preserve">) ir </w:t>
      </w:r>
      <w:proofErr w:type="spellStart"/>
      <w:r w:rsidRPr="00561601">
        <w:rPr>
          <w:rFonts w:cs="Arial"/>
          <w:snapToGrid/>
          <w:szCs w:val="22"/>
          <w:lang w:val="lt-LT" w:eastAsia="de-DE"/>
        </w:rPr>
        <w:t>tromboembolinių</w:t>
      </w:r>
      <w:proofErr w:type="spellEnd"/>
      <w:r w:rsidRPr="00561601">
        <w:rPr>
          <w:rFonts w:cs="Arial"/>
          <w:snapToGrid/>
          <w:szCs w:val="22"/>
          <w:lang w:val="lt-LT" w:eastAsia="de-DE"/>
        </w:rPr>
        <w:t xml:space="preserve"> reiškinių, pvz., miokardo infarkto, </w:t>
      </w:r>
      <w:proofErr w:type="spellStart"/>
      <w:r w:rsidRPr="00561601">
        <w:rPr>
          <w:rFonts w:cs="Arial"/>
          <w:snapToGrid/>
          <w:szCs w:val="22"/>
          <w:lang w:val="lt-LT" w:eastAsia="de-DE"/>
        </w:rPr>
        <w:t>cerebrovaskulinių</w:t>
      </w:r>
      <w:proofErr w:type="spellEnd"/>
      <w:r w:rsidRPr="00561601">
        <w:rPr>
          <w:rFonts w:cs="Arial"/>
          <w:snapToGrid/>
          <w:szCs w:val="22"/>
          <w:lang w:val="lt-LT" w:eastAsia="de-DE"/>
        </w:rPr>
        <w:t xml:space="preserve"> įvykių (insultas), plaučių embolijos ir giliųjų venų trombozės; manoma, kad taip atsitinka dėl per didelio imunoglobulino antplūdžio</w:t>
      </w:r>
      <w:r w:rsidR="0026701F">
        <w:rPr>
          <w:rFonts w:cs="Arial"/>
          <w:snapToGrid/>
          <w:szCs w:val="22"/>
          <w:lang w:val="lt-LT" w:eastAsia="de-DE"/>
        </w:rPr>
        <w:t xml:space="preserve"> santykinai </w:t>
      </w:r>
      <w:r w:rsidR="0026701F" w:rsidRPr="00561601">
        <w:rPr>
          <w:rFonts w:cs="Arial"/>
          <w:snapToGrid/>
          <w:szCs w:val="22"/>
          <w:lang w:val="lt-LT" w:eastAsia="de-DE"/>
        </w:rPr>
        <w:t>padidėj</w:t>
      </w:r>
      <w:r w:rsidR="0026701F">
        <w:rPr>
          <w:rFonts w:cs="Arial"/>
          <w:snapToGrid/>
          <w:szCs w:val="22"/>
          <w:lang w:val="lt-LT" w:eastAsia="de-DE"/>
        </w:rPr>
        <w:t>us</w:t>
      </w:r>
      <w:r w:rsidR="0026701F" w:rsidRPr="00561601">
        <w:rPr>
          <w:rFonts w:cs="Arial"/>
          <w:snapToGrid/>
          <w:szCs w:val="22"/>
          <w:lang w:val="lt-LT" w:eastAsia="de-DE"/>
        </w:rPr>
        <w:t xml:space="preserve"> kraujo klampum</w:t>
      </w:r>
      <w:r w:rsidR="0026701F">
        <w:rPr>
          <w:rFonts w:cs="Arial"/>
          <w:snapToGrid/>
          <w:szCs w:val="22"/>
          <w:lang w:val="lt-LT" w:eastAsia="de-DE"/>
        </w:rPr>
        <w:t>ui</w:t>
      </w:r>
      <w:r w:rsidR="0026701F" w:rsidRPr="00561601">
        <w:rPr>
          <w:rFonts w:cs="Arial"/>
          <w:snapToGrid/>
          <w:szCs w:val="22"/>
          <w:lang w:val="lt-LT" w:eastAsia="de-DE"/>
        </w:rPr>
        <w:t xml:space="preserve"> </w:t>
      </w:r>
      <w:r w:rsidR="00C86B19">
        <w:rPr>
          <w:rFonts w:cs="Arial"/>
          <w:snapToGrid/>
          <w:szCs w:val="22"/>
          <w:lang w:val="lt-LT" w:eastAsia="de-DE"/>
        </w:rPr>
        <w:t>pacientams,</w:t>
      </w:r>
      <w:r w:rsidR="00C86B19" w:rsidRPr="00561601">
        <w:rPr>
          <w:rFonts w:cs="Arial"/>
          <w:snapToGrid/>
          <w:szCs w:val="22"/>
          <w:lang w:val="lt-LT" w:eastAsia="de-DE"/>
        </w:rPr>
        <w:t xml:space="preserve"> </w:t>
      </w:r>
      <w:r w:rsidRPr="00561601">
        <w:rPr>
          <w:rFonts w:cs="Arial"/>
          <w:snapToGrid/>
          <w:szCs w:val="22"/>
          <w:lang w:val="lt-LT" w:eastAsia="de-DE"/>
        </w:rPr>
        <w:t xml:space="preserve">esantiems rizikos grupėje. Reikia imtis atsargumo priemonių skiriant ir leidžiant imunoglobuliną nutukusiems pacientams ir pacientams, kuriems yra trombozės rizikos veiksnių (vyresnis amžius, hipertenzija, cukrinis diabetas ir buvusios kraujagyslių ligos ar trombozės epizodai; pacientams, </w:t>
      </w:r>
      <w:r w:rsidR="00C86B19">
        <w:rPr>
          <w:rFonts w:cs="Arial"/>
          <w:snapToGrid/>
          <w:szCs w:val="22"/>
          <w:lang w:val="lt-LT" w:eastAsia="de-DE"/>
        </w:rPr>
        <w:t>kuriems yra</w:t>
      </w:r>
      <w:r w:rsidR="00C86B19" w:rsidRPr="00561601">
        <w:rPr>
          <w:rFonts w:cs="Arial"/>
          <w:snapToGrid/>
          <w:szCs w:val="22"/>
          <w:lang w:val="lt-LT" w:eastAsia="de-DE"/>
        </w:rPr>
        <w:t xml:space="preserve"> </w:t>
      </w:r>
      <w:r w:rsidRPr="00561601">
        <w:rPr>
          <w:rFonts w:cs="Arial"/>
          <w:snapToGrid/>
          <w:szCs w:val="22"/>
          <w:lang w:val="lt-LT" w:eastAsia="de-DE"/>
        </w:rPr>
        <w:t xml:space="preserve">įgytų ar įgimtų </w:t>
      </w:r>
      <w:proofErr w:type="spellStart"/>
      <w:r w:rsidRPr="00561601">
        <w:rPr>
          <w:rFonts w:cs="Arial"/>
          <w:snapToGrid/>
          <w:szCs w:val="22"/>
          <w:lang w:val="lt-LT" w:eastAsia="de-DE"/>
        </w:rPr>
        <w:t>trombofilinių</w:t>
      </w:r>
      <w:proofErr w:type="spellEnd"/>
      <w:r w:rsidRPr="00561601">
        <w:rPr>
          <w:rFonts w:cs="Arial"/>
          <w:snapToGrid/>
          <w:szCs w:val="22"/>
          <w:lang w:val="lt-LT" w:eastAsia="de-DE"/>
        </w:rPr>
        <w:t xml:space="preserve"> sutrikimų; pacientams, kurie yra </w:t>
      </w:r>
      <w:proofErr w:type="spellStart"/>
      <w:r w:rsidRPr="00561601">
        <w:rPr>
          <w:rFonts w:cs="Arial"/>
          <w:snapToGrid/>
          <w:szCs w:val="22"/>
          <w:lang w:val="lt-LT" w:eastAsia="de-DE"/>
        </w:rPr>
        <w:t>imobilizuoti</w:t>
      </w:r>
      <w:proofErr w:type="spellEnd"/>
      <w:r w:rsidRPr="00561601">
        <w:rPr>
          <w:rFonts w:cs="Arial"/>
          <w:snapToGrid/>
          <w:szCs w:val="22"/>
          <w:lang w:val="lt-LT" w:eastAsia="de-DE"/>
        </w:rPr>
        <w:t xml:space="preserve"> ilgesnį laiką; pacientams, kuriems yra ryški </w:t>
      </w:r>
      <w:proofErr w:type="spellStart"/>
      <w:r w:rsidRPr="00561601">
        <w:rPr>
          <w:rFonts w:cs="Arial"/>
          <w:snapToGrid/>
          <w:szCs w:val="22"/>
          <w:lang w:val="lt-LT" w:eastAsia="de-DE"/>
        </w:rPr>
        <w:t>hipovolemija</w:t>
      </w:r>
      <w:proofErr w:type="spellEnd"/>
      <w:r w:rsidRPr="00561601">
        <w:rPr>
          <w:rFonts w:cs="Arial"/>
          <w:snapToGrid/>
          <w:szCs w:val="22"/>
          <w:lang w:val="lt-LT" w:eastAsia="de-DE"/>
        </w:rPr>
        <w:t>; pacientams, sergantiems ligomis, dėl kurių padidėja kraujo klampumas).</w:t>
      </w:r>
    </w:p>
    <w:p w14:paraId="009D7455"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bidi="en-GB"/>
        </w:rPr>
      </w:pPr>
    </w:p>
    <w:p w14:paraId="33849C73" w14:textId="686D60B0"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Esant </w:t>
      </w:r>
      <w:r w:rsidR="00C86B19">
        <w:rPr>
          <w:rFonts w:cs="Arial"/>
          <w:snapToGrid/>
          <w:szCs w:val="22"/>
          <w:lang w:val="lt-LT" w:eastAsia="de-DE"/>
        </w:rPr>
        <w:t>didesnei</w:t>
      </w:r>
      <w:r w:rsidR="00C86B19" w:rsidRPr="00561601">
        <w:rPr>
          <w:rFonts w:cs="Arial"/>
          <w:snapToGrid/>
          <w:szCs w:val="22"/>
          <w:lang w:val="lt-LT" w:eastAsia="de-DE"/>
        </w:rPr>
        <w:t xml:space="preserve"> </w:t>
      </w:r>
      <w:proofErr w:type="spellStart"/>
      <w:r w:rsidRPr="00561601">
        <w:rPr>
          <w:rFonts w:cs="Arial"/>
          <w:snapToGrid/>
          <w:szCs w:val="22"/>
          <w:lang w:val="lt-LT" w:eastAsia="de-DE"/>
        </w:rPr>
        <w:t>tromboembolinių</w:t>
      </w:r>
      <w:proofErr w:type="spellEnd"/>
      <w:r w:rsidRPr="00561601">
        <w:rPr>
          <w:rFonts w:cs="Arial"/>
          <w:snapToGrid/>
          <w:szCs w:val="22"/>
          <w:lang w:val="lt-LT" w:eastAsia="de-DE"/>
        </w:rPr>
        <w:t xml:space="preserve"> nepageidaujamų reakcijų rizikai, </w:t>
      </w:r>
      <w:proofErr w:type="spellStart"/>
      <w:r w:rsidRPr="00561601">
        <w:rPr>
          <w:rFonts w:cs="Arial"/>
          <w:snapToGrid/>
          <w:szCs w:val="22"/>
          <w:lang w:val="lt-LT" w:eastAsia="de-DE"/>
        </w:rPr>
        <w:t>i.v</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Ig</w:t>
      </w:r>
      <w:proofErr w:type="spellEnd"/>
      <w:r w:rsidRPr="00561601">
        <w:rPr>
          <w:rFonts w:cs="Arial"/>
          <w:snapToGrid/>
          <w:szCs w:val="22"/>
          <w:lang w:val="lt-LT" w:eastAsia="de-DE"/>
        </w:rPr>
        <w:t xml:space="preserve"> infuzijos greitis turi būti minimalus, o dozė – adekvati</w:t>
      </w:r>
      <w:r w:rsidRPr="00561601">
        <w:rPr>
          <w:rFonts w:ascii="Arial" w:hAnsi="Arial" w:cs="Arial"/>
          <w:snapToGrid/>
          <w:szCs w:val="22"/>
          <w:lang w:val="lt-LT" w:eastAsia="de-DE"/>
        </w:rPr>
        <w:t>.</w:t>
      </w:r>
    </w:p>
    <w:p w14:paraId="0172AAC5"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270DEF05"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u w:val="single"/>
          <w:lang w:val="lt-LT" w:eastAsia="de-DE"/>
        </w:rPr>
      </w:pPr>
      <w:r w:rsidRPr="00561601">
        <w:rPr>
          <w:rFonts w:cs="Arial"/>
          <w:snapToGrid/>
          <w:szCs w:val="22"/>
          <w:u w:val="single"/>
          <w:lang w:val="lt-LT" w:eastAsia="de-DE"/>
        </w:rPr>
        <w:t>Ūmus inkstų nepakankamumas</w:t>
      </w:r>
    </w:p>
    <w:p w14:paraId="5C974B6D" w14:textId="47231E0C"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Gauta pranešimų apie pacientų, kuriems buvo taikoma imunoglobulino į veną (</w:t>
      </w:r>
      <w:proofErr w:type="spellStart"/>
      <w:r w:rsidRPr="00561601">
        <w:rPr>
          <w:rFonts w:cs="Arial"/>
          <w:snapToGrid/>
          <w:szCs w:val="22"/>
          <w:lang w:val="lt-LT" w:eastAsia="de-DE"/>
        </w:rPr>
        <w:t>i.v</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Ig</w:t>
      </w:r>
      <w:proofErr w:type="spellEnd"/>
      <w:r w:rsidRPr="00561601">
        <w:rPr>
          <w:rFonts w:cs="Arial"/>
          <w:snapToGrid/>
          <w:szCs w:val="22"/>
          <w:lang w:val="lt-LT" w:eastAsia="de-DE"/>
        </w:rPr>
        <w:t xml:space="preserve"> ) terapija, ūm</w:t>
      </w:r>
      <w:r w:rsidR="005F28BE">
        <w:rPr>
          <w:rFonts w:cs="Arial"/>
          <w:snapToGrid/>
          <w:szCs w:val="22"/>
          <w:lang w:val="lt-LT" w:eastAsia="de-DE"/>
        </w:rPr>
        <w:t>inį</w:t>
      </w:r>
      <w:r w:rsidRPr="00561601">
        <w:rPr>
          <w:rFonts w:cs="Arial"/>
          <w:snapToGrid/>
          <w:szCs w:val="22"/>
          <w:lang w:val="lt-LT" w:eastAsia="de-DE"/>
        </w:rPr>
        <w:t xml:space="preserve"> inkstų nepakankamumą. Daugeliu atvejų buvo nustatyti tokie rizikos veiksniai</w:t>
      </w:r>
      <w:r w:rsidR="00C86B19">
        <w:rPr>
          <w:rFonts w:cs="Arial"/>
          <w:snapToGrid/>
          <w:szCs w:val="22"/>
          <w:lang w:val="lt-LT" w:eastAsia="de-DE"/>
        </w:rPr>
        <w:t>,</w:t>
      </w:r>
      <w:r w:rsidRPr="00561601">
        <w:rPr>
          <w:rFonts w:cs="Arial"/>
          <w:snapToGrid/>
          <w:szCs w:val="22"/>
          <w:lang w:val="lt-LT" w:eastAsia="de-DE"/>
        </w:rPr>
        <w:t xml:space="preserve"> kaip esantis inkstų nepakankamumas, cukrinis diabetas, </w:t>
      </w:r>
      <w:proofErr w:type="spellStart"/>
      <w:r w:rsidRPr="00561601">
        <w:rPr>
          <w:rFonts w:cs="Arial"/>
          <w:snapToGrid/>
          <w:szCs w:val="22"/>
          <w:lang w:val="lt-LT" w:eastAsia="de-DE"/>
        </w:rPr>
        <w:t>hipovolemija</w:t>
      </w:r>
      <w:proofErr w:type="spellEnd"/>
      <w:r w:rsidRPr="00561601">
        <w:rPr>
          <w:rFonts w:cs="Arial"/>
          <w:snapToGrid/>
          <w:szCs w:val="22"/>
          <w:lang w:val="lt-LT" w:eastAsia="de-DE"/>
        </w:rPr>
        <w:t xml:space="preserve">, antsvoris, kartu vartoti </w:t>
      </w:r>
      <w:proofErr w:type="spellStart"/>
      <w:r w:rsidRPr="00561601">
        <w:rPr>
          <w:rFonts w:cs="Arial"/>
          <w:snapToGrid/>
          <w:szCs w:val="22"/>
          <w:lang w:val="lt-LT" w:eastAsia="de-DE"/>
        </w:rPr>
        <w:t>nefrotoksiniai</w:t>
      </w:r>
      <w:proofErr w:type="spellEnd"/>
      <w:r w:rsidRPr="00561601">
        <w:rPr>
          <w:rFonts w:cs="Arial"/>
          <w:snapToGrid/>
          <w:szCs w:val="22"/>
          <w:lang w:val="lt-LT" w:eastAsia="de-DE"/>
        </w:rPr>
        <w:t xml:space="preserve"> vaistiniai preparatai arba vyresni</w:t>
      </w:r>
      <w:r w:rsidR="00C86B19">
        <w:rPr>
          <w:rFonts w:cs="Arial"/>
          <w:snapToGrid/>
          <w:szCs w:val="22"/>
          <w:lang w:val="lt-LT" w:eastAsia="de-DE"/>
        </w:rPr>
        <w:t>s</w:t>
      </w:r>
      <w:r w:rsidRPr="00561601">
        <w:rPr>
          <w:rFonts w:cs="Arial"/>
          <w:snapToGrid/>
          <w:szCs w:val="22"/>
          <w:lang w:val="lt-LT" w:eastAsia="de-DE"/>
        </w:rPr>
        <w:t xml:space="preserve"> nei 65 metų</w:t>
      </w:r>
      <w:r w:rsidR="00C86B19">
        <w:rPr>
          <w:rFonts w:cs="Arial"/>
          <w:snapToGrid/>
          <w:szCs w:val="22"/>
          <w:lang w:val="lt-LT" w:eastAsia="de-DE"/>
        </w:rPr>
        <w:t xml:space="preserve"> amžius</w:t>
      </w:r>
      <w:r w:rsidRPr="00561601">
        <w:rPr>
          <w:rFonts w:cs="Arial"/>
          <w:snapToGrid/>
          <w:szCs w:val="22"/>
          <w:lang w:val="lt-LT" w:eastAsia="de-DE"/>
        </w:rPr>
        <w:t>.</w:t>
      </w:r>
    </w:p>
    <w:p w14:paraId="33356F90"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2405AE6C"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Inkstų rodiklius reikia įvertinti pieš pradedant imunoglobulino infuziją į veną (ypač pacientams, kuriems gali būti ūmaus inkstų nepakankamumo rizika) ir šį vertinimą kartoti tinkamais intervalais. Pacientams, kuriems yra ūmaus inkstų nepakankamumo rizika, </w:t>
      </w:r>
      <w:proofErr w:type="spellStart"/>
      <w:r w:rsidRPr="00561601">
        <w:rPr>
          <w:rFonts w:cs="Arial"/>
          <w:snapToGrid/>
          <w:szCs w:val="22"/>
          <w:lang w:val="lt-LT" w:eastAsia="de-DE"/>
        </w:rPr>
        <w:t>i.v</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Ig</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vaisitniai</w:t>
      </w:r>
      <w:proofErr w:type="spellEnd"/>
      <w:r w:rsidRPr="00561601">
        <w:rPr>
          <w:rFonts w:cs="Arial"/>
          <w:snapToGrid/>
          <w:szCs w:val="22"/>
          <w:lang w:val="lt-LT" w:eastAsia="de-DE"/>
        </w:rPr>
        <w:t xml:space="preserve"> preparatai turi būti leidžiami minimaliu infuzijos greičiu ir adekvačiomis dozėmis.</w:t>
      </w:r>
    </w:p>
    <w:p w14:paraId="0901272D"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0C4896D5" w14:textId="4145A3AC" w:rsidR="00B945A9" w:rsidRPr="00561601" w:rsidRDefault="005F28BE" w:rsidP="00B945A9">
      <w:pPr>
        <w:tabs>
          <w:tab w:val="clear" w:pos="567"/>
        </w:tabs>
        <w:overflowPunct w:val="0"/>
        <w:autoSpaceDE w:val="0"/>
        <w:autoSpaceDN w:val="0"/>
        <w:adjustRightInd w:val="0"/>
        <w:spacing w:line="240" w:lineRule="auto"/>
        <w:textAlignment w:val="baseline"/>
        <w:rPr>
          <w:snapToGrid/>
          <w:szCs w:val="22"/>
          <w:lang w:val="lt-LT" w:eastAsia="de-DE"/>
        </w:rPr>
      </w:pPr>
      <w:r>
        <w:rPr>
          <w:rFonts w:cs="Arial"/>
          <w:snapToGrid/>
          <w:szCs w:val="22"/>
          <w:lang w:val="lt-LT" w:eastAsia="de-DE"/>
        </w:rPr>
        <w:t>Sutrikus</w:t>
      </w:r>
      <w:r w:rsidRPr="00561601">
        <w:rPr>
          <w:rFonts w:cs="Arial"/>
          <w:snapToGrid/>
          <w:szCs w:val="22"/>
          <w:lang w:val="lt-LT" w:eastAsia="de-DE"/>
        </w:rPr>
        <w:t xml:space="preserve"> </w:t>
      </w:r>
      <w:r w:rsidR="00B945A9" w:rsidRPr="00561601">
        <w:rPr>
          <w:rFonts w:cs="Arial"/>
          <w:snapToGrid/>
          <w:szCs w:val="22"/>
          <w:lang w:val="lt-LT" w:eastAsia="de-DE"/>
        </w:rPr>
        <w:t xml:space="preserve">inkstų </w:t>
      </w:r>
      <w:r w:rsidR="0026701F">
        <w:rPr>
          <w:rFonts w:cs="Arial"/>
          <w:snapToGrid/>
          <w:szCs w:val="22"/>
          <w:lang w:val="lt-LT" w:eastAsia="de-DE"/>
        </w:rPr>
        <w:t>funkcij</w:t>
      </w:r>
      <w:r>
        <w:rPr>
          <w:rFonts w:cs="Arial"/>
          <w:snapToGrid/>
          <w:szCs w:val="22"/>
          <w:lang w:val="lt-LT" w:eastAsia="de-DE"/>
        </w:rPr>
        <w:t>ai</w:t>
      </w:r>
      <w:r w:rsidR="00B945A9" w:rsidRPr="00561601">
        <w:rPr>
          <w:rFonts w:cs="Arial"/>
          <w:snapToGrid/>
          <w:szCs w:val="22"/>
          <w:lang w:val="lt-LT" w:eastAsia="de-DE"/>
        </w:rPr>
        <w:t xml:space="preserve">, </w:t>
      </w:r>
      <w:r w:rsidR="0026701F">
        <w:rPr>
          <w:rFonts w:cs="Arial"/>
          <w:snapToGrid/>
          <w:szCs w:val="22"/>
          <w:lang w:val="lt-LT" w:eastAsia="de-DE"/>
        </w:rPr>
        <w:t xml:space="preserve"> būti</w:t>
      </w:r>
      <w:r>
        <w:rPr>
          <w:rFonts w:cs="Arial"/>
          <w:snapToGrid/>
          <w:szCs w:val="22"/>
          <w:lang w:val="lt-LT" w:eastAsia="de-DE"/>
        </w:rPr>
        <w:t>na</w:t>
      </w:r>
      <w:r w:rsidR="0026701F">
        <w:rPr>
          <w:rFonts w:cs="Arial"/>
          <w:snapToGrid/>
          <w:szCs w:val="22"/>
          <w:lang w:val="lt-LT" w:eastAsia="de-DE"/>
        </w:rPr>
        <w:t xml:space="preserve"> apsvarstyt</w:t>
      </w:r>
      <w:r>
        <w:rPr>
          <w:rFonts w:cs="Arial"/>
          <w:snapToGrid/>
          <w:szCs w:val="22"/>
          <w:lang w:val="lt-LT" w:eastAsia="de-DE"/>
        </w:rPr>
        <w:t>i</w:t>
      </w:r>
      <w:r w:rsidR="00B945A9" w:rsidRPr="00561601">
        <w:rPr>
          <w:rFonts w:cs="Arial"/>
          <w:snapToGrid/>
          <w:szCs w:val="22"/>
          <w:lang w:val="lt-LT" w:eastAsia="de-DE"/>
        </w:rPr>
        <w:t xml:space="preserve"> imunoglobulino vaistinio preparato vartojimo nutraukimo</w:t>
      </w:r>
      <w:r>
        <w:rPr>
          <w:rFonts w:cs="Arial"/>
          <w:snapToGrid/>
          <w:szCs w:val="22"/>
          <w:lang w:val="lt-LT" w:eastAsia="de-DE"/>
        </w:rPr>
        <w:t xml:space="preserve"> poreikį</w:t>
      </w:r>
      <w:r w:rsidR="00B945A9" w:rsidRPr="00561601">
        <w:rPr>
          <w:rFonts w:cs="Arial"/>
          <w:snapToGrid/>
          <w:szCs w:val="22"/>
          <w:lang w:val="lt-LT" w:eastAsia="de-DE"/>
        </w:rPr>
        <w:t>.</w:t>
      </w:r>
    </w:p>
    <w:p w14:paraId="57CF26AB"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bidi="en-GB"/>
        </w:rPr>
      </w:pPr>
    </w:p>
    <w:p w14:paraId="410B5E4A" w14:textId="725309D6"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Nors pranešimai apie inkstų funkcijos sutrikimą ir ūm</w:t>
      </w:r>
      <w:r w:rsidR="005F28BE">
        <w:rPr>
          <w:rFonts w:cs="Arial"/>
          <w:snapToGrid/>
          <w:szCs w:val="22"/>
          <w:lang w:val="lt-LT" w:eastAsia="de-DE"/>
        </w:rPr>
        <w:t>inį</w:t>
      </w:r>
      <w:r w:rsidRPr="00561601">
        <w:rPr>
          <w:rFonts w:cs="Arial"/>
          <w:snapToGrid/>
          <w:szCs w:val="22"/>
          <w:lang w:val="lt-LT" w:eastAsia="de-DE"/>
        </w:rPr>
        <w:t xml:space="preserve"> inkstų nepakankamumą buvo siejami su daugelio registruotų </w:t>
      </w:r>
      <w:proofErr w:type="spellStart"/>
      <w:r w:rsidRPr="00561601">
        <w:rPr>
          <w:rFonts w:cs="Arial"/>
          <w:snapToGrid/>
          <w:szCs w:val="22"/>
          <w:lang w:val="lt-LT" w:eastAsia="de-DE"/>
        </w:rPr>
        <w:t>i.v</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Ig</w:t>
      </w:r>
      <w:proofErr w:type="spellEnd"/>
      <w:r w:rsidRPr="00561601">
        <w:rPr>
          <w:rFonts w:cs="Arial"/>
          <w:snapToGrid/>
          <w:szCs w:val="22"/>
          <w:lang w:val="lt-LT" w:eastAsia="de-DE"/>
        </w:rPr>
        <w:t xml:space="preserve"> vaistinių preparatų, kurių sudėtyje yra įvairių pagalbinių medžiagų, pvz., sacharozės, gliukozės ir </w:t>
      </w:r>
      <w:proofErr w:type="spellStart"/>
      <w:r w:rsidRPr="00561601">
        <w:rPr>
          <w:rFonts w:cs="Arial"/>
          <w:snapToGrid/>
          <w:szCs w:val="22"/>
          <w:lang w:val="lt-LT" w:eastAsia="de-DE"/>
        </w:rPr>
        <w:t>maltozės</w:t>
      </w:r>
      <w:proofErr w:type="spellEnd"/>
      <w:r w:rsidRPr="00561601">
        <w:rPr>
          <w:rFonts w:cs="Arial"/>
          <w:snapToGrid/>
          <w:szCs w:val="22"/>
          <w:lang w:val="lt-LT" w:eastAsia="de-DE"/>
        </w:rPr>
        <w:t xml:space="preserve">, vartojimu, didžiausia pranešimų dalis buvo siejama su tais vaistiniais preparatais, kurių sudėtyje yra stabilizatoriaus funkciją atliekančios sacharozės. Pacientams, esantiems rizikos grupėje, </w:t>
      </w:r>
      <w:r w:rsidR="0065537E">
        <w:rPr>
          <w:rFonts w:cs="Arial"/>
          <w:snapToGrid/>
          <w:szCs w:val="22"/>
          <w:lang w:val="lt-LT" w:eastAsia="de-DE"/>
        </w:rPr>
        <w:t xml:space="preserve"> būti</w:t>
      </w:r>
      <w:r w:rsidR="005F28BE">
        <w:rPr>
          <w:rFonts w:cs="Arial"/>
          <w:snapToGrid/>
          <w:szCs w:val="22"/>
          <w:lang w:val="lt-LT" w:eastAsia="de-DE"/>
        </w:rPr>
        <w:t>na</w:t>
      </w:r>
      <w:r w:rsidR="0065537E">
        <w:rPr>
          <w:rFonts w:cs="Arial"/>
          <w:snapToGrid/>
          <w:szCs w:val="22"/>
          <w:lang w:val="lt-LT" w:eastAsia="de-DE"/>
        </w:rPr>
        <w:t xml:space="preserve"> apsvarstyt</w:t>
      </w:r>
      <w:r w:rsidR="005F28BE">
        <w:rPr>
          <w:rFonts w:cs="Arial"/>
          <w:snapToGrid/>
          <w:szCs w:val="22"/>
          <w:lang w:val="lt-LT" w:eastAsia="de-DE"/>
        </w:rPr>
        <w:t>i</w:t>
      </w:r>
      <w:r w:rsidRPr="00561601">
        <w:rPr>
          <w:rFonts w:cs="Arial"/>
          <w:snapToGrid/>
          <w:szCs w:val="22"/>
          <w:lang w:val="lt-LT" w:eastAsia="de-DE"/>
        </w:rPr>
        <w:t xml:space="preserve"> imunoglobulino </w:t>
      </w:r>
      <w:r w:rsidR="00C86B19" w:rsidRPr="00561601">
        <w:rPr>
          <w:rFonts w:cs="Arial"/>
          <w:snapToGrid/>
          <w:szCs w:val="22"/>
          <w:lang w:val="lt-LT" w:eastAsia="de-DE"/>
        </w:rPr>
        <w:t>vaistini</w:t>
      </w:r>
      <w:r w:rsidR="00C86B19">
        <w:rPr>
          <w:rFonts w:cs="Arial"/>
          <w:snapToGrid/>
          <w:szCs w:val="22"/>
          <w:lang w:val="lt-LT" w:eastAsia="de-DE"/>
        </w:rPr>
        <w:t>ų</w:t>
      </w:r>
      <w:r w:rsidR="00C86B19" w:rsidRPr="00561601">
        <w:rPr>
          <w:rFonts w:cs="Arial"/>
          <w:snapToGrid/>
          <w:szCs w:val="22"/>
          <w:lang w:val="lt-LT" w:eastAsia="de-DE"/>
        </w:rPr>
        <w:t xml:space="preserve"> </w:t>
      </w:r>
      <w:r w:rsidRPr="00561601">
        <w:rPr>
          <w:rFonts w:cs="Arial"/>
          <w:snapToGrid/>
          <w:szCs w:val="22"/>
          <w:lang w:val="lt-LT" w:eastAsia="de-DE"/>
        </w:rPr>
        <w:t>preparat</w:t>
      </w:r>
      <w:r w:rsidR="005F28BE">
        <w:rPr>
          <w:rFonts w:cs="Arial"/>
          <w:snapToGrid/>
          <w:szCs w:val="22"/>
          <w:lang w:val="lt-LT" w:eastAsia="de-DE"/>
        </w:rPr>
        <w:t>ų</w:t>
      </w:r>
      <w:r w:rsidRPr="00561601">
        <w:rPr>
          <w:rFonts w:cs="Arial"/>
          <w:snapToGrid/>
          <w:szCs w:val="22"/>
          <w:lang w:val="lt-LT" w:eastAsia="de-DE"/>
        </w:rPr>
        <w:t>, kuriuose tokių pagalbinių medžiagų nėra</w:t>
      </w:r>
      <w:r w:rsidR="0065537E">
        <w:rPr>
          <w:rFonts w:cs="Arial"/>
          <w:snapToGrid/>
          <w:szCs w:val="22"/>
          <w:lang w:val="lt-LT" w:eastAsia="de-DE"/>
        </w:rPr>
        <w:t>, skyrim</w:t>
      </w:r>
      <w:r w:rsidR="005F28BE">
        <w:rPr>
          <w:rFonts w:cs="Arial"/>
          <w:snapToGrid/>
          <w:szCs w:val="22"/>
          <w:lang w:val="lt-LT" w:eastAsia="de-DE"/>
        </w:rPr>
        <w:t>o</w:t>
      </w:r>
      <w:r w:rsidR="0065537E">
        <w:rPr>
          <w:rFonts w:cs="Arial"/>
          <w:snapToGrid/>
          <w:szCs w:val="22"/>
          <w:lang w:val="lt-LT" w:eastAsia="de-DE"/>
        </w:rPr>
        <w:t xml:space="preserve"> į veną</w:t>
      </w:r>
      <w:r w:rsidR="005F28BE">
        <w:rPr>
          <w:rFonts w:cs="Arial"/>
          <w:snapToGrid/>
          <w:szCs w:val="22"/>
          <w:lang w:val="lt-LT" w:eastAsia="de-DE"/>
        </w:rPr>
        <w:t xml:space="preserve"> poreikį</w:t>
      </w:r>
      <w:r w:rsidRPr="00561601">
        <w:rPr>
          <w:rFonts w:cs="Arial"/>
          <w:snapToGrid/>
          <w:szCs w:val="22"/>
          <w:lang w:val="lt-LT" w:eastAsia="de-DE"/>
        </w:rPr>
        <w:t xml:space="preserve">. </w:t>
      </w:r>
      <w:proofErr w:type="spellStart"/>
      <w:r w:rsidR="00A34EF2">
        <w:rPr>
          <w:snapToGrid/>
          <w:szCs w:val="22"/>
          <w:lang w:val="lt-LT" w:eastAsia="de-DE"/>
        </w:rPr>
        <w:t>Cymvigo</w:t>
      </w:r>
      <w:proofErr w:type="spellEnd"/>
      <w:r w:rsidRPr="00561601">
        <w:rPr>
          <w:rFonts w:cs="Arial"/>
          <w:snapToGrid/>
          <w:szCs w:val="22"/>
          <w:lang w:val="lt-LT" w:eastAsia="de-DE"/>
        </w:rPr>
        <w:t xml:space="preserve"> sudėtyje nėra sacharozės, gliukozės ar </w:t>
      </w:r>
      <w:proofErr w:type="spellStart"/>
      <w:r w:rsidRPr="00561601">
        <w:rPr>
          <w:rFonts w:cs="Arial"/>
          <w:snapToGrid/>
          <w:szCs w:val="22"/>
          <w:lang w:val="lt-LT" w:eastAsia="de-DE"/>
        </w:rPr>
        <w:t>maltozės</w:t>
      </w:r>
      <w:proofErr w:type="spellEnd"/>
      <w:r w:rsidRPr="00561601">
        <w:rPr>
          <w:rFonts w:cs="Arial"/>
          <w:snapToGrid/>
          <w:szCs w:val="22"/>
          <w:lang w:val="lt-LT" w:eastAsia="de-DE"/>
        </w:rPr>
        <w:t>.</w:t>
      </w:r>
    </w:p>
    <w:p w14:paraId="6C2D137F"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1851EE71"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u w:val="single"/>
          <w:lang w:val="lt-LT" w:eastAsia="de-DE"/>
        </w:rPr>
      </w:pPr>
      <w:proofErr w:type="spellStart"/>
      <w:r w:rsidRPr="00561601">
        <w:rPr>
          <w:rFonts w:cs="Arial"/>
          <w:snapToGrid/>
          <w:szCs w:val="22"/>
          <w:u w:val="single"/>
          <w:lang w:val="lt-LT" w:eastAsia="de-DE"/>
        </w:rPr>
        <w:t>Aseptinio</w:t>
      </w:r>
      <w:proofErr w:type="spellEnd"/>
      <w:r w:rsidRPr="00561601">
        <w:rPr>
          <w:rFonts w:cs="Arial"/>
          <w:snapToGrid/>
          <w:szCs w:val="22"/>
          <w:u w:val="single"/>
          <w:lang w:val="lt-LT" w:eastAsia="de-DE"/>
        </w:rPr>
        <w:t xml:space="preserve"> meningito sindromas (AMS)</w:t>
      </w:r>
    </w:p>
    <w:p w14:paraId="1A352FE8" w14:textId="76AD4688" w:rsidR="00B945A9" w:rsidRPr="00561601" w:rsidRDefault="00B945A9" w:rsidP="00E7565F">
      <w:pPr>
        <w:tabs>
          <w:tab w:val="clear" w:pos="567"/>
        </w:tabs>
        <w:overflowPunct w:val="0"/>
        <w:autoSpaceDE w:val="0"/>
        <w:autoSpaceDN w:val="0"/>
        <w:adjustRightInd w:val="0"/>
        <w:spacing w:line="240" w:lineRule="auto"/>
        <w:jc w:val="both"/>
        <w:textAlignment w:val="baseline"/>
        <w:rPr>
          <w:snapToGrid/>
          <w:szCs w:val="22"/>
          <w:lang w:val="lt-LT" w:eastAsia="de-DE"/>
        </w:rPr>
      </w:pPr>
      <w:r w:rsidRPr="00561601">
        <w:rPr>
          <w:rFonts w:cs="Arial"/>
          <w:snapToGrid/>
          <w:szCs w:val="22"/>
          <w:lang w:val="lt-LT" w:eastAsia="de-DE"/>
        </w:rPr>
        <w:t>Buvo pranešimų, kad AMS pasireiškė gydant intraveniniu imunoglobulinu (</w:t>
      </w:r>
      <w:proofErr w:type="spellStart"/>
      <w:r w:rsidRPr="00561601">
        <w:rPr>
          <w:rFonts w:cs="Arial"/>
          <w:snapToGrid/>
          <w:szCs w:val="22"/>
          <w:lang w:val="lt-LT" w:eastAsia="de-DE"/>
        </w:rPr>
        <w:t>i.v</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Ig</w:t>
      </w:r>
      <w:proofErr w:type="spellEnd"/>
      <w:r w:rsidRPr="00561601">
        <w:rPr>
          <w:rFonts w:cs="Arial"/>
          <w:snapToGrid/>
          <w:szCs w:val="22"/>
          <w:lang w:val="lt-LT" w:eastAsia="de-DE"/>
        </w:rPr>
        <w:t xml:space="preserve"> vaistiniai preparatai). Sindromas paprastai prasideda laikotarpyje nuo keleto valandų iki 2 </w:t>
      </w:r>
      <w:r w:rsidR="0065537E">
        <w:rPr>
          <w:rFonts w:cs="Arial"/>
          <w:snapToGrid/>
          <w:szCs w:val="22"/>
          <w:lang w:val="lt-LT" w:eastAsia="de-DE"/>
        </w:rPr>
        <w:t>parų</w:t>
      </w:r>
      <w:r w:rsidR="0065537E" w:rsidRPr="00561601">
        <w:rPr>
          <w:rFonts w:cs="Arial"/>
          <w:snapToGrid/>
          <w:szCs w:val="22"/>
          <w:lang w:val="lt-LT" w:eastAsia="de-DE"/>
        </w:rPr>
        <w:t xml:space="preserve"> </w:t>
      </w:r>
      <w:r w:rsidRPr="00561601">
        <w:rPr>
          <w:rFonts w:cs="Arial"/>
          <w:snapToGrid/>
          <w:szCs w:val="22"/>
          <w:lang w:val="lt-LT" w:eastAsia="de-DE"/>
        </w:rPr>
        <w:t xml:space="preserve">po gydymo </w:t>
      </w:r>
      <w:proofErr w:type="spellStart"/>
      <w:r w:rsidRPr="00561601">
        <w:rPr>
          <w:rFonts w:cs="Arial"/>
          <w:snapToGrid/>
          <w:szCs w:val="22"/>
          <w:lang w:val="lt-LT" w:eastAsia="de-DE"/>
        </w:rPr>
        <w:t>i.v</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Ig</w:t>
      </w:r>
      <w:proofErr w:type="spellEnd"/>
      <w:r w:rsidRPr="00561601">
        <w:rPr>
          <w:rFonts w:cs="Arial"/>
          <w:snapToGrid/>
          <w:szCs w:val="22"/>
          <w:lang w:val="lt-LT" w:eastAsia="de-DE"/>
        </w:rPr>
        <w:t xml:space="preserve">. Atlikus </w:t>
      </w:r>
      <w:proofErr w:type="spellStart"/>
      <w:r w:rsidRPr="00561601">
        <w:rPr>
          <w:rFonts w:cs="Arial"/>
          <w:snapToGrid/>
          <w:szCs w:val="22"/>
          <w:lang w:val="lt-LT" w:eastAsia="de-DE"/>
        </w:rPr>
        <w:t>cerebrospinalinio</w:t>
      </w:r>
      <w:proofErr w:type="spellEnd"/>
      <w:r w:rsidRPr="00561601">
        <w:rPr>
          <w:rFonts w:cs="Arial"/>
          <w:snapToGrid/>
          <w:szCs w:val="22"/>
          <w:lang w:val="lt-LT" w:eastAsia="de-DE"/>
        </w:rPr>
        <w:t xml:space="preserve"> skysčio tyrimus dažnai diagnozuojama </w:t>
      </w:r>
      <w:proofErr w:type="spellStart"/>
      <w:r w:rsidRPr="00561601">
        <w:rPr>
          <w:rFonts w:cs="Arial"/>
          <w:snapToGrid/>
          <w:szCs w:val="22"/>
          <w:lang w:val="lt-LT" w:eastAsia="de-DE"/>
        </w:rPr>
        <w:t>pleocitozė</w:t>
      </w:r>
      <w:proofErr w:type="spellEnd"/>
      <w:r w:rsidRPr="00561601">
        <w:rPr>
          <w:rFonts w:cs="Arial"/>
          <w:snapToGrid/>
          <w:szCs w:val="22"/>
          <w:lang w:val="lt-LT" w:eastAsia="de-DE"/>
        </w:rPr>
        <w:t>: iki keleto tūkstančių ląstelių viename mm</w:t>
      </w:r>
      <w:r w:rsidRPr="00561601">
        <w:rPr>
          <w:rFonts w:cs="Arial"/>
          <w:snapToGrid/>
          <w:szCs w:val="22"/>
          <w:vertAlign w:val="superscript"/>
          <w:lang w:val="lt-LT" w:eastAsia="de-DE"/>
        </w:rPr>
        <w:t>3</w:t>
      </w:r>
      <w:r w:rsidRPr="00561601">
        <w:rPr>
          <w:rFonts w:cs="Arial"/>
          <w:snapToGrid/>
          <w:szCs w:val="22"/>
          <w:lang w:val="lt-LT" w:eastAsia="de-DE"/>
        </w:rPr>
        <w:t xml:space="preserve">, daugiausia </w:t>
      </w:r>
      <w:proofErr w:type="spellStart"/>
      <w:r w:rsidRPr="00561601">
        <w:rPr>
          <w:rFonts w:cs="Arial"/>
          <w:snapToGrid/>
          <w:szCs w:val="22"/>
          <w:lang w:val="lt-LT" w:eastAsia="de-DE"/>
        </w:rPr>
        <w:t>granulocitų</w:t>
      </w:r>
      <w:proofErr w:type="spellEnd"/>
      <w:r w:rsidRPr="00561601">
        <w:rPr>
          <w:rFonts w:cs="Arial"/>
          <w:snapToGrid/>
          <w:szCs w:val="22"/>
          <w:lang w:val="lt-LT" w:eastAsia="de-DE"/>
        </w:rPr>
        <w:t xml:space="preserve">, ir iki keleto šimtų mg/dl padidėjusios baltymų koncentracijos. AMS galimas dažniau, kai naudojama didelė </w:t>
      </w:r>
      <w:proofErr w:type="spellStart"/>
      <w:r w:rsidRPr="00561601">
        <w:rPr>
          <w:rFonts w:cs="Arial"/>
          <w:snapToGrid/>
          <w:szCs w:val="22"/>
          <w:lang w:val="lt-LT" w:eastAsia="de-DE"/>
        </w:rPr>
        <w:t>i.v</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Ig</w:t>
      </w:r>
      <w:proofErr w:type="spellEnd"/>
      <w:r w:rsidRPr="00561601">
        <w:rPr>
          <w:rFonts w:cs="Arial"/>
          <w:snapToGrid/>
          <w:szCs w:val="22"/>
          <w:lang w:val="lt-LT" w:eastAsia="de-DE"/>
        </w:rPr>
        <w:t xml:space="preserve"> dozė (2 g/kg).</w:t>
      </w:r>
    </w:p>
    <w:p w14:paraId="057B9C5E"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bidi="en-GB"/>
        </w:rPr>
      </w:pPr>
    </w:p>
    <w:p w14:paraId="722A87C1" w14:textId="7077CFE8"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Pacientus, kuriems pasireiškia tokių požymių ir simptomų, reikia kruopščiai ištirti </w:t>
      </w:r>
      <w:proofErr w:type="spellStart"/>
      <w:r w:rsidRPr="00561601">
        <w:rPr>
          <w:rFonts w:cs="Arial"/>
          <w:snapToGrid/>
          <w:szCs w:val="22"/>
          <w:lang w:val="lt-LT" w:eastAsia="de-DE"/>
        </w:rPr>
        <w:t>neurologiškai</w:t>
      </w:r>
      <w:proofErr w:type="spellEnd"/>
      <w:r w:rsidRPr="00561601">
        <w:rPr>
          <w:rFonts w:cs="Arial"/>
          <w:snapToGrid/>
          <w:szCs w:val="22"/>
          <w:lang w:val="lt-LT" w:eastAsia="de-DE"/>
        </w:rPr>
        <w:t xml:space="preserve">, įskaitant </w:t>
      </w:r>
      <w:proofErr w:type="spellStart"/>
      <w:r w:rsidRPr="00561601">
        <w:rPr>
          <w:rFonts w:cs="Arial"/>
          <w:snapToGrid/>
          <w:szCs w:val="22"/>
          <w:lang w:val="lt-LT" w:eastAsia="de-DE"/>
        </w:rPr>
        <w:t>cerebrospinalinio</w:t>
      </w:r>
      <w:proofErr w:type="spellEnd"/>
      <w:r w:rsidRPr="00561601">
        <w:rPr>
          <w:rFonts w:cs="Arial"/>
          <w:snapToGrid/>
          <w:szCs w:val="22"/>
          <w:lang w:val="lt-LT" w:eastAsia="de-DE"/>
        </w:rPr>
        <w:t xml:space="preserve"> skysčio tyrimus kad būtų </w:t>
      </w:r>
      <w:r w:rsidR="0065537E">
        <w:rPr>
          <w:rFonts w:cs="Arial"/>
          <w:snapToGrid/>
          <w:szCs w:val="22"/>
          <w:lang w:val="lt-LT" w:eastAsia="de-DE"/>
        </w:rPr>
        <w:t>paneigtos</w:t>
      </w:r>
      <w:r w:rsidR="0065537E" w:rsidRPr="00561601">
        <w:rPr>
          <w:rFonts w:cs="Arial"/>
          <w:snapToGrid/>
          <w:szCs w:val="22"/>
          <w:lang w:val="lt-LT" w:eastAsia="de-DE"/>
        </w:rPr>
        <w:t xml:space="preserve"> </w:t>
      </w:r>
      <w:r w:rsidRPr="00561601">
        <w:rPr>
          <w:rFonts w:cs="Arial"/>
          <w:snapToGrid/>
          <w:szCs w:val="22"/>
          <w:lang w:val="lt-LT" w:eastAsia="de-DE"/>
        </w:rPr>
        <w:t xml:space="preserve">kitos meningito priežastys. </w:t>
      </w:r>
    </w:p>
    <w:p w14:paraId="64A6ED80"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bidi="en-GB"/>
        </w:rPr>
      </w:pPr>
    </w:p>
    <w:p w14:paraId="72F22109"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Nutraukus gydymą </w:t>
      </w:r>
      <w:proofErr w:type="spellStart"/>
      <w:r w:rsidRPr="00561601">
        <w:rPr>
          <w:rFonts w:cs="Arial"/>
          <w:snapToGrid/>
          <w:szCs w:val="22"/>
          <w:lang w:val="lt-LT" w:eastAsia="de-DE"/>
        </w:rPr>
        <w:t>i.v</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Ig</w:t>
      </w:r>
      <w:proofErr w:type="spellEnd"/>
      <w:r w:rsidRPr="00561601">
        <w:rPr>
          <w:rFonts w:cs="Arial"/>
          <w:snapToGrid/>
          <w:szCs w:val="22"/>
          <w:lang w:val="lt-LT" w:eastAsia="de-DE"/>
        </w:rPr>
        <w:t>, AMS simptomai ir be pasekmių išnyko per keletą dienų.</w:t>
      </w:r>
    </w:p>
    <w:p w14:paraId="4DEA58CB"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bidi="en-GB"/>
        </w:rPr>
      </w:pPr>
    </w:p>
    <w:p w14:paraId="325D4DC5"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u w:val="single"/>
          <w:lang w:val="lt-LT" w:eastAsia="de-DE"/>
        </w:rPr>
      </w:pPr>
      <w:r w:rsidRPr="00561601">
        <w:rPr>
          <w:rFonts w:cs="Arial"/>
          <w:snapToGrid/>
          <w:szCs w:val="22"/>
          <w:u w:val="single"/>
          <w:lang w:val="lt-LT" w:eastAsia="de-DE"/>
        </w:rPr>
        <w:t>Hemolizinė anemija</w:t>
      </w:r>
    </w:p>
    <w:p w14:paraId="407D593B" w14:textId="1442A8A1"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Intraveniniame imunoglobuline (</w:t>
      </w:r>
      <w:proofErr w:type="spellStart"/>
      <w:r w:rsidRPr="00561601">
        <w:rPr>
          <w:rFonts w:cs="Arial"/>
          <w:snapToGrid/>
          <w:szCs w:val="22"/>
          <w:lang w:val="lt-LT" w:eastAsia="de-DE"/>
        </w:rPr>
        <w:t>i.v</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Ig</w:t>
      </w:r>
      <w:proofErr w:type="spellEnd"/>
      <w:r w:rsidRPr="00561601">
        <w:rPr>
          <w:rFonts w:cs="Arial"/>
          <w:snapToGrid/>
          <w:szCs w:val="22"/>
          <w:lang w:val="lt-LT" w:eastAsia="de-DE"/>
        </w:rPr>
        <w:t xml:space="preserve"> vaistiniai preparatai) gali būti kraujo grupės antikūnų, kurie gali veikti kaip </w:t>
      </w:r>
      <w:proofErr w:type="spellStart"/>
      <w:r w:rsidRPr="00561601">
        <w:rPr>
          <w:rFonts w:cs="Arial"/>
          <w:snapToGrid/>
          <w:szCs w:val="22"/>
          <w:lang w:val="lt-LT" w:eastAsia="de-DE"/>
        </w:rPr>
        <w:t>hemolizinai</w:t>
      </w:r>
      <w:proofErr w:type="spellEnd"/>
      <w:r w:rsidRPr="00561601">
        <w:rPr>
          <w:rFonts w:cs="Arial"/>
          <w:snapToGrid/>
          <w:szCs w:val="22"/>
          <w:lang w:val="lt-LT" w:eastAsia="de-DE"/>
        </w:rPr>
        <w:t xml:space="preserve"> ir </w:t>
      </w:r>
      <w:proofErr w:type="spellStart"/>
      <w:r w:rsidRPr="00561601">
        <w:rPr>
          <w:rFonts w:cs="Arial"/>
          <w:i/>
          <w:iCs/>
          <w:snapToGrid/>
          <w:szCs w:val="22"/>
          <w:lang w:val="lt-LT" w:eastAsia="de-DE"/>
        </w:rPr>
        <w:t>in</w:t>
      </w:r>
      <w:proofErr w:type="spellEnd"/>
      <w:r w:rsidRPr="00561601">
        <w:rPr>
          <w:rFonts w:cs="Arial"/>
          <w:i/>
          <w:iCs/>
          <w:snapToGrid/>
          <w:szCs w:val="22"/>
          <w:lang w:val="lt-LT" w:eastAsia="de-DE"/>
        </w:rPr>
        <w:t xml:space="preserve"> </w:t>
      </w:r>
      <w:proofErr w:type="spellStart"/>
      <w:r w:rsidRPr="00561601">
        <w:rPr>
          <w:rFonts w:cs="Arial"/>
          <w:i/>
          <w:iCs/>
          <w:snapToGrid/>
          <w:szCs w:val="22"/>
          <w:lang w:val="lt-LT" w:eastAsia="de-DE"/>
        </w:rPr>
        <w:t>vivo</w:t>
      </w:r>
      <w:proofErr w:type="spellEnd"/>
      <w:r w:rsidRPr="00561601">
        <w:rPr>
          <w:rFonts w:cs="Arial"/>
          <w:snapToGrid/>
          <w:szCs w:val="22"/>
          <w:lang w:val="lt-LT" w:eastAsia="de-DE"/>
        </w:rPr>
        <w:t xml:space="preserve"> skatinti raudonųjų kraujo ląstelių pasidengimą imunoglobulinais, o tai nulemia tiesioginę teigiamą </w:t>
      </w:r>
      <w:proofErr w:type="spellStart"/>
      <w:r w:rsidR="0065537E" w:rsidRPr="00561601">
        <w:rPr>
          <w:rFonts w:cs="Arial"/>
          <w:snapToGrid/>
          <w:szCs w:val="22"/>
          <w:lang w:val="lt-LT" w:eastAsia="de-DE"/>
        </w:rPr>
        <w:t>antiglobulin</w:t>
      </w:r>
      <w:r w:rsidR="0065537E">
        <w:rPr>
          <w:rFonts w:cs="Arial"/>
          <w:snapToGrid/>
          <w:szCs w:val="22"/>
          <w:lang w:val="lt-LT" w:eastAsia="de-DE"/>
        </w:rPr>
        <w:t>o</w:t>
      </w:r>
      <w:proofErr w:type="spellEnd"/>
      <w:r w:rsidR="0065537E" w:rsidRPr="00561601">
        <w:rPr>
          <w:rFonts w:cs="Arial"/>
          <w:snapToGrid/>
          <w:szCs w:val="22"/>
          <w:lang w:val="lt-LT" w:eastAsia="de-DE"/>
        </w:rPr>
        <w:t xml:space="preserve"> </w:t>
      </w:r>
      <w:r w:rsidRPr="00561601">
        <w:rPr>
          <w:rFonts w:cs="Arial"/>
          <w:snapToGrid/>
          <w:szCs w:val="22"/>
          <w:lang w:val="lt-LT" w:eastAsia="de-DE"/>
        </w:rPr>
        <w:t>reakciją (</w:t>
      </w:r>
      <w:proofErr w:type="spellStart"/>
      <w:r w:rsidRPr="00561601">
        <w:rPr>
          <w:rFonts w:cs="Arial"/>
          <w:snapToGrid/>
          <w:szCs w:val="22"/>
          <w:lang w:val="lt-LT" w:eastAsia="de-DE"/>
        </w:rPr>
        <w:t>Kumbso</w:t>
      </w:r>
      <w:proofErr w:type="spellEnd"/>
      <w:r w:rsidRPr="00561601">
        <w:rPr>
          <w:rFonts w:cs="Arial"/>
          <w:snapToGrid/>
          <w:szCs w:val="22"/>
          <w:lang w:val="lt-LT" w:eastAsia="de-DE"/>
        </w:rPr>
        <w:t xml:space="preserve"> </w:t>
      </w:r>
      <w:r w:rsidR="00D92430">
        <w:rPr>
          <w:rFonts w:cs="Arial"/>
          <w:snapToGrid/>
          <w:szCs w:val="22"/>
          <w:lang w:val="lt-LT" w:eastAsia="de-DE"/>
        </w:rPr>
        <w:t>testas</w:t>
      </w:r>
      <w:r w:rsidRPr="00561601">
        <w:rPr>
          <w:rFonts w:cs="Arial"/>
          <w:snapToGrid/>
          <w:szCs w:val="22"/>
          <w:lang w:val="lt-LT" w:eastAsia="de-DE"/>
        </w:rPr>
        <w:t xml:space="preserve">) ir retais atvejais </w:t>
      </w:r>
      <w:proofErr w:type="spellStart"/>
      <w:r w:rsidRPr="00561601">
        <w:rPr>
          <w:rFonts w:cs="Arial"/>
          <w:snapToGrid/>
          <w:szCs w:val="22"/>
          <w:lang w:val="lt-LT" w:eastAsia="de-DE"/>
        </w:rPr>
        <w:t>hemolizę</w:t>
      </w:r>
      <w:proofErr w:type="spellEnd"/>
      <w:r w:rsidRPr="00561601">
        <w:rPr>
          <w:rFonts w:cs="Arial"/>
          <w:snapToGrid/>
          <w:szCs w:val="22"/>
          <w:lang w:val="lt-LT" w:eastAsia="de-DE"/>
        </w:rPr>
        <w:t xml:space="preserve">. Hemolizinė anemija gali pasireikšti po gydymo </w:t>
      </w:r>
      <w:proofErr w:type="spellStart"/>
      <w:r w:rsidRPr="00561601">
        <w:rPr>
          <w:rFonts w:cs="Arial"/>
          <w:snapToGrid/>
          <w:szCs w:val="22"/>
          <w:lang w:val="lt-LT" w:eastAsia="de-DE"/>
        </w:rPr>
        <w:t>i.v</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Ig</w:t>
      </w:r>
      <w:proofErr w:type="spellEnd"/>
      <w:r w:rsidRPr="00561601">
        <w:rPr>
          <w:rFonts w:cs="Arial"/>
          <w:snapToGrid/>
          <w:szCs w:val="22"/>
          <w:lang w:val="lt-LT" w:eastAsia="de-DE"/>
        </w:rPr>
        <w:t xml:space="preserve"> dėl sustiprėjusio eritrocitų irimo. Būtina stebėti, ar </w:t>
      </w:r>
      <w:proofErr w:type="spellStart"/>
      <w:r w:rsidRPr="00561601">
        <w:rPr>
          <w:rFonts w:cs="Arial"/>
          <w:snapToGrid/>
          <w:szCs w:val="22"/>
          <w:lang w:val="lt-LT" w:eastAsia="de-DE"/>
        </w:rPr>
        <w:t>i.v</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Ig</w:t>
      </w:r>
      <w:proofErr w:type="spellEnd"/>
      <w:r w:rsidRPr="00561601">
        <w:rPr>
          <w:rFonts w:cs="Arial"/>
          <w:snapToGrid/>
          <w:szCs w:val="22"/>
          <w:lang w:val="lt-LT" w:eastAsia="de-DE"/>
        </w:rPr>
        <w:t xml:space="preserve"> recipientams nepasireiškia </w:t>
      </w:r>
      <w:r w:rsidR="0065537E" w:rsidRPr="00561601">
        <w:rPr>
          <w:rFonts w:cs="Arial"/>
          <w:snapToGrid/>
          <w:szCs w:val="22"/>
          <w:lang w:val="lt-LT" w:eastAsia="de-DE"/>
        </w:rPr>
        <w:t>klinikini</w:t>
      </w:r>
      <w:r w:rsidR="0065537E">
        <w:rPr>
          <w:rFonts w:cs="Arial"/>
          <w:snapToGrid/>
          <w:szCs w:val="22"/>
          <w:lang w:val="lt-LT" w:eastAsia="de-DE"/>
        </w:rPr>
        <w:t>ų</w:t>
      </w:r>
      <w:r w:rsidR="0065537E" w:rsidRPr="00561601">
        <w:rPr>
          <w:rFonts w:cs="Arial"/>
          <w:snapToGrid/>
          <w:szCs w:val="22"/>
          <w:lang w:val="lt-LT" w:eastAsia="de-DE"/>
        </w:rPr>
        <w:t xml:space="preserve"> </w:t>
      </w:r>
      <w:proofErr w:type="spellStart"/>
      <w:r w:rsidRPr="00561601">
        <w:rPr>
          <w:rFonts w:cs="Arial"/>
          <w:snapToGrid/>
          <w:szCs w:val="22"/>
          <w:lang w:val="lt-LT" w:eastAsia="de-DE"/>
        </w:rPr>
        <w:t>hemolizės</w:t>
      </w:r>
      <w:proofErr w:type="spellEnd"/>
      <w:r w:rsidRPr="00561601">
        <w:rPr>
          <w:rFonts w:cs="Arial"/>
          <w:snapToGrid/>
          <w:szCs w:val="22"/>
          <w:lang w:val="lt-LT" w:eastAsia="de-DE"/>
        </w:rPr>
        <w:t xml:space="preserve"> </w:t>
      </w:r>
      <w:r w:rsidR="0065537E" w:rsidRPr="00561601">
        <w:rPr>
          <w:rFonts w:cs="Arial"/>
          <w:snapToGrid/>
          <w:szCs w:val="22"/>
          <w:lang w:val="lt-LT" w:eastAsia="de-DE"/>
        </w:rPr>
        <w:t>požymi</w:t>
      </w:r>
      <w:r w:rsidR="0065537E">
        <w:rPr>
          <w:rFonts w:cs="Arial"/>
          <w:snapToGrid/>
          <w:szCs w:val="22"/>
          <w:lang w:val="lt-LT" w:eastAsia="de-DE"/>
        </w:rPr>
        <w:t>ų</w:t>
      </w:r>
      <w:r w:rsidR="0065537E" w:rsidRPr="00561601">
        <w:rPr>
          <w:rFonts w:cs="Arial"/>
          <w:snapToGrid/>
          <w:szCs w:val="22"/>
          <w:lang w:val="lt-LT" w:eastAsia="de-DE"/>
        </w:rPr>
        <w:t xml:space="preserve"> </w:t>
      </w:r>
      <w:r w:rsidRPr="00561601">
        <w:rPr>
          <w:rFonts w:cs="Arial"/>
          <w:snapToGrid/>
          <w:szCs w:val="22"/>
          <w:lang w:val="lt-LT" w:eastAsia="de-DE"/>
        </w:rPr>
        <w:t xml:space="preserve">ir </w:t>
      </w:r>
      <w:r w:rsidR="0065537E" w:rsidRPr="00561601">
        <w:rPr>
          <w:rFonts w:cs="Arial"/>
          <w:snapToGrid/>
          <w:szCs w:val="22"/>
          <w:lang w:val="lt-LT" w:eastAsia="de-DE"/>
        </w:rPr>
        <w:t>simptom</w:t>
      </w:r>
      <w:r w:rsidR="0065537E">
        <w:rPr>
          <w:rFonts w:cs="Arial"/>
          <w:snapToGrid/>
          <w:szCs w:val="22"/>
          <w:lang w:val="lt-LT" w:eastAsia="de-DE"/>
        </w:rPr>
        <w:t>ų</w:t>
      </w:r>
      <w:r w:rsidRPr="00561601">
        <w:rPr>
          <w:rFonts w:cs="Arial"/>
          <w:snapToGrid/>
          <w:szCs w:val="22"/>
          <w:lang w:val="lt-LT" w:eastAsia="de-DE"/>
        </w:rPr>
        <w:t>.</w:t>
      </w:r>
    </w:p>
    <w:p w14:paraId="23D4FE08"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bidi="en-GB"/>
        </w:rPr>
      </w:pPr>
    </w:p>
    <w:p w14:paraId="3D224B54" w14:textId="77777777" w:rsidR="00B945A9" w:rsidRPr="00561601" w:rsidRDefault="00B945A9" w:rsidP="00B945A9">
      <w:pPr>
        <w:tabs>
          <w:tab w:val="clear" w:pos="567"/>
        </w:tabs>
        <w:overflowPunct w:val="0"/>
        <w:autoSpaceDE w:val="0"/>
        <w:autoSpaceDN w:val="0"/>
        <w:adjustRightInd w:val="0"/>
        <w:spacing w:line="240" w:lineRule="auto"/>
        <w:jc w:val="both"/>
        <w:textAlignment w:val="baseline"/>
        <w:rPr>
          <w:snapToGrid/>
          <w:szCs w:val="22"/>
          <w:u w:val="single"/>
          <w:lang w:val="lt-LT" w:eastAsia="de-DE"/>
        </w:rPr>
      </w:pPr>
      <w:proofErr w:type="spellStart"/>
      <w:r w:rsidRPr="00561601">
        <w:rPr>
          <w:rFonts w:cs="Arial"/>
          <w:snapToGrid/>
          <w:szCs w:val="22"/>
          <w:u w:val="single"/>
          <w:lang w:val="lt-LT" w:eastAsia="de-DE"/>
        </w:rPr>
        <w:t>Neutropenija</w:t>
      </w:r>
      <w:proofErr w:type="spellEnd"/>
      <w:r w:rsidRPr="00561601">
        <w:rPr>
          <w:rFonts w:cs="Arial"/>
          <w:snapToGrid/>
          <w:szCs w:val="22"/>
          <w:u w:val="single"/>
          <w:lang w:val="lt-LT" w:eastAsia="de-DE"/>
        </w:rPr>
        <w:t xml:space="preserve"> / </w:t>
      </w:r>
      <w:proofErr w:type="spellStart"/>
      <w:r w:rsidRPr="00561601">
        <w:rPr>
          <w:rFonts w:cs="Arial"/>
          <w:snapToGrid/>
          <w:szCs w:val="22"/>
          <w:u w:val="single"/>
          <w:lang w:val="lt-LT" w:eastAsia="de-DE"/>
        </w:rPr>
        <w:t>leukopenija</w:t>
      </w:r>
      <w:proofErr w:type="spellEnd"/>
    </w:p>
    <w:p w14:paraId="67B0A7DC" w14:textId="5C4BEB9F" w:rsidR="00B945A9" w:rsidRPr="00561601" w:rsidRDefault="00B945A9" w:rsidP="00B945A9">
      <w:pPr>
        <w:tabs>
          <w:tab w:val="clear" w:pos="567"/>
        </w:tabs>
        <w:overflowPunct w:val="0"/>
        <w:autoSpaceDE w:val="0"/>
        <w:autoSpaceDN w:val="0"/>
        <w:adjustRightInd w:val="0"/>
        <w:spacing w:line="240" w:lineRule="auto"/>
        <w:jc w:val="both"/>
        <w:textAlignment w:val="baseline"/>
        <w:rPr>
          <w:snapToGrid/>
          <w:szCs w:val="22"/>
          <w:lang w:val="lt-LT" w:eastAsia="de-DE"/>
        </w:rPr>
      </w:pPr>
      <w:r w:rsidRPr="00561601">
        <w:rPr>
          <w:rFonts w:cs="Arial"/>
          <w:snapToGrid/>
          <w:szCs w:val="22"/>
          <w:lang w:val="lt-LT" w:eastAsia="de-DE"/>
        </w:rPr>
        <w:t xml:space="preserve">Po gydymo į veną leidžiamu imunoglobulinu buvo pranešta apie trumpalaikį </w:t>
      </w:r>
      <w:proofErr w:type="spellStart"/>
      <w:r w:rsidRPr="00561601">
        <w:rPr>
          <w:rFonts w:cs="Arial"/>
          <w:snapToGrid/>
          <w:szCs w:val="22"/>
          <w:lang w:val="lt-LT" w:eastAsia="de-DE"/>
        </w:rPr>
        <w:t>neutrofilų</w:t>
      </w:r>
      <w:proofErr w:type="spellEnd"/>
      <w:r w:rsidRPr="00561601">
        <w:rPr>
          <w:rFonts w:cs="Arial"/>
          <w:snapToGrid/>
          <w:szCs w:val="22"/>
          <w:lang w:val="lt-LT" w:eastAsia="de-DE"/>
        </w:rPr>
        <w:t xml:space="preserve"> skaičiaus sumažėjimą ir (arba) </w:t>
      </w:r>
      <w:proofErr w:type="spellStart"/>
      <w:r w:rsidRPr="00561601">
        <w:rPr>
          <w:rFonts w:cs="Arial"/>
          <w:snapToGrid/>
          <w:szCs w:val="22"/>
          <w:lang w:val="lt-LT" w:eastAsia="de-DE"/>
        </w:rPr>
        <w:t>neutropenijos</w:t>
      </w:r>
      <w:proofErr w:type="spellEnd"/>
      <w:r w:rsidRPr="00561601">
        <w:rPr>
          <w:rFonts w:cs="Arial"/>
          <w:snapToGrid/>
          <w:szCs w:val="22"/>
          <w:lang w:val="lt-LT" w:eastAsia="de-DE"/>
        </w:rPr>
        <w:t xml:space="preserve"> (kartais sunkios) epizodus. Tai paprastai pasireiškia per kelias valandas ar </w:t>
      </w:r>
      <w:r w:rsidR="0065537E">
        <w:rPr>
          <w:rFonts w:cs="Arial"/>
          <w:snapToGrid/>
          <w:szCs w:val="22"/>
          <w:lang w:val="lt-LT" w:eastAsia="de-DE"/>
        </w:rPr>
        <w:t>paras</w:t>
      </w:r>
      <w:r w:rsidR="0065537E" w:rsidRPr="00561601">
        <w:rPr>
          <w:rFonts w:cs="Arial"/>
          <w:snapToGrid/>
          <w:szCs w:val="22"/>
          <w:lang w:val="lt-LT" w:eastAsia="de-DE"/>
        </w:rPr>
        <w:t xml:space="preserve"> </w:t>
      </w:r>
      <w:r w:rsidRPr="00561601">
        <w:rPr>
          <w:rFonts w:cs="Arial"/>
          <w:snapToGrid/>
          <w:szCs w:val="22"/>
          <w:lang w:val="lt-LT" w:eastAsia="de-DE"/>
        </w:rPr>
        <w:t xml:space="preserve">po </w:t>
      </w:r>
      <w:proofErr w:type="spellStart"/>
      <w:r w:rsidRPr="00561601">
        <w:rPr>
          <w:rFonts w:cs="Arial"/>
          <w:snapToGrid/>
          <w:szCs w:val="22"/>
          <w:lang w:val="lt-LT" w:eastAsia="de-DE"/>
        </w:rPr>
        <w:t>i.v</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Ig</w:t>
      </w:r>
      <w:proofErr w:type="spellEnd"/>
      <w:r w:rsidRPr="00561601">
        <w:rPr>
          <w:rFonts w:cs="Arial"/>
          <w:snapToGrid/>
          <w:szCs w:val="22"/>
          <w:lang w:val="lt-LT" w:eastAsia="de-DE"/>
        </w:rPr>
        <w:t xml:space="preserve"> vartojimo ir savaime praeina per 7–14 parų.</w:t>
      </w:r>
    </w:p>
    <w:p w14:paraId="7F2494A9" w14:textId="77777777" w:rsidR="00B945A9" w:rsidRPr="00561601" w:rsidRDefault="00B945A9" w:rsidP="00B945A9">
      <w:pPr>
        <w:keepNext/>
        <w:tabs>
          <w:tab w:val="clear" w:pos="567"/>
        </w:tabs>
        <w:overflowPunct w:val="0"/>
        <w:autoSpaceDE w:val="0"/>
        <w:autoSpaceDN w:val="0"/>
        <w:adjustRightInd w:val="0"/>
        <w:spacing w:line="240" w:lineRule="auto"/>
        <w:textAlignment w:val="baseline"/>
        <w:outlineLvl w:val="2"/>
        <w:rPr>
          <w:snapToGrid/>
          <w:szCs w:val="22"/>
          <w:u w:val="single"/>
          <w:lang w:val="lt-LT" w:eastAsia="de-DE" w:bidi="en-GB"/>
        </w:rPr>
      </w:pPr>
    </w:p>
    <w:p w14:paraId="39680D42" w14:textId="77777777" w:rsidR="00B945A9" w:rsidRPr="00561601" w:rsidRDefault="00B945A9" w:rsidP="00B945A9">
      <w:pPr>
        <w:tabs>
          <w:tab w:val="clear" w:pos="567"/>
        </w:tabs>
        <w:overflowPunct w:val="0"/>
        <w:autoSpaceDE w:val="0"/>
        <w:autoSpaceDN w:val="0"/>
        <w:adjustRightInd w:val="0"/>
        <w:spacing w:line="240" w:lineRule="auto"/>
        <w:jc w:val="both"/>
        <w:textAlignment w:val="baseline"/>
        <w:rPr>
          <w:snapToGrid/>
          <w:szCs w:val="22"/>
          <w:u w:val="single"/>
          <w:lang w:val="lt-LT" w:eastAsia="de-DE"/>
        </w:rPr>
      </w:pPr>
      <w:r w:rsidRPr="00561601">
        <w:rPr>
          <w:rFonts w:cs="Arial"/>
          <w:snapToGrid/>
          <w:szCs w:val="22"/>
          <w:u w:val="single"/>
          <w:lang w:val="lt-LT" w:eastAsia="de-DE"/>
        </w:rPr>
        <w:t>Su transfuzija susijęs ūm</w:t>
      </w:r>
      <w:r w:rsidR="00D92430">
        <w:rPr>
          <w:rFonts w:cs="Arial"/>
          <w:snapToGrid/>
          <w:szCs w:val="22"/>
          <w:u w:val="single"/>
          <w:lang w:val="lt-LT" w:eastAsia="de-DE"/>
        </w:rPr>
        <w:t>inis</w:t>
      </w:r>
      <w:r w:rsidRPr="00561601">
        <w:rPr>
          <w:rFonts w:cs="Arial"/>
          <w:snapToGrid/>
          <w:szCs w:val="22"/>
          <w:u w:val="single"/>
          <w:lang w:val="lt-LT" w:eastAsia="de-DE"/>
        </w:rPr>
        <w:t xml:space="preserve"> plaučių pažeidimas (TRALI)</w:t>
      </w:r>
    </w:p>
    <w:p w14:paraId="67D16C2C" w14:textId="77777777" w:rsidR="00B945A9" w:rsidRPr="00561601" w:rsidRDefault="00B945A9" w:rsidP="00B945A9">
      <w:pPr>
        <w:tabs>
          <w:tab w:val="clear" w:pos="567"/>
        </w:tabs>
        <w:overflowPunct w:val="0"/>
        <w:autoSpaceDE w:val="0"/>
        <w:autoSpaceDN w:val="0"/>
        <w:adjustRightInd w:val="0"/>
        <w:spacing w:line="240" w:lineRule="auto"/>
        <w:textAlignment w:val="baseline"/>
        <w:rPr>
          <w:rFonts w:ascii="Arial" w:hAnsi="Arial" w:cs="Arial"/>
          <w:snapToGrid/>
          <w:szCs w:val="22"/>
          <w:lang w:val="lt-LT" w:eastAsia="de-DE"/>
        </w:rPr>
      </w:pPr>
      <w:proofErr w:type="spellStart"/>
      <w:r w:rsidRPr="00561601">
        <w:rPr>
          <w:rFonts w:cs="Arial"/>
          <w:snapToGrid/>
          <w:szCs w:val="22"/>
          <w:lang w:val="lt-LT" w:eastAsia="de-DE"/>
        </w:rPr>
        <w:t>I.v</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Ig</w:t>
      </w:r>
      <w:proofErr w:type="spellEnd"/>
      <w:r w:rsidRPr="00561601">
        <w:rPr>
          <w:rFonts w:cs="Arial"/>
          <w:snapToGrid/>
          <w:szCs w:val="22"/>
          <w:lang w:val="lt-LT" w:eastAsia="de-DE"/>
        </w:rPr>
        <w:t xml:space="preserve"> vaistiniais preparatais gydytiems pacientams buvo registruoti </w:t>
      </w:r>
      <w:proofErr w:type="spellStart"/>
      <w:r w:rsidRPr="00561601">
        <w:rPr>
          <w:rFonts w:cs="Arial"/>
          <w:snapToGrid/>
          <w:szCs w:val="22"/>
          <w:lang w:val="lt-LT" w:eastAsia="de-DE"/>
        </w:rPr>
        <w:t>nekardiogeninės</w:t>
      </w:r>
      <w:proofErr w:type="spellEnd"/>
      <w:r w:rsidRPr="00561601">
        <w:rPr>
          <w:rFonts w:cs="Arial"/>
          <w:snapToGrid/>
          <w:szCs w:val="22"/>
          <w:lang w:val="lt-LT" w:eastAsia="de-DE"/>
        </w:rPr>
        <w:t xml:space="preserve"> plaučių edemos atvejai [su transfuzija susijęs ūm</w:t>
      </w:r>
      <w:r w:rsidR="00D92430">
        <w:rPr>
          <w:rFonts w:cs="Arial"/>
          <w:snapToGrid/>
          <w:szCs w:val="22"/>
          <w:lang w:val="lt-LT" w:eastAsia="de-DE"/>
        </w:rPr>
        <w:t>inis</w:t>
      </w:r>
      <w:r w:rsidRPr="00561601">
        <w:rPr>
          <w:rFonts w:cs="Arial"/>
          <w:snapToGrid/>
          <w:szCs w:val="22"/>
          <w:lang w:val="lt-LT" w:eastAsia="de-DE"/>
        </w:rPr>
        <w:t xml:space="preserve"> plaučių pažeidimas (angl. </w:t>
      </w:r>
      <w:proofErr w:type="spellStart"/>
      <w:r w:rsidRPr="00561601">
        <w:rPr>
          <w:rFonts w:cs="Arial"/>
          <w:i/>
          <w:iCs/>
          <w:snapToGrid/>
          <w:szCs w:val="22"/>
          <w:lang w:val="lt-LT" w:eastAsia="de-DE"/>
        </w:rPr>
        <w:t>Transfusion</w:t>
      </w:r>
      <w:proofErr w:type="spellEnd"/>
      <w:r w:rsidRPr="00561601">
        <w:rPr>
          <w:rFonts w:cs="Arial"/>
          <w:i/>
          <w:iCs/>
          <w:snapToGrid/>
          <w:szCs w:val="22"/>
          <w:lang w:val="lt-LT" w:eastAsia="de-DE"/>
        </w:rPr>
        <w:t xml:space="preserve"> </w:t>
      </w:r>
      <w:proofErr w:type="spellStart"/>
      <w:r w:rsidRPr="00561601">
        <w:rPr>
          <w:rFonts w:cs="Arial"/>
          <w:i/>
          <w:iCs/>
          <w:snapToGrid/>
          <w:szCs w:val="22"/>
          <w:lang w:val="lt-LT" w:eastAsia="de-DE"/>
        </w:rPr>
        <w:t>Related</w:t>
      </w:r>
      <w:proofErr w:type="spellEnd"/>
      <w:r w:rsidRPr="00561601">
        <w:rPr>
          <w:rFonts w:cs="Arial"/>
          <w:i/>
          <w:iCs/>
          <w:snapToGrid/>
          <w:szCs w:val="22"/>
          <w:lang w:val="lt-LT" w:eastAsia="de-DE"/>
        </w:rPr>
        <w:t xml:space="preserve"> </w:t>
      </w:r>
      <w:proofErr w:type="spellStart"/>
      <w:r w:rsidRPr="00561601">
        <w:rPr>
          <w:rFonts w:cs="Arial"/>
          <w:i/>
          <w:iCs/>
          <w:snapToGrid/>
          <w:szCs w:val="22"/>
          <w:lang w:val="lt-LT" w:eastAsia="de-DE"/>
        </w:rPr>
        <w:t>Acute</w:t>
      </w:r>
      <w:proofErr w:type="spellEnd"/>
      <w:r w:rsidRPr="00561601">
        <w:rPr>
          <w:rFonts w:cs="Arial"/>
          <w:i/>
          <w:iCs/>
          <w:snapToGrid/>
          <w:szCs w:val="22"/>
          <w:lang w:val="lt-LT" w:eastAsia="de-DE"/>
        </w:rPr>
        <w:t xml:space="preserve"> </w:t>
      </w:r>
      <w:proofErr w:type="spellStart"/>
      <w:r w:rsidRPr="00561601">
        <w:rPr>
          <w:rFonts w:cs="Arial"/>
          <w:i/>
          <w:iCs/>
          <w:snapToGrid/>
          <w:szCs w:val="22"/>
          <w:lang w:val="lt-LT" w:eastAsia="de-DE"/>
        </w:rPr>
        <w:t>Lung</w:t>
      </w:r>
      <w:proofErr w:type="spellEnd"/>
      <w:r w:rsidRPr="00561601">
        <w:rPr>
          <w:rFonts w:cs="Arial"/>
          <w:i/>
          <w:iCs/>
          <w:snapToGrid/>
          <w:szCs w:val="22"/>
          <w:lang w:val="lt-LT" w:eastAsia="de-DE"/>
        </w:rPr>
        <w:t xml:space="preserve"> </w:t>
      </w:r>
      <w:proofErr w:type="spellStart"/>
      <w:r w:rsidRPr="00561601">
        <w:rPr>
          <w:rFonts w:cs="Arial"/>
          <w:i/>
          <w:iCs/>
          <w:snapToGrid/>
          <w:szCs w:val="22"/>
          <w:lang w:val="lt-LT" w:eastAsia="de-DE"/>
        </w:rPr>
        <w:t>Injury</w:t>
      </w:r>
      <w:proofErr w:type="spellEnd"/>
      <w:r w:rsidRPr="00561601">
        <w:rPr>
          <w:rFonts w:cs="Arial"/>
          <w:snapToGrid/>
          <w:szCs w:val="22"/>
          <w:lang w:val="lt-LT" w:eastAsia="de-DE"/>
        </w:rPr>
        <w:t xml:space="preserve">, TRALI)]. TRALI būdinga sunki hipoksija, </w:t>
      </w:r>
      <w:proofErr w:type="spellStart"/>
      <w:r w:rsidRPr="00561601">
        <w:rPr>
          <w:rFonts w:cs="Arial"/>
          <w:snapToGrid/>
          <w:szCs w:val="22"/>
          <w:lang w:val="lt-LT" w:eastAsia="de-DE"/>
        </w:rPr>
        <w:t>dispnėja</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tachipnėja</w:t>
      </w:r>
      <w:proofErr w:type="spellEnd"/>
      <w:r w:rsidRPr="00561601">
        <w:rPr>
          <w:rFonts w:cs="Arial"/>
          <w:snapToGrid/>
          <w:szCs w:val="22"/>
          <w:lang w:val="lt-LT" w:eastAsia="de-DE"/>
        </w:rPr>
        <w:t xml:space="preserve">, cianozė, karščiavimas ir </w:t>
      </w:r>
      <w:proofErr w:type="spellStart"/>
      <w:r w:rsidRPr="00561601">
        <w:rPr>
          <w:rFonts w:cs="Arial"/>
          <w:snapToGrid/>
          <w:szCs w:val="22"/>
          <w:lang w:val="lt-LT" w:eastAsia="de-DE"/>
        </w:rPr>
        <w:t>hipotenzija</w:t>
      </w:r>
      <w:proofErr w:type="spellEnd"/>
      <w:r w:rsidRPr="00561601">
        <w:rPr>
          <w:rFonts w:cs="Arial"/>
          <w:snapToGrid/>
          <w:szCs w:val="22"/>
          <w:lang w:val="lt-LT" w:eastAsia="de-DE"/>
        </w:rPr>
        <w:t xml:space="preserve">. TRALI simptomai paprastai pasireiškia transfuzijos metu arba per 6 valandas po jos, dažnai per 1–2 valandas. Todėl pacientus, kuriems skiriami </w:t>
      </w:r>
      <w:proofErr w:type="spellStart"/>
      <w:r w:rsidRPr="00561601">
        <w:rPr>
          <w:rFonts w:cs="Arial"/>
          <w:snapToGrid/>
          <w:szCs w:val="22"/>
          <w:lang w:val="lt-LT" w:eastAsia="de-DE"/>
        </w:rPr>
        <w:t>i.v</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Ig</w:t>
      </w:r>
      <w:proofErr w:type="spellEnd"/>
      <w:r w:rsidRPr="00561601">
        <w:rPr>
          <w:rFonts w:cs="Arial"/>
          <w:snapToGrid/>
          <w:szCs w:val="22"/>
          <w:lang w:val="lt-LT" w:eastAsia="de-DE"/>
        </w:rPr>
        <w:t xml:space="preserve"> preparatai, būtina atidžiai stebėti, ar neatsiras nepageidaujamų plaučių reakcijų, o joms atsiradus – nedelsiant nutraukti infuziją. TRALI yra potencialiai gyvybei pavojinga būklė, reikalaujanti skubaus gydymo intensyviosios terapijos skyriuje.</w:t>
      </w:r>
    </w:p>
    <w:p w14:paraId="682FD3F6" w14:textId="77777777" w:rsidR="00B945A9" w:rsidRPr="00561601" w:rsidRDefault="00B945A9" w:rsidP="00B945A9">
      <w:pPr>
        <w:keepNext/>
        <w:tabs>
          <w:tab w:val="clear" w:pos="567"/>
        </w:tabs>
        <w:overflowPunct w:val="0"/>
        <w:autoSpaceDE w:val="0"/>
        <w:autoSpaceDN w:val="0"/>
        <w:adjustRightInd w:val="0"/>
        <w:spacing w:line="240" w:lineRule="auto"/>
        <w:textAlignment w:val="baseline"/>
        <w:outlineLvl w:val="2"/>
        <w:rPr>
          <w:snapToGrid/>
          <w:szCs w:val="22"/>
          <w:u w:val="single"/>
          <w:lang w:val="lt-LT" w:eastAsia="de-DE" w:bidi="en-GB"/>
        </w:rPr>
      </w:pPr>
    </w:p>
    <w:p w14:paraId="0DE36780" w14:textId="77777777" w:rsidR="00B945A9" w:rsidRPr="00561601" w:rsidRDefault="00B945A9" w:rsidP="00B945A9">
      <w:pPr>
        <w:keepNext/>
        <w:tabs>
          <w:tab w:val="clear" w:pos="567"/>
        </w:tabs>
        <w:overflowPunct w:val="0"/>
        <w:autoSpaceDE w:val="0"/>
        <w:autoSpaceDN w:val="0"/>
        <w:adjustRightInd w:val="0"/>
        <w:spacing w:line="240" w:lineRule="auto"/>
        <w:textAlignment w:val="baseline"/>
        <w:outlineLvl w:val="2"/>
        <w:rPr>
          <w:snapToGrid/>
          <w:szCs w:val="22"/>
          <w:u w:val="single"/>
          <w:lang w:val="lt-LT" w:eastAsia="de-DE"/>
        </w:rPr>
      </w:pPr>
      <w:r w:rsidRPr="00561601">
        <w:rPr>
          <w:snapToGrid/>
          <w:szCs w:val="22"/>
          <w:u w:val="single"/>
          <w:lang w:val="lt-LT" w:eastAsia="de-DE"/>
        </w:rPr>
        <w:t>Poveikis serologiniams tyrimams</w:t>
      </w:r>
    </w:p>
    <w:p w14:paraId="680658E3"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Pavartojus imunoglobulinų, gali būti stebimas laikinas įvairių pasyviai į paciento kraują perkeltų antikūnų kiekio padidėjimas, todėl galimi klaidingai teigiami serologinių tyrimų rezultatai.</w:t>
      </w:r>
    </w:p>
    <w:p w14:paraId="568CEFEE"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u w:val="single"/>
          <w:lang w:val="lt-LT" w:eastAsia="de-DE" w:bidi="en-GB"/>
        </w:rPr>
      </w:pPr>
    </w:p>
    <w:p w14:paraId="77DD53C6" w14:textId="7963F9CD"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Pasyvus antikūnų perdavimas eritrocitų antigenams, pvz., A, B ir D, gali trukdyti atlikti kai kuriuos serologinius eritrocitų antikūnų tyrimus, pvz., </w:t>
      </w:r>
      <w:r w:rsidR="0065537E" w:rsidRPr="00561601">
        <w:rPr>
          <w:rFonts w:cs="Arial"/>
          <w:snapToGrid/>
          <w:szCs w:val="22"/>
          <w:lang w:val="lt-LT" w:eastAsia="de-DE"/>
        </w:rPr>
        <w:t>tiesiogin</w:t>
      </w:r>
      <w:r w:rsidR="0065537E">
        <w:rPr>
          <w:rFonts w:cs="Arial"/>
          <w:snapToGrid/>
          <w:szCs w:val="22"/>
          <w:lang w:val="lt-LT" w:eastAsia="de-DE"/>
        </w:rPr>
        <w:t>į</w:t>
      </w:r>
      <w:r w:rsidR="0065537E" w:rsidRPr="00561601">
        <w:rPr>
          <w:rFonts w:cs="Arial"/>
          <w:snapToGrid/>
          <w:szCs w:val="22"/>
          <w:lang w:val="lt-LT" w:eastAsia="de-DE"/>
        </w:rPr>
        <w:t xml:space="preserve"> </w:t>
      </w:r>
      <w:proofErr w:type="spellStart"/>
      <w:r w:rsidRPr="00561601">
        <w:rPr>
          <w:rFonts w:cs="Arial"/>
          <w:snapToGrid/>
          <w:szCs w:val="22"/>
          <w:lang w:val="lt-LT" w:eastAsia="de-DE"/>
        </w:rPr>
        <w:t>antiglobulino</w:t>
      </w:r>
      <w:proofErr w:type="spellEnd"/>
      <w:r w:rsidRPr="00561601">
        <w:rPr>
          <w:rFonts w:cs="Arial"/>
          <w:snapToGrid/>
          <w:szCs w:val="22"/>
          <w:lang w:val="lt-LT" w:eastAsia="de-DE"/>
        </w:rPr>
        <w:t xml:space="preserve"> </w:t>
      </w:r>
      <w:r w:rsidR="0065537E" w:rsidRPr="00561601">
        <w:rPr>
          <w:rFonts w:cs="Arial"/>
          <w:snapToGrid/>
          <w:szCs w:val="22"/>
          <w:lang w:val="lt-LT" w:eastAsia="de-DE"/>
        </w:rPr>
        <w:t>tyrim</w:t>
      </w:r>
      <w:r w:rsidR="0065537E">
        <w:rPr>
          <w:rFonts w:cs="Arial"/>
          <w:snapToGrid/>
          <w:szCs w:val="22"/>
          <w:lang w:val="lt-LT" w:eastAsia="de-DE"/>
        </w:rPr>
        <w:t>ą</w:t>
      </w:r>
      <w:r w:rsidR="0065537E" w:rsidRPr="00561601">
        <w:rPr>
          <w:rFonts w:cs="Arial"/>
          <w:snapToGrid/>
          <w:szCs w:val="22"/>
          <w:lang w:val="lt-LT" w:eastAsia="de-DE"/>
        </w:rPr>
        <w:t xml:space="preserve"> </w:t>
      </w:r>
      <w:r w:rsidRPr="00561601">
        <w:rPr>
          <w:rFonts w:cs="Arial"/>
          <w:snapToGrid/>
          <w:szCs w:val="22"/>
          <w:lang w:val="lt-LT" w:eastAsia="de-DE"/>
        </w:rPr>
        <w:t>(</w:t>
      </w:r>
      <w:r w:rsidR="0065537E">
        <w:rPr>
          <w:rFonts w:cs="Arial"/>
          <w:snapToGrid/>
          <w:szCs w:val="22"/>
          <w:lang w:val="lt-LT" w:eastAsia="de-DE"/>
        </w:rPr>
        <w:t>T</w:t>
      </w:r>
      <w:r w:rsidR="0065537E" w:rsidRPr="00561601">
        <w:rPr>
          <w:rFonts w:cs="Arial"/>
          <w:snapToGrid/>
          <w:szCs w:val="22"/>
          <w:lang w:val="lt-LT" w:eastAsia="de-DE"/>
        </w:rPr>
        <w:t>AT</w:t>
      </w:r>
      <w:r w:rsidRPr="00561601">
        <w:rPr>
          <w:rFonts w:cs="Arial"/>
          <w:snapToGrid/>
          <w:szCs w:val="22"/>
          <w:lang w:val="lt-LT" w:eastAsia="de-DE"/>
        </w:rPr>
        <w:t xml:space="preserve">, tiesioginį </w:t>
      </w:r>
      <w:proofErr w:type="spellStart"/>
      <w:r w:rsidRPr="00561601">
        <w:rPr>
          <w:rFonts w:cs="Arial"/>
          <w:snapToGrid/>
          <w:szCs w:val="22"/>
          <w:lang w:val="lt-LT" w:eastAsia="de-DE"/>
        </w:rPr>
        <w:t>Kumbso</w:t>
      </w:r>
      <w:proofErr w:type="spellEnd"/>
      <w:r w:rsidRPr="00561601">
        <w:rPr>
          <w:rFonts w:cs="Arial"/>
          <w:snapToGrid/>
          <w:szCs w:val="22"/>
          <w:lang w:val="lt-LT" w:eastAsia="de-DE"/>
        </w:rPr>
        <w:t xml:space="preserve"> </w:t>
      </w:r>
      <w:r w:rsidR="00D92430">
        <w:rPr>
          <w:rFonts w:cs="Arial"/>
          <w:snapToGrid/>
          <w:szCs w:val="22"/>
          <w:lang w:val="lt-LT" w:eastAsia="de-DE"/>
        </w:rPr>
        <w:t>testą</w:t>
      </w:r>
      <w:r w:rsidRPr="00561601">
        <w:rPr>
          <w:rFonts w:cs="Arial"/>
          <w:snapToGrid/>
          <w:szCs w:val="22"/>
          <w:lang w:val="lt-LT" w:eastAsia="de-DE"/>
        </w:rPr>
        <w:t>).</w:t>
      </w:r>
    </w:p>
    <w:p w14:paraId="00E3DCBA"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u w:val="single"/>
          <w:lang w:val="lt-LT" w:eastAsia="de-DE" w:bidi="en-GB"/>
        </w:rPr>
      </w:pPr>
    </w:p>
    <w:p w14:paraId="4097808B" w14:textId="77777777" w:rsidR="00B945A9" w:rsidRPr="00561601" w:rsidRDefault="00B945A9" w:rsidP="00B945A9">
      <w:pPr>
        <w:tabs>
          <w:tab w:val="clear" w:pos="567"/>
        </w:tabs>
        <w:overflowPunct w:val="0"/>
        <w:autoSpaceDE w:val="0"/>
        <w:autoSpaceDN w:val="0"/>
        <w:adjustRightInd w:val="0"/>
        <w:spacing w:line="240" w:lineRule="auto"/>
        <w:textAlignment w:val="baseline"/>
        <w:rPr>
          <w:b/>
          <w:bCs/>
          <w:snapToGrid/>
          <w:szCs w:val="22"/>
          <w:lang w:val="lt-LT" w:eastAsia="de-DE"/>
        </w:rPr>
      </w:pPr>
      <w:r w:rsidRPr="00561601">
        <w:rPr>
          <w:rFonts w:cs="Arial"/>
          <w:b/>
          <w:snapToGrid/>
          <w:szCs w:val="22"/>
          <w:lang w:val="lt-LT" w:eastAsia="de-DE"/>
        </w:rPr>
        <w:t>Nesuderinamumas ir specialūs reikalavimai vaistiniam preparatui ruošti</w:t>
      </w:r>
    </w:p>
    <w:p w14:paraId="0F2B3E73"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Šio vaistinio preparato negalima maišyti nei su kitais vaistiniais preparatais, nei su kitais </w:t>
      </w:r>
      <w:proofErr w:type="spellStart"/>
      <w:r w:rsidRPr="00561601">
        <w:rPr>
          <w:rFonts w:cs="Arial"/>
          <w:snapToGrid/>
          <w:szCs w:val="22"/>
          <w:lang w:val="lt-LT" w:eastAsia="de-DE"/>
        </w:rPr>
        <w:t>i.v</w:t>
      </w:r>
      <w:proofErr w:type="spellEnd"/>
      <w:r w:rsidRPr="00561601">
        <w:rPr>
          <w:rFonts w:cs="Arial"/>
          <w:snapToGrid/>
          <w:szCs w:val="22"/>
          <w:lang w:val="lt-LT" w:eastAsia="de-DE"/>
        </w:rPr>
        <w:t xml:space="preserve">. </w:t>
      </w:r>
      <w:proofErr w:type="spellStart"/>
      <w:r w:rsidRPr="00561601">
        <w:rPr>
          <w:rFonts w:cs="Arial"/>
          <w:snapToGrid/>
          <w:szCs w:val="22"/>
          <w:lang w:val="lt-LT" w:eastAsia="de-DE"/>
        </w:rPr>
        <w:t>Ig</w:t>
      </w:r>
      <w:proofErr w:type="spellEnd"/>
      <w:r w:rsidRPr="00561601">
        <w:rPr>
          <w:rFonts w:cs="Arial"/>
          <w:snapToGrid/>
          <w:szCs w:val="22"/>
          <w:lang w:val="lt-LT" w:eastAsia="de-DE"/>
        </w:rPr>
        <w:t xml:space="preserve"> vaistiniais preparatais.</w:t>
      </w:r>
    </w:p>
    <w:p w14:paraId="09077A94" w14:textId="77777777" w:rsidR="00B945A9" w:rsidRPr="00561601" w:rsidRDefault="00B945A9" w:rsidP="00B945A9">
      <w:pPr>
        <w:overflowPunct w:val="0"/>
        <w:autoSpaceDE w:val="0"/>
        <w:autoSpaceDN w:val="0"/>
        <w:adjustRightInd w:val="0"/>
        <w:spacing w:line="240" w:lineRule="auto"/>
        <w:ind w:right="-1"/>
        <w:textAlignment w:val="baseline"/>
        <w:rPr>
          <w:snapToGrid/>
          <w:szCs w:val="22"/>
          <w:lang w:val="lt-LT" w:eastAsia="de-DE"/>
        </w:rPr>
      </w:pPr>
    </w:p>
    <w:p w14:paraId="7EF62719" w14:textId="77777777" w:rsidR="00B945A9" w:rsidRPr="00561601" w:rsidRDefault="00B945A9" w:rsidP="00B945A9">
      <w:pPr>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Pirmą kartą atidarius, vaistinį preparatą reikia vartoti nedelsiant.</w:t>
      </w:r>
    </w:p>
    <w:p w14:paraId="4446F825" w14:textId="77777777" w:rsidR="00B945A9" w:rsidRPr="00561601" w:rsidRDefault="00B945A9" w:rsidP="00B945A9">
      <w:pPr>
        <w:overflowPunct w:val="0"/>
        <w:autoSpaceDE w:val="0"/>
        <w:autoSpaceDN w:val="0"/>
        <w:adjustRightInd w:val="0"/>
        <w:spacing w:line="240" w:lineRule="auto"/>
        <w:textAlignment w:val="baseline"/>
        <w:rPr>
          <w:snapToGrid/>
          <w:szCs w:val="22"/>
          <w:lang w:val="lt-LT" w:eastAsia="de-DE"/>
        </w:rPr>
      </w:pPr>
    </w:p>
    <w:p w14:paraId="71AA8C43" w14:textId="77777777" w:rsidR="00B945A9" w:rsidRPr="00561601" w:rsidRDefault="00B945A9" w:rsidP="00B945A9">
      <w:pPr>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Prieš vartojant vaistinį preparatą reikia atšildyti iki kambario arba kūno temperatūros</w:t>
      </w:r>
      <w:r w:rsidRPr="00561601">
        <w:rPr>
          <w:rFonts w:ascii="Arial" w:hAnsi="Arial" w:cs="Arial"/>
          <w:snapToGrid/>
          <w:szCs w:val="22"/>
          <w:lang w:val="lt-LT" w:eastAsia="de-DE"/>
        </w:rPr>
        <w:t>.</w:t>
      </w:r>
    </w:p>
    <w:p w14:paraId="36D3EAF7"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7AE9CCAF" w14:textId="0B731879"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Prieš vartojant vaistinį preparatą reikia apžiūrėti. Tirpalas turi būti skaidrus arba šiek tiek opalinis ir bespalvis arba gelsvas. Ne</w:t>
      </w:r>
      <w:r w:rsidR="005E6070">
        <w:rPr>
          <w:rFonts w:cs="Arial"/>
          <w:snapToGrid/>
          <w:szCs w:val="22"/>
          <w:lang w:val="lt-LT" w:eastAsia="de-DE"/>
        </w:rPr>
        <w:t>vartokite</w:t>
      </w:r>
      <w:r w:rsidRPr="00561601">
        <w:rPr>
          <w:rFonts w:cs="Arial"/>
          <w:snapToGrid/>
          <w:szCs w:val="22"/>
          <w:lang w:val="lt-LT" w:eastAsia="de-DE"/>
        </w:rPr>
        <w:t xml:space="preserve"> tirpalų, kurie yra drumsti arba kuriuose yra nuosėdų.</w:t>
      </w:r>
    </w:p>
    <w:p w14:paraId="765E564C" w14:textId="77777777" w:rsidR="00B945A9" w:rsidRPr="00561601" w:rsidRDefault="00B945A9" w:rsidP="00B945A9">
      <w:pPr>
        <w:tabs>
          <w:tab w:val="clear" w:pos="567"/>
        </w:tabs>
        <w:spacing w:line="240" w:lineRule="auto"/>
        <w:rPr>
          <w:lang w:val="lt-LT"/>
        </w:rPr>
      </w:pPr>
    </w:p>
    <w:sectPr w:rsidR="00B945A9" w:rsidRPr="00561601" w:rsidSect="00974E14">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204D0C"/>
    <w:multiLevelType w:val="hybridMultilevel"/>
    <w:tmpl w:val="075A6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230AC"/>
    <w:multiLevelType w:val="hybridMultilevel"/>
    <w:tmpl w:val="C88EA9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F94C2D"/>
    <w:multiLevelType w:val="hybridMultilevel"/>
    <w:tmpl w:val="5882E0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2F2E14"/>
    <w:multiLevelType w:val="hybridMultilevel"/>
    <w:tmpl w:val="E974A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C551AB6"/>
    <w:multiLevelType w:val="hybridMultilevel"/>
    <w:tmpl w:val="E9E819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3F1FC1"/>
    <w:multiLevelType w:val="hybridMultilevel"/>
    <w:tmpl w:val="B7B89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90773F"/>
    <w:multiLevelType w:val="hybridMultilevel"/>
    <w:tmpl w:val="0BF88E4E"/>
    <w:lvl w:ilvl="0" w:tplc="0407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8701217"/>
    <w:multiLevelType w:val="hybridMultilevel"/>
    <w:tmpl w:val="78B8C1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F3A6F36"/>
    <w:multiLevelType w:val="hybridMultilevel"/>
    <w:tmpl w:val="63DA1198"/>
    <w:lvl w:ilvl="0" w:tplc="04070001">
      <w:start w:val="1"/>
      <w:numFmt w:val="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11" w15:restartNumberingAfterBreak="0">
    <w:nsid w:val="31A97072"/>
    <w:multiLevelType w:val="hybridMultilevel"/>
    <w:tmpl w:val="4D5401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80257A"/>
    <w:multiLevelType w:val="hybridMultilevel"/>
    <w:tmpl w:val="D4903A3A"/>
    <w:lvl w:ilvl="0" w:tplc="04070001">
      <w:start w:val="1"/>
      <w:numFmt w:val="bullet"/>
      <w:lvlText w:val=""/>
      <w:lvlJc w:val="left"/>
      <w:pPr>
        <w:ind w:left="720" w:hanging="360"/>
      </w:pPr>
      <w:rPr>
        <w:rFonts w:ascii="Symbol" w:hAnsi="Symbol" w:hint="default"/>
      </w:rPr>
    </w:lvl>
    <w:lvl w:ilvl="1" w:tplc="0F76A4C2">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7796A35"/>
    <w:multiLevelType w:val="hybridMultilevel"/>
    <w:tmpl w:val="C6BA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147248"/>
    <w:multiLevelType w:val="hybridMultilevel"/>
    <w:tmpl w:val="1D9A1B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4B4523"/>
    <w:multiLevelType w:val="hybridMultilevel"/>
    <w:tmpl w:val="1CECD6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9"/>
  </w:num>
  <w:num w:numId="7">
    <w:abstractNumId w:val="1"/>
  </w:num>
  <w:num w:numId="8">
    <w:abstractNumId w:val="7"/>
  </w:num>
  <w:num w:numId="9">
    <w:abstractNumId w:val="12"/>
  </w:num>
  <w:num w:numId="10">
    <w:abstractNumId w:val="4"/>
  </w:num>
  <w:num w:numId="11">
    <w:abstractNumId w:val="16"/>
  </w:num>
  <w:num w:numId="12">
    <w:abstractNumId w:val="8"/>
  </w:num>
  <w:num w:numId="13">
    <w:abstractNumId w:val="11"/>
  </w:num>
  <w:num w:numId="14">
    <w:abstractNumId w:val="5"/>
  </w:num>
  <w:num w:numId="15">
    <w:abstractNumId w:val="10"/>
  </w:num>
  <w:num w:numId="16">
    <w:abstractNumId w:val="3"/>
  </w:num>
  <w:num w:numId="17">
    <w:abstractNumId w:val="6"/>
  </w:num>
  <w:num w:numId="18">
    <w:abstractNumId w:val="14"/>
  </w:num>
  <w:num w:numId="1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43A4"/>
    <w:rsid w:val="00004C89"/>
    <w:rsid w:val="00005EAF"/>
    <w:rsid w:val="00012FD2"/>
    <w:rsid w:val="0001538C"/>
    <w:rsid w:val="00023C68"/>
    <w:rsid w:val="00026E72"/>
    <w:rsid w:val="00033FE1"/>
    <w:rsid w:val="000356B3"/>
    <w:rsid w:val="00041E90"/>
    <w:rsid w:val="00042D19"/>
    <w:rsid w:val="00051F09"/>
    <w:rsid w:val="00053926"/>
    <w:rsid w:val="000564D8"/>
    <w:rsid w:val="00056AC0"/>
    <w:rsid w:val="00064379"/>
    <w:rsid w:val="00064E3D"/>
    <w:rsid w:val="0007681A"/>
    <w:rsid w:val="00082D45"/>
    <w:rsid w:val="00087EF9"/>
    <w:rsid w:val="000A58F3"/>
    <w:rsid w:val="000A74BB"/>
    <w:rsid w:val="000A79DC"/>
    <w:rsid w:val="000D1995"/>
    <w:rsid w:val="000E2574"/>
    <w:rsid w:val="00106243"/>
    <w:rsid w:val="0012379B"/>
    <w:rsid w:val="00126F6D"/>
    <w:rsid w:val="0013062A"/>
    <w:rsid w:val="001312C6"/>
    <w:rsid w:val="001372E6"/>
    <w:rsid w:val="001428D9"/>
    <w:rsid w:val="00161490"/>
    <w:rsid w:val="0016170E"/>
    <w:rsid w:val="00164069"/>
    <w:rsid w:val="001701D4"/>
    <w:rsid w:val="00170AF2"/>
    <w:rsid w:val="001757A0"/>
    <w:rsid w:val="001766CE"/>
    <w:rsid w:val="0019200A"/>
    <w:rsid w:val="00196F6D"/>
    <w:rsid w:val="00196F8B"/>
    <w:rsid w:val="001A0EB1"/>
    <w:rsid w:val="001A18CB"/>
    <w:rsid w:val="001A3DF1"/>
    <w:rsid w:val="001A4353"/>
    <w:rsid w:val="001C11F8"/>
    <w:rsid w:val="001C6A4F"/>
    <w:rsid w:val="001D1F9C"/>
    <w:rsid w:val="001D20F2"/>
    <w:rsid w:val="001E037F"/>
    <w:rsid w:val="001E2FF6"/>
    <w:rsid w:val="001F10B8"/>
    <w:rsid w:val="001F134A"/>
    <w:rsid w:val="00203667"/>
    <w:rsid w:val="00215D0F"/>
    <w:rsid w:val="00227A69"/>
    <w:rsid w:val="00227FAA"/>
    <w:rsid w:val="00230A89"/>
    <w:rsid w:val="00234159"/>
    <w:rsid w:val="002537A1"/>
    <w:rsid w:val="00253AEB"/>
    <w:rsid w:val="00256676"/>
    <w:rsid w:val="00260E86"/>
    <w:rsid w:val="0026701F"/>
    <w:rsid w:val="0027120D"/>
    <w:rsid w:val="00274C95"/>
    <w:rsid w:val="00285FA7"/>
    <w:rsid w:val="002907BD"/>
    <w:rsid w:val="002934E5"/>
    <w:rsid w:val="00293763"/>
    <w:rsid w:val="002937FF"/>
    <w:rsid w:val="002A46B4"/>
    <w:rsid w:val="002A79A4"/>
    <w:rsid w:val="002B09DE"/>
    <w:rsid w:val="002B2A03"/>
    <w:rsid w:val="002B7762"/>
    <w:rsid w:val="002C07E3"/>
    <w:rsid w:val="002C19BF"/>
    <w:rsid w:val="002C77D0"/>
    <w:rsid w:val="002D17F0"/>
    <w:rsid w:val="002E46D1"/>
    <w:rsid w:val="002F669B"/>
    <w:rsid w:val="003030F5"/>
    <w:rsid w:val="00305AE8"/>
    <w:rsid w:val="0031195D"/>
    <w:rsid w:val="00324A02"/>
    <w:rsid w:val="00331196"/>
    <w:rsid w:val="00337870"/>
    <w:rsid w:val="0036007D"/>
    <w:rsid w:val="0036167A"/>
    <w:rsid w:val="00365C06"/>
    <w:rsid w:val="00373268"/>
    <w:rsid w:val="0037392F"/>
    <w:rsid w:val="00380FA5"/>
    <w:rsid w:val="00384AC2"/>
    <w:rsid w:val="003A087B"/>
    <w:rsid w:val="003B266B"/>
    <w:rsid w:val="003B47A8"/>
    <w:rsid w:val="003C0CDD"/>
    <w:rsid w:val="003C6461"/>
    <w:rsid w:val="003D7083"/>
    <w:rsid w:val="003F29A3"/>
    <w:rsid w:val="003F5A9F"/>
    <w:rsid w:val="00401E3B"/>
    <w:rsid w:val="00404D3A"/>
    <w:rsid w:val="004060DC"/>
    <w:rsid w:val="00411E9F"/>
    <w:rsid w:val="00415DC0"/>
    <w:rsid w:val="00420FC4"/>
    <w:rsid w:val="004312F8"/>
    <w:rsid w:val="00444711"/>
    <w:rsid w:val="00445E46"/>
    <w:rsid w:val="00446DD0"/>
    <w:rsid w:val="00447919"/>
    <w:rsid w:val="00447DE7"/>
    <w:rsid w:val="0045251D"/>
    <w:rsid w:val="00452DF7"/>
    <w:rsid w:val="00461F31"/>
    <w:rsid w:val="0046446F"/>
    <w:rsid w:val="004863C3"/>
    <w:rsid w:val="004979B2"/>
    <w:rsid w:val="004A4EED"/>
    <w:rsid w:val="004A59A1"/>
    <w:rsid w:val="004B6494"/>
    <w:rsid w:val="004D3EB8"/>
    <w:rsid w:val="004D5961"/>
    <w:rsid w:val="004E12BC"/>
    <w:rsid w:val="004E23D3"/>
    <w:rsid w:val="00500489"/>
    <w:rsid w:val="0050230C"/>
    <w:rsid w:val="0050468E"/>
    <w:rsid w:val="00512D22"/>
    <w:rsid w:val="00512F50"/>
    <w:rsid w:val="0051480C"/>
    <w:rsid w:val="00517E81"/>
    <w:rsid w:val="00530EE0"/>
    <w:rsid w:val="00531320"/>
    <w:rsid w:val="00543044"/>
    <w:rsid w:val="00546103"/>
    <w:rsid w:val="00553A3C"/>
    <w:rsid w:val="00561601"/>
    <w:rsid w:val="00561AD9"/>
    <w:rsid w:val="00562318"/>
    <w:rsid w:val="00571571"/>
    <w:rsid w:val="005716D6"/>
    <w:rsid w:val="00572B67"/>
    <w:rsid w:val="00576739"/>
    <w:rsid w:val="0057768E"/>
    <w:rsid w:val="00581B94"/>
    <w:rsid w:val="005832AB"/>
    <w:rsid w:val="00583E5F"/>
    <w:rsid w:val="00585786"/>
    <w:rsid w:val="00585EF2"/>
    <w:rsid w:val="00591ED4"/>
    <w:rsid w:val="005C512C"/>
    <w:rsid w:val="005C5CB6"/>
    <w:rsid w:val="005D00C0"/>
    <w:rsid w:val="005D0870"/>
    <w:rsid w:val="005D65BC"/>
    <w:rsid w:val="005E6070"/>
    <w:rsid w:val="005F28BE"/>
    <w:rsid w:val="00610BB9"/>
    <w:rsid w:val="006250C6"/>
    <w:rsid w:val="00633CA8"/>
    <w:rsid w:val="00634870"/>
    <w:rsid w:val="0063604E"/>
    <w:rsid w:val="006421E0"/>
    <w:rsid w:val="00643BF3"/>
    <w:rsid w:val="006474E5"/>
    <w:rsid w:val="0065537E"/>
    <w:rsid w:val="00664263"/>
    <w:rsid w:val="00676633"/>
    <w:rsid w:val="006A394D"/>
    <w:rsid w:val="006A3DA7"/>
    <w:rsid w:val="006B6B44"/>
    <w:rsid w:val="006D0F58"/>
    <w:rsid w:val="006D1606"/>
    <w:rsid w:val="006D5169"/>
    <w:rsid w:val="006E300C"/>
    <w:rsid w:val="006E4D0B"/>
    <w:rsid w:val="00703DCE"/>
    <w:rsid w:val="00707742"/>
    <w:rsid w:val="00707C1E"/>
    <w:rsid w:val="00723904"/>
    <w:rsid w:val="00744547"/>
    <w:rsid w:val="00745731"/>
    <w:rsid w:val="007500C1"/>
    <w:rsid w:val="00750ADF"/>
    <w:rsid w:val="00763428"/>
    <w:rsid w:val="00767747"/>
    <w:rsid w:val="00774CA4"/>
    <w:rsid w:val="00776466"/>
    <w:rsid w:val="00783FB3"/>
    <w:rsid w:val="007920D9"/>
    <w:rsid w:val="00792396"/>
    <w:rsid w:val="00797B81"/>
    <w:rsid w:val="007A0B20"/>
    <w:rsid w:val="007A1786"/>
    <w:rsid w:val="007A38C8"/>
    <w:rsid w:val="007B44EC"/>
    <w:rsid w:val="007D2D93"/>
    <w:rsid w:val="007D3834"/>
    <w:rsid w:val="007D3B76"/>
    <w:rsid w:val="007E14AF"/>
    <w:rsid w:val="007E4A60"/>
    <w:rsid w:val="007E6A04"/>
    <w:rsid w:val="007E6F5D"/>
    <w:rsid w:val="007F3D3B"/>
    <w:rsid w:val="007F581F"/>
    <w:rsid w:val="00802955"/>
    <w:rsid w:val="00803973"/>
    <w:rsid w:val="0080684F"/>
    <w:rsid w:val="00823F2A"/>
    <w:rsid w:val="00825AB9"/>
    <w:rsid w:val="00826CB6"/>
    <w:rsid w:val="008327FC"/>
    <w:rsid w:val="00837877"/>
    <w:rsid w:val="00845CD3"/>
    <w:rsid w:val="00852BC5"/>
    <w:rsid w:val="00855CD7"/>
    <w:rsid w:val="00864315"/>
    <w:rsid w:val="00866D43"/>
    <w:rsid w:val="008735EE"/>
    <w:rsid w:val="00883612"/>
    <w:rsid w:val="008847D7"/>
    <w:rsid w:val="00893B1F"/>
    <w:rsid w:val="00894F79"/>
    <w:rsid w:val="008A0060"/>
    <w:rsid w:val="008A3258"/>
    <w:rsid w:val="008A6BE7"/>
    <w:rsid w:val="008B04A7"/>
    <w:rsid w:val="008B3B40"/>
    <w:rsid w:val="008C02AD"/>
    <w:rsid w:val="008C3E1C"/>
    <w:rsid w:val="008C6F33"/>
    <w:rsid w:val="008C7DEF"/>
    <w:rsid w:val="008D0E46"/>
    <w:rsid w:val="008D3F3C"/>
    <w:rsid w:val="008D60A1"/>
    <w:rsid w:val="008E479A"/>
    <w:rsid w:val="008F5FFC"/>
    <w:rsid w:val="0090028F"/>
    <w:rsid w:val="0091168E"/>
    <w:rsid w:val="009237DB"/>
    <w:rsid w:val="00923DFE"/>
    <w:rsid w:val="00924A8E"/>
    <w:rsid w:val="0092674D"/>
    <w:rsid w:val="00941490"/>
    <w:rsid w:val="009533F5"/>
    <w:rsid w:val="00972097"/>
    <w:rsid w:val="00972FD3"/>
    <w:rsid w:val="00974E14"/>
    <w:rsid w:val="00975F79"/>
    <w:rsid w:val="00977D00"/>
    <w:rsid w:val="00992F52"/>
    <w:rsid w:val="009958DB"/>
    <w:rsid w:val="00996576"/>
    <w:rsid w:val="009A25B4"/>
    <w:rsid w:val="009A3AF5"/>
    <w:rsid w:val="009A720E"/>
    <w:rsid w:val="009B484F"/>
    <w:rsid w:val="009B6F40"/>
    <w:rsid w:val="009C052E"/>
    <w:rsid w:val="009C109C"/>
    <w:rsid w:val="009C11C3"/>
    <w:rsid w:val="009C2773"/>
    <w:rsid w:val="009C30B0"/>
    <w:rsid w:val="009C6486"/>
    <w:rsid w:val="009C7441"/>
    <w:rsid w:val="009D3D0E"/>
    <w:rsid w:val="009D4799"/>
    <w:rsid w:val="009D673B"/>
    <w:rsid w:val="00A03497"/>
    <w:rsid w:val="00A04E5B"/>
    <w:rsid w:val="00A1360B"/>
    <w:rsid w:val="00A2673F"/>
    <w:rsid w:val="00A303F0"/>
    <w:rsid w:val="00A34EF2"/>
    <w:rsid w:val="00A351B9"/>
    <w:rsid w:val="00A50626"/>
    <w:rsid w:val="00A51465"/>
    <w:rsid w:val="00A76206"/>
    <w:rsid w:val="00A92D6B"/>
    <w:rsid w:val="00A94F32"/>
    <w:rsid w:val="00AA148B"/>
    <w:rsid w:val="00AB2160"/>
    <w:rsid w:val="00AB52E0"/>
    <w:rsid w:val="00AB5392"/>
    <w:rsid w:val="00AD44C7"/>
    <w:rsid w:val="00AD4E59"/>
    <w:rsid w:val="00AD6D6C"/>
    <w:rsid w:val="00AE2760"/>
    <w:rsid w:val="00AE7B91"/>
    <w:rsid w:val="00AF0C7A"/>
    <w:rsid w:val="00B01C53"/>
    <w:rsid w:val="00B211D8"/>
    <w:rsid w:val="00B31D34"/>
    <w:rsid w:val="00B332AD"/>
    <w:rsid w:val="00B5059E"/>
    <w:rsid w:val="00B512E8"/>
    <w:rsid w:val="00B51C06"/>
    <w:rsid w:val="00B5259B"/>
    <w:rsid w:val="00B61254"/>
    <w:rsid w:val="00B72F88"/>
    <w:rsid w:val="00B74A3D"/>
    <w:rsid w:val="00B8386E"/>
    <w:rsid w:val="00B945A9"/>
    <w:rsid w:val="00B962A3"/>
    <w:rsid w:val="00BA16A6"/>
    <w:rsid w:val="00BA5E83"/>
    <w:rsid w:val="00BB178F"/>
    <w:rsid w:val="00BD3E3F"/>
    <w:rsid w:val="00BD42B9"/>
    <w:rsid w:val="00C11F0F"/>
    <w:rsid w:val="00C14E62"/>
    <w:rsid w:val="00C20B03"/>
    <w:rsid w:val="00C22EF3"/>
    <w:rsid w:val="00C27BA1"/>
    <w:rsid w:val="00C30A9B"/>
    <w:rsid w:val="00C31175"/>
    <w:rsid w:val="00C338A9"/>
    <w:rsid w:val="00C40AE3"/>
    <w:rsid w:val="00C40C5A"/>
    <w:rsid w:val="00C447B2"/>
    <w:rsid w:val="00C54BE9"/>
    <w:rsid w:val="00C64E44"/>
    <w:rsid w:val="00C70BBD"/>
    <w:rsid w:val="00C77B32"/>
    <w:rsid w:val="00C80F62"/>
    <w:rsid w:val="00C8680A"/>
    <w:rsid w:val="00C86B19"/>
    <w:rsid w:val="00CA5840"/>
    <w:rsid w:val="00CB50E6"/>
    <w:rsid w:val="00CC0CCE"/>
    <w:rsid w:val="00CC6ABF"/>
    <w:rsid w:val="00CD0A03"/>
    <w:rsid w:val="00CD46CD"/>
    <w:rsid w:val="00CD76CA"/>
    <w:rsid w:val="00CE6EC2"/>
    <w:rsid w:val="00D15ECA"/>
    <w:rsid w:val="00D17BA9"/>
    <w:rsid w:val="00D359F5"/>
    <w:rsid w:val="00D35F53"/>
    <w:rsid w:val="00D36950"/>
    <w:rsid w:val="00D41DAC"/>
    <w:rsid w:val="00D524D7"/>
    <w:rsid w:val="00D536C9"/>
    <w:rsid w:val="00D60D86"/>
    <w:rsid w:val="00D70FBC"/>
    <w:rsid w:val="00D71CE4"/>
    <w:rsid w:val="00D73182"/>
    <w:rsid w:val="00D73BCB"/>
    <w:rsid w:val="00D77C14"/>
    <w:rsid w:val="00D82391"/>
    <w:rsid w:val="00D857B8"/>
    <w:rsid w:val="00D92430"/>
    <w:rsid w:val="00DA111E"/>
    <w:rsid w:val="00DC3A2B"/>
    <w:rsid w:val="00E01FA9"/>
    <w:rsid w:val="00E04130"/>
    <w:rsid w:val="00E1177A"/>
    <w:rsid w:val="00E130E7"/>
    <w:rsid w:val="00E133D8"/>
    <w:rsid w:val="00E15161"/>
    <w:rsid w:val="00E15809"/>
    <w:rsid w:val="00E16FC5"/>
    <w:rsid w:val="00E21849"/>
    <w:rsid w:val="00E218E8"/>
    <w:rsid w:val="00E23101"/>
    <w:rsid w:val="00E361C8"/>
    <w:rsid w:val="00E428F5"/>
    <w:rsid w:val="00E47068"/>
    <w:rsid w:val="00E507C8"/>
    <w:rsid w:val="00E601C8"/>
    <w:rsid w:val="00E644B8"/>
    <w:rsid w:val="00E7064A"/>
    <w:rsid w:val="00E741EA"/>
    <w:rsid w:val="00E7565F"/>
    <w:rsid w:val="00E75A17"/>
    <w:rsid w:val="00E826AD"/>
    <w:rsid w:val="00E942E1"/>
    <w:rsid w:val="00E968AE"/>
    <w:rsid w:val="00E96A34"/>
    <w:rsid w:val="00E96C07"/>
    <w:rsid w:val="00EB1A01"/>
    <w:rsid w:val="00EC46F9"/>
    <w:rsid w:val="00EC58D2"/>
    <w:rsid w:val="00ED1FAB"/>
    <w:rsid w:val="00ED2966"/>
    <w:rsid w:val="00EE179F"/>
    <w:rsid w:val="00EF051C"/>
    <w:rsid w:val="00EF6F56"/>
    <w:rsid w:val="00F02A87"/>
    <w:rsid w:val="00F02E72"/>
    <w:rsid w:val="00F034C9"/>
    <w:rsid w:val="00F05638"/>
    <w:rsid w:val="00F07C39"/>
    <w:rsid w:val="00F14FAD"/>
    <w:rsid w:val="00F205D1"/>
    <w:rsid w:val="00F307ED"/>
    <w:rsid w:val="00F31A09"/>
    <w:rsid w:val="00F333D9"/>
    <w:rsid w:val="00F33A26"/>
    <w:rsid w:val="00F34163"/>
    <w:rsid w:val="00F36FBA"/>
    <w:rsid w:val="00F41E74"/>
    <w:rsid w:val="00F45F98"/>
    <w:rsid w:val="00F54500"/>
    <w:rsid w:val="00F61A84"/>
    <w:rsid w:val="00F65C3C"/>
    <w:rsid w:val="00F66B16"/>
    <w:rsid w:val="00F83B82"/>
    <w:rsid w:val="00F955AC"/>
    <w:rsid w:val="00F955F5"/>
    <w:rsid w:val="00FA27FC"/>
    <w:rsid w:val="00FA669A"/>
    <w:rsid w:val="00FA7552"/>
    <w:rsid w:val="00FB4933"/>
    <w:rsid w:val="00FB6F43"/>
    <w:rsid w:val="00FB7ECA"/>
    <w:rsid w:val="00FC1474"/>
    <w:rsid w:val="00FD0DD7"/>
    <w:rsid w:val="00FD35A2"/>
    <w:rsid w:val="00FD3B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55D5E"/>
  <w15:docId w15:val="{75721A5A-6909-4C2C-96D9-53C2AE21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530EE0"/>
    <w:pPr>
      <w:tabs>
        <w:tab w:val="clear" w:pos="567"/>
      </w:tabs>
      <w:spacing w:after="200" w:line="276" w:lineRule="auto"/>
      <w:ind w:left="720"/>
      <w:contextualSpacing/>
    </w:pPr>
    <w:rPr>
      <w:rFonts w:ascii="Calibri" w:eastAsia="Calibri" w:hAnsi="Calibri"/>
      <w:snapToGrid/>
      <w:szCs w:val="22"/>
      <w:lang w:val="lt-LT"/>
    </w:rPr>
  </w:style>
  <w:style w:type="table" w:styleId="Lentelstinklelis">
    <w:name w:val="Table Grid"/>
    <w:basedOn w:val="prastojilentel"/>
    <w:uiPriority w:val="59"/>
    <w:rsid w:val="00530EE0"/>
    <w:rPr>
      <w:rFonts w:eastAsia="Times New Roman" w:cs="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530EE0"/>
    <w:rPr>
      <w:rFonts w:eastAsia="Times New Roman" w:cs="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
    <w:basedOn w:val="prastasis"/>
    <w:rsid w:val="001312C6"/>
    <w:pPr>
      <w:tabs>
        <w:tab w:val="clear" w:pos="567"/>
      </w:tabs>
      <w:spacing w:line="240" w:lineRule="auto"/>
      <w:jc w:val="both"/>
    </w:pPr>
    <w:rPr>
      <w:snapToGrid/>
      <w:szCs w:val="24"/>
      <w:lang w:val="lt-LT"/>
    </w:rPr>
  </w:style>
  <w:style w:type="character" w:customStyle="1" w:styleId="cf01">
    <w:name w:val="cf01"/>
    <w:rsid w:val="007E14A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vkt.lt/index.php?1399030386" TargetMode="External"/><Relationship Id="rId12"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pris.vvkt.lt/vvkt-web/public/nrvSpecialist" TargetMode="Externa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0" Type="http://schemas.openxmlformats.org/officeDocument/2006/relationships/hyperlink" Target="https://www.vvkt.lt/index.php?4004286486" TargetMode="External"/><Relationship Id="rId4" Type="http://schemas.openxmlformats.org/officeDocument/2006/relationships/settings" Target="settings.xml"/><Relationship Id="rId9" Type="http://schemas.openxmlformats.org/officeDocument/2006/relationships/hyperlink" Target="https://vapris.vvkt.lt/vvkt-web/public/nr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23B5C-15D8-42C5-BCCA-69D01B3F1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39220</Words>
  <Characters>22356</Characters>
  <Application>Microsoft Office Word</Application>
  <DocSecurity>0</DocSecurity>
  <Lines>186</Lines>
  <Paragraphs>122</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lt-pi-Cytotect</vt:lpstr>
      <vt:lpstr>lt-pi-Cytotect</vt:lpstr>
      <vt:lpstr>lt-pi-Cytotect</vt:lpstr>
    </vt:vector>
  </TitlesOfParts>
  <Company>Biotest Pharma GmbH</Company>
  <LinksUpToDate>false</LinksUpToDate>
  <CharactersWithSpaces>61454</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lt-pi-Cytotect</dc:title>
  <dc:creator>Justina Tverkuvienė</dc:creator>
  <cp:lastModifiedBy>Birutė Valkauskaitė</cp:lastModifiedBy>
  <cp:revision>2</cp:revision>
  <dcterms:created xsi:type="dcterms:W3CDTF">2023-06-09T05:31:00Z</dcterms:created>
  <dcterms:modified xsi:type="dcterms:W3CDTF">2023-06-09T05:31:00Z</dcterms:modified>
</cp:coreProperties>
</file>