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1CD60" w14:textId="5867C21F" w:rsidR="00F34163" w:rsidRPr="00561601" w:rsidRDefault="00F34163" w:rsidP="00F34163">
      <w:pPr>
        <w:pStyle w:val="Antrat2"/>
        <w:spacing w:before="0" w:after="0" w:line="240" w:lineRule="auto"/>
        <w:jc w:val="center"/>
        <w:rPr>
          <w:rFonts w:ascii="Times New Roman" w:hAnsi="Times New Roman"/>
          <w:bCs w:val="0"/>
          <w:i w:val="0"/>
          <w:iCs w:val="0"/>
          <w:sz w:val="22"/>
          <w:szCs w:val="24"/>
          <w:lang w:val="lt-LT"/>
        </w:rPr>
      </w:pPr>
      <w:bookmarkStart w:id="0" w:name="_GoBack"/>
      <w:bookmarkEnd w:id="0"/>
      <w:r w:rsidRPr="00561601">
        <w:rPr>
          <w:rFonts w:ascii="Times New Roman" w:hAnsi="Times New Roman"/>
          <w:i w:val="0"/>
          <w:sz w:val="22"/>
          <w:lang w:val="lt-LT"/>
        </w:rPr>
        <w:t>Pakuotės lapelis:</w:t>
      </w:r>
      <w:r w:rsidRPr="00561601">
        <w:rPr>
          <w:rFonts w:ascii="Times New Roman" w:hAnsi="Times New Roman"/>
          <w:bCs w:val="0"/>
          <w:i w:val="0"/>
          <w:iCs w:val="0"/>
          <w:sz w:val="22"/>
          <w:szCs w:val="24"/>
          <w:lang w:val="lt-LT"/>
        </w:rPr>
        <w:t xml:space="preserve"> </w:t>
      </w:r>
      <w:r w:rsidRPr="00561601">
        <w:rPr>
          <w:rFonts w:ascii="Times New Roman" w:hAnsi="Times New Roman"/>
          <w:i w:val="0"/>
          <w:sz w:val="22"/>
          <w:lang w:val="lt-LT"/>
        </w:rPr>
        <w:t>informacija vartotojui</w:t>
      </w:r>
    </w:p>
    <w:p w14:paraId="3330E140" w14:textId="77777777" w:rsidR="00F34163" w:rsidRPr="00561601" w:rsidRDefault="00F34163" w:rsidP="00F34163">
      <w:pPr>
        <w:numPr>
          <w:ilvl w:val="12"/>
          <w:numId w:val="0"/>
        </w:numPr>
        <w:shd w:val="clear" w:color="auto" w:fill="FFFFFF"/>
        <w:tabs>
          <w:tab w:val="clear" w:pos="567"/>
        </w:tabs>
        <w:spacing w:line="240" w:lineRule="auto"/>
        <w:jc w:val="center"/>
        <w:rPr>
          <w:szCs w:val="24"/>
          <w:lang w:val="lt-LT"/>
        </w:rPr>
      </w:pPr>
    </w:p>
    <w:p w14:paraId="753E1403" w14:textId="7B3228E5" w:rsidR="00F34163" w:rsidRPr="00561601" w:rsidRDefault="00E47068" w:rsidP="00F34163">
      <w:pPr>
        <w:jc w:val="center"/>
        <w:rPr>
          <w:b/>
          <w:szCs w:val="24"/>
          <w:lang w:val="lt-LT"/>
        </w:rPr>
      </w:pPr>
      <w:proofErr w:type="spellStart"/>
      <w:r>
        <w:rPr>
          <w:rFonts w:cs="Arial"/>
          <w:b/>
          <w:snapToGrid/>
          <w:szCs w:val="22"/>
          <w:lang w:val="lt-LT" w:eastAsia="de-DE"/>
        </w:rPr>
        <w:t>Cymvigo</w:t>
      </w:r>
      <w:proofErr w:type="spellEnd"/>
      <w:r w:rsidR="007D3834" w:rsidRPr="00561601">
        <w:rPr>
          <w:rFonts w:cs="Arial"/>
          <w:b/>
          <w:snapToGrid/>
          <w:szCs w:val="22"/>
          <w:lang w:val="lt-LT" w:eastAsia="de-DE"/>
        </w:rPr>
        <w:t xml:space="preserve"> 100 V/ml infuzinis tirpalas</w:t>
      </w:r>
    </w:p>
    <w:p w14:paraId="6992A708" w14:textId="77777777" w:rsidR="00F34163" w:rsidRPr="00561601" w:rsidRDefault="00866D43" w:rsidP="00F34163">
      <w:pPr>
        <w:numPr>
          <w:ilvl w:val="12"/>
          <w:numId w:val="0"/>
        </w:numPr>
        <w:tabs>
          <w:tab w:val="clear" w:pos="567"/>
        </w:tabs>
        <w:spacing w:line="240" w:lineRule="auto"/>
        <w:jc w:val="center"/>
        <w:rPr>
          <w:szCs w:val="24"/>
          <w:lang w:val="lt-LT"/>
        </w:rPr>
      </w:pPr>
      <w:r>
        <w:rPr>
          <w:rFonts w:cs="Arial"/>
          <w:snapToGrid/>
          <w:szCs w:val="22"/>
          <w:lang w:val="lt-LT" w:eastAsia="de-DE"/>
        </w:rPr>
        <w:t>ž</w:t>
      </w:r>
      <w:r w:rsidR="007D3834" w:rsidRPr="00561601">
        <w:rPr>
          <w:rFonts w:cs="Arial"/>
          <w:snapToGrid/>
          <w:szCs w:val="22"/>
          <w:lang w:val="lt-LT" w:eastAsia="de-DE"/>
        </w:rPr>
        <w:t xml:space="preserve">mogaus </w:t>
      </w:r>
      <w:proofErr w:type="spellStart"/>
      <w:r w:rsidR="007D3834" w:rsidRPr="00561601">
        <w:rPr>
          <w:rFonts w:cs="Arial"/>
          <w:snapToGrid/>
          <w:szCs w:val="22"/>
          <w:lang w:val="lt-LT" w:eastAsia="de-DE"/>
        </w:rPr>
        <w:t>citomegalo</w:t>
      </w:r>
      <w:proofErr w:type="spellEnd"/>
      <w:r w:rsidR="007D3834" w:rsidRPr="00561601">
        <w:rPr>
          <w:rFonts w:cs="Arial"/>
          <w:snapToGrid/>
          <w:szCs w:val="22"/>
          <w:lang w:val="lt-LT" w:eastAsia="de-DE"/>
        </w:rPr>
        <w:t xml:space="preserve"> viruso imunoglobulinas</w:t>
      </w:r>
    </w:p>
    <w:p w14:paraId="3A1EC622" w14:textId="77777777" w:rsidR="00F34163" w:rsidRPr="00561601" w:rsidRDefault="00F34163" w:rsidP="00F34163">
      <w:pPr>
        <w:tabs>
          <w:tab w:val="clear" w:pos="567"/>
        </w:tabs>
        <w:spacing w:line="240" w:lineRule="auto"/>
        <w:rPr>
          <w:szCs w:val="24"/>
          <w:lang w:val="lt-LT"/>
        </w:rPr>
      </w:pPr>
    </w:p>
    <w:p w14:paraId="49A3D33A" w14:textId="77777777" w:rsidR="00F34163" w:rsidRPr="00561601" w:rsidRDefault="00F34163" w:rsidP="00F34163">
      <w:pPr>
        <w:tabs>
          <w:tab w:val="clear" w:pos="567"/>
        </w:tabs>
        <w:spacing w:line="240" w:lineRule="auto"/>
        <w:rPr>
          <w:szCs w:val="24"/>
          <w:lang w:val="lt-LT"/>
        </w:rPr>
      </w:pPr>
    </w:p>
    <w:p w14:paraId="2CEB3FD9" w14:textId="77777777" w:rsidR="00F34163" w:rsidRPr="00561601" w:rsidRDefault="00F34163" w:rsidP="00F34163">
      <w:pPr>
        <w:tabs>
          <w:tab w:val="clear" w:pos="567"/>
        </w:tabs>
        <w:suppressAutoHyphens/>
        <w:spacing w:line="240" w:lineRule="auto"/>
        <w:ind w:left="142" w:hanging="142"/>
        <w:rPr>
          <w:szCs w:val="24"/>
          <w:lang w:val="lt-LT"/>
        </w:rPr>
      </w:pPr>
      <w:r w:rsidRPr="00561601">
        <w:rPr>
          <w:b/>
          <w:noProof/>
          <w:szCs w:val="24"/>
          <w:lang w:val="lt-LT"/>
        </w:rPr>
        <w:t>Atidžiai perskaitykite visą šį lapelį, prieš pradėdami vartoti vaistą, nes jame pateikiama Jums svarbi informacija.</w:t>
      </w:r>
    </w:p>
    <w:p w14:paraId="57FD3143" w14:textId="77777777" w:rsidR="00F34163" w:rsidRPr="00561601" w:rsidRDefault="00F34163" w:rsidP="00F34163">
      <w:pPr>
        <w:numPr>
          <w:ilvl w:val="0"/>
          <w:numId w:val="3"/>
        </w:numPr>
        <w:tabs>
          <w:tab w:val="clear" w:pos="567"/>
        </w:tabs>
        <w:spacing w:line="240" w:lineRule="auto"/>
        <w:ind w:left="567" w:right="-2" w:hanging="567"/>
        <w:rPr>
          <w:szCs w:val="24"/>
          <w:lang w:val="lt-LT"/>
        </w:rPr>
      </w:pPr>
      <w:r w:rsidRPr="00561601">
        <w:rPr>
          <w:noProof/>
          <w:szCs w:val="24"/>
          <w:lang w:val="lt-LT"/>
        </w:rPr>
        <w:t>Neišmeskite šio lapelio, nes vėl gali prireikti jį perskaityti.</w:t>
      </w:r>
      <w:r w:rsidRPr="00561601">
        <w:rPr>
          <w:szCs w:val="24"/>
          <w:lang w:val="lt-LT"/>
        </w:rPr>
        <w:t xml:space="preserve"> </w:t>
      </w:r>
    </w:p>
    <w:p w14:paraId="2757B17B" w14:textId="77777777" w:rsidR="00F34163" w:rsidRPr="00561601" w:rsidRDefault="00F34163" w:rsidP="00F34163">
      <w:pPr>
        <w:numPr>
          <w:ilvl w:val="0"/>
          <w:numId w:val="3"/>
        </w:numPr>
        <w:tabs>
          <w:tab w:val="clear" w:pos="567"/>
        </w:tabs>
        <w:spacing w:line="240" w:lineRule="auto"/>
        <w:ind w:left="567" w:right="-2" w:hanging="567"/>
        <w:rPr>
          <w:szCs w:val="24"/>
          <w:lang w:val="lt-LT"/>
        </w:rPr>
      </w:pPr>
      <w:r w:rsidRPr="00561601">
        <w:rPr>
          <w:noProof/>
          <w:szCs w:val="24"/>
          <w:lang w:val="lt-LT"/>
        </w:rPr>
        <w:t>Jeigu kiltų daugiau klausimų, kreipkitės į gydytoją,</w:t>
      </w:r>
      <w:r w:rsidR="007D3834" w:rsidRPr="00561601">
        <w:rPr>
          <w:noProof/>
          <w:szCs w:val="24"/>
          <w:lang w:val="lt-LT"/>
        </w:rPr>
        <w:t xml:space="preserve"> </w:t>
      </w:r>
      <w:r w:rsidRPr="00561601">
        <w:rPr>
          <w:noProof/>
          <w:szCs w:val="24"/>
          <w:lang w:val="lt-LT"/>
        </w:rPr>
        <w:t>vaistininką</w:t>
      </w:r>
      <w:r w:rsidR="007D3834" w:rsidRPr="00561601">
        <w:rPr>
          <w:noProof/>
          <w:szCs w:val="24"/>
          <w:lang w:val="lt-LT"/>
        </w:rPr>
        <w:t xml:space="preserve"> </w:t>
      </w:r>
      <w:r w:rsidRPr="00561601">
        <w:rPr>
          <w:noProof/>
          <w:szCs w:val="24"/>
          <w:lang w:val="lt-LT"/>
        </w:rPr>
        <w:t>arba slaugytoją.</w:t>
      </w:r>
    </w:p>
    <w:p w14:paraId="6A4082DD" w14:textId="77777777" w:rsidR="00F34163" w:rsidRPr="00561601" w:rsidRDefault="00F34163" w:rsidP="00F34163">
      <w:pPr>
        <w:spacing w:line="240" w:lineRule="auto"/>
        <w:ind w:left="567" w:right="-2" w:hanging="567"/>
        <w:rPr>
          <w:szCs w:val="24"/>
          <w:lang w:val="lt-LT"/>
        </w:rPr>
      </w:pPr>
      <w:r w:rsidRPr="00561601">
        <w:rPr>
          <w:szCs w:val="24"/>
          <w:lang w:val="lt-LT"/>
        </w:rPr>
        <w:t>-</w:t>
      </w:r>
      <w:r w:rsidRPr="00561601">
        <w:rPr>
          <w:szCs w:val="24"/>
          <w:lang w:val="lt-LT"/>
        </w:rPr>
        <w:tab/>
      </w:r>
      <w:r w:rsidRPr="00561601">
        <w:rPr>
          <w:noProof/>
          <w:szCs w:val="24"/>
          <w:lang w:val="lt-LT"/>
        </w:rPr>
        <w:t>Šis vaistas skirtas tik Jums, todėl kitiems žmonėms jo duoti negalima.</w:t>
      </w:r>
      <w:r w:rsidRPr="00561601">
        <w:rPr>
          <w:szCs w:val="24"/>
          <w:lang w:val="lt-LT"/>
        </w:rPr>
        <w:t xml:space="preserve"> </w:t>
      </w:r>
      <w:r w:rsidRPr="00561601">
        <w:rPr>
          <w:noProof/>
          <w:szCs w:val="24"/>
          <w:lang w:val="lt-LT"/>
        </w:rPr>
        <w:t>Vaistas gali jiems pakenkti (net tiems, kurių ligos požymiai yra tokie patys kaip Jūsų).</w:t>
      </w:r>
    </w:p>
    <w:p w14:paraId="47E9478E" w14:textId="77777777" w:rsidR="00F34163" w:rsidRPr="00561601" w:rsidRDefault="00F34163" w:rsidP="00F34163">
      <w:pPr>
        <w:numPr>
          <w:ilvl w:val="0"/>
          <w:numId w:val="3"/>
        </w:numPr>
        <w:spacing w:line="240" w:lineRule="auto"/>
        <w:ind w:left="567" w:hanging="567"/>
        <w:rPr>
          <w:szCs w:val="24"/>
          <w:lang w:val="lt-LT"/>
        </w:rPr>
      </w:pPr>
      <w:r w:rsidRPr="00561601">
        <w:rPr>
          <w:noProof/>
          <w:szCs w:val="24"/>
          <w:lang w:val="lt-LT"/>
        </w:rPr>
        <w:t xml:space="preserve">Jeigu pasireiškė šalutinis poveikis (net jeigu jis šiame lapelyje nenurodytas), kreipkitės į </w:t>
      </w:r>
      <w:r w:rsidR="007D3834" w:rsidRPr="00561601">
        <w:rPr>
          <w:noProof/>
          <w:szCs w:val="24"/>
          <w:lang w:val="lt-LT"/>
        </w:rPr>
        <w:t>gydytoją, vaistininką arba slaugytoją</w:t>
      </w:r>
      <w:r w:rsidRPr="00561601">
        <w:rPr>
          <w:noProof/>
          <w:szCs w:val="24"/>
          <w:lang w:val="lt-LT"/>
        </w:rPr>
        <w:t>. Žr. 4 skyrių.</w:t>
      </w:r>
    </w:p>
    <w:p w14:paraId="5B6AE24F" w14:textId="77777777" w:rsidR="00F34163" w:rsidRPr="00561601" w:rsidRDefault="00F34163" w:rsidP="00F34163">
      <w:pPr>
        <w:tabs>
          <w:tab w:val="clear" w:pos="567"/>
        </w:tabs>
        <w:spacing w:line="240" w:lineRule="auto"/>
        <w:ind w:right="-2"/>
        <w:rPr>
          <w:szCs w:val="24"/>
          <w:lang w:val="lt-LT"/>
        </w:rPr>
      </w:pPr>
    </w:p>
    <w:p w14:paraId="2E78D4BB"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Apie ką rašoma šiame lapelyje?</w:t>
      </w:r>
    </w:p>
    <w:p w14:paraId="6C85D037" w14:textId="77777777" w:rsidR="00F34163" w:rsidRPr="00561601" w:rsidRDefault="00F34163" w:rsidP="00F34163">
      <w:pPr>
        <w:numPr>
          <w:ilvl w:val="12"/>
          <w:numId w:val="0"/>
        </w:numPr>
        <w:tabs>
          <w:tab w:val="clear" w:pos="567"/>
        </w:tabs>
        <w:spacing w:line="240" w:lineRule="auto"/>
        <w:ind w:left="284" w:right="-2"/>
        <w:rPr>
          <w:szCs w:val="24"/>
          <w:lang w:val="lt-LT"/>
        </w:rPr>
      </w:pPr>
    </w:p>
    <w:p w14:paraId="6491B65B" w14:textId="4E57CA68" w:rsidR="00F34163" w:rsidRPr="00561601" w:rsidRDefault="00F34163" w:rsidP="00A2673F">
      <w:pPr>
        <w:numPr>
          <w:ilvl w:val="12"/>
          <w:numId w:val="0"/>
        </w:numPr>
        <w:spacing w:line="240" w:lineRule="auto"/>
        <w:ind w:right="-2"/>
        <w:rPr>
          <w:szCs w:val="24"/>
          <w:lang w:val="lt-LT"/>
        </w:rPr>
      </w:pPr>
      <w:r w:rsidRPr="00561601">
        <w:rPr>
          <w:szCs w:val="24"/>
          <w:lang w:val="lt-LT"/>
        </w:rPr>
        <w:t>1.</w:t>
      </w:r>
      <w:r w:rsidRPr="00561601">
        <w:rPr>
          <w:szCs w:val="24"/>
          <w:lang w:val="lt-LT"/>
        </w:rPr>
        <w:tab/>
      </w:r>
      <w:r w:rsidRPr="00561601">
        <w:rPr>
          <w:lang w:val="lt-LT"/>
        </w:rPr>
        <w:t xml:space="preserve">Kas yra </w:t>
      </w:r>
      <w:proofErr w:type="spellStart"/>
      <w:r w:rsidR="00E47068">
        <w:rPr>
          <w:lang w:val="lt-LT"/>
        </w:rPr>
        <w:t>Cymvigo</w:t>
      </w:r>
      <w:proofErr w:type="spellEnd"/>
      <w:r w:rsidRPr="00561601">
        <w:rPr>
          <w:lang w:val="lt-LT"/>
        </w:rPr>
        <w:t xml:space="preserve"> ir kam jis vartojamas</w:t>
      </w:r>
      <w:r w:rsidRPr="00561601">
        <w:rPr>
          <w:szCs w:val="24"/>
          <w:lang w:val="lt-LT"/>
        </w:rPr>
        <w:t xml:space="preserve"> </w:t>
      </w:r>
    </w:p>
    <w:p w14:paraId="450D9BF2" w14:textId="18FCE34E" w:rsidR="00F34163" w:rsidRPr="00561601" w:rsidRDefault="00F34163" w:rsidP="00A2673F">
      <w:pPr>
        <w:numPr>
          <w:ilvl w:val="12"/>
          <w:numId w:val="0"/>
        </w:numPr>
        <w:spacing w:line="240" w:lineRule="auto"/>
        <w:ind w:right="-2"/>
        <w:rPr>
          <w:szCs w:val="24"/>
          <w:lang w:val="lt-LT"/>
        </w:rPr>
      </w:pPr>
      <w:r w:rsidRPr="00561601">
        <w:rPr>
          <w:szCs w:val="24"/>
          <w:lang w:val="lt-LT"/>
        </w:rPr>
        <w:t>2.</w:t>
      </w:r>
      <w:r w:rsidRPr="00561601">
        <w:rPr>
          <w:szCs w:val="24"/>
          <w:lang w:val="lt-LT"/>
        </w:rPr>
        <w:tab/>
      </w:r>
      <w:r w:rsidRPr="00561601">
        <w:rPr>
          <w:noProof/>
          <w:szCs w:val="24"/>
          <w:lang w:val="lt-LT"/>
        </w:rPr>
        <w:t xml:space="preserve">Kas žinotina prieš vartojant </w:t>
      </w:r>
      <w:proofErr w:type="spellStart"/>
      <w:r w:rsidR="00E47068">
        <w:rPr>
          <w:lang w:val="lt-LT"/>
        </w:rPr>
        <w:t>Cymvigo</w:t>
      </w:r>
      <w:proofErr w:type="spellEnd"/>
      <w:r w:rsidRPr="00561601">
        <w:rPr>
          <w:szCs w:val="24"/>
          <w:lang w:val="lt-LT"/>
        </w:rPr>
        <w:t xml:space="preserve">  </w:t>
      </w:r>
    </w:p>
    <w:p w14:paraId="3624796B" w14:textId="38A8F3EA" w:rsidR="00F34163" w:rsidRPr="00561601" w:rsidRDefault="00F34163" w:rsidP="00A2673F">
      <w:pPr>
        <w:numPr>
          <w:ilvl w:val="12"/>
          <w:numId w:val="0"/>
        </w:numPr>
        <w:spacing w:line="240" w:lineRule="auto"/>
        <w:ind w:right="-2"/>
        <w:rPr>
          <w:szCs w:val="24"/>
          <w:lang w:val="lt-LT"/>
        </w:rPr>
      </w:pPr>
      <w:r w:rsidRPr="00561601">
        <w:rPr>
          <w:szCs w:val="24"/>
          <w:lang w:val="lt-LT"/>
        </w:rPr>
        <w:t>3.</w:t>
      </w:r>
      <w:r w:rsidRPr="00561601">
        <w:rPr>
          <w:szCs w:val="24"/>
          <w:lang w:val="lt-LT"/>
        </w:rPr>
        <w:tab/>
      </w:r>
      <w:r w:rsidRPr="00561601">
        <w:rPr>
          <w:noProof/>
          <w:szCs w:val="24"/>
          <w:lang w:val="lt-LT"/>
        </w:rPr>
        <w:t xml:space="preserve">Kaip vartoti </w:t>
      </w:r>
      <w:proofErr w:type="spellStart"/>
      <w:r w:rsidR="00E47068">
        <w:rPr>
          <w:lang w:val="lt-LT"/>
        </w:rPr>
        <w:t>Cymvigo</w:t>
      </w:r>
      <w:proofErr w:type="spellEnd"/>
      <w:r w:rsidRPr="00561601">
        <w:rPr>
          <w:szCs w:val="24"/>
          <w:lang w:val="lt-LT"/>
        </w:rPr>
        <w:t xml:space="preserve"> </w:t>
      </w:r>
    </w:p>
    <w:p w14:paraId="3052C3EE" w14:textId="77777777" w:rsidR="00F34163" w:rsidRPr="00561601" w:rsidRDefault="00F34163" w:rsidP="00A2673F">
      <w:pPr>
        <w:numPr>
          <w:ilvl w:val="12"/>
          <w:numId w:val="0"/>
        </w:numPr>
        <w:spacing w:line="240" w:lineRule="auto"/>
        <w:ind w:right="-2"/>
        <w:rPr>
          <w:szCs w:val="24"/>
          <w:lang w:val="lt-LT"/>
        </w:rPr>
      </w:pPr>
      <w:r w:rsidRPr="00561601">
        <w:rPr>
          <w:szCs w:val="24"/>
          <w:lang w:val="lt-LT"/>
        </w:rPr>
        <w:t>4.</w:t>
      </w:r>
      <w:r w:rsidRPr="00561601">
        <w:rPr>
          <w:szCs w:val="24"/>
          <w:lang w:val="lt-LT"/>
        </w:rPr>
        <w:tab/>
      </w:r>
      <w:r w:rsidRPr="00561601">
        <w:rPr>
          <w:lang w:val="lt-LT"/>
        </w:rPr>
        <w:t>Galimas šalutinis poveikis</w:t>
      </w:r>
      <w:r w:rsidRPr="00561601">
        <w:rPr>
          <w:szCs w:val="24"/>
          <w:lang w:val="lt-LT"/>
        </w:rPr>
        <w:t xml:space="preserve"> </w:t>
      </w:r>
    </w:p>
    <w:p w14:paraId="723354EE" w14:textId="44A223E9" w:rsidR="00F34163" w:rsidRPr="00561601" w:rsidRDefault="00F34163" w:rsidP="00A2673F">
      <w:pPr>
        <w:numPr>
          <w:ilvl w:val="12"/>
          <w:numId w:val="0"/>
        </w:numPr>
        <w:tabs>
          <w:tab w:val="left" w:pos="1260"/>
        </w:tabs>
        <w:spacing w:line="240" w:lineRule="auto"/>
        <w:ind w:right="-2"/>
        <w:rPr>
          <w:szCs w:val="24"/>
          <w:lang w:val="lt-LT"/>
        </w:rPr>
      </w:pPr>
      <w:r w:rsidRPr="00561601">
        <w:rPr>
          <w:szCs w:val="24"/>
          <w:lang w:val="lt-LT"/>
        </w:rPr>
        <w:t>5.</w:t>
      </w:r>
      <w:r w:rsidR="00461F31" w:rsidRPr="00561601">
        <w:rPr>
          <w:szCs w:val="24"/>
          <w:lang w:val="lt-LT"/>
        </w:rPr>
        <w:tab/>
      </w:r>
      <w:r w:rsidRPr="00561601">
        <w:rPr>
          <w:lang w:val="lt-LT"/>
        </w:rPr>
        <w:t xml:space="preserve">Kaip laikyti </w:t>
      </w:r>
      <w:proofErr w:type="spellStart"/>
      <w:r w:rsidR="00E47068">
        <w:rPr>
          <w:lang w:val="lt-LT"/>
        </w:rPr>
        <w:t>Cymvigo</w:t>
      </w:r>
      <w:proofErr w:type="spellEnd"/>
      <w:r w:rsidRPr="00561601">
        <w:rPr>
          <w:szCs w:val="24"/>
          <w:lang w:val="lt-LT"/>
        </w:rPr>
        <w:t xml:space="preserve"> </w:t>
      </w:r>
    </w:p>
    <w:p w14:paraId="364E15A3" w14:textId="77777777" w:rsidR="00F34163" w:rsidRPr="00561601" w:rsidRDefault="00F34163" w:rsidP="00A2673F">
      <w:pPr>
        <w:numPr>
          <w:ilvl w:val="12"/>
          <w:numId w:val="0"/>
        </w:numPr>
        <w:spacing w:line="240" w:lineRule="auto"/>
        <w:ind w:right="-2"/>
        <w:rPr>
          <w:szCs w:val="24"/>
          <w:lang w:val="lt-LT"/>
        </w:rPr>
      </w:pPr>
      <w:r w:rsidRPr="00561601">
        <w:rPr>
          <w:szCs w:val="24"/>
          <w:lang w:val="lt-LT"/>
        </w:rPr>
        <w:t>6.</w:t>
      </w:r>
      <w:r w:rsidRPr="00561601">
        <w:rPr>
          <w:szCs w:val="24"/>
          <w:lang w:val="lt-LT"/>
        </w:rPr>
        <w:tab/>
      </w:r>
      <w:r w:rsidRPr="00561601">
        <w:rPr>
          <w:noProof/>
          <w:szCs w:val="24"/>
          <w:lang w:val="lt-LT"/>
        </w:rPr>
        <w:t>Pakuotės turinys ir kita informacija</w:t>
      </w:r>
    </w:p>
    <w:p w14:paraId="6CA0ECB2" w14:textId="77777777" w:rsidR="00F34163" w:rsidRPr="00561601" w:rsidRDefault="00F34163" w:rsidP="00F34163">
      <w:pPr>
        <w:numPr>
          <w:ilvl w:val="12"/>
          <w:numId w:val="0"/>
        </w:numPr>
        <w:tabs>
          <w:tab w:val="clear" w:pos="567"/>
        </w:tabs>
        <w:spacing w:line="240" w:lineRule="auto"/>
        <w:ind w:right="-2"/>
        <w:rPr>
          <w:szCs w:val="24"/>
          <w:lang w:val="lt-LT"/>
        </w:rPr>
      </w:pPr>
    </w:p>
    <w:p w14:paraId="74A56ABD" w14:textId="77777777" w:rsidR="00F34163" w:rsidRPr="00561601" w:rsidRDefault="00F34163" w:rsidP="00F34163">
      <w:pPr>
        <w:numPr>
          <w:ilvl w:val="12"/>
          <w:numId w:val="0"/>
        </w:numPr>
        <w:tabs>
          <w:tab w:val="clear" w:pos="567"/>
        </w:tabs>
        <w:spacing w:line="240" w:lineRule="auto"/>
        <w:ind w:right="-2"/>
        <w:rPr>
          <w:szCs w:val="24"/>
          <w:lang w:val="lt-LT"/>
        </w:rPr>
      </w:pPr>
    </w:p>
    <w:p w14:paraId="08FCBB17" w14:textId="1B487B90"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1.</w:t>
      </w:r>
      <w:r w:rsidRPr="00561601">
        <w:rPr>
          <w:rFonts w:ascii="Times New Roman" w:hAnsi="Times New Roman"/>
          <w:sz w:val="22"/>
          <w:lang w:val="lt-LT"/>
        </w:rPr>
        <w:tab/>
        <w:t xml:space="preserve">Kas yra </w:t>
      </w:r>
      <w:bookmarkStart w:id="1" w:name="_Hlk106622972"/>
      <w:proofErr w:type="spellStart"/>
      <w:r w:rsidR="00E47068">
        <w:rPr>
          <w:rFonts w:ascii="Times New Roman" w:hAnsi="Times New Roman" w:cs="Arial"/>
          <w:bCs w:val="0"/>
          <w:snapToGrid/>
          <w:sz w:val="22"/>
          <w:szCs w:val="22"/>
          <w:lang w:val="lt-LT" w:eastAsia="de-DE"/>
        </w:rPr>
        <w:t>Cymvigo</w:t>
      </w:r>
      <w:proofErr w:type="spellEnd"/>
      <w:r w:rsidRPr="00561601">
        <w:rPr>
          <w:rFonts w:ascii="Times New Roman" w:hAnsi="Times New Roman"/>
          <w:sz w:val="22"/>
          <w:lang w:val="lt-LT"/>
        </w:rPr>
        <w:t xml:space="preserve"> </w:t>
      </w:r>
      <w:bookmarkEnd w:id="1"/>
      <w:r w:rsidRPr="00561601">
        <w:rPr>
          <w:rFonts w:ascii="Times New Roman" w:hAnsi="Times New Roman"/>
          <w:sz w:val="22"/>
          <w:lang w:val="lt-LT"/>
        </w:rPr>
        <w:t>ir kam jis vartojamas</w:t>
      </w:r>
    </w:p>
    <w:p w14:paraId="62A22085" w14:textId="77777777" w:rsidR="00F34163" w:rsidRPr="00561601" w:rsidRDefault="00F34163" w:rsidP="00F34163">
      <w:pPr>
        <w:numPr>
          <w:ilvl w:val="12"/>
          <w:numId w:val="0"/>
        </w:numPr>
        <w:tabs>
          <w:tab w:val="clear" w:pos="567"/>
        </w:tabs>
        <w:spacing w:line="240" w:lineRule="auto"/>
        <w:ind w:right="-2"/>
        <w:rPr>
          <w:szCs w:val="24"/>
          <w:lang w:val="lt-LT"/>
        </w:rPr>
      </w:pPr>
    </w:p>
    <w:p w14:paraId="00C66CE1" w14:textId="46B8F597" w:rsidR="007D3834" w:rsidRPr="00561601" w:rsidRDefault="00E47068"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p>
    <w:p w14:paraId="574BB00E"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priklauso imunoglobulinų grupei. Šiuose vaistuose yra antikūnų (antikūnai yra organizmo imuninės sistemos dalis);</w:t>
      </w:r>
    </w:p>
    <w:p w14:paraId="0DADEB65"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 xml:space="preserve">yra antikūnų prieš </w:t>
      </w:r>
      <w:proofErr w:type="spellStart"/>
      <w:r w:rsidRPr="00561601">
        <w:rPr>
          <w:rFonts w:cs="Arial"/>
          <w:snapToGrid/>
          <w:szCs w:val="22"/>
          <w:lang w:val="lt-LT" w:eastAsia="de-DE"/>
        </w:rPr>
        <w:t>citomegalo</w:t>
      </w:r>
      <w:proofErr w:type="spellEnd"/>
      <w:r w:rsidRPr="00561601">
        <w:rPr>
          <w:rFonts w:cs="Arial"/>
          <w:snapToGrid/>
          <w:szCs w:val="22"/>
          <w:lang w:val="lt-LT" w:eastAsia="de-DE"/>
        </w:rPr>
        <w:t xml:space="preserve"> virusą;</w:t>
      </w:r>
    </w:p>
    <w:p w14:paraId="642C4C9E"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yra infuzinis tirpalas, lašinamas (infuzijos būdu) į veną.</w:t>
      </w:r>
    </w:p>
    <w:p w14:paraId="12843BD1" w14:textId="77777777"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p>
    <w:p w14:paraId="75F78269" w14:textId="1990D53A" w:rsidR="007D3834" w:rsidRPr="00561601" w:rsidRDefault="00E47068"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7D3834" w:rsidRPr="00561601">
        <w:rPr>
          <w:rFonts w:cs="Arial"/>
          <w:snapToGrid/>
          <w:szCs w:val="22"/>
          <w:lang w:val="lt-LT" w:eastAsia="de-DE"/>
        </w:rPr>
        <w:t xml:space="preserve"> skiriamas pacientams, kuriems taikomas imunosupresinis gydymas (gydymas, skirtas imuninei sistemai slopinti), siekiant išvengti klinikinių </w:t>
      </w:r>
      <w:proofErr w:type="spellStart"/>
      <w:r w:rsidR="007D3834" w:rsidRPr="00561601">
        <w:rPr>
          <w:rFonts w:cs="Arial"/>
          <w:snapToGrid/>
          <w:szCs w:val="22"/>
          <w:lang w:val="lt-LT" w:eastAsia="de-DE"/>
        </w:rPr>
        <w:t>citomegalo</w:t>
      </w:r>
      <w:proofErr w:type="spellEnd"/>
      <w:r w:rsidR="007D3834" w:rsidRPr="00561601">
        <w:rPr>
          <w:rFonts w:cs="Arial"/>
          <w:snapToGrid/>
          <w:szCs w:val="22"/>
          <w:lang w:val="lt-LT" w:eastAsia="de-DE"/>
        </w:rPr>
        <w:t xml:space="preserve"> virusinės infekcijos apraiškų, ypač pacientams po organų transplantacijos.</w:t>
      </w:r>
    </w:p>
    <w:p w14:paraId="3352ECE8" w14:textId="77777777"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bidi="he-IL"/>
        </w:rPr>
      </w:pPr>
    </w:p>
    <w:p w14:paraId="0F575661" w14:textId="7767FDB3"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Gydytojas, skirdamas </w:t>
      </w:r>
      <w:proofErr w:type="spellStart"/>
      <w:r w:rsidR="00E47068">
        <w:rPr>
          <w:rFonts w:cs="Arial"/>
          <w:snapToGrid/>
          <w:szCs w:val="22"/>
          <w:lang w:val="lt-LT" w:eastAsia="de-DE"/>
        </w:rPr>
        <w:t>Cymvigo</w:t>
      </w:r>
      <w:proofErr w:type="spellEnd"/>
      <w:r w:rsidRPr="00561601">
        <w:rPr>
          <w:rFonts w:cs="Arial"/>
          <w:snapToGrid/>
          <w:szCs w:val="22"/>
          <w:lang w:val="lt-LT" w:eastAsia="de-DE"/>
        </w:rPr>
        <w:t>, apsvarstys</w:t>
      </w:r>
      <w:r w:rsidR="00087EF9">
        <w:rPr>
          <w:rFonts w:cs="Arial"/>
          <w:snapToGrid/>
          <w:szCs w:val="22"/>
          <w:lang w:val="lt-LT" w:eastAsia="de-DE"/>
        </w:rPr>
        <w:t xml:space="preserve"> </w:t>
      </w:r>
      <w:r w:rsidRPr="00561601">
        <w:rPr>
          <w:rFonts w:cs="Arial"/>
          <w:snapToGrid/>
          <w:szCs w:val="22"/>
          <w:lang w:val="lt-LT" w:eastAsia="de-DE"/>
        </w:rPr>
        <w:t>ati</w:t>
      </w:r>
      <w:r w:rsidR="00FC1474">
        <w:rPr>
          <w:rFonts w:cs="Arial"/>
          <w:snapToGrid/>
          <w:szCs w:val="22"/>
          <w:lang w:val="lt-LT" w:eastAsia="de-DE"/>
        </w:rPr>
        <w:t>ti</w:t>
      </w:r>
      <w:r w:rsidRPr="00561601">
        <w:rPr>
          <w:rFonts w:cs="Arial"/>
          <w:snapToGrid/>
          <w:szCs w:val="22"/>
          <w:lang w:val="lt-LT" w:eastAsia="de-DE"/>
        </w:rPr>
        <w:t>nkam</w:t>
      </w:r>
      <w:r w:rsidR="00087EF9">
        <w:rPr>
          <w:rFonts w:cs="Arial"/>
          <w:snapToGrid/>
          <w:szCs w:val="22"/>
          <w:lang w:val="lt-LT" w:eastAsia="de-DE"/>
        </w:rPr>
        <w:t>ų</w:t>
      </w:r>
      <w:r w:rsidRPr="00561601">
        <w:rPr>
          <w:rFonts w:cs="Arial"/>
          <w:snapToGrid/>
          <w:szCs w:val="22"/>
          <w:lang w:val="lt-LT" w:eastAsia="de-DE"/>
        </w:rPr>
        <w:t xml:space="preserve"> virusus </w:t>
      </w:r>
      <w:r w:rsidR="00087EF9" w:rsidRPr="00561601">
        <w:rPr>
          <w:rFonts w:cs="Arial"/>
          <w:snapToGrid/>
          <w:szCs w:val="22"/>
          <w:lang w:val="lt-LT" w:eastAsia="de-DE"/>
        </w:rPr>
        <w:t>stabdanči</w:t>
      </w:r>
      <w:r w:rsidR="00087EF9">
        <w:rPr>
          <w:rFonts w:cs="Arial"/>
          <w:snapToGrid/>
          <w:szCs w:val="22"/>
          <w:lang w:val="lt-LT" w:eastAsia="de-DE"/>
        </w:rPr>
        <w:t>ų medžiagų</w:t>
      </w:r>
      <w:r w:rsidR="00FC1474">
        <w:rPr>
          <w:rFonts w:cs="Arial"/>
          <w:snapToGrid/>
          <w:szCs w:val="22"/>
          <w:lang w:val="lt-LT" w:eastAsia="de-DE"/>
        </w:rPr>
        <w:t xml:space="preserve"> vartojimą kartu</w:t>
      </w:r>
      <w:r w:rsidRPr="00561601">
        <w:rPr>
          <w:rFonts w:cs="Arial"/>
          <w:snapToGrid/>
          <w:szCs w:val="22"/>
          <w:lang w:val="lt-LT" w:eastAsia="de-DE"/>
        </w:rPr>
        <w:t>.</w:t>
      </w:r>
    </w:p>
    <w:p w14:paraId="24996F67" w14:textId="77777777" w:rsidR="00F34163" w:rsidRPr="00561601" w:rsidRDefault="00F34163" w:rsidP="00F34163">
      <w:pPr>
        <w:numPr>
          <w:ilvl w:val="12"/>
          <w:numId w:val="0"/>
        </w:numPr>
        <w:tabs>
          <w:tab w:val="clear" w:pos="567"/>
        </w:tabs>
        <w:spacing w:line="240" w:lineRule="auto"/>
        <w:ind w:right="-2"/>
        <w:rPr>
          <w:szCs w:val="24"/>
          <w:lang w:val="lt-LT"/>
        </w:rPr>
      </w:pPr>
    </w:p>
    <w:p w14:paraId="2D5383AF" w14:textId="77777777" w:rsidR="00F34163" w:rsidRPr="00561601" w:rsidRDefault="00F34163" w:rsidP="00F34163">
      <w:pPr>
        <w:numPr>
          <w:ilvl w:val="12"/>
          <w:numId w:val="0"/>
        </w:numPr>
        <w:tabs>
          <w:tab w:val="clear" w:pos="567"/>
        </w:tabs>
        <w:spacing w:line="240" w:lineRule="auto"/>
        <w:ind w:right="-2"/>
        <w:rPr>
          <w:szCs w:val="24"/>
          <w:lang w:val="lt-LT"/>
        </w:rPr>
      </w:pPr>
    </w:p>
    <w:p w14:paraId="77EF8C10" w14:textId="6B7CB196"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2.</w:t>
      </w:r>
      <w:r w:rsidRPr="00561601">
        <w:rPr>
          <w:rFonts w:ascii="Times New Roman" w:hAnsi="Times New Roman"/>
          <w:sz w:val="22"/>
          <w:lang w:val="lt-LT"/>
        </w:rPr>
        <w:tab/>
        <w:t xml:space="preserve">Kas žinotina prieš vartojant </w:t>
      </w:r>
      <w:proofErr w:type="spellStart"/>
      <w:r w:rsidR="00E47068">
        <w:rPr>
          <w:rFonts w:ascii="Times New Roman" w:hAnsi="Times New Roman" w:cs="Arial"/>
          <w:bCs w:val="0"/>
          <w:snapToGrid/>
          <w:sz w:val="22"/>
          <w:szCs w:val="22"/>
          <w:lang w:val="lt-LT" w:eastAsia="de-DE"/>
        </w:rPr>
        <w:t>Cymvigo</w:t>
      </w:r>
      <w:proofErr w:type="spellEnd"/>
    </w:p>
    <w:p w14:paraId="3BDD4A8F" w14:textId="77777777" w:rsidR="00F34163" w:rsidRPr="00561601" w:rsidRDefault="00F34163" w:rsidP="00F34163">
      <w:pPr>
        <w:numPr>
          <w:ilvl w:val="12"/>
          <w:numId w:val="0"/>
        </w:numPr>
        <w:tabs>
          <w:tab w:val="clear" w:pos="567"/>
        </w:tabs>
        <w:spacing w:line="240" w:lineRule="auto"/>
        <w:ind w:right="-2"/>
        <w:rPr>
          <w:szCs w:val="24"/>
          <w:lang w:val="lt-LT"/>
        </w:rPr>
      </w:pPr>
    </w:p>
    <w:p w14:paraId="33821675" w14:textId="29B5C78C" w:rsidR="00F34163" w:rsidRPr="00561601" w:rsidRDefault="00E47068" w:rsidP="00F34163">
      <w:pPr>
        <w:pStyle w:val="Antrat4"/>
        <w:rPr>
          <w:rFonts w:ascii="Times New Roman" w:hAnsi="Times New Roman"/>
          <w:sz w:val="22"/>
          <w:lang w:val="lt-LT"/>
        </w:rPr>
      </w:pPr>
      <w:proofErr w:type="spellStart"/>
      <w:r>
        <w:rPr>
          <w:rFonts w:ascii="Times New Roman" w:hAnsi="Times New Roman" w:cs="Arial"/>
          <w:bCs w:val="0"/>
          <w:snapToGrid/>
          <w:sz w:val="22"/>
          <w:szCs w:val="22"/>
          <w:lang w:val="lt-LT" w:eastAsia="de-DE"/>
        </w:rPr>
        <w:t>Cymvigo</w:t>
      </w:r>
      <w:proofErr w:type="spellEnd"/>
      <w:r w:rsidR="00F34163" w:rsidRPr="00561601">
        <w:rPr>
          <w:rFonts w:ascii="Times New Roman" w:hAnsi="Times New Roman"/>
          <w:sz w:val="22"/>
          <w:lang w:val="lt-LT"/>
        </w:rPr>
        <w:t xml:space="preserve"> vartoti </w:t>
      </w:r>
      <w:r w:rsidR="00C54BE9">
        <w:rPr>
          <w:rFonts w:ascii="Times New Roman" w:hAnsi="Times New Roman"/>
          <w:sz w:val="22"/>
          <w:lang w:val="lt-LT"/>
        </w:rPr>
        <w:t>draudžiama</w:t>
      </w:r>
      <w:r w:rsidR="00F34163" w:rsidRPr="00561601">
        <w:rPr>
          <w:rFonts w:ascii="Times New Roman" w:hAnsi="Times New Roman"/>
          <w:sz w:val="22"/>
          <w:lang w:val="lt-LT"/>
        </w:rPr>
        <w:t>:</w:t>
      </w:r>
    </w:p>
    <w:p w14:paraId="20A45D6C" w14:textId="77777777" w:rsidR="00F34163" w:rsidRPr="00561601" w:rsidRDefault="001428D9" w:rsidP="00404D3A">
      <w:pPr>
        <w:numPr>
          <w:ilvl w:val="0"/>
          <w:numId w:val="18"/>
        </w:numPr>
        <w:tabs>
          <w:tab w:val="clear" w:pos="567"/>
          <w:tab w:val="left" w:pos="426"/>
        </w:tabs>
        <w:spacing w:line="240" w:lineRule="auto"/>
        <w:ind w:left="426"/>
        <w:rPr>
          <w:rFonts w:cs="Arial"/>
          <w:snapToGrid/>
          <w:szCs w:val="22"/>
          <w:lang w:val="lt-LT" w:eastAsia="de-DE"/>
        </w:rPr>
      </w:pPr>
      <w:r w:rsidRPr="00561601">
        <w:rPr>
          <w:rFonts w:cs="Arial"/>
          <w:snapToGrid/>
          <w:szCs w:val="22"/>
          <w:lang w:val="lt-LT" w:eastAsia="de-DE"/>
        </w:rPr>
        <w:t xml:space="preserve">jeigu yra </w:t>
      </w:r>
      <w:r w:rsidRPr="00561601">
        <w:rPr>
          <w:rFonts w:cs="Arial"/>
          <w:b/>
          <w:bCs/>
          <w:snapToGrid/>
          <w:szCs w:val="22"/>
          <w:lang w:val="lt-LT" w:eastAsia="de-DE"/>
        </w:rPr>
        <w:t>alergija</w:t>
      </w:r>
      <w:r w:rsidRPr="00561601">
        <w:rPr>
          <w:rFonts w:cs="Arial"/>
          <w:snapToGrid/>
          <w:szCs w:val="22"/>
          <w:lang w:val="lt-LT" w:eastAsia="de-DE"/>
        </w:rPr>
        <w:t xml:space="preserve"> žmogaus </w:t>
      </w:r>
      <w:proofErr w:type="spellStart"/>
      <w:r w:rsidRPr="00561601">
        <w:rPr>
          <w:rFonts w:cs="Arial"/>
          <w:snapToGrid/>
          <w:szCs w:val="22"/>
          <w:lang w:val="lt-LT" w:eastAsia="de-DE"/>
        </w:rPr>
        <w:t>citomegalo</w:t>
      </w:r>
      <w:proofErr w:type="spellEnd"/>
      <w:r w:rsidRPr="00561601">
        <w:rPr>
          <w:rFonts w:cs="Arial"/>
          <w:snapToGrid/>
          <w:szCs w:val="22"/>
          <w:lang w:val="lt-LT" w:eastAsia="de-DE"/>
        </w:rPr>
        <w:t xml:space="preserve"> viruso imunoglobulinui arba bet kuriai pagalbinei šio vaisto medžiagai (jos išvardytos 6 skyriuje);</w:t>
      </w:r>
    </w:p>
    <w:p w14:paraId="5CA0C6AF" w14:textId="77777777" w:rsidR="001428D9" w:rsidRPr="00561601" w:rsidRDefault="001428D9" w:rsidP="00404D3A">
      <w:pPr>
        <w:numPr>
          <w:ilvl w:val="0"/>
          <w:numId w:val="18"/>
        </w:numPr>
        <w:tabs>
          <w:tab w:val="clear" w:pos="567"/>
          <w:tab w:val="left" w:pos="426"/>
        </w:tabs>
        <w:spacing w:line="240" w:lineRule="auto"/>
        <w:ind w:left="426"/>
        <w:rPr>
          <w:rFonts w:cs="Arial"/>
          <w:snapToGrid/>
          <w:szCs w:val="22"/>
          <w:lang w:val="lt-LT" w:eastAsia="de-DE"/>
        </w:rPr>
      </w:pPr>
      <w:r w:rsidRPr="00561601">
        <w:rPr>
          <w:rFonts w:cs="Arial"/>
          <w:snapToGrid/>
          <w:szCs w:val="22"/>
          <w:lang w:val="lt-LT" w:eastAsia="de-DE"/>
        </w:rPr>
        <w:t>jeigu yra imunoglobulino A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trūkumas, ypač jeigu Jūsų kraujyje yra antikūnų prieš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nes tai gali sukelti </w:t>
      </w:r>
      <w:proofErr w:type="spellStart"/>
      <w:r w:rsidRPr="00561601">
        <w:rPr>
          <w:rFonts w:cs="Arial"/>
          <w:snapToGrid/>
          <w:szCs w:val="22"/>
          <w:lang w:val="lt-LT" w:eastAsia="de-DE"/>
        </w:rPr>
        <w:t>anafilaksiją</w:t>
      </w:r>
      <w:proofErr w:type="spellEnd"/>
      <w:r w:rsidRPr="00561601">
        <w:rPr>
          <w:rFonts w:cs="Arial"/>
          <w:snapToGrid/>
          <w:szCs w:val="22"/>
          <w:lang w:val="lt-LT" w:eastAsia="de-DE"/>
        </w:rPr>
        <w:t>.</w:t>
      </w:r>
    </w:p>
    <w:p w14:paraId="6C8FA569" w14:textId="77777777" w:rsidR="00F34163" w:rsidRPr="00561601" w:rsidRDefault="00F34163" w:rsidP="00F34163">
      <w:pPr>
        <w:numPr>
          <w:ilvl w:val="12"/>
          <w:numId w:val="0"/>
        </w:numPr>
        <w:tabs>
          <w:tab w:val="clear" w:pos="567"/>
        </w:tabs>
        <w:spacing w:line="240" w:lineRule="auto"/>
        <w:ind w:right="-2"/>
        <w:rPr>
          <w:szCs w:val="24"/>
          <w:lang w:val="lt-LT"/>
        </w:rPr>
      </w:pPr>
    </w:p>
    <w:p w14:paraId="5DC98F26"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 xml:space="preserve">Įspėjimai ir atsargumo priemonės </w:t>
      </w:r>
    </w:p>
    <w:p w14:paraId="18859520" w14:textId="3DB509AC" w:rsidR="00F34163" w:rsidRPr="00411E9F" w:rsidRDefault="00F34163" w:rsidP="00F34163">
      <w:pPr>
        <w:numPr>
          <w:ilvl w:val="12"/>
          <w:numId w:val="0"/>
        </w:numPr>
        <w:tabs>
          <w:tab w:val="clear" w:pos="567"/>
        </w:tabs>
        <w:spacing w:line="240" w:lineRule="auto"/>
        <w:ind w:right="-2"/>
        <w:rPr>
          <w:b/>
          <w:szCs w:val="24"/>
          <w:lang w:val="lt-LT"/>
        </w:rPr>
      </w:pPr>
      <w:r w:rsidRPr="00411E9F">
        <w:rPr>
          <w:b/>
          <w:noProof/>
          <w:szCs w:val="24"/>
          <w:lang w:val="lt-LT"/>
        </w:rPr>
        <w:t>Pasitarkite su gydytoju</w:t>
      </w:r>
      <w:r w:rsidR="001428D9" w:rsidRPr="00411E9F">
        <w:rPr>
          <w:b/>
          <w:noProof/>
          <w:szCs w:val="24"/>
          <w:lang w:val="lt-LT"/>
        </w:rPr>
        <w:t>,</w:t>
      </w:r>
      <w:r w:rsidRPr="00411E9F">
        <w:rPr>
          <w:b/>
          <w:noProof/>
          <w:szCs w:val="24"/>
          <w:lang w:val="lt-LT"/>
        </w:rPr>
        <w:t xml:space="preserve"> vaistininku</w:t>
      </w:r>
      <w:r w:rsidR="001428D9" w:rsidRPr="00411E9F">
        <w:rPr>
          <w:b/>
          <w:noProof/>
          <w:szCs w:val="24"/>
          <w:lang w:val="lt-LT"/>
        </w:rPr>
        <w:t xml:space="preserve"> </w:t>
      </w:r>
      <w:r w:rsidRPr="00411E9F">
        <w:rPr>
          <w:b/>
          <w:noProof/>
          <w:szCs w:val="24"/>
          <w:lang w:val="lt-LT"/>
        </w:rPr>
        <w:t xml:space="preserve">arba slaugytoju, prieš pradėdami vartoti </w:t>
      </w:r>
      <w:r w:rsidR="00E47068">
        <w:rPr>
          <w:b/>
          <w:noProof/>
          <w:szCs w:val="24"/>
          <w:lang w:val="lt-LT"/>
        </w:rPr>
        <w:t>Cymvigo</w:t>
      </w:r>
    </w:p>
    <w:p w14:paraId="57B6AAD0" w14:textId="60DC6BF2"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žmogaus imunoglobulinas skiriamas </w:t>
      </w:r>
      <w:r w:rsidRPr="00EF6F56">
        <w:rPr>
          <w:rFonts w:cs="Arial"/>
          <w:b/>
          <w:snapToGrid/>
          <w:szCs w:val="22"/>
          <w:lang w:val="lt-LT" w:eastAsia="de-DE"/>
        </w:rPr>
        <w:t>pirmą kartą arba po ilgos gydymo pertraukos, arba keičiamas imunoglobulino vaistas</w:t>
      </w:r>
      <w:r w:rsidRPr="009B6F40">
        <w:rPr>
          <w:rFonts w:cs="Arial"/>
          <w:bCs/>
          <w:snapToGrid/>
          <w:szCs w:val="22"/>
          <w:lang w:val="lt-LT" w:eastAsia="de-DE"/>
        </w:rPr>
        <w:t xml:space="preserve">. Tokiais atvejais </w:t>
      </w:r>
      <w:r w:rsidR="00087EF9">
        <w:rPr>
          <w:rFonts w:cs="Arial"/>
          <w:bCs/>
          <w:snapToGrid/>
          <w:szCs w:val="22"/>
          <w:lang w:val="lt-LT" w:eastAsia="de-DE"/>
        </w:rPr>
        <w:t>šalutinės</w:t>
      </w:r>
      <w:r w:rsidR="00087EF9" w:rsidRPr="009B6F40">
        <w:rPr>
          <w:rFonts w:cs="Arial"/>
          <w:bCs/>
          <w:snapToGrid/>
          <w:szCs w:val="22"/>
          <w:lang w:val="lt-LT" w:eastAsia="de-DE"/>
        </w:rPr>
        <w:t xml:space="preserve"> </w:t>
      </w:r>
      <w:r w:rsidRPr="009B6F40">
        <w:rPr>
          <w:rFonts w:cs="Arial"/>
          <w:bCs/>
          <w:snapToGrid/>
          <w:szCs w:val="22"/>
          <w:lang w:val="lt-LT" w:eastAsia="de-DE"/>
        </w:rPr>
        <w:t xml:space="preserve">reakcijos gali pasireikšti dažniau, todėl gydytojas </w:t>
      </w:r>
      <w:r w:rsidR="00F33A26">
        <w:rPr>
          <w:rFonts w:cs="Arial"/>
          <w:bCs/>
          <w:snapToGrid/>
          <w:szCs w:val="22"/>
          <w:lang w:val="lt-LT" w:eastAsia="de-DE"/>
        </w:rPr>
        <w:t>J</w:t>
      </w:r>
      <w:r w:rsidRPr="009B6F40">
        <w:rPr>
          <w:rFonts w:cs="Arial"/>
          <w:bCs/>
          <w:snapToGrid/>
          <w:szCs w:val="22"/>
          <w:lang w:val="lt-LT" w:eastAsia="de-DE"/>
        </w:rPr>
        <w:t>us atidžiai stebės;</w:t>
      </w:r>
    </w:p>
    <w:p w14:paraId="15C3E4A0" w14:textId="032611D0"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yra </w:t>
      </w:r>
      <w:r w:rsidRPr="00E7565F">
        <w:rPr>
          <w:rFonts w:cs="Arial"/>
          <w:bCs/>
          <w:snapToGrid/>
          <w:szCs w:val="22"/>
          <w:lang w:val="lt-LT" w:eastAsia="de-DE"/>
        </w:rPr>
        <w:t>alergija</w:t>
      </w:r>
      <w:r w:rsidRPr="009B6F40">
        <w:rPr>
          <w:rFonts w:cs="Arial"/>
          <w:bCs/>
          <w:snapToGrid/>
          <w:szCs w:val="22"/>
          <w:lang w:val="lt-LT" w:eastAsia="de-DE"/>
        </w:rPr>
        <w:t xml:space="preserve"> imunoglobulinams (žr. skyrių „</w:t>
      </w:r>
      <w:proofErr w:type="spellStart"/>
      <w:r w:rsidR="00E47068">
        <w:rPr>
          <w:rFonts w:cs="Arial"/>
          <w:bCs/>
          <w:snapToGrid/>
          <w:szCs w:val="22"/>
          <w:lang w:val="lt-LT" w:eastAsia="de-DE"/>
        </w:rPr>
        <w:t>Cymvigo</w:t>
      </w:r>
      <w:proofErr w:type="spellEnd"/>
      <w:r w:rsidRPr="009B6F40">
        <w:rPr>
          <w:rFonts w:cs="Arial"/>
          <w:bCs/>
          <w:snapToGrid/>
          <w:szCs w:val="22"/>
          <w:lang w:val="lt-LT" w:eastAsia="de-DE"/>
        </w:rPr>
        <w:t xml:space="preserve"> vartoti </w:t>
      </w:r>
      <w:r w:rsidR="00C54BE9" w:rsidRPr="009B6F40">
        <w:rPr>
          <w:rFonts w:cs="Arial"/>
          <w:bCs/>
          <w:snapToGrid/>
          <w:szCs w:val="22"/>
          <w:lang w:val="lt-LT" w:eastAsia="de-DE"/>
        </w:rPr>
        <w:t>d</w:t>
      </w:r>
      <w:r w:rsidR="00E942E1">
        <w:rPr>
          <w:rFonts w:cs="Arial"/>
          <w:bCs/>
          <w:snapToGrid/>
          <w:szCs w:val="22"/>
          <w:lang w:val="lt-LT" w:eastAsia="de-DE"/>
        </w:rPr>
        <w:t>ra</w:t>
      </w:r>
      <w:r w:rsidR="00C54BE9" w:rsidRPr="009B6F40">
        <w:rPr>
          <w:rFonts w:cs="Arial"/>
          <w:bCs/>
          <w:snapToGrid/>
          <w:szCs w:val="22"/>
          <w:lang w:val="lt-LT" w:eastAsia="de-DE"/>
        </w:rPr>
        <w:t>udžiama</w:t>
      </w:r>
      <w:r w:rsidRPr="009B6F40">
        <w:rPr>
          <w:rFonts w:cs="Arial"/>
          <w:bCs/>
          <w:snapToGrid/>
          <w:szCs w:val="22"/>
          <w:lang w:val="lt-LT" w:eastAsia="de-DE"/>
        </w:rPr>
        <w:t>“). Jūs galite būti alergiškas imunoglobulinams ir to nežinoti, net jei anksčiau vartojote imunoglobulinų ir juos gerai toleravote. Tačiau padidėjusio jautrumo reakcijos yra retos;</w:t>
      </w:r>
    </w:p>
    <w:p w14:paraId="172699A8" w14:textId="5C1CDE5A"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w:t>
      </w:r>
      <w:r w:rsidR="00087EF9">
        <w:rPr>
          <w:rFonts w:cs="Arial"/>
          <w:bCs/>
          <w:snapToGrid/>
          <w:szCs w:val="22"/>
          <w:lang w:val="lt-LT" w:eastAsia="de-DE"/>
        </w:rPr>
        <w:t>yra</w:t>
      </w:r>
      <w:r w:rsidR="00087EF9" w:rsidRPr="009B6F40">
        <w:rPr>
          <w:rFonts w:cs="Arial"/>
          <w:bCs/>
          <w:snapToGrid/>
          <w:szCs w:val="22"/>
          <w:lang w:val="lt-LT" w:eastAsia="de-DE"/>
        </w:rPr>
        <w:t xml:space="preserve"> </w:t>
      </w:r>
      <w:r w:rsidRPr="009B6F40">
        <w:rPr>
          <w:rFonts w:cs="Arial"/>
          <w:bCs/>
          <w:snapToGrid/>
          <w:szCs w:val="22"/>
          <w:lang w:val="lt-LT" w:eastAsia="de-DE"/>
        </w:rPr>
        <w:t>ne</w:t>
      </w:r>
      <w:r w:rsidR="00087EF9">
        <w:rPr>
          <w:rFonts w:cs="Arial"/>
          <w:bCs/>
          <w:snapToGrid/>
          <w:szCs w:val="22"/>
          <w:lang w:val="lt-LT" w:eastAsia="de-DE"/>
        </w:rPr>
        <w:t>iš</w:t>
      </w:r>
      <w:r w:rsidRPr="009B6F40">
        <w:rPr>
          <w:rFonts w:cs="Arial"/>
          <w:bCs/>
          <w:snapToGrid/>
          <w:szCs w:val="22"/>
          <w:lang w:val="lt-LT" w:eastAsia="de-DE"/>
        </w:rPr>
        <w:t>gyd</w:t>
      </w:r>
      <w:r w:rsidR="00087EF9">
        <w:rPr>
          <w:rFonts w:cs="Arial"/>
          <w:bCs/>
          <w:snapToGrid/>
          <w:szCs w:val="22"/>
          <w:lang w:val="lt-LT" w:eastAsia="de-DE"/>
        </w:rPr>
        <w:t>yta</w:t>
      </w:r>
      <w:r w:rsidRPr="009B6F40">
        <w:rPr>
          <w:rFonts w:cs="Arial"/>
          <w:bCs/>
          <w:snapToGrid/>
          <w:szCs w:val="22"/>
          <w:lang w:val="lt-LT" w:eastAsia="de-DE"/>
        </w:rPr>
        <w:t xml:space="preserve"> infekcija arba yra ilgalaikis (lėtinis) uždegimas;</w:t>
      </w:r>
    </w:p>
    <w:p w14:paraId="3EE1791B" w14:textId="77777777" w:rsidR="004A59A1" w:rsidRPr="005832AB"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jeigu:</w:t>
      </w:r>
    </w:p>
    <w:p w14:paraId="6AEFC7B0" w14:textId="1CC78997" w:rsidR="004A59A1" w:rsidRPr="009B6F40" w:rsidRDefault="00087EF9"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Pr>
          <w:rFonts w:cs="Arial"/>
          <w:bCs/>
          <w:snapToGrid/>
          <w:szCs w:val="22"/>
          <w:lang w:val="lt-LT" w:eastAsia="de-DE"/>
        </w:rPr>
        <w:t>yra</w:t>
      </w:r>
      <w:r w:rsidRPr="005832AB">
        <w:rPr>
          <w:rFonts w:cs="Arial"/>
          <w:bCs/>
          <w:snapToGrid/>
          <w:szCs w:val="22"/>
          <w:lang w:val="lt-LT" w:eastAsia="de-DE"/>
        </w:rPr>
        <w:t xml:space="preserve"> </w:t>
      </w:r>
      <w:r w:rsidR="004A59A1" w:rsidRPr="00EF6F56">
        <w:rPr>
          <w:rFonts w:cs="Arial"/>
          <w:b/>
          <w:snapToGrid/>
          <w:szCs w:val="22"/>
          <w:lang w:val="lt-LT" w:eastAsia="de-DE"/>
        </w:rPr>
        <w:t xml:space="preserve">labai </w:t>
      </w:r>
      <w:r w:rsidRPr="00EF6F56">
        <w:rPr>
          <w:rFonts w:cs="Arial"/>
          <w:b/>
          <w:snapToGrid/>
          <w:szCs w:val="22"/>
          <w:lang w:val="lt-LT" w:eastAsia="de-DE"/>
        </w:rPr>
        <w:t>didelis antsvoris</w:t>
      </w:r>
      <w:r w:rsidRPr="005832AB">
        <w:rPr>
          <w:rFonts w:cs="Arial"/>
          <w:bCs/>
          <w:snapToGrid/>
          <w:szCs w:val="22"/>
          <w:lang w:val="lt-LT" w:eastAsia="de-DE"/>
        </w:rPr>
        <w:t xml:space="preserve"> </w:t>
      </w:r>
      <w:r w:rsidR="004A59A1" w:rsidRPr="005832AB">
        <w:rPr>
          <w:rFonts w:cs="Arial"/>
          <w:bCs/>
          <w:snapToGrid/>
          <w:szCs w:val="22"/>
          <w:lang w:val="lt-LT" w:eastAsia="de-DE"/>
        </w:rPr>
        <w:t>arba</w:t>
      </w:r>
      <w:r w:rsidR="004A59A1" w:rsidRPr="009B6F40">
        <w:rPr>
          <w:rFonts w:cs="Arial"/>
          <w:bCs/>
          <w:snapToGrid/>
          <w:szCs w:val="22"/>
          <w:lang w:val="lt-LT" w:eastAsia="de-DE"/>
        </w:rPr>
        <w:t xml:space="preserve"> esate </w:t>
      </w:r>
      <w:r w:rsidR="004A59A1" w:rsidRPr="00EF6F56">
        <w:rPr>
          <w:rFonts w:cs="Arial"/>
          <w:b/>
          <w:snapToGrid/>
          <w:szCs w:val="22"/>
          <w:lang w:val="lt-LT" w:eastAsia="de-DE"/>
        </w:rPr>
        <w:t>senyv</w:t>
      </w:r>
      <w:r w:rsidRPr="00EF6F56">
        <w:rPr>
          <w:rFonts w:cs="Arial"/>
          <w:b/>
          <w:snapToGrid/>
          <w:szCs w:val="22"/>
          <w:lang w:val="lt-LT" w:eastAsia="de-DE"/>
        </w:rPr>
        <w:t>as</w:t>
      </w:r>
      <w:r w:rsidR="004A59A1" w:rsidRPr="009B6F40">
        <w:rPr>
          <w:rFonts w:cs="Arial"/>
          <w:bCs/>
          <w:snapToGrid/>
          <w:szCs w:val="22"/>
          <w:lang w:val="lt-LT" w:eastAsia="de-DE"/>
        </w:rPr>
        <w:t>;</w:t>
      </w:r>
    </w:p>
    <w:p w14:paraId="0BCCA4B3"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F6F56">
        <w:rPr>
          <w:rFonts w:cs="Arial"/>
          <w:b/>
          <w:snapToGrid/>
          <w:szCs w:val="22"/>
          <w:lang w:val="lt-LT" w:eastAsia="de-DE"/>
        </w:rPr>
        <w:t>aukštas kraujospūdis (hipertenzija)</w:t>
      </w:r>
      <w:r w:rsidRPr="009B6F40">
        <w:rPr>
          <w:rFonts w:cs="Arial"/>
          <w:bCs/>
          <w:snapToGrid/>
          <w:szCs w:val="22"/>
          <w:lang w:val="lt-LT" w:eastAsia="de-DE"/>
        </w:rPr>
        <w:t xml:space="preserve">, sergate </w:t>
      </w:r>
      <w:r w:rsidRPr="00EF6F56">
        <w:rPr>
          <w:rFonts w:cs="Arial"/>
          <w:b/>
          <w:snapToGrid/>
          <w:szCs w:val="22"/>
          <w:lang w:val="lt-LT" w:eastAsia="de-DE"/>
        </w:rPr>
        <w:t xml:space="preserve">diabetu </w:t>
      </w:r>
      <w:r w:rsidRPr="009B6F40">
        <w:rPr>
          <w:rFonts w:cs="Arial"/>
          <w:bCs/>
          <w:snapToGrid/>
          <w:szCs w:val="22"/>
          <w:lang w:val="lt-LT" w:eastAsia="de-DE"/>
        </w:rPr>
        <w:t xml:space="preserve">arba </w:t>
      </w:r>
      <w:r w:rsidRPr="00EF6F56">
        <w:rPr>
          <w:rFonts w:cs="Arial"/>
          <w:b/>
          <w:snapToGrid/>
          <w:szCs w:val="22"/>
          <w:lang w:val="lt-LT" w:eastAsia="de-DE"/>
        </w:rPr>
        <w:t>kraujagyslių liga</w:t>
      </w:r>
      <w:r w:rsidRPr="009B6F40">
        <w:rPr>
          <w:rFonts w:cs="Arial"/>
          <w:bCs/>
          <w:snapToGrid/>
          <w:szCs w:val="22"/>
          <w:lang w:val="lt-LT" w:eastAsia="de-DE"/>
        </w:rPr>
        <w:t>;</w:t>
      </w:r>
    </w:p>
    <w:p w14:paraId="44D720F2"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7565F">
        <w:rPr>
          <w:rFonts w:cs="Arial"/>
          <w:bCs/>
          <w:snapToGrid/>
          <w:szCs w:val="22"/>
          <w:lang w:val="lt-LT" w:eastAsia="de-DE"/>
        </w:rPr>
        <w:t xml:space="preserve">padidėjęs </w:t>
      </w:r>
      <w:r w:rsidRPr="00EF6F56">
        <w:rPr>
          <w:rFonts w:cs="Arial"/>
          <w:b/>
          <w:snapToGrid/>
          <w:szCs w:val="22"/>
          <w:lang w:val="lt-LT" w:eastAsia="de-DE"/>
        </w:rPr>
        <w:t>polinkis į kraujo krešėjimą</w:t>
      </w:r>
      <w:r w:rsidRPr="009B6F40">
        <w:rPr>
          <w:rFonts w:cs="Arial"/>
          <w:bCs/>
          <w:snapToGrid/>
          <w:szCs w:val="22"/>
          <w:lang w:val="lt-LT" w:eastAsia="de-DE"/>
        </w:rPr>
        <w:t>;</w:t>
      </w:r>
    </w:p>
    <w:p w14:paraId="0C17CD6B" w14:textId="2DF638BA"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ilgą laiką </w:t>
      </w:r>
      <w:r w:rsidR="00087EF9" w:rsidRPr="009B6F40">
        <w:rPr>
          <w:rFonts w:cs="Arial"/>
          <w:bCs/>
          <w:snapToGrid/>
          <w:szCs w:val="22"/>
          <w:lang w:val="lt-LT" w:eastAsia="de-DE"/>
        </w:rPr>
        <w:t>tur</w:t>
      </w:r>
      <w:r w:rsidR="00087EF9">
        <w:rPr>
          <w:rFonts w:cs="Arial"/>
          <w:bCs/>
          <w:snapToGrid/>
          <w:szCs w:val="22"/>
          <w:lang w:val="lt-LT" w:eastAsia="de-DE"/>
        </w:rPr>
        <w:t>ite</w:t>
      </w:r>
      <w:r w:rsidR="00087EF9" w:rsidRPr="009B6F40">
        <w:rPr>
          <w:rFonts w:cs="Arial"/>
          <w:bCs/>
          <w:snapToGrid/>
          <w:szCs w:val="22"/>
          <w:lang w:val="lt-LT" w:eastAsia="de-DE"/>
        </w:rPr>
        <w:t xml:space="preserve"> </w:t>
      </w:r>
      <w:r w:rsidRPr="00EF6F56">
        <w:rPr>
          <w:rFonts w:cs="Arial"/>
          <w:b/>
          <w:snapToGrid/>
          <w:szCs w:val="22"/>
          <w:lang w:val="lt-LT" w:eastAsia="de-DE"/>
        </w:rPr>
        <w:t>gulėti lovoje</w:t>
      </w:r>
      <w:r w:rsidRPr="009B6F40">
        <w:rPr>
          <w:rFonts w:cs="Arial"/>
          <w:bCs/>
          <w:snapToGrid/>
          <w:szCs w:val="22"/>
          <w:lang w:val="lt-LT" w:eastAsia="de-DE"/>
        </w:rPr>
        <w:t>;</w:t>
      </w:r>
    </w:p>
    <w:p w14:paraId="08302BC2"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7565F">
        <w:rPr>
          <w:rFonts w:cs="Arial"/>
          <w:bCs/>
          <w:snapToGrid/>
          <w:szCs w:val="22"/>
          <w:lang w:val="lt-LT" w:eastAsia="de-DE"/>
        </w:rPr>
        <w:t xml:space="preserve">sumažėjęs </w:t>
      </w:r>
      <w:r w:rsidRPr="00EF6F56">
        <w:rPr>
          <w:rFonts w:cs="Arial"/>
          <w:b/>
          <w:snapToGrid/>
          <w:szCs w:val="22"/>
          <w:lang w:val="lt-LT" w:eastAsia="de-DE"/>
        </w:rPr>
        <w:t xml:space="preserve">bendras kraujo </w:t>
      </w:r>
      <w:r w:rsidR="00C64E44" w:rsidRPr="00EF6F56">
        <w:rPr>
          <w:rFonts w:cs="Arial"/>
          <w:b/>
          <w:snapToGrid/>
          <w:szCs w:val="22"/>
          <w:lang w:val="lt-LT" w:eastAsia="de-DE"/>
        </w:rPr>
        <w:t>tūris</w:t>
      </w:r>
      <w:r w:rsidR="00C64E44" w:rsidRPr="009B6F40">
        <w:rPr>
          <w:rFonts w:cs="Arial"/>
          <w:bCs/>
          <w:snapToGrid/>
          <w:szCs w:val="22"/>
          <w:lang w:val="lt-LT" w:eastAsia="de-DE"/>
        </w:rPr>
        <w:t xml:space="preserve"> </w:t>
      </w:r>
      <w:r w:rsidRPr="009B6F40">
        <w:rPr>
          <w:rFonts w:cs="Arial"/>
          <w:bCs/>
          <w:snapToGrid/>
          <w:szCs w:val="22"/>
          <w:lang w:val="lt-LT" w:eastAsia="de-DE"/>
        </w:rPr>
        <w:t>(</w:t>
      </w:r>
      <w:proofErr w:type="spellStart"/>
      <w:r w:rsidRPr="009B6F40">
        <w:rPr>
          <w:rFonts w:cs="Arial"/>
          <w:bCs/>
          <w:snapToGrid/>
          <w:szCs w:val="22"/>
          <w:lang w:val="lt-LT" w:eastAsia="de-DE"/>
        </w:rPr>
        <w:t>hipovolemija</w:t>
      </w:r>
      <w:proofErr w:type="spellEnd"/>
      <w:r w:rsidRPr="009B6F40">
        <w:rPr>
          <w:rFonts w:cs="Arial"/>
          <w:bCs/>
          <w:snapToGrid/>
          <w:szCs w:val="22"/>
          <w:lang w:val="lt-LT" w:eastAsia="de-DE"/>
        </w:rPr>
        <w:t xml:space="preserve">) arba </w:t>
      </w:r>
      <w:r w:rsidRPr="00EF6F56">
        <w:rPr>
          <w:rFonts w:cs="Arial"/>
          <w:b/>
          <w:snapToGrid/>
          <w:szCs w:val="22"/>
          <w:lang w:val="lt-LT" w:eastAsia="de-DE"/>
        </w:rPr>
        <w:t>kraujas yra tirštesnis nei įprasta</w:t>
      </w:r>
      <w:r w:rsidRPr="009B6F40">
        <w:rPr>
          <w:rFonts w:cs="Arial"/>
          <w:bCs/>
          <w:snapToGrid/>
          <w:szCs w:val="22"/>
          <w:lang w:val="lt-LT" w:eastAsia="de-DE"/>
        </w:rPr>
        <w:t>;</w:t>
      </w:r>
    </w:p>
    <w:p w14:paraId="3B0B798F" w14:textId="296C81CD"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jau sergate </w:t>
      </w:r>
      <w:r w:rsidRPr="00EF6F56">
        <w:rPr>
          <w:rFonts w:cs="Arial"/>
          <w:b/>
          <w:snapToGrid/>
          <w:szCs w:val="22"/>
          <w:lang w:val="lt-LT" w:eastAsia="de-DE"/>
        </w:rPr>
        <w:t>inkstų liga</w:t>
      </w:r>
      <w:r w:rsidRPr="009B6F40">
        <w:rPr>
          <w:rFonts w:cs="Arial"/>
          <w:bCs/>
          <w:snapToGrid/>
          <w:szCs w:val="22"/>
          <w:lang w:val="lt-LT" w:eastAsia="de-DE"/>
        </w:rPr>
        <w:t xml:space="preserve"> arba </w:t>
      </w:r>
      <w:r w:rsidRPr="00E7565F">
        <w:rPr>
          <w:rFonts w:cs="Arial"/>
          <w:bCs/>
          <w:snapToGrid/>
          <w:szCs w:val="22"/>
          <w:lang w:val="lt-LT" w:eastAsia="de-DE"/>
        </w:rPr>
        <w:t xml:space="preserve">vartojate </w:t>
      </w:r>
      <w:r w:rsidR="00087EF9" w:rsidRPr="00EF6F56">
        <w:rPr>
          <w:rFonts w:cs="Arial"/>
          <w:b/>
          <w:snapToGrid/>
          <w:szCs w:val="22"/>
          <w:lang w:val="lt-LT" w:eastAsia="de-DE"/>
        </w:rPr>
        <w:t>vaistų</w:t>
      </w:r>
      <w:r w:rsidRPr="00EF6F56">
        <w:rPr>
          <w:rFonts w:cs="Arial"/>
          <w:b/>
          <w:snapToGrid/>
          <w:szCs w:val="22"/>
          <w:lang w:val="lt-LT" w:eastAsia="de-DE"/>
        </w:rPr>
        <w:t xml:space="preserve">, kurie gali pakenkti </w:t>
      </w:r>
      <w:r w:rsidR="00087EF9" w:rsidRPr="00EF6F56">
        <w:rPr>
          <w:rFonts w:cs="Arial"/>
          <w:b/>
          <w:snapToGrid/>
          <w:szCs w:val="22"/>
          <w:lang w:val="lt-LT" w:eastAsia="de-DE"/>
        </w:rPr>
        <w:t xml:space="preserve">Jūsų </w:t>
      </w:r>
      <w:r w:rsidRPr="00EF6F56">
        <w:rPr>
          <w:rFonts w:cs="Arial"/>
          <w:b/>
          <w:snapToGrid/>
          <w:szCs w:val="22"/>
          <w:lang w:val="lt-LT" w:eastAsia="de-DE"/>
        </w:rPr>
        <w:t>inkstams</w:t>
      </w:r>
      <w:r w:rsidRPr="009B6F40">
        <w:rPr>
          <w:rFonts w:cs="Arial"/>
          <w:bCs/>
          <w:snapToGrid/>
          <w:szCs w:val="22"/>
          <w:lang w:val="lt-LT" w:eastAsia="de-DE"/>
        </w:rPr>
        <w:t>.</w:t>
      </w:r>
    </w:p>
    <w:p w14:paraId="424332BF" w14:textId="70F1567E" w:rsidR="004A59A1" w:rsidRPr="009B6F40" w:rsidRDefault="004A59A1" w:rsidP="004A59A1">
      <w:pPr>
        <w:tabs>
          <w:tab w:val="clear" w:pos="567"/>
        </w:tabs>
        <w:overflowPunct w:val="0"/>
        <w:autoSpaceDE w:val="0"/>
        <w:autoSpaceDN w:val="0"/>
        <w:adjustRightInd w:val="0"/>
        <w:spacing w:line="240" w:lineRule="auto"/>
        <w:ind w:left="357"/>
        <w:textAlignment w:val="baseline"/>
        <w:rPr>
          <w:bCs/>
          <w:snapToGrid/>
          <w:szCs w:val="22"/>
          <w:lang w:val="lt-LT" w:eastAsia="de-DE"/>
        </w:rPr>
      </w:pPr>
      <w:r w:rsidRPr="009B6F40">
        <w:rPr>
          <w:rFonts w:cs="Arial"/>
          <w:bCs/>
          <w:snapToGrid/>
          <w:szCs w:val="22"/>
          <w:lang w:val="lt-LT" w:eastAsia="de-DE"/>
        </w:rPr>
        <w:t xml:space="preserve">Tokiais atvejais padidėja šalutinio poveikio rizika. Gydytojas gali nutraukti gydymą </w:t>
      </w:r>
      <w:proofErr w:type="spellStart"/>
      <w:r w:rsidR="00E47068">
        <w:rPr>
          <w:rFonts w:cs="Arial"/>
          <w:bCs/>
          <w:snapToGrid/>
          <w:szCs w:val="22"/>
          <w:lang w:val="lt-LT" w:eastAsia="de-DE"/>
        </w:rPr>
        <w:t>Cymvigo</w:t>
      </w:r>
      <w:proofErr w:type="spellEnd"/>
      <w:r w:rsidRPr="009B6F40">
        <w:rPr>
          <w:rFonts w:cs="Arial"/>
          <w:bCs/>
          <w:snapToGrid/>
          <w:szCs w:val="22"/>
          <w:lang w:val="lt-LT" w:eastAsia="de-DE"/>
        </w:rPr>
        <w:t xml:space="preserve"> arba imtis kitų atsargumo priemonių (pvz., skirti </w:t>
      </w:r>
      <w:r w:rsidR="00041E90">
        <w:rPr>
          <w:rFonts w:cs="Arial"/>
          <w:bCs/>
          <w:snapToGrid/>
          <w:szCs w:val="22"/>
          <w:lang w:val="lt-LT" w:eastAsia="de-DE"/>
        </w:rPr>
        <w:t xml:space="preserve">infuziją </w:t>
      </w:r>
      <w:r w:rsidRPr="009B6F40">
        <w:rPr>
          <w:rFonts w:cs="Arial"/>
          <w:bCs/>
          <w:snapToGrid/>
          <w:szCs w:val="22"/>
          <w:lang w:val="lt-LT" w:eastAsia="de-DE"/>
        </w:rPr>
        <w:t xml:space="preserve">itin </w:t>
      </w:r>
      <w:r w:rsidR="00041E90" w:rsidRPr="009B6F40">
        <w:rPr>
          <w:rFonts w:cs="Arial"/>
          <w:bCs/>
          <w:snapToGrid/>
          <w:szCs w:val="22"/>
          <w:lang w:val="lt-LT" w:eastAsia="de-DE"/>
        </w:rPr>
        <w:t>lėt</w:t>
      </w:r>
      <w:r w:rsidR="00041E90">
        <w:rPr>
          <w:rFonts w:cs="Arial"/>
          <w:bCs/>
          <w:snapToGrid/>
          <w:szCs w:val="22"/>
          <w:lang w:val="lt-LT" w:eastAsia="de-DE"/>
        </w:rPr>
        <w:t>u</w:t>
      </w:r>
      <w:r w:rsidR="00041E90" w:rsidRPr="009B6F40">
        <w:rPr>
          <w:rFonts w:cs="Arial"/>
          <w:bCs/>
          <w:snapToGrid/>
          <w:szCs w:val="22"/>
          <w:lang w:val="lt-LT" w:eastAsia="de-DE"/>
        </w:rPr>
        <w:t xml:space="preserve"> </w:t>
      </w:r>
      <w:r w:rsidRPr="009B6F40">
        <w:rPr>
          <w:rFonts w:cs="Arial"/>
          <w:bCs/>
          <w:snapToGrid/>
          <w:szCs w:val="22"/>
          <w:lang w:val="lt-LT" w:eastAsia="de-DE"/>
        </w:rPr>
        <w:t>greiči</w:t>
      </w:r>
      <w:r w:rsidR="00041E90">
        <w:rPr>
          <w:rFonts w:cs="Arial"/>
          <w:bCs/>
          <w:snapToGrid/>
          <w:szCs w:val="22"/>
          <w:lang w:val="lt-LT" w:eastAsia="de-DE"/>
        </w:rPr>
        <w:t>u</w:t>
      </w:r>
      <w:r w:rsidRPr="009B6F40">
        <w:rPr>
          <w:rFonts w:cs="Arial"/>
          <w:bCs/>
          <w:snapToGrid/>
          <w:szCs w:val="22"/>
          <w:lang w:val="lt-LT" w:eastAsia="de-DE"/>
        </w:rPr>
        <w:t>).</w:t>
      </w:r>
    </w:p>
    <w:p w14:paraId="26FEB463" w14:textId="77777777" w:rsidR="004A59A1" w:rsidRPr="00561601" w:rsidRDefault="004A59A1" w:rsidP="004A59A1">
      <w:pPr>
        <w:tabs>
          <w:tab w:val="clear" w:pos="567"/>
        </w:tabs>
        <w:overflowPunct w:val="0"/>
        <w:autoSpaceDE w:val="0"/>
        <w:autoSpaceDN w:val="0"/>
        <w:adjustRightInd w:val="0"/>
        <w:spacing w:line="240" w:lineRule="auto"/>
        <w:textAlignment w:val="baseline"/>
        <w:rPr>
          <w:b/>
          <w:bCs/>
          <w:snapToGrid/>
          <w:szCs w:val="22"/>
          <w:lang w:val="lt-LT" w:eastAsia="de-DE"/>
        </w:rPr>
      </w:pPr>
    </w:p>
    <w:p w14:paraId="145AFC21" w14:textId="77777777" w:rsidR="004A59A1" w:rsidRPr="00561601" w:rsidRDefault="004A59A1" w:rsidP="004A59A1">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rPr>
      </w:pPr>
      <w:r w:rsidRPr="00561601">
        <w:rPr>
          <w:snapToGrid/>
          <w:szCs w:val="22"/>
          <w:u w:val="single"/>
          <w:lang w:val="lt-LT" w:eastAsia="de-DE"/>
        </w:rPr>
        <w:t>Reakcijos į infuziją</w:t>
      </w:r>
    </w:p>
    <w:p w14:paraId="01874061" w14:textId="33198329"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Jeigu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infuzijos metu pasireiškė bet kuris iš toliau išvardytų reakcijos požymių, pvz., galvos skausmas, </w:t>
      </w:r>
      <w:r w:rsidR="00041E90">
        <w:rPr>
          <w:rFonts w:cs="Arial"/>
          <w:snapToGrid/>
          <w:szCs w:val="22"/>
          <w:lang w:val="lt-LT" w:eastAsia="de-DE"/>
        </w:rPr>
        <w:t>staigus</w:t>
      </w:r>
      <w:r w:rsidRPr="00561601">
        <w:rPr>
          <w:rFonts w:cs="Arial"/>
          <w:snapToGrid/>
          <w:szCs w:val="22"/>
          <w:lang w:val="lt-LT" w:eastAsia="de-DE"/>
        </w:rPr>
        <w:t xml:space="preserve"> paraudimas, </w:t>
      </w:r>
      <w:proofErr w:type="spellStart"/>
      <w:r w:rsidRPr="00561601">
        <w:rPr>
          <w:rFonts w:cs="Arial"/>
          <w:snapToGrid/>
          <w:szCs w:val="22"/>
          <w:lang w:val="lt-LT" w:eastAsia="de-DE"/>
        </w:rPr>
        <w:t>šaltkrėtis</w:t>
      </w:r>
      <w:proofErr w:type="spellEnd"/>
      <w:r w:rsidRPr="00561601">
        <w:rPr>
          <w:rFonts w:cs="Arial"/>
          <w:snapToGrid/>
          <w:szCs w:val="22"/>
          <w:lang w:val="lt-LT" w:eastAsia="de-DE"/>
        </w:rPr>
        <w:t>, raumenų skausmas, švokštimas, dažnas širdies plakimas, apatinės nugaros dalies skausmas, pykinimas ir žemas kraujospūdis, nedelsdami praneškite gydytojui.</w:t>
      </w:r>
    </w:p>
    <w:p w14:paraId="3CBD7A2B"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4C048E8D" w14:textId="74C9883E"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b/>
          <w:bCs/>
          <w:snapToGrid/>
          <w:szCs w:val="22"/>
          <w:lang w:val="lt-LT" w:eastAsia="de-DE"/>
        </w:rPr>
        <w:t>Nedelsdami pasakykite gydytojui</w:t>
      </w:r>
      <w:r w:rsidRPr="00561601">
        <w:rPr>
          <w:rFonts w:cs="Arial"/>
          <w:snapToGrid/>
          <w:szCs w:val="22"/>
          <w:lang w:val="lt-LT" w:eastAsia="de-DE"/>
        </w:rPr>
        <w:t xml:space="preserve">, jeigu pastebėsite tokias reakcijas vartojant </w:t>
      </w:r>
      <w:proofErr w:type="spellStart"/>
      <w:r w:rsidR="00E47068">
        <w:rPr>
          <w:rFonts w:cs="Arial"/>
          <w:snapToGrid/>
          <w:szCs w:val="22"/>
          <w:lang w:val="lt-LT" w:eastAsia="de-DE"/>
        </w:rPr>
        <w:t>Cymvigo</w:t>
      </w:r>
      <w:proofErr w:type="spellEnd"/>
      <w:r w:rsidRPr="00561601">
        <w:rPr>
          <w:rFonts w:cs="Arial"/>
          <w:snapToGrid/>
          <w:szCs w:val="22"/>
          <w:lang w:val="lt-LT" w:eastAsia="de-DE"/>
        </w:rPr>
        <w:t>. Jis nuspręs, ar sumažinti infuzijos greitį, ar visiškai nutraukti infuziją ir imtis reikiamų medicininių priemonių šiems simptomams gydyti.</w:t>
      </w:r>
    </w:p>
    <w:p w14:paraId="65DD8EBD"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bidi="en-GB"/>
        </w:rPr>
      </w:pPr>
    </w:p>
    <w:p w14:paraId="7FB9C87D" w14:textId="77777777" w:rsidR="004A59A1" w:rsidRPr="00561601" w:rsidRDefault="004A59A1"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u w:val="single"/>
          <w:lang w:val="lt-LT" w:eastAsia="de-DE"/>
        </w:rPr>
      </w:pPr>
      <w:r w:rsidRPr="00561601">
        <w:rPr>
          <w:rFonts w:cs="Arial"/>
          <w:snapToGrid/>
          <w:szCs w:val="22"/>
          <w:u w:val="single"/>
          <w:lang w:val="lt-LT" w:eastAsia="de-DE"/>
        </w:rPr>
        <w:t>Informacija apie saugumą infekcijų atžvilgiu</w:t>
      </w:r>
    </w:p>
    <w:p w14:paraId="154D6FD4" w14:textId="03696398" w:rsidR="004A59A1" w:rsidRPr="00561601" w:rsidRDefault="00E47068"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proofErr w:type="spellStart"/>
      <w:r>
        <w:rPr>
          <w:rFonts w:cs="Arial"/>
          <w:snapToGrid/>
          <w:szCs w:val="22"/>
          <w:lang w:val="lt-LT" w:eastAsia="de-DE"/>
        </w:rPr>
        <w:t>Cymvigo</w:t>
      </w:r>
      <w:proofErr w:type="spellEnd"/>
      <w:r w:rsidR="004A59A1" w:rsidRPr="00561601">
        <w:rPr>
          <w:rFonts w:cs="Arial"/>
          <w:snapToGrid/>
          <w:szCs w:val="22"/>
          <w:lang w:val="lt-LT" w:eastAsia="de-DE"/>
        </w:rPr>
        <w:t xml:space="preserve"> gaminamas iš žmogaus plazmos (tai yra skystoji kraujo dalis). Kai vaistai gaminami iš žmogaus kraujo ar plazmos, imamasi tam tikrų priemonių, kad būtų išvengta infekcijų perdavimo pacientams, vartojantiems </w:t>
      </w:r>
      <w:r w:rsidR="00041E90" w:rsidRPr="00561601">
        <w:rPr>
          <w:rFonts w:cs="Arial"/>
          <w:snapToGrid/>
          <w:szCs w:val="22"/>
          <w:lang w:val="lt-LT" w:eastAsia="de-DE"/>
        </w:rPr>
        <w:t>š</w:t>
      </w:r>
      <w:r w:rsidR="00041E90">
        <w:rPr>
          <w:rFonts w:cs="Arial"/>
          <w:snapToGrid/>
          <w:szCs w:val="22"/>
          <w:lang w:val="lt-LT" w:eastAsia="de-DE"/>
        </w:rPr>
        <w:t>io</w:t>
      </w:r>
      <w:r w:rsidR="00041E90" w:rsidRPr="00561601">
        <w:rPr>
          <w:rFonts w:cs="Arial"/>
          <w:snapToGrid/>
          <w:szCs w:val="22"/>
          <w:lang w:val="lt-LT" w:eastAsia="de-DE"/>
        </w:rPr>
        <w:t xml:space="preserve"> vaist</w:t>
      </w:r>
      <w:r w:rsidR="00041E90">
        <w:rPr>
          <w:rFonts w:cs="Arial"/>
          <w:snapToGrid/>
          <w:szCs w:val="22"/>
          <w:lang w:val="lt-LT" w:eastAsia="de-DE"/>
        </w:rPr>
        <w:t>o</w:t>
      </w:r>
      <w:r w:rsidR="004A59A1" w:rsidRPr="00561601">
        <w:rPr>
          <w:rFonts w:cs="Arial"/>
          <w:snapToGrid/>
          <w:szCs w:val="22"/>
          <w:lang w:val="lt-LT" w:eastAsia="de-DE"/>
        </w:rPr>
        <w:t>. Visi kraujo donorai yra tiriami dėl virusų ir infekcijų. Be to, kraujo arba plazmos apdorojimas apima veiksmus, kurie gali virus</w:t>
      </w:r>
      <w:r w:rsidR="00B61254">
        <w:rPr>
          <w:rFonts w:cs="Arial"/>
          <w:snapToGrid/>
          <w:szCs w:val="22"/>
          <w:lang w:val="lt-LT" w:eastAsia="de-DE"/>
        </w:rPr>
        <w:t>u</w:t>
      </w:r>
      <w:r w:rsidR="004A59A1" w:rsidRPr="00561601">
        <w:rPr>
          <w:rFonts w:cs="Arial"/>
          <w:snapToGrid/>
          <w:szCs w:val="22"/>
          <w:lang w:val="lt-LT" w:eastAsia="de-DE"/>
        </w:rPr>
        <w:t>s padaryti neaktyvius arba juos pašalinti.</w:t>
      </w:r>
    </w:p>
    <w:p w14:paraId="56C7DAC7" w14:textId="77777777" w:rsidR="004A59A1" w:rsidRPr="00561601" w:rsidRDefault="004A59A1"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p>
    <w:p w14:paraId="4C20D810" w14:textId="14B1A331"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Nepaisant šių priemonių, vartojant iš žmogaus kraujo ar plazmos </w:t>
      </w:r>
      <w:r w:rsidR="00041E90" w:rsidRPr="00561601">
        <w:rPr>
          <w:rFonts w:cs="Arial"/>
          <w:snapToGrid/>
          <w:szCs w:val="22"/>
          <w:lang w:val="lt-LT" w:eastAsia="de-DE"/>
        </w:rPr>
        <w:t>pagamint</w:t>
      </w:r>
      <w:r w:rsidR="00041E90">
        <w:rPr>
          <w:rFonts w:cs="Arial"/>
          <w:snapToGrid/>
          <w:szCs w:val="22"/>
          <w:lang w:val="lt-LT" w:eastAsia="de-DE"/>
        </w:rPr>
        <w:t>ų</w:t>
      </w:r>
      <w:r w:rsidR="00041E90" w:rsidRPr="00561601">
        <w:rPr>
          <w:rFonts w:cs="Arial"/>
          <w:snapToGrid/>
          <w:szCs w:val="22"/>
          <w:lang w:val="lt-LT" w:eastAsia="de-DE"/>
        </w:rPr>
        <w:t xml:space="preserve"> vaist</w:t>
      </w:r>
      <w:r w:rsidR="00041E90">
        <w:rPr>
          <w:rFonts w:cs="Arial"/>
          <w:snapToGrid/>
          <w:szCs w:val="22"/>
          <w:lang w:val="lt-LT" w:eastAsia="de-DE"/>
        </w:rPr>
        <w:t>ų</w:t>
      </w:r>
      <w:r w:rsidRPr="00561601">
        <w:rPr>
          <w:rFonts w:cs="Arial"/>
          <w:snapToGrid/>
          <w:szCs w:val="22"/>
          <w:lang w:val="lt-LT" w:eastAsia="de-DE"/>
        </w:rPr>
        <w:t>, negalima visiškai išvengti tikimybės, kad bus perduota infekcija.</w:t>
      </w:r>
    </w:p>
    <w:p w14:paraId="230DBA80"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60B88E6C"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Priemonės, kurių buvo imtasi, laikomos veiksmingomis nuo tokių virusų kaip:</w:t>
      </w:r>
    </w:p>
    <w:p w14:paraId="233CC1D8"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žmogaus imunodeficito virusas (ŽIV);</w:t>
      </w:r>
    </w:p>
    <w:p w14:paraId="6CE53191"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A virusas (HAV);</w:t>
      </w:r>
    </w:p>
    <w:p w14:paraId="2FAB6710"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B virusas (HBV);</w:t>
      </w:r>
    </w:p>
    <w:p w14:paraId="5D9D8D21"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C virusas (HCV).</w:t>
      </w:r>
    </w:p>
    <w:p w14:paraId="003C0D4C"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1AD6DC14"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Ši</w:t>
      </w:r>
      <w:r w:rsidR="00373268">
        <w:rPr>
          <w:rFonts w:cs="Arial"/>
          <w:snapToGrid/>
          <w:szCs w:val="22"/>
          <w:lang w:val="lt-LT" w:eastAsia="de-DE"/>
        </w:rPr>
        <w:t>ų</w:t>
      </w:r>
      <w:r w:rsidRPr="00561601">
        <w:rPr>
          <w:rFonts w:cs="Arial"/>
          <w:snapToGrid/>
          <w:szCs w:val="22"/>
          <w:lang w:val="lt-LT" w:eastAsia="de-DE"/>
        </w:rPr>
        <w:t xml:space="preserve"> priemonių nauda prieš šiuos virusus gali būti ribota:</w:t>
      </w:r>
    </w:p>
    <w:p w14:paraId="3FC598F9"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proofErr w:type="spellStart"/>
      <w:r w:rsidRPr="00561601">
        <w:rPr>
          <w:rFonts w:cs="Arial"/>
          <w:snapToGrid/>
          <w:szCs w:val="22"/>
          <w:lang w:val="lt-LT" w:eastAsia="de-DE"/>
        </w:rPr>
        <w:t>parvovirusas</w:t>
      </w:r>
      <w:proofErr w:type="spellEnd"/>
      <w:r w:rsidRPr="00561601">
        <w:rPr>
          <w:rFonts w:cs="Arial"/>
          <w:snapToGrid/>
          <w:szCs w:val="22"/>
          <w:lang w:val="lt-LT" w:eastAsia="de-DE"/>
        </w:rPr>
        <w:t xml:space="preserve"> B19.</w:t>
      </w:r>
    </w:p>
    <w:p w14:paraId="1A8A690B"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4AEC83A4" w14:textId="7DCE4AD1"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Imunoglobulinai iki šiol nebuvo siejami su hepatito A ar </w:t>
      </w:r>
      <w:proofErr w:type="spellStart"/>
      <w:r w:rsidRPr="00561601">
        <w:rPr>
          <w:rFonts w:cs="Arial"/>
          <w:snapToGrid/>
          <w:szCs w:val="22"/>
          <w:lang w:val="lt-LT" w:eastAsia="de-DE"/>
        </w:rPr>
        <w:t>parvoviruso</w:t>
      </w:r>
      <w:proofErr w:type="spellEnd"/>
      <w:r w:rsidRPr="00561601">
        <w:rPr>
          <w:rFonts w:cs="Arial"/>
          <w:snapToGrid/>
          <w:szCs w:val="22"/>
          <w:lang w:val="lt-LT" w:eastAsia="de-DE"/>
        </w:rPr>
        <w:t xml:space="preserve"> B19 infekcijomis. Galbūt taip yra dėl to, kad antikūnai, esantys </w:t>
      </w:r>
      <w:proofErr w:type="spellStart"/>
      <w:r w:rsidR="00E47068">
        <w:rPr>
          <w:rFonts w:cs="Arial"/>
          <w:snapToGrid/>
          <w:szCs w:val="22"/>
          <w:lang w:val="lt-LT" w:eastAsia="de-DE"/>
        </w:rPr>
        <w:t>Cymvigo</w:t>
      </w:r>
      <w:proofErr w:type="spellEnd"/>
      <w:r w:rsidRPr="00561601">
        <w:rPr>
          <w:rFonts w:cs="Arial"/>
          <w:snapToGrid/>
          <w:szCs w:val="22"/>
          <w:lang w:val="lt-LT" w:eastAsia="de-DE"/>
        </w:rPr>
        <w:t>, apsaugo nuo šių infekcijų.</w:t>
      </w:r>
    </w:p>
    <w:p w14:paraId="6E8310B4"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3524B956" w14:textId="6E1920B8"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Primygtinai rekomenduojama kiekvieną kartą, kai Jums skiriama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dozė, užrašyti vaisto pavadinimą ir </w:t>
      </w:r>
      <w:r w:rsidR="00F41E74">
        <w:rPr>
          <w:rFonts w:cs="Arial"/>
          <w:snapToGrid/>
          <w:szCs w:val="22"/>
          <w:lang w:val="lt-LT" w:eastAsia="de-DE"/>
        </w:rPr>
        <w:t>serijos</w:t>
      </w:r>
      <w:r w:rsidR="00F41E74" w:rsidRPr="00561601">
        <w:rPr>
          <w:rFonts w:cs="Arial"/>
          <w:snapToGrid/>
          <w:szCs w:val="22"/>
          <w:lang w:val="lt-LT" w:eastAsia="de-DE"/>
        </w:rPr>
        <w:t xml:space="preserve"> </w:t>
      </w:r>
      <w:r w:rsidRPr="00561601">
        <w:rPr>
          <w:rFonts w:cs="Arial"/>
          <w:snapToGrid/>
          <w:szCs w:val="22"/>
          <w:lang w:val="lt-LT" w:eastAsia="de-DE"/>
        </w:rPr>
        <w:t xml:space="preserve">numerį. </w:t>
      </w:r>
      <w:r w:rsidR="00F41E74">
        <w:rPr>
          <w:rFonts w:cs="Arial"/>
          <w:snapToGrid/>
          <w:szCs w:val="22"/>
          <w:lang w:val="lt-LT" w:eastAsia="de-DE"/>
        </w:rPr>
        <w:t>Serijos</w:t>
      </w:r>
      <w:r w:rsidR="00F41E74" w:rsidRPr="00561601">
        <w:rPr>
          <w:rFonts w:cs="Arial"/>
          <w:snapToGrid/>
          <w:szCs w:val="22"/>
          <w:lang w:val="lt-LT" w:eastAsia="de-DE"/>
        </w:rPr>
        <w:t xml:space="preserve"> </w:t>
      </w:r>
      <w:r w:rsidRPr="00561601">
        <w:rPr>
          <w:rFonts w:cs="Arial"/>
          <w:snapToGrid/>
          <w:szCs w:val="22"/>
          <w:lang w:val="lt-LT" w:eastAsia="de-DE"/>
        </w:rPr>
        <w:t>numeryje pateikiama informacija apie Jūsų vaisto specialiąsias pradines medžiagas. Jeigu rei</w:t>
      </w:r>
      <w:r w:rsidR="00F41E74">
        <w:rPr>
          <w:rFonts w:cs="Arial"/>
          <w:snapToGrid/>
          <w:szCs w:val="22"/>
          <w:lang w:val="lt-LT" w:eastAsia="de-DE"/>
        </w:rPr>
        <w:t>k</w:t>
      </w:r>
      <w:r w:rsidRPr="00561601">
        <w:rPr>
          <w:rFonts w:cs="Arial"/>
          <w:snapToGrid/>
          <w:szCs w:val="22"/>
          <w:lang w:val="lt-LT" w:eastAsia="de-DE"/>
        </w:rPr>
        <w:t>ės, taip bus galima nusta</w:t>
      </w:r>
      <w:r w:rsidR="00F41E74">
        <w:rPr>
          <w:rFonts w:cs="Arial"/>
          <w:snapToGrid/>
          <w:szCs w:val="22"/>
          <w:lang w:val="lt-LT" w:eastAsia="de-DE"/>
        </w:rPr>
        <w:t>t</w:t>
      </w:r>
      <w:r w:rsidRPr="00561601">
        <w:rPr>
          <w:rFonts w:cs="Arial"/>
          <w:snapToGrid/>
          <w:szCs w:val="22"/>
          <w:lang w:val="lt-LT" w:eastAsia="de-DE"/>
        </w:rPr>
        <w:t>yti ryšį tarp Jūsų ir naudotos pradinės medžiagos.</w:t>
      </w:r>
    </w:p>
    <w:p w14:paraId="5CE6DA1A" w14:textId="77777777" w:rsidR="00F34163" w:rsidRPr="00561601" w:rsidRDefault="00F34163" w:rsidP="00F34163">
      <w:pPr>
        <w:numPr>
          <w:ilvl w:val="12"/>
          <w:numId w:val="0"/>
        </w:numPr>
        <w:tabs>
          <w:tab w:val="clear" w:pos="567"/>
        </w:tabs>
        <w:spacing w:line="240" w:lineRule="auto"/>
        <w:ind w:right="-2"/>
        <w:rPr>
          <w:szCs w:val="24"/>
          <w:lang w:val="lt-LT"/>
        </w:rPr>
      </w:pPr>
    </w:p>
    <w:p w14:paraId="1F4A0AB0" w14:textId="77777777" w:rsidR="00F34163" w:rsidRPr="00561601" w:rsidRDefault="00F34163" w:rsidP="00F34163">
      <w:pPr>
        <w:pStyle w:val="Antrat4"/>
        <w:rPr>
          <w:rFonts w:ascii="Times New Roman" w:hAnsi="Times New Roman"/>
          <w:b w:val="0"/>
          <w:sz w:val="22"/>
          <w:u w:val="single"/>
          <w:lang w:val="lt-LT"/>
        </w:rPr>
      </w:pPr>
      <w:r w:rsidRPr="00561601">
        <w:rPr>
          <w:rFonts w:ascii="Times New Roman" w:hAnsi="Times New Roman"/>
          <w:b w:val="0"/>
          <w:sz w:val="22"/>
          <w:u w:val="single"/>
          <w:lang w:val="lt-LT"/>
        </w:rPr>
        <w:t>Vaikams ir paaugliams</w:t>
      </w:r>
    </w:p>
    <w:p w14:paraId="7688C359" w14:textId="77777777" w:rsidR="00F34163" w:rsidRPr="00561601" w:rsidRDefault="004A59A1" w:rsidP="00F34163">
      <w:pPr>
        <w:numPr>
          <w:ilvl w:val="12"/>
          <w:numId w:val="0"/>
        </w:numPr>
        <w:tabs>
          <w:tab w:val="clear" w:pos="567"/>
        </w:tabs>
        <w:spacing w:line="240" w:lineRule="auto"/>
        <w:rPr>
          <w:rFonts w:cs="Arial"/>
          <w:snapToGrid/>
          <w:szCs w:val="22"/>
          <w:lang w:val="lt-LT" w:eastAsia="de-DE"/>
        </w:rPr>
      </w:pPr>
      <w:r w:rsidRPr="00561601">
        <w:rPr>
          <w:rFonts w:cs="Arial"/>
          <w:snapToGrid/>
          <w:szCs w:val="22"/>
          <w:lang w:val="lt-LT" w:eastAsia="de-DE"/>
        </w:rPr>
        <w:t>Specialūs įspėjimai ir atsargumo priemonės suaugusiesiems taip pat galioja vaikams bei paaugliams.</w:t>
      </w:r>
    </w:p>
    <w:p w14:paraId="77BB1D1F" w14:textId="77777777" w:rsidR="004A59A1" w:rsidRPr="00561601" w:rsidRDefault="004A59A1" w:rsidP="00F34163">
      <w:pPr>
        <w:numPr>
          <w:ilvl w:val="12"/>
          <w:numId w:val="0"/>
        </w:numPr>
        <w:tabs>
          <w:tab w:val="clear" w:pos="567"/>
        </w:tabs>
        <w:spacing w:line="240" w:lineRule="auto"/>
        <w:rPr>
          <w:b/>
          <w:szCs w:val="24"/>
          <w:lang w:val="lt-LT"/>
        </w:rPr>
      </w:pPr>
    </w:p>
    <w:p w14:paraId="60592EC3" w14:textId="55092928"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 xml:space="preserve">Kiti vaistai ir </w:t>
      </w:r>
      <w:proofErr w:type="spellStart"/>
      <w:r w:rsidR="00E47068">
        <w:rPr>
          <w:rFonts w:ascii="Times New Roman" w:hAnsi="Times New Roman" w:cs="Arial"/>
          <w:bCs w:val="0"/>
          <w:snapToGrid/>
          <w:sz w:val="22"/>
          <w:szCs w:val="22"/>
          <w:lang w:val="lt-LT" w:eastAsia="de-DE"/>
        </w:rPr>
        <w:t>Cymvigo</w:t>
      </w:r>
      <w:proofErr w:type="spellEnd"/>
    </w:p>
    <w:p w14:paraId="5863DC75"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noProof/>
          <w:szCs w:val="24"/>
          <w:lang w:val="lt-LT"/>
        </w:rPr>
        <w:t>Jeigu vartojate ar neseniai vartojote kitų vaistų arba dėl to nesate tikri, apie tai pasakykite gydytojui</w:t>
      </w:r>
      <w:r w:rsidR="004A59A1" w:rsidRPr="00561601">
        <w:rPr>
          <w:noProof/>
          <w:szCs w:val="24"/>
          <w:lang w:val="lt-LT"/>
        </w:rPr>
        <w:t xml:space="preserve"> </w:t>
      </w:r>
      <w:r w:rsidRPr="00561601">
        <w:rPr>
          <w:noProof/>
          <w:szCs w:val="24"/>
          <w:lang w:val="lt-LT"/>
        </w:rPr>
        <w:t>arba vaistininkui</w:t>
      </w:r>
      <w:r w:rsidR="004A59A1" w:rsidRPr="00561601">
        <w:rPr>
          <w:noProof/>
          <w:szCs w:val="24"/>
          <w:lang w:val="lt-LT"/>
        </w:rPr>
        <w:t>.</w:t>
      </w:r>
    </w:p>
    <w:p w14:paraId="0A0D6ABF" w14:textId="77777777" w:rsidR="00F34163" w:rsidRPr="00561601" w:rsidRDefault="00F34163" w:rsidP="00F34163">
      <w:pPr>
        <w:numPr>
          <w:ilvl w:val="12"/>
          <w:numId w:val="0"/>
        </w:numPr>
        <w:tabs>
          <w:tab w:val="clear" w:pos="567"/>
        </w:tabs>
        <w:spacing w:line="240" w:lineRule="auto"/>
        <w:ind w:right="-2"/>
        <w:rPr>
          <w:szCs w:val="24"/>
          <w:lang w:val="lt-LT"/>
        </w:rPr>
      </w:pPr>
    </w:p>
    <w:p w14:paraId="3FC4C6A0" w14:textId="5B7CB62D" w:rsidR="004A59A1" w:rsidRPr="00561601" w:rsidRDefault="00E47068" w:rsidP="004A59A1">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4A59A1" w:rsidRPr="00561601">
        <w:rPr>
          <w:rFonts w:cs="Arial"/>
          <w:snapToGrid/>
          <w:szCs w:val="22"/>
          <w:lang w:val="lt-LT" w:eastAsia="de-DE"/>
        </w:rPr>
        <w:t xml:space="preserve"> gali sumažinti tam tikrų </w:t>
      </w:r>
      <w:r w:rsidR="004A59A1" w:rsidRPr="00561601">
        <w:rPr>
          <w:rFonts w:cs="Arial"/>
          <w:b/>
          <w:bCs/>
          <w:snapToGrid/>
          <w:szCs w:val="22"/>
          <w:lang w:val="lt-LT" w:eastAsia="de-DE"/>
        </w:rPr>
        <w:t>vakcinų</w:t>
      </w:r>
      <w:r w:rsidR="004A59A1" w:rsidRPr="00561601">
        <w:rPr>
          <w:rFonts w:cs="Arial"/>
          <w:snapToGrid/>
          <w:szCs w:val="22"/>
          <w:lang w:val="lt-LT" w:eastAsia="de-DE"/>
        </w:rPr>
        <w:t xml:space="preserve"> veiksmingumą, pvz. vakcinų veiksmingumą nuo:</w:t>
      </w:r>
    </w:p>
    <w:p w14:paraId="7B04CC87"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tymų;</w:t>
      </w:r>
    </w:p>
    <w:p w14:paraId="0227402C"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raudonukės;</w:t>
      </w:r>
    </w:p>
    <w:p w14:paraId="36D58577"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kiaulytės</w:t>
      </w:r>
      <w:r w:rsidRPr="00561601">
        <w:rPr>
          <w:rFonts w:cs="Arial"/>
          <w:b/>
          <w:bCs/>
          <w:snapToGrid/>
          <w:szCs w:val="22"/>
          <w:lang w:val="lt-LT" w:eastAsia="de-DE"/>
        </w:rPr>
        <w:t>;</w:t>
      </w:r>
    </w:p>
    <w:p w14:paraId="386E09E3"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snapToGrid/>
          <w:szCs w:val="22"/>
          <w:lang w:val="lt-LT" w:eastAsia="de-DE"/>
        </w:rPr>
      </w:pPr>
      <w:r w:rsidRPr="00561601">
        <w:rPr>
          <w:rFonts w:cs="Arial"/>
          <w:b/>
          <w:bCs/>
          <w:snapToGrid/>
          <w:szCs w:val="22"/>
          <w:lang w:val="lt-LT" w:eastAsia="de-DE"/>
        </w:rPr>
        <w:t>vėjaraupių</w:t>
      </w:r>
      <w:r w:rsidRPr="00561601">
        <w:rPr>
          <w:rFonts w:cs="Arial"/>
          <w:snapToGrid/>
          <w:szCs w:val="22"/>
          <w:lang w:val="lt-LT" w:eastAsia="de-DE"/>
        </w:rPr>
        <w:t>.</w:t>
      </w:r>
    </w:p>
    <w:p w14:paraId="707E2A45" w14:textId="5A65C399"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Sulašinus </w:t>
      </w:r>
      <w:proofErr w:type="spellStart"/>
      <w:r w:rsidR="00E47068">
        <w:rPr>
          <w:rFonts w:cs="Arial"/>
          <w:snapToGrid/>
          <w:szCs w:val="22"/>
          <w:lang w:val="lt-LT" w:eastAsia="de-DE"/>
        </w:rPr>
        <w:t>Cymvigo</w:t>
      </w:r>
      <w:proofErr w:type="spellEnd"/>
      <w:r w:rsidRPr="00561601">
        <w:rPr>
          <w:rFonts w:cs="Arial"/>
          <w:snapToGrid/>
          <w:szCs w:val="22"/>
          <w:lang w:val="lt-LT" w:eastAsia="de-DE"/>
        </w:rPr>
        <w:t>, gali tekti palaukti iki 3 mėnesių, kol galėsite pasiskiepyti kai kuriomis vakcinomis, ir iki metų, kol galėsite pasiskiepyti nuo tymų.</w:t>
      </w:r>
    </w:p>
    <w:p w14:paraId="33288CFB"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35B55306" w14:textId="603E12FD"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Kartu su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ne</w:t>
      </w:r>
      <w:r w:rsidR="00723904">
        <w:rPr>
          <w:rFonts w:cs="Arial"/>
          <w:snapToGrid/>
          <w:szCs w:val="22"/>
          <w:lang w:val="lt-LT" w:eastAsia="de-DE"/>
        </w:rPr>
        <w:t>vartokite</w:t>
      </w:r>
      <w:r w:rsidRPr="00561601">
        <w:rPr>
          <w:rFonts w:cs="Arial"/>
          <w:snapToGrid/>
          <w:szCs w:val="22"/>
          <w:lang w:val="lt-LT" w:eastAsia="de-DE"/>
        </w:rPr>
        <w:t xml:space="preserve"> kilpinių diuretikų (šlapimo išsiskyrimą skatinančių vaistų).</w:t>
      </w:r>
    </w:p>
    <w:p w14:paraId="083EDEDB"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6EF82A95" w14:textId="77777777" w:rsidR="00056AC0" w:rsidRPr="00561601" w:rsidRDefault="00056AC0" w:rsidP="00056AC0">
      <w:pPr>
        <w:pStyle w:val="Antrat4"/>
        <w:rPr>
          <w:rFonts w:ascii="Times New Roman" w:hAnsi="Times New Roman"/>
          <w:b w:val="0"/>
          <w:sz w:val="22"/>
          <w:u w:val="single"/>
          <w:lang w:val="lt-LT"/>
        </w:rPr>
      </w:pPr>
      <w:r w:rsidRPr="00561601">
        <w:rPr>
          <w:rFonts w:ascii="Times New Roman" w:hAnsi="Times New Roman"/>
          <w:b w:val="0"/>
          <w:sz w:val="22"/>
          <w:u w:val="single"/>
          <w:lang w:val="lt-LT"/>
        </w:rPr>
        <w:t>Vaikams ir paaugliams</w:t>
      </w:r>
    </w:p>
    <w:p w14:paraId="41868AB8" w14:textId="486B5ED5"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Tik</w:t>
      </w:r>
      <w:r w:rsidR="00723904">
        <w:rPr>
          <w:rFonts w:cs="Arial"/>
          <w:snapToGrid/>
          <w:szCs w:val="22"/>
          <w:lang w:val="lt-LT" w:eastAsia="de-DE"/>
        </w:rPr>
        <w:t>ėtina</w:t>
      </w:r>
      <w:r w:rsidRPr="00561601">
        <w:rPr>
          <w:rFonts w:cs="Arial"/>
          <w:snapToGrid/>
          <w:szCs w:val="22"/>
          <w:lang w:val="lt-LT" w:eastAsia="de-DE"/>
        </w:rPr>
        <w:t>, kad suaugusiesiems išvardytos sąveikos bus tokios pačios vaikams ir paaugliams.</w:t>
      </w:r>
    </w:p>
    <w:p w14:paraId="61848098" w14:textId="77777777" w:rsidR="004A59A1" w:rsidRPr="00561601" w:rsidRDefault="004A59A1" w:rsidP="00F34163">
      <w:pPr>
        <w:numPr>
          <w:ilvl w:val="12"/>
          <w:numId w:val="0"/>
        </w:numPr>
        <w:tabs>
          <w:tab w:val="clear" w:pos="567"/>
        </w:tabs>
        <w:spacing w:line="240" w:lineRule="auto"/>
        <w:ind w:right="-2"/>
        <w:rPr>
          <w:szCs w:val="24"/>
          <w:lang w:val="lt-LT"/>
        </w:rPr>
      </w:pPr>
    </w:p>
    <w:p w14:paraId="3346398F"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Nėštumas</w:t>
      </w:r>
      <w:r w:rsidR="00056AC0" w:rsidRPr="00561601">
        <w:rPr>
          <w:rFonts w:ascii="Times New Roman" w:hAnsi="Times New Roman"/>
          <w:sz w:val="22"/>
          <w:lang w:val="lt-LT"/>
        </w:rPr>
        <w:t xml:space="preserve">, </w:t>
      </w:r>
      <w:r w:rsidRPr="00561601">
        <w:rPr>
          <w:rFonts w:ascii="Times New Roman" w:hAnsi="Times New Roman"/>
          <w:sz w:val="22"/>
          <w:lang w:val="lt-LT"/>
        </w:rPr>
        <w:t>žindymo laikotarpis ir vaisingumas</w:t>
      </w:r>
    </w:p>
    <w:p w14:paraId="281B03D5" w14:textId="77777777" w:rsidR="00F34163" w:rsidRPr="00561601" w:rsidRDefault="00F34163" w:rsidP="00F34163">
      <w:pPr>
        <w:numPr>
          <w:ilvl w:val="12"/>
          <w:numId w:val="0"/>
        </w:numPr>
        <w:tabs>
          <w:tab w:val="clear" w:pos="567"/>
        </w:tabs>
        <w:spacing w:line="240" w:lineRule="auto"/>
        <w:rPr>
          <w:noProof/>
          <w:szCs w:val="24"/>
          <w:lang w:val="lt-LT"/>
        </w:rPr>
      </w:pPr>
      <w:r w:rsidRPr="00561601">
        <w:rPr>
          <w:noProof/>
          <w:szCs w:val="24"/>
          <w:lang w:val="lt-LT"/>
        </w:rPr>
        <w:t>Jeigu esate nėščia, žindote kūdikį, manote, kad galbūt esate nėščia, arba planuojate pastoti, tai prieš vartodama šį vaistą, pasitarkite su gydytoju</w:t>
      </w:r>
      <w:r w:rsidR="00056AC0" w:rsidRPr="00561601">
        <w:rPr>
          <w:noProof/>
          <w:szCs w:val="24"/>
          <w:lang w:val="lt-LT"/>
        </w:rPr>
        <w:t xml:space="preserve"> </w:t>
      </w:r>
      <w:r w:rsidRPr="00561601">
        <w:rPr>
          <w:noProof/>
          <w:szCs w:val="24"/>
          <w:lang w:val="lt-LT"/>
        </w:rPr>
        <w:t>arba</w:t>
      </w:r>
      <w:r w:rsidR="00056AC0" w:rsidRPr="00561601">
        <w:rPr>
          <w:noProof/>
          <w:szCs w:val="24"/>
          <w:lang w:val="lt-LT"/>
        </w:rPr>
        <w:t xml:space="preserve"> </w:t>
      </w:r>
      <w:r w:rsidRPr="00561601">
        <w:rPr>
          <w:noProof/>
          <w:szCs w:val="24"/>
          <w:lang w:val="lt-LT"/>
        </w:rPr>
        <w:t>vaistininku</w:t>
      </w:r>
      <w:r w:rsidR="00056AC0" w:rsidRPr="00561601">
        <w:rPr>
          <w:noProof/>
          <w:szCs w:val="24"/>
          <w:lang w:val="lt-LT"/>
        </w:rPr>
        <w:t>.</w:t>
      </w:r>
    </w:p>
    <w:p w14:paraId="2F6ED6E6" w14:textId="77777777" w:rsidR="00056AC0" w:rsidRPr="00561601" w:rsidRDefault="00056AC0" w:rsidP="00F34163">
      <w:pPr>
        <w:numPr>
          <w:ilvl w:val="12"/>
          <w:numId w:val="0"/>
        </w:numPr>
        <w:tabs>
          <w:tab w:val="clear" w:pos="567"/>
        </w:tabs>
        <w:spacing w:line="240" w:lineRule="auto"/>
        <w:rPr>
          <w:szCs w:val="24"/>
          <w:lang w:val="lt-LT"/>
        </w:rPr>
      </w:pPr>
    </w:p>
    <w:p w14:paraId="4A370B33" w14:textId="5A21F2EF"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Gydytojas nuspręs, ar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galima vartoti nėštumo ir žindymo laikotarpiu.</w:t>
      </w:r>
    </w:p>
    <w:p w14:paraId="3CB56E9B"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17610A4D"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Vairavimas ir mechanizmų valdymas</w:t>
      </w:r>
    </w:p>
    <w:p w14:paraId="00D4E539" w14:textId="6371A7B1" w:rsidR="00056AC0" w:rsidRPr="00561601" w:rsidRDefault="00E47068" w:rsidP="00056AC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056AC0" w:rsidRPr="00561601">
        <w:rPr>
          <w:rFonts w:cs="Arial"/>
          <w:snapToGrid/>
          <w:szCs w:val="22"/>
          <w:lang w:val="lt-LT" w:eastAsia="de-DE"/>
        </w:rPr>
        <w:t xml:space="preserve"> gebėjimą vairuoti ir valdyti mechanizmus veikia silpnai. Jei gydymo metu pasireiškė šalutinis poveikis, prieš vairuodami ar valdydami mechanizmus palaukite, kol jis praeis.</w:t>
      </w:r>
    </w:p>
    <w:p w14:paraId="026A667F" w14:textId="77777777" w:rsidR="00F34163" w:rsidRPr="00561601" w:rsidRDefault="00F34163" w:rsidP="00F34163">
      <w:pPr>
        <w:numPr>
          <w:ilvl w:val="12"/>
          <w:numId w:val="0"/>
        </w:numPr>
        <w:tabs>
          <w:tab w:val="clear" w:pos="567"/>
        </w:tabs>
        <w:spacing w:line="240" w:lineRule="auto"/>
        <w:ind w:right="-2"/>
        <w:rPr>
          <w:szCs w:val="24"/>
          <w:lang w:val="lt-LT"/>
        </w:rPr>
      </w:pPr>
    </w:p>
    <w:p w14:paraId="46EABEC0" w14:textId="77777777" w:rsidR="00F34163" w:rsidRPr="00561601" w:rsidRDefault="00F34163" w:rsidP="00F34163">
      <w:pPr>
        <w:numPr>
          <w:ilvl w:val="12"/>
          <w:numId w:val="0"/>
        </w:numPr>
        <w:tabs>
          <w:tab w:val="clear" w:pos="567"/>
        </w:tabs>
        <w:spacing w:line="240" w:lineRule="auto"/>
        <w:ind w:right="-2"/>
        <w:rPr>
          <w:szCs w:val="24"/>
          <w:lang w:val="lt-LT"/>
        </w:rPr>
      </w:pPr>
    </w:p>
    <w:p w14:paraId="36A49BF6" w14:textId="1A3B2E95"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3.</w:t>
      </w:r>
      <w:r w:rsidRPr="00561601">
        <w:rPr>
          <w:rFonts w:ascii="Times New Roman" w:hAnsi="Times New Roman"/>
          <w:sz w:val="22"/>
          <w:lang w:val="lt-LT"/>
        </w:rPr>
        <w:tab/>
        <w:t xml:space="preserve">Kaip vartoti </w:t>
      </w:r>
      <w:proofErr w:type="spellStart"/>
      <w:r w:rsidR="00E47068">
        <w:rPr>
          <w:rFonts w:ascii="Times New Roman" w:hAnsi="Times New Roman" w:cs="Arial"/>
          <w:bCs w:val="0"/>
          <w:snapToGrid/>
          <w:sz w:val="22"/>
          <w:szCs w:val="22"/>
          <w:lang w:val="lt-LT" w:eastAsia="de-DE"/>
        </w:rPr>
        <w:t>Cymvigo</w:t>
      </w:r>
      <w:proofErr w:type="spellEnd"/>
    </w:p>
    <w:p w14:paraId="63FFED2E" w14:textId="77777777" w:rsidR="00F34163" w:rsidRPr="00561601" w:rsidRDefault="00F34163" w:rsidP="00F34163">
      <w:pPr>
        <w:numPr>
          <w:ilvl w:val="12"/>
          <w:numId w:val="0"/>
        </w:numPr>
        <w:tabs>
          <w:tab w:val="clear" w:pos="567"/>
        </w:tabs>
        <w:spacing w:line="240" w:lineRule="auto"/>
        <w:ind w:right="-2"/>
        <w:rPr>
          <w:szCs w:val="24"/>
          <w:lang w:val="lt-LT"/>
        </w:rPr>
      </w:pPr>
    </w:p>
    <w:p w14:paraId="6C3ADC1E" w14:textId="70B4C35C" w:rsidR="00056AC0" w:rsidRPr="00561601" w:rsidRDefault="00E47068" w:rsidP="00056AC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056AC0" w:rsidRPr="00561601">
        <w:rPr>
          <w:rFonts w:cs="Arial"/>
          <w:snapToGrid/>
          <w:szCs w:val="22"/>
          <w:lang w:val="lt-LT" w:eastAsia="de-DE"/>
        </w:rPr>
        <w:t xml:space="preserve"> Jums skirs gyd</w:t>
      </w:r>
      <w:r w:rsidR="00723904">
        <w:rPr>
          <w:rFonts w:cs="Arial"/>
          <w:snapToGrid/>
          <w:szCs w:val="22"/>
          <w:lang w:val="lt-LT" w:eastAsia="de-DE"/>
        </w:rPr>
        <w:t>ymą prižiūrintis</w:t>
      </w:r>
      <w:r w:rsidR="00056AC0" w:rsidRPr="00561601">
        <w:rPr>
          <w:rFonts w:cs="Arial"/>
          <w:snapToGrid/>
          <w:szCs w:val="22"/>
          <w:lang w:val="lt-LT" w:eastAsia="de-DE"/>
        </w:rPr>
        <w:t xml:space="preserve"> gydytojas.</w:t>
      </w:r>
    </w:p>
    <w:p w14:paraId="291B6602"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Suaugusiesiems, vaikams ir paaugliams rekomenduojama paros dozė yra 1 ml 1 kg kūno svorio.</w:t>
      </w:r>
    </w:p>
    <w:p w14:paraId="1B251EFD"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7A229597" w14:textId="61B7905D" w:rsidR="00056AC0" w:rsidRPr="00561601" w:rsidRDefault="00056AC0" w:rsidP="00056AC0">
      <w:pPr>
        <w:tabs>
          <w:tab w:val="clear" w:pos="567"/>
          <w:tab w:val="center" w:pos="4536"/>
          <w:tab w:val="right" w:pos="9072"/>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Iš viso šis vaistas bus skiriamas mažiausiai 6 kartus kas 2–3 savaites. Jūsų gydytojas nuspręs, kiek tiksliai infuzijų </w:t>
      </w:r>
      <w:r w:rsidR="00723904">
        <w:rPr>
          <w:rFonts w:cs="Arial"/>
          <w:snapToGrid/>
          <w:szCs w:val="22"/>
          <w:lang w:val="lt-LT" w:eastAsia="de-DE"/>
        </w:rPr>
        <w:t>J</w:t>
      </w:r>
      <w:r w:rsidR="00723904" w:rsidRPr="00561601">
        <w:rPr>
          <w:rFonts w:cs="Arial"/>
          <w:snapToGrid/>
          <w:szCs w:val="22"/>
          <w:lang w:val="lt-LT" w:eastAsia="de-DE"/>
        </w:rPr>
        <w:t xml:space="preserve">ums </w:t>
      </w:r>
      <w:r w:rsidRPr="00561601">
        <w:rPr>
          <w:rFonts w:cs="Arial"/>
          <w:snapToGrid/>
          <w:szCs w:val="22"/>
          <w:lang w:val="lt-LT" w:eastAsia="de-DE"/>
        </w:rPr>
        <w:t>reikės ir kada pradėti gydymą.</w:t>
      </w:r>
    </w:p>
    <w:p w14:paraId="1BD1BF37" w14:textId="77777777" w:rsidR="00056AC0" w:rsidRPr="00561601" w:rsidRDefault="00056AC0" w:rsidP="00056AC0">
      <w:pPr>
        <w:tabs>
          <w:tab w:val="clear" w:pos="567"/>
          <w:tab w:val="center" w:pos="4536"/>
          <w:tab w:val="right" w:pos="9072"/>
        </w:tabs>
        <w:overflowPunct w:val="0"/>
        <w:autoSpaceDE w:val="0"/>
        <w:autoSpaceDN w:val="0"/>
        <w:adjustRightInd w:val="0"/>
        <w:spacing w:line="240" w:lineRule="auto"/>
        <w:textAlignment w:val="baseline"/>
        <w:rPr>
          <w:snapToGrid/>
          <w:szCs w:val="22"/>
          <w:lang w:val="lt-LT" w:eastAsia="de-DE"/>
        </w:rPr>
      </w:pPr>
    </w:p>
    <w:p w14:paraId="58A1501C" w14:textId="5A2A2802" w:rsidR="00056AC0" w:rsidRPr="00561601" w:rsidRDefault="00E47068" w:rsidP="00056AC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056AC0" w:rsidRPr="00561601">
        <w:rPr>
          <w:rFonts w:cs="Arial"/>
          <w:snapToGrid/>
          <w:szCs w:val="22"/>
          <w:lang w:val="lt-LT" w:eastAsia="de-DE"/>
        </w:rPr>
        <w:t xml:space="preserve"> bus lašinamas (infuzijos būdu) į veną. Prieš vartojimą vaistą reikia atšildyti iki kambario arba kūno temperatūros</w:t>
      </w:r>
      <w:r w:rsidR="00056AC0" w:rsidRPr="00561601">
        <w:rPr>
          <w:rFonts w:ascii="Arial" w:hAnsi="Arial" w:cs="Arial"/>
          <w:snapToGrid/>
          <w:szCs w:val="22"/>
          <w:lang w:val="lt-LT" w:eastAsia="de-DE"/>
        </w:rPr>
        <w:t>.</w:t>
      </w:r>
    </w:p>
    <w:p w14:paraId="3F8B25AD"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58314014" w14:textId="28FD3682" w:rsidR="00056AC0" w:rsidRPr="00561601" w:rsidRDefault="00056AC0" w:rsidP="00056AC0">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rFonts w:cs="Arial"/>
          <w:b/>
          <w:snapToGrid/>
          <w:szCs w:val="22"/>
          <w:lang w:val="lt-LT" w:eastAsia="de-DE"/>
        </w:rPr>
        <w:t xml:space="preserve">Jeigu Jums buvo skirta daugiau </w:t>
      </w:r>
      <w:proofErr w:type="spellStart"/>
      <w:r w:rsidR="00E47068">
        <w:rPr>
          <w:rFonts w:cs="Arial"/>
          <w:b/>
          <w:snapToGrid/>
          <w:szCs w:val="22"/>
          <w:lang w:val="lt-LT" w:eastAsia="de-DE"/>
        </w:rPr>
        <w:t>Cymvigo</w:t>
      </w:r>
      <w:proofErr w:type="spellEnd"/>
      <w:r w:rsidRPr="00561601">
        <w:rPr>
          <w:rFonts w:cs="Arial"/>
          <w:b/>
          <w:snapToGrid/>
          <w:szCs w:val="22"/>
          <w:lang w:val="lt-LT" w:eastAsia="de-DE"/>
        </w:rPr>
        <w:t>, nei reikėjo</w:t>
      </w:r>
    </w:p>
    <w:p w14:paraId="74741E1F" w14:textId="29A4212C"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Per daug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gali sukelti </w:t>
      </w:r>
      <w:r w:rsidR="00723904" w:rsidRPr="00561601">
        <w:rPr>
          <w:rFonts w:cs="Arial"/>
          <w:snapToGrid/>
          <w:szCs w:val="22"/>
          <w:lang w:val="lt-LT" w:eastAsia="de-DE"/>
        </w:rPr>
        <w:t>skysči</w:t>
      </w:r>
      <w:r w:rsidR="00723904">
        <w:rPr>
          <w:rFonts w:cs="Arial"/>
          <w:snapToGrid/>
          <w:szCs w:val="22"/>
          <w:lang w:val="lt-LT" w:eastAsia="de-DE"/>
        </w:rPr>
        <w:t>o</w:t>
      </w:r>
      <w:r w:rsidR="00723904" w:rsidRPr="00561601">
        <w:rPr>
          <w:rFonts w:cs="Arial"/>
          <w:snapToGrid/>
          <w:szCs w:val="22"/>
          <w:lang w:val="lt-LT" w:eastAsia="de-DE"/>
        </w:rPr>
        <w:t xml:space="preserve"> </w:t>
      </w:r>
      <w:r w:rsidRPr="00561601">
        <w:rPr>
          <w:rFonts w:cs="Arial"/>
          <w:snapToGrid/>
          <w:szCs w:val="22"/>
          <w:lang w:val="lt-LT" w:eastAsia="de-DE"/>
        </w:rPr>
        <w:t>perteklių ir padidėjusį kraujo klampumą (sutirštėjimą), ypač jeigu esate vyresnis nei 65 metų ir (arba) sutrikusi širdies ar inkstų funkcija.</w:t>
      </w:r>
    </w:p>
    <w:p w14:paraId="25B489D1" w14:textId="18995C2B"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Jeigu manote, kad buvo paskirta daugiau </w:t>
      </w:r>
      <w:proofErr w:type="spellStart"/>
      <w:r w:rsidR="00E47068">
        <w:rPr>
          <w:rFonts w:cs="Arial"/>
          <w:snapToGrid/>
          <w:szCs w:val="22"/>
          <w:lang w:val="lt-LT" w:eastAsia="de-DE"/>
        </w:rPr>
        <w:t>Cymvigo</w:t>
      </w:r>
      <w:proofErr w:type="spellEnd"/>
      <w:r w:rsidRPr="00561601">
        <w:rPr>
          <w:rFonts w:cs="Arial"/>
          <w:snapToGrid/>
          <w:szCs w:val="22"/>
          <w:lang w:val="lt-LT" w:eastAsia="de-DE"/>
        </w:rPr>
        <w:t>, nei reikėjo, kuo greičiau kreipkitės į gydytoją.</w:t>
      </w:r>
    </w:p>
    <w:p w14:paraId="1A17E8D3"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224BAE96" w14:textId="77777777" w:rsidR="00F34163" w:rsidRPr="00561601" w:rsidRDefault="00F34163" w:rsidP="00F34163">
      <w:pPr>
        <w:numPr>
          <w:ilvl w:val="12"/>
          <w:numId w:val="0"/>
        </w:numPr>
        <w:tabs>
          <w:tab w:val="clear" w:pos="567"/>
        </w:tabs>
        <w:spacing w:line="240" w:lineRule="auto"/>
        <w:ind w:right="-29"/>
        <w:rPr>
          <w:szCs w:val="24"/>
          <w:lang w:val="lt-LT"/>
        </w:rPr>
      </w:pPr>
      <w:r w:rsidRPr="00561601">
        <w:rPr>
          <w:noProof/>
          <w:szCs w:val="24"/>
          <w:lang w:val="lt-LT"/>
        </w:rPr>
        <w:t xml:space="preserve">Jeigu kiltų daugiau klausimų dėl šio vaisto vartojimo, kreipkitės į </w:t>
      </w:r>
      <w:r w:rsidR="00056AC0" w:rsidRPr="00561601">
        <w:rPr>
          <w:rFonts w:cs="Arial"/>
          <w:snapToGrid/>
          <w:szCs w:val="22"/>
          <w:lang w:val="lt-LT" w:eastAsia="de-DE"/>
        </w:rPr>
        <w:t>gydytoją, vaistininką arba slaugytoją.</w:t>
      </w:r>
    </w:p>
    <w:p w14:paraId="4C75725B" w14:textId="77777777" w:rsidR="00F34163" w:rsidRPr="00561601" w:rsidRDefault="00F34163" w:rsidP="00F34163">
      <w:pPr>
        <w:numPr>
          <w:ilvl w:val="12"/>
          <w:numId w:val="0"/>
        </w:numPr>
        <w:tabs>
          <w:tab w:val="clear" w:pos="567"/>
        </w:tabs>
        <w:spacing w:line="240" w:lineRule="auto"/>
        <w:rPr>
          <w:szCs w:val="24"/>
          <w:lang w:val="lt-LT"/>
        </w:rPr>
      </w:pPr>
    </w:p>
    <w:p w14:paraId="50B0D9EF" w14:textId="77777777" w:rsidR="00447DE7" w:rsidRPr="00561601" w:rsidRDefault="00447DE7" w:rsidP="00F34163">
      <w:pPr>
        <w:numPr>
          <w:ilvl w:val="12"/>
          <w:numId w:val="0"/>
        </w:numPr>
        <w:tabs>
          <w:tab w:val="clear" w:pos="567"/>
        </w:tabs>
        <w:spacing w:line="240" w:lineRule="auto"/>
        <w:rPr>
          <w:szCs w:val="24"/>
          <w:lang w:val="lt-LT"/>
        </w:rPr>
      </w:pPr>
    </w:p>
    <w:p w14:paraId="2BA58D9A"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4.</w:t>
      </w:r>
      <w:r w:rsidRPr="00561601">
        <w:rPr>
          <w:rFonts w:ascii="Times New Roman" w:hAnsi="Times New Roman"/>
          <w:sz w:val="22"/>
          <w:lang w:val="lt-LT"/>
        </w:rPr>
        <w:tab/>
        <w:t>Galimas šalutinis poveikis</w:t>
      </w:r>
    </w:p>
    <w:p w14:paraId="09361661" w14:textId="77777777" w:rsidR="00F34163" w:rsidRPr="00561601" w:rsidRDefault="00F34163" w:rsidP="00F34163">
      <w:pPr>
        <w:numPr>
          <w:ilvl w:val="12"/>
          <w:numId w:val="0"/>
        </w:numPr>
        <w:tabs>
          <w:tab w:val="clear" w:pos="567"/>
        </w:tabs>
        <w:spacing w:line="240" w:lineRule="auto"/>
        <w:rPr>
          <w:szCs w:val="24"/>
          <w:lang w:val="lt-LT"/>
        </w:rPr>
      </w:pPr>
    </w:p>
    <w:p w14:paraId="7B053B03" w14:textId="77777777" w:rsidR="00F34163" w:rsidRPr="00561601" w:rsidRDefault="00F34163" w:rsidP="00F34163">
      <w:pPr>
        <w:numPr>
          <w:ilvl w:val="12"/>
          <w:numId w:val="0"/>
        </w:numPr>
        <w:tabs>
          <w:tab w:val="clear" w:pos="567"/>
        </w:tabs>
        <w:spacing w:line="240" w:lineRule="auto"/>
        <w:ind w:right="-29"/>
        <w:rPr>
          <w:szCs w:val="24"/>
          <w:lang w:val="lt-LT"/>
        </w:rPr>
      </w:pPr>
      <w:r w:rsidRPr="00561601">
        <w:rPr>
          <w:noProof/>
          <w:szCs w:val="24"/>
          <w:lang w:val="lt-LT"/>
        </w:rPr>
        <w:t>Šis vaistas, kaip ir visi kiti, gali sukelti šalutinį poveikį, nors jis pasireiškia ne visiems žmonėms.</w:t>
      </w:r>
    </w:p>
    <w:p w14:paraId="12B5CFA3" w14:textId="77777777" w:rsidR="00056AC0" w:rsidRPr="00561601" w:rsidRDefault="00056AC0" w:rsidP="00056AC0">
      <w:pPr>
        <w:tabs>
          <w:tab w:val="clear" w:pos="567"/>
        </w:tabs>
        <w:overflowPunct w:val="0"/>
        <w:autoSpaceDE w:val="0"/>
        <w:autoSpaceDN w:val="0"/>
        <w:adjustRightInd w:val="0"/>
        <w:spacing w:line="240" w:lineRule="auto"/>
        <w:textAlignment w:val="baseline"/>
        <w:rPr>
          <w:rFonts w:cs="Arial"/>
          <w:b/>
          <w:snapToGrid/>
          <w:szCs w:val="22"/>
          <w:lang w:val="lt-LT" w:eastAsia="de-DE"/>
        </w:rPr>
      </w:pPr>
    </w:p>
    <w:p w14:paraId="63EB6945" w14:textId="790E58C3" w:rsidR="00056AC0" w:rsidRPr="00561601" w:rsidRDefault="00056AC0"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rFonts w:cs="Arial"/>
          <w:b/>
          <w:snapToGrid/>
          <w:szCs w:val="22"/>
          <w:lang w:val="lt-LT" w:eastAsia="de-DE"/>
        </w:rPr>
        <w:t xml:space="preserve">Vartojant </w:t>
      </w:r>
      <w:proofErr w:type="spellStart"/>
      <w:r w:rsidR="00E47068">
        <w:rPr>
          <w:rFonts w:cs="Arial"/>
          <w:b/>
          <w:snapToGrid/>
          <w:szCs w:val="22"/>
          <w:lang w:val="lt-LT" w:eastAsia="de-DE"/>
        </w:rPr>
        <w:t>Cymvigo</w:t>
      </w:r>
      <w:proofErr w:type="spellEnd"/>
      <w:r w:rsidRPr="00561601">
        <w:rPr>
          <w:rFonts w:cs="Arial"/>
          <w:b/>
          <w:snapToGrid/>
          <w:szCs w:val="22"/>
          <w:lang w:val="lt-LT" w:eastAsia="de-DE"/>
        </w:rPr>
        <w:t xml:space="preserve"> buvo gauta </w:t>
      </w:r>
      <w:r w:rsidR="00723904">
        <w:rPr>
          <w:rFonts w:cs="Arial"/>
          <w:b/>
          <w:snapToGrid/>
          <w:szCs w:val="22"/>
          <w:lang w:val="lt-LT" w:eastAsia="de-DE"/>
        </w:rPr>
        <w:t xml:space="preserve">savanoriškų </w:t>
      </w:r>
      <w:r w:rsidRPr="00561601">
        <w:rPr>
          <w:rFonts w:cs="Arial"/>
          <w:b/>
          <w:snapToGrid/>
          <w:szCs w:val="22"/>
          <w:lang w:val="lt-LT" w:eastAsia="de-DE"/>
        </w:rPr>
        <w:t xml:space="preserve">pavienių pranešimų apie šį šalutinį poveikį: </w:t>
      </w:r>
    </w:p>
    <w:p w14:paraId="593259BA" w14:textId="77777777" w:rsidR="00056AC0" w:rsidRPr="00561601" w:rsidRDefault="00056AC0"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rFonts w:cs="Arial"/>
          <w:b/>
          <w:snapToGrid/>
          <w:szCs w:val="22"/>
          <w:lang w:val="lt-LT" w:eastAsia="de-DE"/>
        </w:rPr>
        <w:t>Dažnis nežinomas (negali būti apskaičiuotas pagal turimus duomenis)</w:t>
      </w:r>
    </w:p>
    <w:p w14:paraId="7BA9105B"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Anemija (hemolizinė anemija)</w:t>
      </w:r>
    </w:p>
    <w:p w14:paraId="1FE56075"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 xml:space="preserve">Sunki alerginė reakcija, pvz., anafilaksinis šokas, anafilaksinės reakcijos, </w:t>
      </w:r>
      <w:proofErr w:type="spellStart"/>
      <w:r w:rsidRPr="00561601">
        <w:rPr>
          <w:rFonts w:cs="Arial"/>
          <w:snapToGrid/>
          <w:szCs w:val="22"/>
          <w:lang w:val="lt-LT" w:eastAsia="de-DE"/>
        </w:rPr>
        <w:t>anafilaktoidinės</w:t>
      </w:r>
      <w:proofErr w:type="spellEnd"/>
      <w:r w:rsidRPr="00561601">
        <w:rPr>
          <w:rFonts w:cs="Arial"/>
          <w:snapToGrid/>
          <w:szCs w:val="22"/>
          <w:lang w:val="lt-LT" w:eastAsia="de-DE"/>
        </w:rPr>
        <w:t xml:space="preserve"> reakcijos, padidėjęs jautrumas </w:t>
      </w:r>
    </w:p>
    <w:p w14:paraId="3DB22379"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Galvos skausmas, svaigulys</w:t>
      </w:r>
    </w:p>
    <w:p w14:paraId="7607B0EB"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Vėmimas</w:t>
      </w:r>
    </w:p>
    <w:p w14:paraId="201B3104"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Odos reakcijos, įskaitant išbėrimą, nenormalų odos paraudimą, niežėjimą</w:t>
      </w:r>
    </w:p>
    <w:p w14:paraId="4E3433DA"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Sąnarių skausmas</w:t>
      </w:r>
    </w:p>
    <w:p w14:paraId="43B62463" w14:textId="36703B3C" w:rsidR="00056AC0" w:rsidRPr="00561601" w:rsidRDefault="00723904"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K</w:t>
      </w:r>
      <w:r w:rsidRPr="00561601">
        <w:rPr>
          <w:rFonts w:cs="Arial"/>
          <w:snapToGrid/>
          <w:szCs w:val="22"/>
          <w:lang w:val="lt-LT" w:eastAsia="de-DE"/>
        </w:rPr>
        <w:t xml:space="preserve">raujo </w:t>
      </w:r>
      <w:r w:rsidR="00056AC0" w:rsidRPr="00561601">
        <w:rPr>
          <w:rFonts w:cs="Arial"/>
          <w:snapToGrid/>
          <w:szCs w:val="22"/>
          <w:lang w:val="lt-LT" w:eastAsia="de-DE"/>
        </w:rPr>
        <w:t>tyrimų, rodančių, kad inkstų funkcija sutrikusi (padidėjęs kreatinino kiekis serume) ir (arba) ūminis inkstų nepakankamumas, rezultatai</w:t>
      </w:r>
    </w:p>
    <w:p w14:paraId="3D9EBCE9"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proofErr w:type="spellStart"/>
      <w:r w:rsidRPr="00561601">
        <w:rPr>
          <w:rFonts w:cs="Arial"/>
          <w:snapToGrid/>
          <w:szCs w:val="22"/>
          <w:lang w:val="lt-LT" w:eastAsia="de-DE"/>
        </w:rPr>
        <w:t>Šaltkrėtis</w:t>
      </w:r>
      <w:proofErr w:type="spellEnd"/>
      <w:r w:rsidRPr="00561601">
        <w:rPr>
          <w:rFonts w:cs="Arial"/>
          <w:snapToGrid/>
          <w:szCs w:val="22"/>
          <w:lang w:val="lt-LT" w:eastAsia="de-DE"/>
        </w:rPr>
        <w:t>, karščiavimas, nuovargis</w:t>
      </w:r>
    </w:p>
    <w:p w14:paraId="0DC21369"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696F51AC" w14:textId="6D468010" w:rsidR="00056AC0" w:rsidRPr="00561601" w:rsidRDefault="00056AC0"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rFonts w:cs="Arial"/>
          <w:b/>
          <w:snapToGrid/>
          <w:szCs w:val="22"/>
          <w:lang w:val="lt-LT" w:eastAsia="de-DE"/>
        </w:rPr>
        <w:t>Žmogaus normaliojo imunoglobulino vaistai</w:t>
      </w:r>
      <w:r w:rsidR="00EB1A01">
        <w:rPr>
          <w:rFonts w:cs="Arial"/>
          <w:b/>
          <w:snapToGrid/>
          <w:szCs w:val="22"/>
          <w:lang w:val="lt-LT" w:eastAsia="de-DE"/>
        </w:rPr>
        <w:t xml:space="preserve"> </w:t>
      </w:r>
      <w:r w:rsidRPr="00561601">
        <w:rPr>
          <w:rFonts w:cs="Arial"/>
          <w:b/>
          <w:snapToGrid/>
          <w:szCs w:val="22"/>
          <w:lang w:val="lt-LT" w:eastAsia="de-DE"/>
        </w:rPr>
        <w:t>apskritai gali sukelti tokį šalutinį poveikį</w:t>
      </w:r>
      <w:r w:rsidR="00C22EF3">
        <w:rPr>
          <w:rFonts w:cs="Arial"/>
          <w:b/>
          <w:snapToGrid/>
          <w:szCs w:val="22"/>
          <w:lang w:val="lt-LT" w:eastAsia="de-DE"/>
        </w:rPr>
        <w:t>, kaip</w:t>
      </w:r>
      <w:r w:rsidRPr="00561601">
        <w:rPr>
          <w:rFonts w:cs="Arial"/>
          <w:b/>
          <w:snapToGrid/>
          <w:szCs w:val="22"/>
          <w:lang w:val="lt-LT" w:eastAsia="de-DE"/>
        </w:rPr>
        <w:t xml:space="preserve"> (</w:t>
      </w:r>
      <w:r w:rsidR="00723904">
        <w:rPr>
          <w:rFonts w:cs="Arial"/>
          <w:b/>
          <w:snapToGrid/>
          <w:szCs w:val="22"/>
          <w:lang w:val="lt-LT" w:eastAsia="de-DE"/>
        </w:rPr>
        <w:t>išvardytas dažnio mažėjimo tvarka</w:t>
      </w:r>
      <w:r w:rsidRPr="00561601">
        <w:rPr>
          <w:rFonts w:cs="Arial"/>
          <w:b/>
          <w:snapToGrid/>
          <w:szCs w:val="22"/>
          <w:lang w:val="lt-LT" w:eastAsia="de-DE"/>
        </w:rPr>
        <w:t>):</w:t>
      </w:r>
    </w:p>
    <w:p w14:paraId="6E9D2BF7"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proofErr w:type="spellStart"/>
      <w:r w:rsidRPr="00561601">
        <w:rPr>
          <w:rFonts w:cs="Arial"/>
          <w:snapToGrid/>
          <w:szCs w:val="22"/>
          <w:lang w:val="lt-LT" w:eastAsia="de-DE"/>
        </w:rPr>
        <w:t>šaltkrėtis</w:t>
      </w:r>
      <w:proofErr w:type="spellEnd"/>
      <w:r w:rsidRPr="00561601">
        <w:rPr>
          <w:rFonts w:cs="Arial"/>
          <w:snapToGrid/>
          <w:szCs w:val="22"/>
          <w:lang w:val="lt-LT" w:eastAsia="de-DE"/>
        </w:rPr>
        <w:t>, galvos skausmas, svaigulys, karščiavimas, vėmimas, alerginės reakcijos, pykinimas, sąnarių skausmas, žemas kraujospūdis ir vidutinio stiprumo juosmens skausmas;</w:t>
      </w:r>
    </w:p>
    <w:p w14:paraId="1EACA5EF" w14:textId="607E0FA9" w:rsidR="00056AC0" w:rsidRPr="00561601" w:rsidRDefault="00056AC0" w:rsidP="00056AC0">
      <w:pPr>
        <w:numPr>
          <w:ilvl w:val="0"/>
          <w:numId w:val="9"/>
        </w:numPr>
        <w:tabs>
          <w:tab w:val="clear" w:pos="567"/>
        </w:tabs>
        <w:overflowPunct w:val="0"/>
        <w:autoSpaceDE w:val="0"/>
        <w:autoSpaceDN w:val="0"/>
        <w:adjustRightInd w:val="0"/>
        <w:spacing w:line="240" w:lineRule="auto"/>
        <w:ind w:left="426" w:right="-29"/>
        <w:contextualSpacing/>
        <w:textAlignment w:val="baseline"/>
        <w:rPr>
          <w:noProof/>
          <w:snapToGrid/>
          <w:szCs w:val="22"/>
          <w:lang w:val="lt-LT" w:eastAsia="de-DE"/>
        </w:rPr>
      </w:pPr>
      <w:r w:rsidRPr="00561601">
        <w:rPr>
          <w:rFonts w:cs="Arial"/>
          <w:snapToGrid/>
          <w:szCs w:val="22"/>
          <w:lang w:val="lt-LT" w:eastAsia="de-DE"/>
        </w:rPr>
        <w:t>raudonųjų kraujo ląstelių skaičiaus sumažėjimas dėl šių ląstelių irimo kraujagyslėse (</w:t>
      </w:r>
      <w:r w:rsidR="00C22EF3">
        <w:rPr>
          <w:rFonts w:cs="Arial"/>
          <w:snapToGrid/>
          <w:szCs w:val="22"/>
          <w:lang w:val="lt-LT" w:eastAsia="de-DE"/>
        </w:rPr>
        <w:t xml:space="preserve">laikinos </w:t>
      </w:r>
      <w:r w:rsidRPr="00561601">
        <w:rPr>
          <w:rFonts w:cs="Arial"/>
          <w:snapToGrid/>
          <w:szCs w:val="22"/>
          <w:lang w:val="lt-LT" w:eastAsia="de-DE"/>
        </w:rPr>
        <w:t xml:space="preserve"> hemolizinės reakcijos ir </w:t>
      </w:r>
      <w:r w:rsidR="00C22EF3">
        <w:rPr>
          <w:rFonts w:cs="Arial"/>
          <w:snapToGrid/>
          <w:szCs w:val="22"/>
          <w:lang w:val="lt-LT" w:eastAsia="de-DE"/>
        </w:rPr>
        <w:t>[</w:t>
      </w:r>
      <w:r w:rsidRPr="00561601">
        <w:rPr>
          <w:rFonts w:cs="Arial"/>
          <w:snapToGrid/>
          <w:szCs w:val="22"/>
          <w:lang w:val="lt-LT" w:eastAsia="de-DE"/>
        </w:rPr>
        <w:t>retai</w:t>
      </w:r>
      <w:r w:rsidR="00C22EF3">
        <w:rPr>
          <w:rFonts w:cs="Arial"/>
          <w:snapToGrid/>
          <w:szCs w:val="22"/>
          <w:lang w:val="lt-LT" w:eastAsia="de-DE"/>
        </w:rPr>
        <w:t>]</w:t>
      </w:r>
      <w:r w:rsidR="00C22EF3" w:rsidRPr="00561601">
        <w:rPr>
          <w:rFonts w:cs="Arial"/>
          <w:snapToGrid/>
          <w:szCs w:val="22"/>
          <w:lang w:val="lt-LT" w:eastAsia="de-DE"/>
        </w:rPr>
        <w:t xml:space="preserve"> </w:t>
      </w:r>
      <w:r w:rsidRPr="00561601">
        <w:rPr>
          <w:rFonts w:cs="Arial"/>
          <w:snapToGrid/>
          <w:szCs w:val="22"/>
          <w:lang w:val="lt-LT" w:eastAsia="de-DE"/>
        </w:rPr>
        <w:t>hemolizinė anemija, dėl kurios reikia kraujo perpylimo</w:t>
      </w:r>
      <w:r w:rsidR="00C22EF3">
        <w:rPr>
          <w:rFonts w:cs="Arial"/>
          <w:snapToGrid/>
          <w:szCs w:val="22"/>
          <w:lang w:val="lt-LT" w:eastAsia="de-DE"/>
        </w:rPr>
        <w:t>)</w:t>
      </w:r>
      <w:r w:rsidRPr="00561601">
        <w:rPr>
          <w:rFonts w:cs="Arial"/>
          <w:snapToGrid/>
          <w:szCs w:val="22"/>
          <w:lang w:val="lt-LT" w:eastAsia="de-DE"/>
        </w:rPr>
        <w:t>;</w:t>
      </w:r>
    </w:p>
    <w:p w14:paraId="60667765"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(retai) staigus kraujospūdžio sumažėjimas ir pavieniais atvejais anafilaksinis šokas;</w:t>
      </w:r>
    </w:p>
    <w:p w14:paraId="55FF5906"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(retai) trumpalaikės odos reakcijos (įskaitant odos raudonąją vilkligę – dažnis nežinomas);</w:t>
      </w:r>
    </w:p>
    <w:p w14:paraId="40071445"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 xml:space="preserve">(labai retai) </w:t>
      </w:r>
      <w:proofErr w:type="spellStart"/>
      <w:r w:rsidRPr="00561601">
        <w:rPr>
          <w:rFonts w:cs="Arial"/>
          <w:snapToGrid/>
          <w:szCs w:val="22"/>
          <w:lang w:val="lt-LT" w:eastAsia="de-DE"/>
        </w:rPr>
        <w:t>tromboembolinės</w:t>
      </w:r>
      <w:proofErr w:type="spellEnd"/>
      <w:r w:rsidRPr="00561601">
        <w:rPr>
          <w:rFonts w:cs="Arial"/>
          <w:snapToGrid/>
          <w:szCs w:val="22"/>
          <w:lang w:val="lt-LT" w:eastAsia="de-DE"/>
        </w:rPr>
        <w:t xml:space="preserve"> reakcijos, tokios kaip širdies priepuolis (miokardo infarktas), insultas, kraujo krešuliai plaučių kraujagyslėse (plaučių embolija), kraujo krešuliai venose (giliųjų venų trombozė);</w:t>
      </w:r>
    </w:p>
    <w:p w14:paraId="6AA173C7" w14:textId="5F2BA5B4"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laikinas ūminis galvos ir nugaros smegenis dengiančių apsauginių membranų uždegimas (</w:t>
      </w:r>
      <w:r w:rsidR="00C22EF3">
        <w:rPr>
          <w:rFonts w:cs="Arial"/>
          <w:snapToGrid/>
          <w:szCs w:val="22"/>
          <w:lang w:val="lt-LT" w:eastAsia="de-DE"/>
        </w:rPr>
        <w:t>laikinas</w:t>
      </w:r>
      <w:r w:rsidR="00C22EF3" w:rsidRPr="00561601">
        <w:rPr>
          <w:rFonts w:cs="Arial"/>
          <w:snapToGrid/>
          <w:szCs w:val="22"/>
          <w:lang w:val="lt-LT" w:eastAsia="de-DE"/>
        </w:rPr>
        <w:t xml:space="preserve"> </w:t>
      </w:r>
      <w:proofErr w:type="spellStart"/>
      <w:r w:rsidRPr="00561601">
        <w:rPr>
          <w:rFonts w:cs="Arial"/>
          <w:snapToGrid/>
          <w:szCs w:val="22"/>
          <w:lang w:val="lt-LT" w:eastAsia="de-DE"/>
        </w:rPr>
        <w:t>aseptinis</w:t>
      </w:r>
      <w:proofErr w:type="spellEnd"/>
      <w:r w:rsidRPr="00561601">
        <w:rPr>
          <w:rFonts w:cs="Arial"/>
          <w:snapToGrid/>
          <w:szCs w:val="22"/>
          <w:lang w:val="lt-LT" w:eastAsia="de-DE"/>
        </w:rPr>
        <w:t xml:space="preserve"> meningitas);</w:t>
      </w:r>
    </w:p>
    <w:p w14:paraId="4EE39BE4" w14:textId="6F39DA00"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color w:val="000000"/>
          <w:szCs w:val="22"/>
          <w:lang w:val="lt-LT" w:eastAsia="de-DE"/>
        </w:rPr>
        <w:t xml:space="preserve">kraujo tyrimų rezultatai, rodantys, kad inkstų funkcija sutrikusi ir (arba) </w:t>
      </w:r>
      <w:r w:rsidR="005F28BE">
        <w:rPr>
          <w:rFonts w:cs="Arial"/>
          <w:snapToGrid/>
          <w:color w:val="000000"/>
          <w:szCs w:val="22"/>
          <w:lang w:val="lt-LT" w:eastAsia="de-DE"/>
        </w:rPr>
        <w:t xml:space="preserve">yra </w:t>
      </w:r>
      <w:r w:rsidR="00C22EF3">
        <w:rPr>
          <w:rFonts w:cs="Arial"/>
          <w:snapToGrid/>
          <w:color w:val="000000"/>
          <w:szCs w:val="22"/>
          <w:lang w:val="lt-LT" w:eastAsia="de-DE"/>
        </w:rPr>
        <w:t>ūm</w:t>
      </w:r>
      <w:r w:rsidR="005F28BE">
        <w:rPr>
          <w:rFonts w:cs="Arial"/>
          <w:snapToGrid/>
          <w:color w:val="000000"/>
          <w:szCs w:val="22"/>
          <w:lang w:val="lt-LT" w:eastAsia="de-DE"/>
        </w:rPr>
        <w:t>inis</w:t>
      </w:r>
      <w:r w:rsidR="00C22EF3" w:rsidRPr="00561601">
        <w:rPr>
          <w:rFonts w:cs="Arial"/>
          <w:snapToGrid/>
          <w:color w:val="000000"/>
          <w:szCs w:val="22"/>
          <w:lang w:val="lt-LT" w:eastAsia="de-DE"/>
        </w:rPr>
        <w:t xml:space="preserve"> </w:t>
      </w:r>
      <w:r w:rsidRPr="00561601">
        <w:rPr>
          <w:rFonts w:cs="Arial"/>
          <w:snapToGrid/>
          <w:color w:val="000000"/>
          <w:szCs w:val="22"/>
          <w:lang w:val="lt-LT" w:eastAsia="de-DE"/>
        </w:rPr>
        <w:t>inkstų nepakankamumas;</w:t>
      </w:r>
    </w:p>
    <w:p w14:paraId="0CE06AAC" w14:textId="196D1B94"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color w:val="000000"/>
          <w:szCs w:val="22"/>
          <w:lang w:val="lt-LT" w:eastAsia="de-DE"/>
        </w:rPr>
      </w:pPr>
      <w:r w:rsidRPr="00561601">
        <w:rPr>
          <w:rFonts w:cs="Arial"/>
          <w:snapToGrid/>
          <w:color w:val="000000"/>
          <w:szCs w:val="22"/>
          <w:lang w:val="lt-LT" w:eastAsia="de-DE"/>
        </w:rPr>
        <w:t>su transfuzija susijusio ūm</w:t>
      </w:r>
      <w:r w:rsidR="00AE2760">
        <w:rPr>
          <w:rFonts w:cs="Arial"/>
          <w:snapToGrid/>
          <w:color w:val="000000"/>
          <w:szCs w:val="22"/>
          <w:lang w:val="lt-LT" w:eastAsia="de-DE"/>
        </w:rPr>
        <w:t>inio</w:t>
      </w:r>
      <w:r w:rsidRPr="00561601">
        <w:rPr>
          <w:rFonts w:cs="Arial"/>
          <w:snapToGrid/>
          <w:color w:val="000000"/>
          <w:szCs w:val="22"/>
          <w:lang w:val="lt-LT" w:eastAsia="de-DE"/>
        </w:rPr>
        <w:t xml:space="preserve"> plaučių pažeidimo (TRALI) atvejai. Tai sukels su širdimi nesusijusį </w:t>
      </w:r>
      <w:r w:rsidR="00C22EF3" w:rsidRPr="00561601">
        <w:rPr>
          <w:rFonts w:cs="Arial"/>
          <w:snapToGrid/>
          <w:color w:val="000000"/>
          <w:szCs w:val="22"/>
          <w:lang w:val="lt-LT" w:eastAsia="de-DE"/>
        </w:rPr>
        <w:t>skysči</w:t>
      </w:r>
      <w:r w:rsidR="00C22EF3">
        <w:rPr>
          <w:rFonts w:cs="Arial"/>
          <w:snapToGrid/>
          <w:color w:val="000000"/>
          <w:szCs w:val="22"/>
          <w:lang w:val="lt-LT" w:eastAsia="de-DE"/>
        </w:rPr>
        <w:t>o</w:t>
      </w:r>
      <w:r w:rsidR="00C22EF3" w:rsidRPr="00561601">
        <w:rPr>
          <w:rFonts w:cs="Arial"/>
          <w:snapToGrid/>
          <w:color w:val="000000"/>
          <w:szCs w:val="22"/>
          <w:lang w:val="lt-LT" w:eastAsia="de-DE"/>
        </w:rPr>
        <w:t xml:space="preserve"> </w:t>
      </w:r>
      <w:r w:rsidRPr="00561601">
        <w:rPr>
          <w:rFonts w:cs="Arial"/>
          <w:snapToGrid/>
          <w:color w:val="000000"/>
          <w:szCs w:val="22"/>
          <w:lang w:val="lt-LT" w:eastAsia="de-DE"/>
        </w:rPr>
        <w:t>kaupimąsi plaučių oro erdvėse (</w:t>
      </w:r>
      <w:proofErr w:type="spellStart"/>
      <w:r w:rsidRPr="00561601">
        <w:rPr>
          <w:rFonts w:cs="Arial"/>
          <w:snapToGrid/>
          <w:color w:val="000000"/>
          <w:szCs w:val="22"/>
          <w:lang w:val="lt-LT" w:eastAsia="de-DE"/>
        </w:rPr>
        <w:t>nekardiogeninė</w:t>
      </w:r>
      <w:proofErr w:type="spellEnd"/>
      <w:r w:rsidRPr="00561601">
        <w:rPr>
          <w:rFonts w:cs="Arial"/>
          <w:snapToGrid/>
          <w:color w:val="000000"/>
          <w:szCs w:val="22"/>
          <w:lang w:val="lt-LT" w:eastAsia="de-DE"/>
        </w:rPr>
        <w:t xml:space="preserve"> plaučių edema). Labai pasunkės kvėpavimas (kvėpavimo sutrikimas), pagreitės kvėpavimas (</w:t>
      </w:r>
      <w:proofErr w:type="spellStart"/>
      <w:r w:rsidRPr="00561601">
        <w:rPr>
          <w:rFonts w:cs="Arial"/>
          <w:snapToGrid/>
          <w:color w:val="000000"/>
          <w:szCs w:val="22"/>
          <w:lang w:val="lt-LT" w:eastAsia="de-DE"/>
        </w:rPr>
        <w:t>tachipnėja</w:t>
      </w:r>
      <w:proofErr w:type="spellEnd"/>
      <w:r w:rsidRPr="00561601">
        <w:rPr>
          <w:rFonts w:cs="Arial"/>
          <w:snapToGrid/>
          <w:color w:val="000000"/>
          <w:szCs w:val="22"/>
          <w:lang w:val="lt-LT" w:eastAsia="de-DE"/>
        </w:rPr>
        <w:t xml:space="preserve">), neįprastai sumažės deguonies kiekis kraujyje (hipoksija) ir padidės kūno temperatūra (karščiavimas). </w:t>
      </w:r>
    </w:p>
    <w:p w14:paraId="11C17993" w14:textId="77777777" w:rsidR="00F34163" w:rsidRPr="00561601" w:rsidRDefault="00F34163" w:rsidP="00F34163">
      <w:pPr>
        <w:spacing w:line="240" w:lineRule="auto"/>
        <w:rPr>
          <w:b/>
          <w:szCs w:val="24"/>
          <w:lang w:val="lt-LT"/>
        </w:rPr>
      </w:pPr>
    </w:p>
    <w:p w14:paraId="4661A430" w14:textId="77777777" w:rsidR="00F34163" w:rsidRPr="00561601" w:rsidRDefault="00F34163" w:rsidP="00F34163">
      <w:pPr>
        <w:spacing w:line="240" w:lineRule="auto"/>
        <w:rPr>
          <w:b/>
          <w:szCs w:val="24"/>
          <w:lang w:val="lt-LT"/>
        </w:rPr>
      </w:pPr>
      <w:r w:rsidRPr="00561601">
        <w:rPr>
          <w:b/>
          <w:noProof/>
          <w:szCs w:val="24"/>
          <w:lang w:val="lt-LT"/>
        </w:rPr>
        <w:t>Pranešimas apie šalutinį poveikį</w:t>
      </w:r>
    </w:p>
    <w:p w14:paraId="2AE4B096" w14:textId="00DDFC72" w:rsidR="00384AC2" w:rsidRPr="00E7565F" w:rsidRDefault="00384AC2" w:rsidP="00384AC2">
      <w:pPr>
        <w:ind w:right="-1"/>
        <w:rPr>
          <w:lang w:val="lt-LT"/>
        </w:rPr>
      </w:pPr>
      <w:r w:rsidRPr="00E7565F">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w:t>
      </w:r>
      <w:r w:rsidRPr="006D0F58">
        <w:rPr>
          <w:lang w:val="lt-LT"/>
        </w:rPr>
        <w:t xml:space="preserve">sistemoje </w:t>
      </w:r>
      <w:hyperlink r:id="rId6" w:history="1">
        <w:r w:rsidRPr="006D0F58">
          <w:rPr>
            <w:lang w:val="lt-LT"/>
          </w:rPr>
          <w:t>https://vapris.vvkt.lt/vvkt-web/public/nrv</w:t>
        </w:r>
      </w:hyperlink>
      <w:r w:rsidRPr="006D0F58">
        <w:rPr>
          <w:lang w:val="lt-LT"/>
        </w:rPr>
        <w:t xml:space="preserve"> arba užpildant Paciento pranešimo apie įtariamą nepageidaujamą reakciją (ĮNR) formą, kuri skelbiama </w:t>
      </w:r>
      <w:hyperlink r:id="rId7" w:history="1">
        <w:r w:rsidRPr="006D0F58">
          <w:rPr>
            <w:lang w:val="lt-LT"/>
          </w:rPr>
          <w:t>https://www.vvkt.lt/index.php?4004286486</w:t>
        </w:r>
      </w:hyperlink>
      <w:r w:rsidRPr="006D0F58">
        <w:rPr>
          <w:lang w:val="lt-LT"/>
        </w:rPr>
        <w:t xml:space="preserve">, ir atsiunčiant elektroniniu paštu (adresu </w:t>
      </w:r>
      <w:hyperlink r:id="rId8" w:history="1">
        <w:r w:rsidRPr="006D0F58">
          <w:rPr>
            <w:lang w:val="lt-LT"/>
          </w:rPr>
          <w:t>NepageidaujamaR@vvkt.lt</w:t>
        </w:r>
      </w:hyperlink>
      <w:r w:rsidRPr="006D0F58">
        <w:rPr>
          <w:lang w:val="lt-LT"/>
        </w:rPr>
        <w:t>) arba nemokamu</w:t>
      </w:r>
      <w:r w:rsidRPr="00E7565F">
        <w:rPr>
          <w:lang w:val="lt-LT"/>
        </w:rPr>
        <w:t xml:space="preserve"> telefonu 8 800 73 568. Pranešdami apie šalutinį poveikį galite mums padėti gauti daugiau informacijos apie šio vaisto saugumą.</w:t>
      </w:r>
    </w:p>
    <w:p w14:paraId="22573A98" w14:textId="77777777" w:rsidR="00AA148B" w:rsidRPr="00561601" w:rsidRDefault="00AA148B" w:rsidP="00AA148B">
      <w:pPr>
        <w:ind w:right="-449"/>
        <w:rPr>
          <w:noProof/>
          <w:szCs w:val="24"/>
          <w:lang w:val="lt-LT"/>
        </w:rPr>
      </w:pPr>
    </w:p>
    <w:p w14:paraId="076F935E" w14:textId="77777777" w:rsidR="00447DE7" w:rsidRPr="00561601" w:rsidRDefault="00447DE7" w:rsidP="00AA148B">
      <w:pPr>
        <w:ind w:right="-449"/>
        <w:rPr>
          <w:noProof/>
          <w:szCs w:val="24"/>
          <w:lang w:val="lt-LT"/>
        </w:rPr>
      </w:pPr>
    </w:p>
    <w:p w14:paraId="5E752ED3" w14:textId="09C7ADB3"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5.</w:t>
      </w:r>
      <w:r w:rsidRPr="00561601">
        <w:rPr>
          <w:rFonts w:ascii="Times New Roman" w:hAnsi="Times New Roman"/>
          <w:sz w:val="22"/>
          <w:lang w:val="lt-LT"/>
        </w:rPr>
        <w:tab/>
        <w:t xml:space="preserve">Kaip laikyti </w:t>
      </w:r>
      <w:proofErr w:type="spellStart"/>
      <w:r w:rsidR="00E47068">
        <w:rPr>
          <w:rFonts w:ascii="Times New Roman" w:hAnsi="Times New Roman" w:cs="Arial"/>
          <w:bCs w:val="0"/>
          <w:snapToGrid/>
          <w:sz w:val="22"/>
          <w:szCs w:val="22"/>
          <w:lang w:val="lt-LT" w:eastAsia="de-DE"/>
        </w:rPr>
        <w:t>Cymvigo</w:t>
      </w:r>
      <w:proofErr w:type="spellEnd"/>
    </w:p>
    <w:p w14:paraId="50923EE6" w14:textId="77777777" w:rsidR="00F34163" w:rsidRPr="00561601" w:rsidRDefault="00F34163" w:rsidP="00F34163">
      <w:pPr>
        <w:numPr>
          <w:ilvl w:val="12"/>
          <w:numId w:val="0"/>
        </w:numPr>
        <w:tabs>
          <w:tab w:val="clear" w:pos="567"/>
        </w:tabs>
        <w:spacing w:line="240" w:lineRule="auto"/>
        <w:ind w:right="-2"/>
        <w:rPr>
          <w:szCs w:val="24"/>
          <w:lang w:val="lt-LT"/>
        </w:rPr>
      </w:pPr>
    </w:p>
    <w:p w14:paraId="1583ED20"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noProof/>
          <w:szCs w:val="24"/>
          <w:lang w:val="lt-LT"/>
        </w:rPr>
        <w:t>Šį vaistą laikykite vaikams nepastebimoje ir nepasiekiamoje vietoje.</w:t>
      </w:r>
    </w:p>
    <w:p w14:paraId="012CA9DD" w14:textId="77777777" w:rsidR="00F34163" w:rsidRPr="00561601" w:rsidRDefault="00F34163" w:rsidP="00F34163">
      <w:pPr>
        <w:numPr>
          <w:ilvl w:val="12"/>
          <w:numId w:val="0"/>
        </w:numPr>
        <w:tabs>
          <w:tab w:val="clear" w:pos="567"/>
        </w:tabs>
        <w:spacing w:line="240" w:lineRule="auto"/>
        <w:ind w:right="-2"/>
        <w:rPr>
          <w:szCs w:val="24"/>
          <w:lang w:val="lt-LT"/>
        </w:rPr>
      </w:pPr>
    </w:p>
    <w:p w14:paraId="297D3078"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Ant išorinės dėžutės ir flakono po „Tinka iki“ nurodytam tinkamumo laikui pasibaigus, šio vaisto vartoti negalima. </w:t>
      </w:r>
    </w:p>
    <w:p w14:paraId="42B93360"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Laikyti šaldytuve (2 °C – 8 °C). Laikyti gamintojo pakuotėje, kad vaistas būtų apsaugotas nuo šviesos.</w:t>
      </w:r>
    </w:p>
    <w:p w14:paraId="55F4CFAA"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Negalima užšaldyti.</w:t>
      </w:r>
    </w:p>
    <w:p w14:paraId="2BCF9090"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54E9BC0D" w14:textId="43BB75EB"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Prieš </w:t>
      </w:r>
      <w:r w:rsidR="00196F8B">
        <w:rPr>
          <w:rFonts w:cs="Arial"/>
          <w:snapToGrid/>
          <w:szCs w:val="22"/>
          <w:lang w:val="lt-LT" w:eastAsia="de-DE"/>
        </w:rPr>
        <w:t>vartojimą</w:t>
      </w:r>
      <w:r w:rsidRPr="00561601">
        <w:rPr>
          <w:rFonts w:cs="Arial"/>
          <w:snapToGrid/>
          <w:szCs w:val="22"/>
          <w:lang w:val="lt-LT" w:eastAsia="de-DE"/>
        </w:rPr>
        <w:t xml:space="preserve"> vaistą reikia apžiūrėti: tirpalas turi būti skaidrus arba šiek tiek opalinis (turintis pienišką blizgesį) ir bespalvis arba gelsvas.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negalima </w:t>
      </w:r>
      <w:r w:rsidR="00196F8B">
        <w:rPr>
          <w:rFonts w:cs="Arial"/>
          <w:snapToGrid/>
          <w:szCs w:val="22"/>
          <w:lang w:val="lt-LT" w:eastAsia="de-DE"/>
        </w:rPr>
        <w:t>vartoti</w:t>
      </w:r>
      <w:r w:rsidRPr="00561601">
        <w:rPr>
          <w:rFonts w:cs="Arial"/>
          <w:snapToGrid/>
          <w:szCs w:val="22"/>
          <w:lang w:val="lt-LT" w:eastAsia="de-DE"/>
        </w:rPr>
        <w:t>, jei tirpalas yra drumstas arba jame susidarė nuosėdos.</w:t>
      </w:r>
    </w:p>
    <w:p w14:paraId="25E03376"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25230F8F"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Pirmą kartą atidarius, vaistą reikia vartoti nedelsiant.</w:t>
      </w:r>
    </w:p>
    <w:p w14:paraId="4D18A4AF" w14:textId="77777777" w:rsidR="00F34163" w:rsidRPr="00561601" w:rsidRDefault="00F34163" w:rsidP="00F34163">
      <w:pPr>
        <w:numPr>
          <w:ilvl w:val="12"/>
          <w:numId w:val="0"/>
        </w:numPr>
        <w:tabs>
          <w:tab w:val="clear" w:pos="567"/>
        </w:tabs>
        <w:spacing w:line="240" w:lineRule="auto"/>
        <w:ind w:right="-2"/>
        <w:rPr>
          <w:szCs w:val="24"/>
          <w:lang w:val="lt-LT"/>
        </w:rPr>
      </w:pPr>
    </w:p>
    <w:p w14:paraId="4572AF35" w14:textId="77777777" w:rsidR="00F34163" w:rsidRPr="00561601" w:rsidRDefault="00F34163" w:rsidP="00F34163">
      <w:pPr>
        <w:numPr>
          <w:ilvl w:val="12"/>
          <w:numId w:val="0"/>
        </w:numPr>
        <w:tabs>
          <w:tab w:val="clear" w:pos="567"/>
        </w:tabs>
        <w:spacing w:line="240" w:lineRule="auto"/>
        <w:ind w:right="-2"/>
        <w:rPr>
          <w:i/>
          <w:lang w:val="lt-LT"/>
        </w:rPr>
      </w:pPr>
      <w:r w:rsidRPr="00561601">
        <w:rPr>
          <w:noProof/>
          <w:szCs w:val="24"/>
          <w:lang w:val="lt-LT"/>
        </w:rPr>
        <w:t>Vaistų negalima išmesti į kanalizaciją arba su buitinėmis atliekomis.</w:t>
      </w:r>
      <w:r w:rsidRPr="00561601">
        <w:rPr>
          <w:szCs w:val="24"/>
          <w:lang w:val="lt-LT"/>
        </w:rPr>
        <w:t xml:space="preserve"> </w:t>
      </w:r>
      <w:r w:rsidRPr="00561601">
        <w:rPr>
          <w:noProof/>
          <w:szCs w:val="24"/>
          <w:lang w:val="lt-LT"/>
        </w:rPr>
        <w:t>Kaip išmesti nereikalingus vaistus, klauskite vaistininko.</w:t>
      </w:r>
      <w:r w:rsidRPr="00561601">
        <w:rPr>
          <w:szCs w:val="24"/>
          <w:lang w:val="lt-LT"/>
        </w:rPr>
        <w:t xml:space="preserve"> </w:t>
      </w:r>
      <w:r w:rsidRPr="00561601">
        <w:rPr>
          <w:noProof/>
          <w:szCs w:val="24"/>
          <w:lang w:val="lt-LT"/>
        </w:rPr>
        <w:t>Šios priemonės padės apsaugoti aplinką.</w:t>
      </w:r>
    </w:p>
    <w:p w14:paraId="5BB851BA" w14:textId="77777777" w:rsidR="00F34163" w:rsidRPr="00561601" w:rsidRDefault="00F34163" w:rsidP="00F34163">
      <w:pPr>
        <w:numPr>
          <w:ilvl w:val="12"/>
          <w:numId w:val="0"/>
        </w:numPr>
        <w:tabs>
          <w:tab w:val="clear" w:pos="567"/>
        </w:tabs>
        <w:spacing w:line="240" w:lineRule="auto"/>
        <w:ind w:right="-2"/>
        <w:rPr>
          <w:noProof/>
          <w:szCs w:val="24"/>
          <w:lang w:val="lt-LT"/>
        </w:rPr>
      </w:pPr>
    </w:p>
    <w:p w14:paraId="492445BB" w14:textId="77777777" w:rsidR="00447DE7" w:rsidRPr="00561601" w:rsidRDefault="00447DE7" w:rsidP="00F34163">
      <w:pPr>
        <w:numPr>
          <w:ilvl w:val="12"/>
          <w:numId w:val="0"/>
        </w:numPr>
        <w:tabs>
          <w:tab w:val="clear" w:pos="567"/>
        </w:tabs>
        <w:spacing w:line="240" w:lineRule="auto"/>
        <w:ind w:right="-2"/>
        <w:rPr>
          <w:noProof/>
          <w:szCs w:val="24"/>
          <w:lang w:val="lt-LT"/>
        </w:rPr>
      </w:pPr>
    </w:p>
    <w:p w14:paraId="0F93E5C3"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6.</w:t>
      </w:r>
      <w:r w:rsidRPr="00561601">
        <w:rPr>
          <w:rFonts w:ascii="Times New Roman" w:hAnsi="Times New Roman"/>
          <w:b w:val="0"/>
          <w:sz w:val="22"/>
          <w:lang w:val="lt-LT"/>
        </w:rPr>
        <w:tab/>
      </w:r>
      <w:r w:rsidRPr="00561601">
        <w:rPr>
          <w:rFonts w:ascii="Times New Roman" w:hAnsi="Times New Roman"/>
          <w:sz w:val="22"/>
          <w:lang w:val="lt-LT"/>
        </w:rPr>
        <w:t>Pakuotės turinys ir kita informacija</w:t>
      </w:r>
    </w:p>
    <w:p w14:paraId="37E2209D" w14:textId="77777777" w:rsidR="00F34163" w:rsidRPr="00561601" w:rsidRDefault="00F34163" w:rsidP="00F34163">
      <w:pPr>
        <w:numPr>
          <w:ilvl w:val="12"/>
          <w:numId w:val="0"/>
        </w:numPr>
        <w:tabs>
          <w:tab w:val="clear" w:pos="567"/>
        </w:tabs>
        <w:spacing w:line="240" w:lineRule="auto"/>
        <w:rPr>
          <w:szCs w:val="24"/>
          <w:lang w:val="lt-LT"/>
        </w:rPr>
      </w:pPr>
    </w:p>
    <w:p w14:paraId="7909F867" w14:textId="09A788EC" w:rsidR="00C30A9B" w:rsidRPr="00561601" w:rsidRDefault="00E47068" w:rsidP="00C30A9B">
      <w:pPr>
        <w:pStyle w:val="Antrat4"/>
        <w:rPr>
          <w:rFonts w:ascii="Times New Roman" w:hAnsi="Times New Roman"/>
          <w:sz w:val="22"/>
          <w:lang w:val="lt-LT"/>
        </w:rPr>
      </w:pPr>
      <w:proofErr w:type="spellStart"/>
      <w:r>
        <w:rPr>
          <w:rFonts w:ascii="Times New Roman" w:hAnsi="Times New Roman" w:cs="Arial"/>
          <w:bCs w:val="0"/>
          <w:snapToGrid/>
          <w:sz w:val="22"/>
          <w:szCs w:val="22"/>
          <w:lang w:val="lt-LT" w:eastAsia="de-DE"/>
        </w:rPr>
        <w:t>Cymvigo</w:t>
      </w:r>
      <w:proofErr w:type="spellEnd"/>
      <w:r w:rsidR="00F34163" w:rsidRPr="00561601">
        <w:rPr>
          <w:rFonts w:ascii="Times New Roman" w:hAnsi="Times New Roman"/>
          <w:sz w:val="22"/>
          <w:lang w:val="lt-LT"/>
        </w:rPr>
        <w:t xml:space="preserve"> sudėtis </w:t>
      </w:r>
    </w:p>
    <w:p w14:paraId="0E8B91AA" w14:textId="77777777" w:rsidR="002C19BF" w:rsidRPr="00561601" w:rsidRDefault="002C19BF" w:rsidP="00E7565F">
      <w:pPr>
        <w:numPr>
          <w:ilvl w:val="0"/>
          <w:numId w:val="19"/>
        </w:numPr>
        <w:tabs>
          <w:tab w:val="clear" w:pos="567"/>
          <w:tab w:val="left" w:pos="709"/>
        </w:tabs>
        <w:overflowPunct w:val="0"/>
        <w:autoSpaceDE w:val="0"/>
        <w:autoSpaceDN w:val="0"/>
        <w:adjustRightInd w:val="0"/>
        <w:spacing w:line="240" w:lineRule="auto"/>
        <w:textAlignment w:val="baseline"/>
        <w:rPr>
          <w:snapToGrid/>
          <w:szCs w:val="22"/>
          <w:lang w:val="lt-LT" w:eastAsia="de-DE"/>
        </w:rPr>
      </w:pPr>
      <w:r w:rsidRPr="00E7565F">
        <w:rPr>
          <w:rFonts w:cs="Arial"/>
          <w:snapToGrid/>
          <w:szCs w:val="22"/>
          <w:lang w:val="lt-LT" w:eastAsia="de-DE"/>
        </w:rPr>
        <w:t>Veiklioji medžiaga yra žmogaus</w:t>
      </w:r>
      <w:r w:rsidRPr="00033FE1">
        <w:rPr>
          <w:rFonts w:cs="Arial"/>
          <w:snapToGrid/>
          <w:szCs w:val="22"/>
          <w:lang w:val="lt-LT" w:eastAsia="de-DE"/>
        </w:rPr>
        <w:t xml:space="preserve"> </w:t>
      </w:r>
      <w:proofErr w:type="spellStart"/>
      <w:r w:rsidRPr="00033FE1">
        <w:rPr>
          <w:rFonts w:cs="Arial"/>
          <w:snapToGrid/>
          <w:szCs w:val="22"/>
          <w:lang w:val="lt-LT" w:eastAsia="de-DE"/>
        </w:rPr>
        <w:t>citomegalo</w:t>
      </w:r>
      <w:proofErr w:type="spellEnd"/>
      <w:r w:rsidRPr="00561601">
        <w:rPr>
          <w:rFonts w:cs="Arial"/>
          <w:snapToGrid/>
          <w:szCs w:val="22"/>
          <w:lang w:val="lt-LT" w:eastAsia="de-DE"/>
        </w:rPr>
        <w:t xml:space="preserve"> viruso imunoglobulinas (CMVIG).</w:t>
      </w:r>
    </w:p>
    <w:p w14:paraId="1B5FDF2E"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1 ml tirpalo yra:</w:t>
      </w:r>
    </w:p>
    <w:p w14:paraId="4801B8EF" w14:textId="7B3C8352"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 xml:space="preserve">50 mg žmogaus plazmos baltymo </w:t>
      </w:r>
      <w:r w:rsidR="00FB6F43">
        <w:rPr>
          <w:rFonts w:cs="Arial"/>
          <w:snapToGrid/>
          <w:szCs w:val="22"/>
          <w:lang w:val="lt-LT" w:eastAsia="de-DE"/>
        </w:rPr>
        <w:t>(</w:t>
      </w:r>
      <w:r w:rsidR="00C22EF3">
        <w:rPr>
          <w:rFonts w:cs="Arial"/>
          <w:snapToGrid/>
          <w:szCs w:val="22"/>
          <w:lang w:val="lt-LT" w:eastAsia="de-DE"/>
        </w:rPr>
        <w:t>iš kurio</w:t>
      </w:r>
      <w:r w:rsidR="00FB6F43">
        <w:rPr>
          <w:rFonts w:cs="Arial"/>
          <w:snapToGrid/>
          <w:szCs w:val="22"/>
          <w:lang w:val="lt-LT" w:eastAsia="de-DE"/>
        </w:rPr>
        <w:t xml:space="preserve"> </w:t>
      </w:r>
      <w:r w:rsidRPr="00561601">
        <w:rPr>
          <w:rFonts w:cs="Arial"/>
          <w:snapToGrid/>
          <w:szCs w:val="22"/>
          <w:lang w:val="lt-LT" w:eastAsia="de-DE"/>
        </w:rPr>
        <w:t>yra ne mažiau kaip 96 % imunoglobulino G (</w:t>
      </w:r>
      <w:proofErr w:type="spellStart"/>
      <w:r w:rsidRPr="00561601">
        <w:rPr>
          <w:rFonts w:cs="Arial"/>
          <w:snapToGrid/>
          <w:szCs w:val="22"/>
          <w:lang w:val="lt-LT" w:eastAsia="de-DE"/>
        </w:rPr>
        <w:t>IgG</w:t>
      </w:r>
      <w:proofErr w:type="spellEnd"/>
      <w:r w:rsidRPr="00561601">
        <w:rPr>
          <w:rFonts w:cs="Arial"/>
          <w:snapToGrid/>
          <w:szCs w:val="22"/>
          <w:lang w:val="lt-LT" w:eastAsia="de-DE"/>
        </w:rPr>
        <w:t>)</w:t>
      </w:r>
      <w:r w:rsidR="00FB6F43">
        <w:rPr>
          <w:rFonts w:cs="Arial"/>
          <w:snapToGrid/>
          <w:szCs w:val="22"/>
          <w:lang w:val="lt-LT" w:eastAsia="de-DE"/>
        </w:rPr>
        <w:t>)</w:t>
      </w:r>
      <w:r w:rsidRPr="00561601">
        <w:rPr>
          <w:rFonts w:cs="Arial"/>
          <w:snapToGrid/>
          <w:szCs w:val="22"/>
          <w:lang w:val="lt-LT" w:eastAsia="de-DE"/>
        </w:rPr>
        <w:t xml:space="preserve">, kuriame antikūnų prieš </w:t>
      </w:r>
      <w:proofErr w:type="spellStart"/>
      <w:r w:rsidRPr="00561601">
        <w:rPr>
          <w:rFonts w:cs="Arial"/>
          <w:snapToGrid/>
          <w:szCs w:val="22"/>
          <w:lang w:val="lt-LT" w:eastAsia="de-DE"/>
        </w:rPr>
        <w:t>citomegalo</w:t>
      </w:r>
      <w:proofErr w:type="spellEnd"/>
      <w:r w:rsidRPr="00561601">
        <w:rPr>
          <w:rFonts w:cs="Arial"/>
          <w:snapToGrid/>
          <w:szCs w:val="22"/>
          <w:lang w:val="lt-LT" w:eastAsia="de-DE"/>
        </w:rPr>
        <w:t xml:space="preserve"> virusą kiekis yra 100 V*.</w:t>
      </w:r>
    </w:p>
    <w:p w14:paraId="05207EC5" w14:textId="77777777"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p>
    <w:p w14:paraId="4AAC0C27" w14:textId="5B86ECD4"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Kiekviename 10 ml flakone yra: 500 mg žmogaus plazmos baltymo (</w:t>
      </w:r>
      <w:r w:rsidR="00C22EF3">
        <w:rPr>
          <w:rFonts w:cs="Arial"/>
          <w:snapToGrid/>
          <w:szCs w:val="22"/>
          <w:lang w:val="lt-LT" w:eastAsia="de-DE"/>
        </w:rPr>
        <w:t>iš kurio</w:t>
      </w:r>
      <w:r w:rsidR="00C22EF3" w:rsidRPr="00561601">
        <w:rPr>
          <w:rFonts w:cs="Arial"/>
          <w:snapToGrid/>
          <w:szCs w:val="22"/>
          <w:lang w:val="lt-LT" w:eastAsia="de-DE"/>
        </w:rPr>
        <w:t xml:space="preserve"> </w:t>
      </w:r>
      <w:r w:rsidRPr="00561601">
        <w:rPr>
          <w:rFonts w:cs="Arial"/>
          <w:snapToGrid/>
          <w:szCs w:val="22"/>
          <w:lang w:val="lt-LT" w:eastAsia="de-DE"/>
        </w:rPr>
        <w:t>yra ne mažiau kaip 96 % imunoglobulino G), kuriame antikūnų prieš CMV kiekis yra 1 000 V*.</w:t>
      </w:r>
    </w:p>
    <w:p w14:paraId="455B2409" w14:textId="62386D96"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rFonts w:ascii="Arial" w:hAnsi="Arial" w:cs="Arial"/>
          <w:iCs/>
          <w:snapToGrid/>
          <w:szCs w:val="22"/>
          <w:lang w:val="lt-LT" w:eastAsia="de-DE"/>
        </w:rPr>
      </w:pPr>
      <w:r w:rsidRPr="00561601">
        <w:rPr>
          <w:rFonts w:cs="Arial"/>
          <w:snapToGrid/>
          <w:szCs w:val="22"/>
          <w:lang w:val="lt-LT" w:eastAsia="de-DE"/>
        </w:rPr>
        <w:t>Kiekviename 50 ml flakone yra: 2 500 mg žmogaus plazmos baltymo (</w:t>
      </w:r>
      <w:r w:rsidR="00C22EF3">
        <w:rPr>
          <w:rFonts w:cs="Arial"/>
          <w:snapToGrid/>
          <w:szCs w:val="22"/>
          <w:lang w:val="lt-LT" w:eastAsia="de-DE"/>
        </w:rPr>
        <w:t>iš kurio</w:t>
      </w:r>
      <w:r w:rsidR="00C22EF3" w:rsidRPr="00561601">
        <w:rPr>
          <w:rFonts w:cs="Arial"/>
          <w:snapToGrid/>
          <w:szCs w:val="22"/>
          <w:lang w:val="lt-LT" w:eastAsia="de-DE"/>
        </w:rPr>
        <w:t xml:space="preserve"> </w:t>
      </w:r>
      <w:r w:rsidRPr="00561601">
        <w:rPr>
          <w:rFonts w:cs="Arial"/>
          <w:snapToGrid/>
          <w:szCs w:val="22"/>
          <w:lang w:val="lt-LT" w:eastAsia="de-DE"/>
        </w:rPr>
        <w:t>yra ne mažiau kaip 96 % imunoglobulino G), kuriame antikūnų prieš CMV kiekis yra 5 000 V*.</w:t>
      </w:r>
    </w:p>
    <w:p w14:paraId="54824E60" w14:textId="77777777"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p>
    <w:p w14:paraId="2605A24D"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proofErr w:type="spellStart"/>
      <w:r w:rsidRPr="00561601">
        <w:rPr>
          <w:rFonts w:cs="Arial"/>
          <w:snapToGrid/>
          <w:szCs w:val="22"/>
          <w:lang w:val="lt-LT" w:eastAsia="de-DE"/>
        </w:rPr>
        <w:t>IgG</w:t>
      </w:r>
      <w:proofErr w:type="spellEnd"/>
      <w:r w:rsidRPr="00561601">
        <w:rPr>
          <w:rFonts w:cs="Arial"/>
          <w:snapToGrid/>
          <w:szCs w:val="22"/>
          <w:lang w:val="lt-LT" w:eastAsia="de-DE"/>
        </w:rPr>
        <w:t xml:space="preserve"> poklasio pasiskirstymas yra maždaug 65 % IgG1, 30 % IgG2, 3 % IgG3, 2 % IgG4.</w:t>
      </w:r>
    </w:p>
    <w:p w14:paraId="41302D41"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Didžiausias imunoglobulino A (</w:t>
      </w:r>
      <w:proofErr w:type="spellStart"/>
      <w:r w:rsidRPr="00561601">
        <w:rPr>
          <w:rFonts w:cs="Arial"/>
          <w:snapToGrid/>
          <w:szCs w:val="22"/>
          <w:lang w:val="lt-LT" w:eastAsia="de-DE"/>
        </w:rPr>
        <w:t>IgA</w:t>
      </w:r>
      <w:proofErr w:type="spellEnd"/>
      <w:r w:rsidRPr="00561601">
        <w:rPr>
          <w:rFonts w:cs="Arial"/>
          <w:snapToGrid/>
          <w:szCs w:val="22"/>
          <w:lang w:val="lt-LT" w:eastAsia="de-DE"/>
        </w:rPr>
        <w:t>) kiekis yra iki 2 000 </w:t>
      </w:r>
      <w:proofErr w:type="spellStart"/>
      <w:r w:rsidRPr="00561601">
        <w:rPr>
          <w:rFonts w:cs="Arial"/>
          <w:snapToGrid/>
          <w:szCs w:val="22"/>
          <w:lang w:val="lt-LT" w:eastAsia="de-DE"/>
        </w:rPr>
        <w:t>mikrogramų</w:t>
      </w:r>
      <w:proofErr w:type="spellEnd"/>
      <w:r w:rsidRPr="00561601">
        <w:rPr>
          <w:rFonts w:cs="Arial"/>
          <w:snapToGrid/>
          <w:szCs w:val="22"/>
          <w:lang w:val="lt-LT" w:eastAsia="de-DE"/>
        </w:rPr>
        <w:t>/ml.</w:t>
      </w:r>
    </w:p>
    <w:p w14:paraId="7044E2D0" w14:textId="77777777" w:rsidR="002C19BF" w:rsidRPr="00561601" w:rsidRDefault="002C19BF" w:rsidP="00C70BBD">
      <w:pPr>
        <w:tabs>
          <w:tab w:val="clear" w:pos="567"/>
          <w:tab w:val="left" w:pos="993"/>
        </w:tabs>
        <w:overflowPunct w:val="0"/>
        <w:autoSpaceDE w:val="0"/>
        <w:autoSpaceDN w:val="0"/>
        <w:adjustRightInd w:val="0"/>
        <w:spacing w:line="240" w:lineRule="auto"/>
        <w:textAlignment w:val="baseline"/>
        <w:rPr>
          <w:snapToGrid/>
          <w:szCs w:val="22"/>
          <w:lang w:val="lt-LT" w:eastAsia="de-DE"/>
        </w:rPr>
      </w:pPr>
      <w:r w:rsidRPr="00561601">
        <w:rPr>
          <w:rFonts w:cs="Arial"/>
          <w:i/>
          <w:snapToGrid/>
          <w:szCs w:val="22"/>
          <w:lang w:val="lt-LT" w:eastAsia="de-DE"/>
        </w:rPr>
        <w:tab/>
        <w:t xml:space="preserve">* </w:t>
      </w:r>
      <w:proofErr w:type="spellStart"/>
      <w:r w:rsidRPr="00561601">
        <w:rPr>
          <w:rFonts w:cs="Arial"/>
          <w:i/>
          <w:snapToGrid/>
          <w:szCs w:val="22"/>
          <w:lang w:val="lt-LT" w:eastAsia="de-DE"/>
        </w:rPr>
        <w:t>Paul-Ehrlich-Institut</w:t>
      </w:r>
      <w:proofErr w:type="spellEnd"/>
      <w:r w:rsidRPr="00561601">
        <w:rPr>
          <w:rFonts w:cs="Arial"/>
          <w:i/>
          <w:snapToGrid/>
          <w:szCs w:val="22"/>
          <w:lang w:val="lt-LT" w:eastAsia="de-DE"/>
        </w:rPr>
        <w:t xml:space="preserve"> etaloninio preparato vienetai</w:t>
      </w:r>
    </w:p>
    <w:p w14:paraId="1DBE3B5A" w14:textId="77777777" w:rsidR="002C19BF" w:rsidRPr="00561601" w:rsidRDefault="002C19BF" w:rsidP="00E7565F">
      <w:pPr>
        <w:tabs>
          <w:tab w:val="clear" w:pos="567"/>
          <w:tab w:val="left" w:pos="993"/>
        </w:tabs>
        <w:overflowPunct w:val="0"/>
        <w:autoSpaceDE w:val="0"/>
        <w:autoSpaceDN w:val="0"/>
        <w:adjustRightInd w:val="0"/>
        <w:spacing w:line="240" w:lineRule="auto"/>
        <w:ind w:left="709"/>
        <w:textAlignment w:val="baseline"/>
        <w:rPr>
          <w:snapToGrid/>
          <w:szCs w:val="22"/>
          <w:lang w:val="lt-LT" w:eastAsia="de-DE"/>
        </w:rPr>
      </w:pPr>
    </w:p>
    <w:p w14:paraId="25F7B3DA" w14:textId="77777777" w:rsidR="002C19BF" w:rsidRPr="00561601" w:rsidRDefault="002C19BF" w:rsidP="00E7565F">
      <w:pPr>
        <w:numPr>
          <w:ilvl w:val="0"/>
          <w:numId w:val="19"/>
        </w:numPr>
        <w:tabs>
          <w:tab w:val="clear" w:pos="567"/>
          <w:tab w:val="left" w:pos="709"/>
        </w:tabs>
        <w:overflowPunct w:val="0"/>
        <w:autoSpaceDE w:val="0"/>
        <w:autoSpaceDN w:val="0"/>
        <w:adjustRightInd w:val="0"/>
        <w:spacing w:line="240" w:lineRule="auto"/>
        <w:textAlignment w:val="baseline"/>
        <w:rPr>
          <w:snapToGrid/>
          <w:szCs w:val="22"/>
          <w:lang w:val="lt-LT" w:eastAsia="de-DE"/>
        </w:rPr>
      </w:pPr>
      <w:r w:rsidRPr="00E7565F">
        <w:rPr>
          <w:rFonts w:cs="Arial"/>
          <w:snapToGrid/>
          <w:szCs w:val="22"/>
          <w:lang w:val="lt-LT" w:eastAsia="de-DE"/>
        </w:rPr>
        <w:t>Pagalbinės medžiagos yra</w:t>
      </w:r>
      <w:r w:rsidRPr="00033FE1">
        <w:rPr>
          <w:rFonts w:cs="Arial"/>
          <w:snapToGrid/>
          <w:szCs w:val="22"/>
          <w:lang w:val="lt-LT" w:eastAsia="de-DE"/>
        </w:rPr>
        <w:t xml:space="preserve"> glicinas</w:t>
      </w:r>
      <w:r w:rsidRPr="00561601">
        <w:rPr>
          <w:rFonts w:cs="Arial"/>
          <w:snapToGrid/>
          <w:szCs w:val="22"/>
          <w:lang w:val="lt-LT" w:eastAsia="de-DE"/>
        </w:rPr>
        <w:t xml:space="preserve"> ir injekcinis vanduo.</w:t>
      </w:r>
    </w:p>
    <w:p w14:paraId="2ABB88F7"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77822C3E" w14:textId="29D0F4E7" w:rsidR="002C19BF" w:rsidRPr="00561601" w:rsidRDefault="00E47068" w:rsidP="002C19BF">
      <w:pPr>
        <w:tabs>
          <w:tab w:val="clear" w:pos="567"/>
        </w:tabs>
        <w:overflowPunct w:val="0"/>
        <w:autoSpaceDE w:val="0"/>
        <w:autoSpaceDN w:val="0"/>
        <w:adjustRightInd w:val="0"/>
        <w:spacing w:line="240" w:lineRule="auto"/>
        <w:textAlignment w:val="baseline"/>
        <w:rPr>
          <w:b/>
          <w:bCs/>
          <w:snapToGrid/>
          <w:szCs w:val="22"/>
          <w:lang w:val="lt-LT" w:eastAsia="de-DE"/>
        </w:rPr>
      </w:pPr>
      <w:proofErr w:type="spellStart"/>
      <w:r>
        <w:rPr>
          <w:rFonts w:cs="Arial"/>
          <w:b/>
          <w:snapToGrid/>
          <w:szCs w:val="22"/>
          <w:lang w:val="lt-LT" w:eastAsia="de-DE"/>
        </w:rPr>
        <w:t>Cymvigo</w:t>
      </w:r>
      <w:proofErr w:type="spellEnd"/>
      <w:r>
        <w:rPr>
          <w:rFonts w:cs="Arial"/>
          <w:b/>
          <w:snapToGrid/>
          <w:szCs w:val="22"/>
          <w:lang w:val="lt-LT" w:eastAsia="de-DE"/>
        </w:rPr>
        <w:t xml:space="preserve"> </w:t>
      </w:r>
      <w:r w:rsidR="002C19BF" w:rsidRPr="00561601">
        <w:rPr>
          <w:rFonts w:cs="Arial"/>
          <w:b/>
          <w:snapToGrid/>
          <w:szCs w:val="22"/>
          <w:lang w:val="lt-LT" w:eastAsia="de-DE"/>
        </w:rPr>
        <w:t>išvaizda ir kiekis pakuotėje</w:t>
      </w:r>
    </w:p>
    <w:p w14:paraId="57E82F6C" w14:textId="504FFA7D" w:rsidR="002C19BF" w:rsidRPr="00561601" w:rsidRDefault="00E47068" w:rsidP="002C19BF">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2C19BF" w:rsidRPr="00561601">
        <w:rPr>
          <w:rFonts w:cs="Arial"/>
          <w:snapToGrid/>
          <w:szCs w:val="22"/>
          <w:lang w:val="lt-LT" w:eastAsia="de-DE"/>
        </w:rPr>
        <w:t xml:space="preserve"> yra skaidrus arba šiek tiek opalinis (turintis pieniško blizgesio), bespalvis arba šiek tiek gelsvas tirpalas flakonuose, pagamintuose iš bespalvio stiklo.</w:t>
      </w:r>
    </w:p>
    <w:p w14:paraId="01702777"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46A6C2EB" w14:textId="27496C92" w:rsidR="002C19BF" w:rsidRPr="00561601" w:rsidRDefault="00E47068" w:rsidP="002C19BF">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2C19BF" w:rsidRPr="00561601">
        <w:rPr>
          <w:rFonts w:cs="Arial"/>
          <w:snapToGrid/>
          <w:szCs w:val="22"/>
          <w:lang w:val="lt-LT" w:eastAsia="de-DE"/>
        </w:rPr>
        <w:t xml:space="preserve"> tiekiamas šių dydžių pakuotėse:</w:t>
      </w:r>
    </w:p>
    <w:p w14:paraId="06907E2D"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viena dėžutė, kurioje yra 1 flakonas su 10 ml (1 000 V) infuzinio tirpalo;</w:t>
      </w:r>
    </w:p>
    <w:p w14:paraId="70454A41"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viena dėžutė, kurioje yra 1 flakonas su 50 ml (5 000 V) infuzinio tirpalo.</w:t>
      </w:r>
    </w:p>
    <w:p w14:paraId="2D3E8B83" w14:textId="77777777" w:rsidR="002C19BF" w:rsidRPr="006D0F58" w:rsidRDefault="002C19BF" w:rsidP="006D0F58">
      <w:pPr>
        <w:pStyle w:val="Porat"/>
        <w:tabs>
          <w:tab w:val="clear" w:pos="567"/>
          <w:tab w:val="clear" w:pos="4536"/>
          <w:tab w:val="clear" w:pos="8306"/>
        </w:tabs>
        <w:overflowPunct w:val="0"/>
        <w:autoSpaceDE w:val="0"/>
        <w:autoSpaceDN w:val="0"/>
        <w:adjustRightInd w:val="0"/>
        <w:spacing w:line="240" w:lineRule="auto"/>
        <w:textAlignment w:val="baseline"/>
        <w:rPr>
          <w:snapToGrid/>
          <w:szCs w:val="22"/>
          <w:lang w:val="lt-LT" w:eastAsia="de-DE"/>
        </w:rPr>
      </w:pPr>
    </w:p>
    <w:p w14:paraId="537AE9A5"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Gali būti tiekiamos ne visų dydžių pakuotės.</w:t>
      </w:r>
    </w:p>
    <w:p w14:paraId="2D623C9A" w14:textId="77777777" w:rsidR="002C19BF" w:rsidRPr="00561601" w:rsidRDefault="002C19BF" w:rsidP="00F34163">
      <w:pPr>
        <w:numPr>
          <w:ilvl w:val="12"/>
          <w:numId w:val="0"/>
        </w:numPr>
        <w:tabs>
          <w:tab w:val="clear" w:pos="567"/>
        </w:tabs>
        <w:spacing w:line="240" w:lineRule="auto"/>
        <w:ind w:right="-2"/>
        <w:rPr>
          <w:szCs w:val="24"/>
          <w:lang w:val="lt-LT"/>
        </w:rPr>
      </w:pPr>
    </w:p>
    <w:p w14:paraId="2CBBBBBC" w14:textId="77777777" w:rsidR="00F34163" w:rsidRPr="00561601" w:rsidRDefault="00461F31" w:rsidP="00F34163">
      <w:pPr>
        <w:pStyle w:val="Antrat4"/>
        <w:rPr>
          <w:rFonts w:ascii="Times New Roman" w:hAnsi="Times New Roman"/>
          <w:sz w:val="22"/>
          <w:lang w:val="lt-LT"/>
        </w:rPr>
      </w:pPr>
      <w:r w:rsidRPr="00561601">
        <w:rPr>
          <w:rFonts w:ascii="Times New Roman" w:hAnsi="Times New Roman"/>
          <w:sz w:val="22"/>
          <w:lang w:val="lt-LT"/>
        </w:rPr>
        <w:t>Registruotojas</w:t>
      </w:r>
      <w:r w:rsidR="00F34163" w:rsidRPr="00561601">
        <w:rPr>
          <w:rFonts w:ascii="Times New Roman" w:hAnsi="Times New Roman"/>
          <w:sz w:val="22"/>
          <w:lang w:val="lt-LT"/>
        </w:rPr>
        <w:t xml:space="preserve"> ir gamintojas</w:t>
      </w:r>
    </w:p>
    <w:p w14:paraId="391DE254" w14:textId="77777777" w:rsidR="00F34163" w:rsidRPr="00561601" w:rsidRDefault="00F34163" w:rsidP="00F34163">
      <w:pPr>
        <w:numPr>
          <w:ilvl w:val="12"/>
          <w:numId w:val="0"/>
        </w:numPr>
        <w:tabs>
          <w:tab w:val="clear" w:pos="567"/>
        </w:tabs>
        <w:spacing w:line="240" w:lineRule="auto"/>
        <w:ind w:right="-2"/>
        <w:rPr>
          <w:szCs w:val="24"/>
          <w:lang w:val="lt-LT"/>
        </w:rPr>
      </w:pPr>
    </w:p>
    <w:p w14:paraId="4A8091D9"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proofErr w:type="spellStart"/>
      <w:r w:rsidRPr="00561601">
        <w:rPr>
          <w:rFonts w:cs="Arial"/>
          <w:snapToGrid/>
          <w:szCs w:val="22"/>
          <w:lang w:val="lt-LT" w:eastAsia="de-DE"/>
        </w:rPr>
        <w:t>Biotest</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Pharma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GmbH</w:t>
      </w:r>
      <w:proofErr w:type="spellEnd"/>
    </w:p>
    <w:p w14:paraId="416809CC"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proofErr w:type="spellStart"/>
      <w:r w:rsidRPr="00561601">
        <w:rPr>
          <w:rFonts w:cs="Arial"/>
          <w:snapToGrid/>
          <w:szCs w:val="22"/>
          <w:lang w:val="lt-LT" w:eastAsia="de-DE"/>
        </w:rPr>
        <w:t>Landsteinerstraße</w:t>
      </w:r>
      <w:proofErr w:type="spellEnd"/>
      <w:r w:rsidRPr="00561601">
        <w:rPr>
          <w:rFonts w:cs="Arial"/>
          <w:snapToGrid/>
          <w:szCs w:val="22"/>
          <w:lang w:val="lt-LT" w:eastAsia="de-DE"/>
        </w:rPr>
        <w:t xml:space="preserve"> 5</w:t>
      </w:r>
    </w:p>
    <w:p w14:paraId="4F4CBA64"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63303 </w:t>
      </w:r>
      <w:proofErr w:type="spellStart"/>
      <w:r w:rsidRPr="00561601">
        <w:rPr>
          <w:rFonts w:cs="Arial"/>
          <w:snapToGrid/>
          <w:szCs w:val="22"/>
          <w:lang w:val="lt-LT" w:eastAsia="de-DE"/>
        </w:rPr>
        <w:t>Dreieich</w:t>
      </w:r>
      <w:proofErr w:type="spellEnd"/>
    </w:p>
    <w:p w14:paraId="4D975BA7"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Vokietija</w:t>
      </w:r>
    </w:p>
    <w:p w14:paraId="42A400E4" w14:textId="77777777" w:rsidR="002C19BF" w:rsidRPr="00561601" w:rsidRDefault="002C19BF" w:rsidP="002C19BF">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r w:rsidRPr="00561601">
        <w:rPr>
          <w:rFonts w:cs="Arial"/>
          <w:snapToGrid/>
          <w:szCs w:val="22"/>
          <w:lang w:val="lt-LT" w:eastAsia="de-DE"/>
        </w:rPr>
        <w:t>Tel.</w:t>
      </w:r>
      <w:r w:rsidR="00C30A9B" w:rsidRPr="00561601">
        <w:rPr>
          <w:rFonts w:cs="Arial"/>
          <w:snapToGrid/>
          <w:szCs w:val="22"/>
          <w:lang w:val="lt-LT" w:eastAsia="de-DE"/>
        </w:rPr>
        <w:t>:</w:t>
      </w:r>
      <w:r w:rsidRPr="00561601">
        <w:rPr>
          <w:rFonts w:cs="Arial"/>
          <w:snapToGrid/>
          <w:szCs w:val="22"/>
          <w:lang w:val="lt-LT" w:eastAsia="de-DE"/>
        </w:rPr>
        <w:t xml:space="preserve"> + 49 6103 801-0</w:t>
      </w:r>
    </w:p>
    <w:p w14:paraId="28C301E6" w14:textId="77777777" w:rsidR="002C19BF" w:rsidRPr="00561601" w:rsidRDefault="002C19BF" w:rsidP="002C19BF">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r w:rsidRPr="00561601">
        <w:rPr>
          <w:rFonts w:cs="Arial"/>
          <w:snapToGrid/>
          <w:szCs w:val="22"/>
          <w:lang w:val="lt-LT" w:eastAsia="de-DE"/>
        </w:rPr>
        <w:t>Faks.</w:t>
      </w:r>
      <w:r w:rsidR="00C30A9B" w:rsidRPr="00561601">
        <w:rPr>
          <w:rFonts w:cs="Arial"/>
          <w:snapToGrid/>
          <w:szCs w:val="22"/>
          <w:lang w:val="lt-LT" w:eastAsia="de-DE"/>
        </w:rPr>
        <w:t>:</w:t>
      </w:r>
      <w:r w:rsidRPr="00561601">
        <w:rPr>
          <w:rFonts w:cs="Arial"/>
          <w:snapToGrid/>
          <w:szCs w:val="22"/>
          <w:lang w:val="lt-LT" w:eastAsia="de-DE"/>
        </w:rPr>
        <w:t xml:space="preserve"> + 49 6103 801-150</w:t>
      </w:r>
    </w:p>
    <w:p w14:paraId="5C2C8A94"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El. paštas</w:t>
      </w:r>
      <w:r w:rsidR="00C30A9B" w:rsidRPr="00561601">
        <w:rPr>
          <w:rFonts w:cs="Arial"/>
          <w:snapToGrid/>
          <w:szCs w:val="22"/>
          <w:lang w:val="lt-LT" w:eastAsia="de-DE"/>
        </w:rPr>
        <w:t>:</w:t>
      </w:r>
      <w:r w:rsidRPr="00561601">
        <w:rPr>
          <w:rFonts w:cs="Arial"/>
          <w:snapToGrid/>
          <w:szCs w:val="22"/>
          <w:lang w:val="lt-LT" w:eastAsia="de-DE"/>
        </w:rPr>
        <w:t xml:space="preserve"> mail@biotest.com</w:t>
      </w:r>
    </w:p>
    <w:p w14:paraId="33CD282F" w14:textId="77777777" w:rsidR="00F34163" w:rsidRPr="00561601" w:rsidRDefault="00F34163" w:rsidP="00F34163">
      <w:pPr>
        <w:numPr>
          <w:ilvl w:val="12"/>
          <w:numId w:val="0"/>
        </w:numPr>
        <w:tabs>
          <w:tab w:val="clear" w:pos="567"/>
        </w:tabs>
        <w:spacing w:line="240" w:lineRule="auto"/>
        <w:ind w:right="-2"/>
        <w:rPr>
          <w:szCs w:val="24"/>
          <w:lang w:val="lt-LT"/>
        </w:rPr>
      </w:pPr>
    </w:p>
    <w:p w14:paraId="608B5370" w14:textId="77777777" w:rsidR="00F34163" w:rsidRPr="00561601" w:rsidRDefault="00F34163" w:rsidP="00F34163">
      <w:pPr>
        <w:spacing w:line="240" w:lineRule="auto"/>
        <w:rPr>
          <w:noProof/>
          <w:szCs w:val="24"/>
          <w:lang w:val="lt-LT"/>
        </w:rPr>
      </w:pPr>
    </w:p>
    <w:p w14:paraId="5C0CCAA6" w14:textId="46D6EABD" w:rsidR="00F34163" w:rsidRPr="00561601" w:rsidRDefault="00461F31" w:rsidP="00F34163">
      <w:pPr>
        <w:numPr>
          <w:ilvl w:val="12"/>
          <w:numId w:val="0"/>
        </w:numPr>
        <w:ind w:right="-2"/>
        <w:rPr>
          <w:lang w:val="lt-LT"/>
        </w:rPr>
      </w:pPr>
      <w:r w:rsidRPr="00561601">
        <w:rPr>
          <w:b/>
          <w:lang w:val="lt-LT"/>
        </w:rPr>
        <w:t xml:space="preserve">Šis </w:t>
      </w:r>
      <w:r w:rsidR="00A76206" w:rsidRPr="00561601">
        <w:rPr>
          <w:b/>
          <w:lang w:val="lt-LT"/>
        </w:rPr>
        <w:t>vaistas</w:t>
      </w:r>
      <w:r w:rsidR="00F34163" w:rsidRPr="00561601">
        <w:rPr>
          <w:b/>
          <w:lang w:val="lt-LT"/>
        </w:rPr>
        <w:t xml:space="preserve"> E</w:t>
      </w:r>
      <w:r w:rsidR="00893B1F">
        <w:rPr>
          <w:b/>
          <w:lang w:val="lt-LT"/>
        </w:rPr>
        <w:t>uropos ekonominės erdvės</w:t>
      </w:r>
      <w:r w:rsidR="00F34163" w:rsidRPr="00561601">
        <w:rPr>
          <w:b/>
          <w:lang w:val="lt-LT"/>
        </w:rPr>
        <w:t xml:space="preserve"> valstybėse narėse </w:t>
      </w:r>
      <w:r w:rsidRPr="00561601">
        <w:rPr>
          <w:b/>
          <w:lang w:val="lt-LT"/>
        </w:rPr>
        <w:t xml:space="preserve">registruotas </w:t>
      </w:r>
      <w:r w:rsidR="00F34163" w:rsidRPr="00561601">
        <w:rPr>
          <w:b/>
          <w:lang w:val="lt-LT"/>
        </w:rPr>
        <w:t>tokiais pavadinimais</w:t>
      </w:r>
      <w:r w:rsidR="00F34163" w:rsidRPr="00561601">
        <w:rPr>
          <w:lang w:val="lt-LT"/>
        </w:rPr>
        <w:t>:</w:t>
      </w:r>
    </w:p>
    <w:p w14:paraId="71C72FC6" w14:textId="77777777" w:rsidR="00447DE7" w:rsidRPr="00561601" w:rsidRDefault="00447DE7" w:rsidP="00F34163">
      <w:pPr>
        <w:ind w:left="567" w:hanging="567"/>
        <w:rPr>
          <w:lang w:val="lt-LT"/>
        </w:rPr>
      </w:pPr>
    </w:p>
    <w:p w14:paraId="0180A73C"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Kroatija, Vokietija, Vengrija</w:t>
      </w:r>
      <w:r w:rsidR="009D673B" w:rsidRPr="00561601">
        <w:rPr>
          <w:rFonts w:cs="Arial"/>
          <w:snapToGrid/>
          <w:szCs w:val="22"/>
          <w:lang w:val="lt-LT" w:eastAsia="de-DE"/>
        </w:rPr>
        <w:t>:</w:t>
      </w:r>
      <w:r w:rsidR="009D673B" w:rsidRPr="00561601">
        <w:rPr>
          <w:rFonts w:cs="Arial"/>
          <w:snapToGrid/>
          <w:szCs w:val="22"/>
          <w:lang w:val="lt-LT" w:eastAsia="de-DE"/>
        </w:rPr>
        <w:tab/>
      </w:r>
      <w:proofErr w:type="spellStart"/>
      <w:r w:rsidRPr="00561601">
        <w:rPr>
          <w:rFonts w:cs="Arial"/>
          <w:snapToGrid/>
          <w:szCs w:val="22"/>
          <w:lang w:val="lt-LT" w:eastAsia="de-DE"/>
        </w:rPr>
        <w:t>Cytotect</w:t>
      </w:r>
      <w:proofErr w:type="spellEnd"/>
      <w:r w:rsidRPr="00561601">
        <w:rPr>
          <w:rFonts w:cs="Arial"/>
          <w:snapToGrid/>
          <w:szCs w:val="22"/>
          <w:lang w:val="lt-LT" w:eastAsia="de-DE"/>
        </w:rPr>
        <w:t xml:space="preserve"> CP </w:t>
      </w:r>
      <w:proofErr w:type="spellStart"/>
      <w:r w:rsidRPr="00561601">
        <w:rPr>
          <w:rFonts w:cs="Arial"/>
          <w:snapToGrid/>
          <w:szCs w:val="22"/>
          <w:lang w:val="lt-LT" w:eastAsia="de-DE"/>
        </w:rPr>
        <w:t>Biotest</w:t>
      </w:r>
      <w:proofErr w:type="spellEnd"/>
    </w:p>
    <w:p w14:paraId="3F9C5647"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Austrija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Cytotect</w:t>
      </w:r>
      <w:proofErr w:type="spellEnd"/>
      <w:r w:rsidRPr="00561601">
        <w:rPr>
          <w:rFonts w:cs="Arial"/>
          <w:snapToGrid/>
          <w:szCs w:val="22"/>
          <w:lang w:val="lt-LT" w:eastAsia="de-DE"/>
        </w:rPr>
        <w:t xml:space="preserve"> CP </w:t>
      </w:r>
      <w:proofErr w:type="spellStart"/>
      <w:r w:rsidRPr="00561601">
        <w:rPr>
          <w:rFonts w:cs="Arial"/>
          <w:snapToGrid/>
          <w:szCs w:val="22"/>
          <w:lang w:val="lt-LT" w:eastAsia="de-DE"/>
        </w:rPr>
        <w:t>Biotest</w:t>
      </w:r>
      <w:proofErr w:type="spellEnd"/>
      <w:r w:rsidRPr="00561601">
        <w:rPr>
          <w:rFonts w:cs="Arial"/>
          <w:snapToGrid/>
          <w:szCs w:val="22"/>
          <w:lang w:val="lt-LT" w:eastAsia="de-DE"/>
        </w:rPr>
        <w:t xml:space="preserve"> 100 E/ml </w:t>
      </w:r>
      <w:proofErr w:type="spellStart"/>
      <w:r w:rsidRPr="00561601">
        <w:rPr>
          <w:rFonts w:cs="Arial"/>
          <w:snapToGrid/>
          <w:szCs w:val="22"/>
          <w:lang w:val="lt-LT" w:eastAsia="de-DE"/>
        </w:rPr>
        <w:t>Infusionslösung</w:t>
      </w:r>
      <w:proofErr w:type="spellEnd"/>
    </w:p>
    <w:p w14:paraId="6BA6C572"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Italija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Cytomegatect</w:t>
      </w:r>
      <w:proofErr w:type="spellEnd"/>
      <w:r w:rsidRPr="00561601">
        <w:rPr>
          <w:rFonts w:cs="Arial"/>
          <w:snapToGrid/>
          <w:szCs w:val="22"/>
          <w:lang w:val="lt-LT" w:eastAsia="de-DE"/>
        </w:rPr>
        <w:t xml:space="preserve"> </w:t>
      </w:r>
    </w:p>
    <w:p w14:paraId="77F1A20B"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Ispanija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Megalotect</w:t>
      </w:r>
      <w:proofErr w:type="spellEnd"/>
    </w:p>
    <w:p w14:paraId="0BE2751D"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Graikija, Lenkija, Portugalija</w:t>
      </w:r>
      <w:r w:rsidR="009D673B" w:rsidRPr="00561601">
        <w:rPr>
          <w:rFonts w:cs="Arial"/>
          <w:snapToGrid/>
          <w:szCs w:val="22"/>
          <w:lang w:val="lt-LT" w:eastAsia="de-DE"/>
        </w:rPr>
        <w:t>:</w:t>
      </w:r>
      <w:r w:rsidR="009D673B" w:rsidRPr="00561601">
        <w:rPr>
          <w:lang w:val="lt-LT"/>
        </w:rPr>
        <w:tab/>
      </w:r>
      <w:proofErr w:type="spellStart"/>
      <w:r w:rsidR="009D673B" w:rsidRPr="00561601">
        <w:rPr>
          <w:lang w:val="lt-LT"/>
        </w:rPr>
        <w:t>Megalotect</w:t>
      </w:r>
      <w:proofErr w:type="spellEnd"/>
      <w:r w:rsidR="009D673B" w:rsidRPr="00561601">
        <w:rPr>
          <w:lang w:val="lt-LT"/>
        </w:rPr>
        <w:t xml:space="preserve"> </w:t>
      </w:r>
      <w:r w:rsidRPr="00561601">
        <w:rPr>
          <w:rFonts w:cs="Arial"/>
          <w:snapToGrid/>
          <w:szCs w:val="22"/>
          <w:lang w:val="lt-LT" w:eastAsia="de-DE"/>
        </w:rPr>
        <w:t>CP</w:t>
      </w:r>
    </w:p>
    <w:p w14:paraId="09B3896B"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Belgija, Nyderlandai</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Megalotect</w:t>
      </w:r>
      <w:proofErr w:type="spellEnd"/>
      <w:r w:rsidRPr="00561601">
        <w:rPr>
          <w:rFonts w:cs="Arial"/>
          <w:snapToGrid/>
          <w:szCs w:val="22"/>
          <w:lang w:val="lt-LT" w:eastAsia="de-DE"/>
        </w:rPr>
        <w:t xml:space="preserve"> 100 E/ml</w:t>
      </w:r>
    </w:p>
    <w:p w14:paraId="47AB83F8"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Slovėnija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Megalotect</w:t>
      </w:r>
      <w:proofErr w:type="spellEnd"/>
      <w:r w:rsidRPr="00561601">
        <w:rPr>
          <w:rFonts w:cs="Arial"/>
          <w:snapToGrid/>
          <w:szCs w:val="22"/>
          <w:lang w:val="lt-LT" w:eastAsia="de-DE"/>
        </w:rPr>
        <w:t xml:space="preserve"> 100 E./ml </w:t>
      </w:r>
      <w:proofErr w:type="spellStart"/>
      <w:r w:rsidRPr="00561601">
        <w:rPr>
          <w:rFonts w:cs="Arial"/>
          <w:snapToGrid/>
          <w:szCs w:val="22"/>
          <w:lang w:val="lt-LT" w:eastAsia="de-DE"/>
        </w:rPr>
        <w:t>raztopina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za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infundiranje</w:t>
      </w:r>
      <w:proofErr w:type="spellEnd"/>
    </w:p>
    <w:p w14:paraId="19F2A07B" w14:textId="77777777" w:rsidR="00B945A9" w:rsidRPr="00561601" w:rsidRDefault="00B945A9" w:rsidP="00F34163">
      <w:pPr>
        <w:ind w:left="567" w:hanging="567"/>
        <w:rPr>
          <w:lang w:val="lt-LT"/>
        </w:rPr>
      </w:pPr>
    </w:p>
    <w:p w14:paraId="0C034AEE" w14:textId="42EEC2FC" w:rsidR="00F34163" w:rsidRDefault="00F34163" w:rsidP="00227A69">
      <w:pPr>
        <w:numPr>
          <w:ilvl w:val="12"/>
          <w:numId w:val="0"/>
        </w:numPr>
        <w:tabs>
          <w:tab w:val="clear" w:pos="567"/>
        </w:tabs>
        <w:spacing w:line="240" w:lineRule="auto"/>
        <w:ind w:right="-2"/>
        <w:rPr>
          <w:b/>
          <w:lang w:val="lt-LT"/>
        </w:rPr>
      </w:pPr>
      <w:r w:rsidRPr="00561601">
        <w:rPr>
          <w:b/>
          <w:lang w:val="lt-LT"/>
        </w:rPr>
        <w:t xml:space="preserve">Šis pakuotės lapelis paskutinį kartą peržiūrėtas </w:t>
      </w:r>
      <w:r w:rsidR="001C6A4F">
        <w:rPr>
          <w:b/>
          <w:lang w:val="lt-LT"/>
        </w:rPr>
        <w:t>2023-06-08.</w:t>
      </w:r>
    </w:p>
    <w:p w14:paraId="6265924A" w14:textId="77777777" w:rsidR="0036167A" w:rsidRPr="00561601" w:rsidRDefault="0036167A" w:rsidP="00F34163">
      <w:pPr>
        <w:numPr>
          <w:ilvl w:val="12"/>
          <w:numId w:val="0"/>
        </w:numPr>
        <w:tabs>
          <w:tab w:val="clear" w:pos="567"/>
        </w:tabs>
        <w:spacing w:line="240" w:lineRule="auto"/>
        <w:ind w:right="-2"/>
        <w:rPr>
          <w:b/>
          <w:lang w:val="lt-LT"/>
        </w:rPr>
      </w:pPr>
    </w:p>
    <w:p w14:paraId="755E416F" w14:textId="77777777" w:rsidR="00F34163" w:rsidRPr="00561601" w:rsidRDefault="00F34163" w:rsidP="00F34163">
      <w:pPr>
        <w:numPr>
          <w:ilvl w:val="12"/>
          <w:numId w:val="0"/>
        </w:numPr>
        <w:spacing w:line="240" w:lineRule="auto"/>
        <w:ind w:right="-2"/>
        <w:rPr>
          <w:i/>
          <w:lang w:val="lt-LT"/>
        </w:rPr>
      </w:pPr>
    </w:p>
    <w:p w14:paraId="3C012946" w14:textId="5F2A45C1" w:rsidR="00F34163" w:rsidRPr="00561601" w:rsidRDefault="00F34163" w:rsidP="00F34163">
      <w:pPr>
        <w:numPr>
          <w:ilvl w:val="12"/>
          <w:numId w:val="0"/>
        </w:numPr>
        <w:spacing w:line="240" w:lineRule="auto"/>
        <w:ind w:right="-2"/>
        <w:rPr>
          <w:szCs w:val="24"/>
          <w:lang w:val="lt-LT"/>
        </w:rPr>
      </w:pPr>
      <w:r w:rsidRPr="00561601">
        <w:rPr>
          <w:lang w:val="lt-LT"/>
        </w:rPr>
        <w:t xml:space="preserve">Išsami informacija apie šį </w:t>
      </w:r>
      <w:r w:rsidRPr="00561601">
        <w:rPr>
          <w:szCs w:val="24"/>
          <w:lang w:val="lt-LT"/>
        </w:rPr>
        <w:t>vaistą</w:t>
      </w:r>
      <w:r w:rsidRPr="00561601">
        <w:rPr>
          <w:lang w:val="lt-LT"/>
        </w:rPr>
        <w:t xml:space="preserve"> pateikiama Valstybinės vaistų kontrolės tarnybos prie Lietuvos Respublikos sveikatos apsaugos ministerijos tinklalapyje</w:t>
      </w:r>
      <w:r w:rsidRPr="00561601">
        <w:rPr>
          <w:i/>
          <w:szCs w:val="24"/>
          <w:lang w:val="lt-LT"/>
        </w:rPr>
        <w:t xml:space="preserve"> </w:t>
      </w:r>
      <w:hyperlink r:id="rId9" w:history="1">
        <w:r w:rsidR="00C30A9B" w:rsidRPr="00561601">
          <w:rPr>
            <w:rStyle w:val="Hipersaitas"/>
            <w:rFonts w:eastAsia="SimSun"/>
            <w:color w:val="auto"/>
            <w:u w:val="none"/>
            <w:lang w:val="lt-LT"/>
          </w:rPr>
          <w:t>http://www.vvkt.lt/</w:t>
        </w:r>
      </w:hyperlink>
      <w:r w:rsidRPr="00561601">
        <w:rPr>
          <w:lang w:val="lt-LT"/>
        </w:rPr>
        <w:t>.</w:t>
      </w:r>
    </w:p>
    <w:p w14:paraId="13993647"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szCs w:val="24"/>
          <w:lang w:val="lt-LT"/>
        </w:rPr>
        <w:t>---------------------------------------------------------------------------------------------------------------------------</w:t>
      </w:r>
    </w:p>
    <w:p w14:paraId="6DAA1E3C" w14:textId="77777777" w:rsidR="0036167A" w:rsidRDefault="0036167A" w:rsidP="00B945A9">
      <w:pPr>
        <w:tabs>
          <w:tab w:val="clear" w:pos="567"/>
        </w:tabs>
        <w:spacing w:line="240" w:lineRule="auto"/>
        <w:rPr>
          <w:b/>
          <w:lang w:val="lt-LT"/>
        </w:rPr>
      </w:pPr>
    </w:p>
    <w:p w14:paraId="3256DF94" w14:textId="77777777" w:rsidR="0036167A" w:rsidRDefault="0036167A" w:rsidP="00B945A9">
      <w:pPr>
        <w:tabs>
          <w:tab w:val="clear" w:pos="567"/>
        </w:tabs>
        <w:spacing w:line="240" w:lineRule="auto"/>
        <w:rPr>
          <w:b/>
          <w:lang w:val="lt-LT"/>
        </w:rPr>
      </w:pPr>
    </w:p>
    <w:p w14:paraId="49CC0D4D" w14:textId="77777777" w:rsidR="0036167A" w:rsidRDefault="0036167A" w:rsidP="00B945A9">
      <w:pPr>
        <w:tabs>
          <w:tab w:val="clear" w:pos="567"/>
        </w:tabs>
        <w:spacing w:line="240" w:lineRule="auto"/>
        <w:rPr>
          <w:b/>
          <w:lang w:val="lt-LT"/>
        </w:rPr>
      </w:pPr>
    </w:p>
    <w:p w14:paraId="77C3FF15" w14:textId="77777777" w:rsidR="00EC46F9" w:rsidRPr="00561601" w:rsidRDefault="00F34163" w:rsidP="00B945A9">
      <w:pPr>
        <w:tabs>
          <w:tab w:val="clear" w:pos="567"/>
        </w:tabs>
        <w:spacing w:line="240" w:lineRule="auto"/>
        <w:rPr>
          <w:b/>
          <w:lang w:val="lt-LT"/>
        </w:rPr>
      </w:pPr>
      <w:r w:rsidRPr="00561601">
        <w:rPr>
          <w:b/>
          <w:lang w:val="lt-LT"/>
        </w:rPr>
        <w:t>Toliau pateikta informacija skirta tik sveikatos priežiūros specialistams</w:t>
      </w:r>
      <w:r w:rsidR="00285FA7" w:rsidRPr="00561601">
        <w:rPr>
          <w:b/>
          <w:lang w:val="lt-LT"/>
        </w:rPr>
        <w:t>:</w:t>
      </w:r>
    </w:p>
    <w:p w14:paraId="351DB8CC" w14:textId="77777777" w:rsidR="00B945A9" w:rsidRPr="00561601" w:rsidRDefault="00B945A9" w:rsidP="00C30A9B">
      <w:pPr>
        <w:pStyle w:val="Porat"/>
        <w:tabs>
          <w:tab w:val="clear" w:pos="567"/>
          <w:tab w:val="clear" w:pos="4536"/>
          <w:tab w:val="clear" w:pos="8306"/>
        </w:tabs>
        <w:spacing w:line="240" w:lineRule="auto"/>
        <w:rPr>
          <w:lang w:val="lt-LT" w:eastAsia="en-US"/>
        </w:rPr>
      </w:pPr>
    </w:p>
    <w:p w14:paraId="504740CD" w14:textId="77777777" w:rsidR="00B945A9" w:rsidRPr="00561601" w:rsidRDefault="00B945A9" w:rsidP="00B945A9">
      <w:pPr>
        <w:tabs>
          <w:tab w:val="clear" w:pos="567"/>
        </w:tabs>
        <w:overflowPunct w:val="0"/>
        <w:autoSpaceDE w:val="0"/>
        <w:autoSpaceDN w:val="0"/>
        <w:adjustRightInd w:val="0"/>
        <w:spacing w:line="240" w:lineRule="auto"/>
        <w:textAlignment w:val="baseline"/>
        <w:rPr>
          <w:i/>
          <w:snapToGrid/>
          <w:szCs w:val="22"/>
          <w:u w:val="single"/>
          <w:lang w:val="lt-LT" w:eastAsia="de-DE"/>
        </w:rPr>
      </w:pPr>
      <w:r w:rsidRPr="00561601">
        <w:rPr>
          <w:rFonts w:cs="Arial"/>
          <w:i/>
          <w:snapToGrid/>
          <w:szCs w:val="22"/>
          <w:u w:val="single"/>
          <w:lang w:val="lt-LT" w:eastAsia="de-DE"/>
        </w:rPr>
        <w:t>Dozavimas ir vartojimo metodas</w:t>
      </w:r>
    </w:p>
    <w:p w14:paraId="588DD861" w14:textId="3DF83C5D"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Vartojimą reikia pradėti transplantacijos dieną. Kaulų čiulpų transplantacijos atveju taip pat galima numatyti profilaktikos pradžią likus 10 </w:t>
      </w:r>
      <w:r w:rsidR="00893B1F">
        <w:rPr>
          <w:rFonts w:cs="Arial"/>
          <w:snapToGrid/>
          <w:szCs w:val="22"/>
          <w:lang w:val="lt-LT" w:eastAsia="de-DE"/>
        </w:rPr>
        <w:t>p</w:t>
      </w:r>
      <w:r w:rsidR="007A1786">
        <w:rPr>
          <w:rFonts w:cs="Arial"/>
          <w:snapToGrid/>
          <w:szCs w:val="22"/>
          <w:lang w:val="lt-LT" w:eastAsia="de-DE"/>
        </w:rPr>
        <w:t>arų</w:t>
      </w:r>
      <w:r w:rsidR="00893B1F" w:rsidRPr="00561601">
        <w:rPr>
          <w:rFonts w:cs="Arial"/>
          <w:snapToGrid/>
          <w:szCs w:val="22"/>
          <w:lang w:val="lt-LT" w:eastAsia="de-DE"/>
        </w:rPr>
        <w:t xml:space="preserve"> </w:t>
      </w:r>
      <w:r w:rsidRPr="00561601">
        <w:rPr>
          <w:rFonts w:cs="Arial"/>
          <w:snapToGrid/>
          <w:szCs w:val="22"/>
          <w:lang w:val="lt-LT" w:eastAsia="de-DE"/>
        </w:rPr>
        <w:t>iki transplantacijos, ypač pacientams, kurių CMV serologinio tyrimo rezultatas yra teigiamas. Iš viso reikia skirti ne mažiau kaip 6 vienkartines dozes tarp dozių darant 2–3 savaičių pertrauką.</w:t>
      </w:r>
    </w:p>
    <w:p w14:paraId="54B2EE4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6B3ED4"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Vartojimo metodas</w:t>
      </w:r>
    </w:p>
    <w:p w14:paraId="00563797" w14:textId="77777777" w:rsidR="00B945A9" w:rsidRPr="00561601" w:rsidRDefault="00B945A9" w:rsidP="00B945A9">
      <w:pPr>
        <w:tabs>
          <w:tab w:val="clear" w:pos="567"/>
        </w:tabs>
        <w:overflowPunct w:val="0"/>
        <w:autoSpaceDE w:val="0"/>
        <w:autoSpaceDN w:val="0"/>
        <w:adjustRightInd w:val="0"/>
        <w:spacing w:line="240" w:lineRule="auto"/>
        <w:textAlignment w:val="baseline"/>
        <w:rPr>
          <w:iCs/>
          <w:snapToGrid/>
          <w:szCs w:val="22"/>
          <w:lang w:val="lt-LT" w:eastAsia="de-DE"/>
        </w:rPr>
      </w:pPr>
      <w:r w:rsidRPr="00561601">
        <w:rPr>
          <w:rFonts w:cs="Arial"/>
          <w:snapToGrid/>
          <w:szCs w:val="22"/>
          <w:lang w:val="lt-LT" w:eastAsia="de-DE"/>
        </w:rPr>
        <w:t>Leisti į veną.</w:t>
      </w:r>
    </w:p>
    <w:p w14:paraId="069F56FA" w14:textId="77307E3E" w:rsidR="00B945A9" w:rsidRPr="00561601" w:rsidRDefault="00A34EF2" w:rsidP="00B945A9">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B945A9" w:rsidRPr="00561601">
        <w:rPr>
          <w:rFonts w:cs="Arial"/>
          <w:snapToGrid/>
          <w:szCs w:val="22"/>
          <w:lang w:val="lt-LT" w:eastAsia="de-DE"/>
        </w:rPr>
        <w:t xml:space="preserve"> reikia leisti į veną infuzijos būdu pradiniu greičiu 0,08 ml/kg KM/val. 10 minučių. Pasireiškus nepageidaujamai reakcijai, reikia sumažinti leidimo greitį arba nutraukti infuziją. Jei vaistinis preparatas toleruojamas gerai, likusios infuzijos dalies leidimo greitį galima palaipsniui didinti iki didžiausio 0,8 ml/kg K</w:t>
      </w:r>
      <w:r w:rsidR="00AD44C7">
        <w:rPr>
          <w:rFonts w:cs="Arial"/>
          <w:snapToGrid/>
          <w:szCs w:val="22"/>
          <w:lang w:val="lt-LT" w:eastAsia="de-DE"/>
        </w:rPr>
        <w:t>M</w:t>
      </w:r>
      <w:r w:rsidR="00B945A9" w:rsidRPr="00561601">
        <w:rPr>
          <w:rFonts w:cs="Arial"/>
          <w:snapToGrid/>
          <w:szCs w:val="22"/>
          <w:lang w:val="lt-LT" w:eastAsia="de-DE"/>
        </w:rPr>
        <w:t>/val. greičio.</w:t>
      </w:r>
    </w:p>
    <w:p w14:paraId="29D8745D"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F4D6D4" w14:textId="77777777" w:rsidR="00B945A9" w:rsidRPr="00561601" w:rsidRDefault="00B945A9" w:rsidP="00B945A9">
      <w:pPr>
        <w:tabs>
          <w:tab w:val="clear" w:pos="567"/>
        </w:tabs>
        <w:overflowPunct w:val="0"/>
        <w:autoSpaceDE w:val="0"/>
        <w:autoSpaceDN w:val="0"/>
        <w:adjustRightInd w:val="0"/>
        <w:spacing w:line="240" w:lineRule="auto"/>
        <w:textAlignment w:val="baseline"/>
        <w:rPr>
          <w:i/>
          <w:snapToGrid/>
          <w:szCs w:val="22"/>
          <w:lang w:val="lt-LT" w:eastAsia="de-DE"/>
        </w:rPr>
      </w:pPr>
      <w:r w:rsidRPr="00561601">
        <w:rPr>
          <w:rFonts w:cs="Arial"/>
          <w:i/>
          <w:snapToGrid/>
          <w:szCs w:val="22"/>
          <w:lang w:val="lt-LT" w:eastAsia="de-DE"/>
        </w:rPr>
        <w:t>Įspėjimai ir atsargumo priemonės</w:t>
      </w:r>
    </w:p>
    <w:p w14:paraId="1EE2822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Tam tikros sunkios reakcijos į vaistą gali būti susijusios su infuzijos greičiu. Reikia atidžiai laikytis infuzijos greičio rekomendacijų. Per visą infuzijos laikotarpį reikia atidžiai stebėti, ar pacientams nepasireiškia kokių nors simptomų.</w:t>
      </w:r>
    </w:p>
    <w:p w14:paraId="72A71F0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105D3C3D" w14:textId="77777777" w:rsidR="00B945A9" w:rsidRPr="00561601" w:rsidRDefault="00B945A9" w:rsidP="00B945A9">
      <w:pPr>
        <w:tabs>
          <w:tab w:val="clear" w:pos="567"/>
        </w:tabs>
        <w:overflowPunct w:val="0"/>
        <w:autoSpaceDE w:val="0"/>
        <w:autoSpaceDN w:val="0"/>
        <w:adjustRightInd w:val="0"/>
        <w:spacing w:line="240" w:lineRule="auto"/>
        <w:ind w:right="57"/>
        <w:textAlignment w:val="baseline"/>
        <w:rPr>
          <w:snapToGrid/>
          <w:szCs w:val="22"/>
          <w:lang w:val="lt-LT" w:eastAsia="de-DE"/>
        </w:rPr>
      </w:pPr>
      <w:r w:rsidRPr="00561601">
        <w:rPr>
          <w:rFonts w:cs="Arial"/>
          <w:snapToGrid/>
          <w:szCs w:val="22"/>
          <w:lang w:val="lt-LT" w:eastAsia="de-DE"/>
        </w:rPr>
        <w:t>Tam tikros nepageidaujamos reakcijos gali pasireikšti dažniau:</w:t>
      </w:r>
    </w:p>
    <w:p w14:paraId="63DC9FBD" w14:textId="77777777" w:rsidR="004D3EB8" w:rsidRPr="00561601" w:rsidRDefault="00B945A9" w:rsidP="00AD44C7">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esant dideliam infuzijos greičiui;</w:t>
      </w:r>
    </w:p>
    <w:p w14:paraId="21E8FC9D" w14:textId="77777777" w:rsidR="00B945A9" w:rsidRPr="00561601" w:rsidRDefault="00B945A9" w:rsidP="00AD44C7">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pacientams, kurie pirmą kartą gydomi žmogaus imunoglobulinu, arba retais atvejais, kai pakeičiamas žmogaus imunoglobulino vaistinis preparatas arba po ilgos pertraukos po gydymo.</w:t>
      </w:r>
    </w:p>
    <w:p w14:paraId="022FDC8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12C7B3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Galimų komplikacijų dažnai galima išvengti užtikrinant, kad pacientai</w:t>
      </w:r>
      <w:r w:rsidR="007A1786">
        <w:rPr>
          <w:rFonts w:cs="Arial"/>
          <w:snapToGrid/>
          <w:szCs w:val="22"/>
          <w:lang w:val="lt-LT" w:eastAsia="de-DE"/>
        </w:rPr>
        <w:t>:</w:t>
      </w:r>
    </w:p>
    <w:p w14:paraId="2280BC97" w14:textId="1139135A" w:rsidR="00B945A9" w:rsidRPr="006D0F58" w:rsidRDefault="00B945A9" w:rsidP="006D0F58">
      <w:pPr>
        <w:numPr>
          <w:ilvl w:val="0"/>
          <w:numId w:val="15"/>
        </w:numPr>
        <w:tabs>
          <w:tab w:val="clear" w:pos="567"/>
        </w:tabs>
        <w:overflowPunct w:val="0"/>
        <w:autoSpaceDE w:val="0"/>
        <w:autoSpaceDN w:val="0"/>
        <w:adjustRightInd w:val="0"/>
        <w:spacing w:line="240" w:lineRule="auto"/>
        <w:ind w:left="357" w:hanging="357"/>
        <w:contextualSpacing/>
        <w:textAlignment w:val="baseline"/>
        <w:rPr>
          <w:rFonts w:cs="Arial"/>
          <w:snapToGrid/>
          <w:szCs w:val="22"/>
          <w:lang w:val="lt-LT" w:eastAsia="de-DE"/>
        </w:rPr>
      </w:pPr>
      <w:r w:rsidRPr="00561601">
        <w:rPr>
          <w:rFonts w:cs="Arial"/>
          <w:snapToGrid/>
          <w:szCs w:val="22"/>
          <w:lang w:val="lt-LT" w:eastAsia="de-DE"/>
        </w:rPr>
        <w:t>nėra jautrūs žmogaus imunoglobulinui iš pradžių leidžiant vaistinį preparatą lėtai (</w:t>
      </w:r>
      <w:r w:rsidRPr="006D0F58">
        <w:rPr>
          <w:rFonts w:cs="Arial"/>
          <w:snapToGrid/>
          <w:szCs w:val="22"/>
          <w:lang w:val="lt-LT" w:eastAsia="de-DE"/>
        </w:rPr>
        <w:t xml:space="preserve">0,08 ml/kg </w:t>
      </w:r>
      <w:r w:rsidR="006D0F58" w:rsidRPr="006D0F58">
        <w:rPr>
          <w:rFonts w:cs="Arial"/>
          <w:snapToGrid/>
          <w:szCs w:val="22"/>
          <w:lang w:val="lt-LT" w:eastAsia="de-DE"/>
        </w:rPr>
        <w:t xml:space="preserve">kūno masė </w:t>
      </w:r>
      <w:r w:rsidRPr="00561601">
        <w:rPr>
          <w:rFonts w:cs="Arial"/>
          <w:snapToGrid/>
          <w:szCs w:val="22"/>
          <w:lang w:val="lt-LT" w:eastAsia="de-DE"/>
        </w:rPr>
        <w:t>/val.);</w:t>
      </w:r>
    </w:p>
    <w:p w14:paraId="3FCFA6C5"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per visą infuzijos laikotarpį atidžiai stebimi, ar neatsirado kokių nors simptomų. Svarbu, kad pacientai, kuriems anksčiau nebuvo gydyti žmogaus imunoglobulinu, pacientai, kuriems šis gydymas paskirtas vietoj į veną leidžiamo žmogaus imunoglobulino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arba kai nuo ankstesnės infuzijos praėjo ilgas laiko tarpas, pirmosios infuzijos metu ir pirmąją valandą po jos turi būti stebimi ligoninėje dėl galimo šalutinio poveikio. Visus kitus pacientus reikia stebėti mažiausiai 20 minučių po vaistinio preparato suleidimo.</w:t>
      </w:r>
    </w:p>
    <w:p w14:paraId="1C3DA9E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4AC968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Pasireiškus nepageidaujamai reakcijai, reikia sumažinti infuzijos greitį arba nutraukti infuziją. Prireikus, nepageidaujamos reakcijos gydymas priklausys nuo jos pobūdžio ir sunkumo.</w:t>
      </w:r>
    </w:p>
    <w:p w14:paraId="6C16AF8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3D598226"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Šoko atveju reikia taikyti dabartinį standartinį šoko gydymą.</w:t>
      </w:r>
    </w:p>
    <w:p w14:paraId="2DE2C20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3B22D1"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Visiems imunoglobulinu gydomiems pacientams reikia:</w:t>
      </w:r>
    </w:p>
    <w:p w14:paraId="4AB3B1AC" w14:textId="1A681526" w:rsidR="00B945A9" w:rsidRPr="00561601" w:rsidRDefault="007A1786"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 xml:space="preserve">taikyti pakankamą </w:t>
      </w:r>
      <w:proofErr w:type="spellStart"/>
      <w:r>
        <w:rPr>
          <w:rFonts w:cs="Arial"/>
          <w:snapToGrid/>
          <w:szCs w:val="22"/>
          <w:lang w:val="lt-LT" w:eastAsia="de-DE"/>
        </w:rPr>
        <w:t>hidraciją</w:t>
      </w:r>
      <w:proofErr w:type="spellEnd"/>
      <w:r w:rsidR="00B945A9" w:rsidRPr="00561601">
        <w:rPr>
          <w:rFonts w:cs="Arial"/>
          <w:snapToGrid/>
          <w:szCs w:val="22"/>
          <w:lang w:val="lt-LT" w:eastAsia="de-DE"/>
        </w:rPr>
        <w:t xml:space="preserve"> prieš imunoglobulino infuzijos pradžią;</w:t>
      </w:r>
    </w:p>
    <w:p w14:paraId="6AB3F62A"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stebėti šlapimo išsiskyrimą;</w:t>
      </w:r>
    </w:p>
    <w:p w14:paraId="14F78B91"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stebėti kreatinino koncentraciją kraujo serume;</w:t>
      </w:r>
    </w:p>
    <w:p w14:paraId="77B1F923" w14:textId="260019C4"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 xml:space="preserve">vengti kartu </w:t>
      </w:r>
      <w:r w:rsidR="007A1786">
        <w:rPr>
          <w:rFonts w:cs="Arial"/>
          <w:snapToGrid/>
          <w:szCs w:val="22"/>
          <w:lang w:val="lt-LT" w:eastAsia="de-DE"/>
        </w:rPr>
        <w:t>skirti</w:t>
      </w:r>
      <w:r w:rsidR="007A1786" w:rsidRPr="00561601">
        <w:rPr>
          <w:rFonts w:cs="Arial"/>
          <w:snapToGrid/>
          <w:szCs w:val="22"/>
          <w:lang w:val="lt-LT" w:eastAsia="de-DE"/>
        </w:rPr>
        <w:t xml:space="preserve"> </w:t>
      </w:r>
      <w:r w:rsidRPr="00561601">
        <w:rPr>
          <w:rFonts w:cs="Arial"/>
          <w:snapToGrid/>
          <w:szCs w:val="22"/>
          <w:lang w:val="lt-LT" w:eastAsia="de-DE"/>
        </w:rPr>
        <w:t>kilpinių diuretikų.</w:t>
      </w:r>
    </w:p>
    <w:p w14:paraId="01AFAE2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4BB8BA2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Padidėjęs jautrumas</w:t>
      </w:r>
    </w:p>
    <w:p w14:paraId="08CA358D" w14:textId="6CE92833"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Padidėjusio jautrumo reakcijos yra retos. Jos gali pasireikšti pacientams, </w:t>
      </w:r>
      <w:r w:rsidR="007A1786">
        <w:rPr>
          <w:rFonts w:cs="Arial"/>
          <w:snapToGrid/>
          <w:szCs w:val="22"/>
          <w:lang w:val="lt-LT" w:eastAsia="de-DE"/>
        </w:rPr>
        <w:t>kuriems yra</w:t>
      </w:r>
      <w:r w:rsidR="007A1786" w:rsidRPr="00561601">
        <w:rPr>
          <w:rFonts w:cs="Arial"/>
          <w:snapToGrid/>
          <w:szCs w:val="22"/>
          <w:lang w:val="lt-LT" w:eastAsia="de-DE"/>
        </w:rPr>
        <w:t xml:space="preserve"> </w:t>
      </w:r>
      <w:proofErr w:type="spellStart"/>
      <w:r w:rsidRPr="00561601">
        <w:rPr>
          <w:rFonts w:cs="Arial"/>
          <w:snapToGrid/>
          <w:szCs w:val="22"/>
          <w:lang w:val="lt-LT" w:eastAsia="de-DE"/>
        </w:rPr>
        <w:t>anti-IgA</w:t>
      </w:r>
      <w:proofErr w:type="spellEnd"/>
      <w:r w:rsidRPr="00561601">
        <w:rPr>
          <w:rFonts w:cs="Arial"/>
          <w:snapToGrid/>
          <w:szCs w:val="22"/>
          <w:lang w:val="lt-LT" w:eastAsia="de-DE"/>
        </w:rPr>
        <w:t xml:space="preserve"> antikūnų.</w:t>
      </w:r>
    </w:p>
    <w:p w14:paraId="5075225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38B40FD8"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5"/>
        <w:rPr>
          <w:snapToGrid/>
          <w:szCs w:val="22"/>
          <w:lang w:val="lt-LT" w:eastAsia="de-DE"/>
        </w:rPr>
      </w:pPr>
      <w:proofErr w:type="spellStart"/>
      <w:r w:rsidRPr="00561601">
        <w:rPr>
          <w:rFonts w:cs="Arial"/>
          <w:snapToGrid/>
          <w:szCs w:val="22"/>
          <w:lang w:val="lt-LT" w:eastAsia="de-DE"/>
        </w:rPr>
        <w:t>Anafilaksija</w:t>
      </w:r>
      <w:proofErr w:type="spellEnd"/>
      <w:r w:rsidRPr="00561601">
        <w:rPr>
          <w:rFonts w:cs="Arial"/>
          <w:snapToGrid/>
          <w:szCs w:val="22"/>
          <w:lang w:val="lt-LT" w:eastAsia="de-DE"/>
        </w:rPr>
        <w:t xml:space="preserve"> gali pasireikšti pacientams:</w:t>
      </w:r>
    </w:p>
    <w:p w14:paraId="6ED0A4F0" w14:textId="77777777" w:rsidR="00B945A9" w:rsidRPr="00561601" w:rsidRDefault="00B945A9" w:rsidP="00B945A9">
      <w:pPr>
        <w:numPr>
          <w:ilvl w:val="0"/>
          <w:numId w:val="16"/>
        </w:numPr>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 xml:space="preserve">kurių organizme yra antikūnų prieš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o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nenustatoma;</w:t>
      </w:r>
    </w:p>
    <w:p w14:paraId="5554725D" w14:textId="77777777" w:rsidR="00B945A9" w:rsidRPr="00561601" w:rsidRDefault="00B945A9" w:rsidP="00B945A9">
      <w:pPr>
        <w:numPr>
          <w:ilvl w:val="0"/>
          <w:numId w:val="16"/>
        </w:numPr>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kurie toleravo ankstesnį gydymą žmogaus imunoglobulinu.</w:t>
      </w:r>
    </w:p>
    <w:p w14:paraId="23B43846"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53DF8AC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Šoko atveju reikia taikyti standartinį šoko gydymą.</w:t>
      </w:r>
    </w:p>
    <w:p w14:paraId="41DBDAB8" w14:textId="77777777" w:rsidR="00B945A9" w:rsidRPr="00561601" w:rsidRDefault="00B945A9" w:rsidP="00B945A9">
      <w:pPr>
        <w:tabs>
          <w:tab w:val="clear" w:pos="567"/>
        </w:tabs>
        <w:overflowPunct w:val="0"/>
        <w:autoSpaceDE w:val="0"/>
        <w:autoSpaceDN w:val="0"/>
        <w:adjustRightInd w:val="0"/>
        <w:spacing w:line="240" w:lineRule="auto"/>
        <w:textAlignment w:val="baseline"/>
        <w:rPr>
          <w:rFonts w:ascii="Arial" w:hAnsi="Arial" w:cs="Arial"/>
          <w:snapToGrid/>
          <w:szCs w:val="22"/>
          <w:lang w:val="lt-LT" w:eastAsia="de-DE"/>
        </w:rPr>
      </w:pPr>
    </w:p>
    <w:p w14:paraId="2A62AA4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Tromboembolija</w:t>
      </w:r>
    </w:p>
    <w:p w14:paraId="262BFD34" w14:textId="0EB59DA4"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Yra klinikinių duomenų apie sąsają tarp imunoglobulino vartojimo į veną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ir </w:t>
      </w:r>
      <w:proofErr w:type="spellStart"/>
      <w:r w:rsidRPr="00561601">
        <w:rPr>
          <w:rFonts w:cs="Arial"/>
          <w:snapToGrid/>
          <w:szCs w:val="22"/>
          <w:lang w:val="lt-LT" w:eastAsia="de-DE"/>
        </w:rPr>
        <w:t>tromboembolinių</w:t>
      </w:r>
      <w:proofErr w:type="spellEnd"/>
      <w:r w:rsidRPr="00561601">
        <w:rPr>
          <w:rFonts w:cs="Arial"/>
          <w:snapToGrid/>
          <w:szCs w:val="22"/>
          <w:lang w:val="lt-LT" w:eastAsia="de-DE"/>
        </w:rPr>
        <w:t xml:space="preserve"> reiškinių, pvz., miokardo infarkto, </w:t>
      </w:r>
      <w:proofErr w:type="spellStart"/>
      <w:r w:rsidRPr="00561601">
        <w:rPr>
          <w:rFonts w:cs="Arial"/>
          <w:snapToGrid/>
          <w:szCs w:val="22"/>
          <w:lang w:val="lt-LT" w:eastAsia="de-DE"/>
        </w:rPr>
        <w:t>cerebrovaskulinių</w:t>
      </w:r>
      <w:proofErr w:type="spellEnd"/>
      <w:r w:rsidRPr="00561601">
        <w:rPr>
          <w:rFonts w:cs="Arial"/>
          <w:snapToGrid/>
          <w:szCs w:val="22"/>
          <w:lang w:val="lt-LT" w:eastAsia="de-DE"/>
        </w:rPr>
        <w:t xml:space="preserve"> įvykių (insultas), plaučių embolijos ir giliųjų venų trombozės; manoma, kad taip atsitinka dėl per didelio imunoglobulino antplūdžio</w:t>
      </w:r>
      <w:r w:rsidR="0026701F">
        <w:rPr>
          <w:rFonts w:cs="Arial"/>
          <w:snapToGrid/>
          <w:szCs w:val="22"/>
          <w:lang w:val="lt-LT" w:eastAsia="de-DE"/>
        </w:rPr>
        <w:t xml:space="preserve"> santykinai </w:t>
      </w:r>
      <w:r w:rsidR="0026701F" w:rsidRPr="00561601">
        <w:rPr>
          <w:rFonts w:cs="Arial"/>
          <w:snapToGrid/>
          <w:szCs w:val="22"/>
          <w:lang w:val="lt-LT" w:eastAsia="de-DE"/>
        </w:rPr>
        <w:t>padidėj</w:t>
      </w:r>
      <w:r w:rsidR="0026701F">
        <w:rPr>
          <w:rFonts w:cs="Arial"/>
          <w:snapToGrid/>
          <w:szCs w:val="22"/>
          <w:lang w:val="lt-LT" w:eastAsia="de-DE"/>
        </w:rPr>
        <w:t>us</w:t>
      </w:r>
      <w:r w:rsidR="0026701F" w:rsidRPr="00561601">
        <w:rPr>
          <w:rFonts w:cs="Arial"/>
          <w:snapToGrid/>
          <w:szCs w:val="22"/>
          <w:lang w:val="lt-LT" w:eastAsia="de-DE"/>
        </w:rPr>
        <w:t xml:space="preserve"> kraujo klampum</w:t>
      </w:r>
      <w:r w:rsidR="0026701F">
        <w:rPr>
          <w:rFonts w:cs="Arial"/>
          <w:snapToGrid/>
          <w:szCs w:val="22"/>
          <w:lang w:val="lt-LT" w:eastAsia="de-DE"/>
        </w:rPr>
        <w:t>ui</w:t>
      </w:r>
      <w:r w:rsidR="0026701F" w:rsidRPr="00561601">
        <w:rPr>
          <w:rFonts w:cs="Arial"/>
          <w:snapToGrid/>
          <w:szCs w:val="22"/>
          <w:lang w:val="lt-LT" w:eastAsia="de-DE"/>
        </w:rPr>
        <w:t xml:space="preserve"> </w:t>
      </w:r>
      <w:r w:rsidR="00C86B19">
        <w:rPr>
          <w:rFonts w:cs="Arial"/>
          <w:snapToGrid/>
          <w:szCs w:val="22"/>
          <w:lang w:val="lt-LT" w:eastAsia="de-DE"/>
        </w:rPr>
        <w:t>pacientams,</w:t>
      </w:r>
      <w:r w:rsidR="00C86B19" w:rsidRPr="00561601">
        <w:rPr>
          <w:rFonts w:cs="Arial"/>
          <w:snapToGrid/>
          <w:szCs w:val="22"/>
          <w:lang w:val="lt-LT" w:eastAsia="de-DE"/>
        </w:rPr>
        <w:t xml:space="preserve"> </w:t>
      </w:r>
      <w:r w:rsidRPr="00561601">
        <w:rPr>
          <w:rFonts w:cs="Arial"/>
          <w:snapToGrid/>
          <w:szCs w:val="22"/>
          <w:lang w:val="lt-LT" w:eastAsia="de-DE"/>
        </w:rPr>
        <w:t xml:space="preserve">esantiems rizikos grupėje. Reikia imtis atsargumo priemonių skiriant ir leidžiant imunoglobuliną nutukusiems pacientams ir pacientams, kuriems yra trombozės rizikos veiksnių (vyresnis amžius, hipertenzija, cukrinis diabetas ir buvusios kraujagyslių ligos ar trombozės epizodai; pacientams, </w:t>
      </w:r>
      <w:r w:rsidR="00C86B19">
        <w:rPr>
          <w:rFonts w:cs="Arial"/>
          <w:snapToGrid/>
          <w:szCs w:val="22"/>
          <w:lang w:val="lt-LT" w:eastAsia="de-DE"/>
        </w:rPr>
        <w:t>kuriems yra</w:t>
      </w:r>
      <w:r w:rsidR="00C86B19" w:rsidRPr="00561601">
        <w:rPr>
          <w:rFonts w:cs="Arial"/>
          <w:snapToGrid/>
          <w:szCs w:val="22"/>
          <w:lang w:val="lt-LT" w:eastAsia="de-DE"/>
        </w:rPr>
        <w:t xml:space="preserve"> </w:t>
      </w:r>
      <w:r w:rsidRPr="00561601">
        <w:rPr>
          <w:rFonts w:cs="Arial"/>
          <w:snapToGrid/>
          <w:szCs w:val="22"/>
          <w:lang w:val="lt-LT" w:eastAsia="de-DE"/>
        </w:rPr>
        <w:t xml:space="preserve">įgytų ar įgimtų </w:t>
      </w:r>
      <w:proofErr w:type="spellStart"/>
      <w:r w:rsidRPr="00561601">
        <w:rPr>
          <w:rFonts w:cs="Arial"/>
          <w:snapToGrid/>
          <w:szCs w:val="22"/>
          <w:lang w:val="lt-LT" w:eastAsia="de-DE"/>
        </w:rPr>
        <w:t>trombofilinių</w:t>
      </w:r>
      <w:proofErr w:type="spellEnd"/>
      <w:r w:rsidRPr="00561601">
        <w:rPr>
          <w:rFonts w:cs="Arial"/>
          <w:snapToGrid/>
          <w:szCs w:val="22"/>
          <w:lang w:val="lt-LT" w:eastAsia="de-DE"/>
        </w:rPr>
        <w:t xml:space="preserve"> sutrikimų; pacientams, kurie yra </w:t>
      </w:r>
      <w:proofErr w:type="spellStart"/>
      <w:r w:rsidRPr="00561601">
        <w:rPr>
          <w:rFonts w:cs="Arial"/>
          <w:snapToGrid/>
          <w:szCs w:val="22"/>
          <w:lang w:val="lt-LT" w:eastAsia="de-DE"/>
        </w:rPr>
        <w:t>imobilizuoti</w:t>
      </w:r>
      <w:proofErr w:type="spellEnd"/>
      <w:r w:rsidRPr="00561601">
        <w:rPr>
          <w:rFonts w:cs="Arial"/>
          <w:snapToGrid/>
          <w:szCs w:val="22"/>
          <w:lang w:val="lt-LT" w:eastAsia="de-DE"/>
        </w:rPr>
        <w:t xml:space="preserve"> ilgesnį laiką; pacientams, kuriems yra ryški </w:t>
      </w:r>
      <w:proofErr w:type="spellStart"/>
      <w:r w:rsidRPr="00561601">
        <w:rPr>
          <w:rFonts w:cs="Arial"/>
          <w:snapToGrid/>
          <w:szCs w:val="22"/>
          <w:lang w:val="lt-LT" w:eastAsia="de-DE"/>
        </w:rPr>
        <w:t>hipovolemija</w:t>
      </w:r>
      <w:proofErr w:type="spellEnd"/>
      <w:r w:rsidRPr="00561601">
        <w:rPr>
          <w:rFonts w:cs="Arial"/>
          <w:snapToGrid/>
          <w:szCs w:val="22"/>
          <w:lang w:val="lt-LT" w:eastAsia="de-DE"/>
        </w:rPr>
        <w:t>; pacientams, sergantiems ligomis, dėl kurių padidėja kraujo klampumas).</w:t>
      </w:r>
    </w:p>
    <w:p w14:paraId="009D745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3849C73" w14:textId="686D60B0"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Esant </w:t>
      </w:r>
      <w:r w:rsidR="00C86B19">
        <w:rPr>
          <w:rFonts w:cs="Arial"/>
          <w:snapToGrid/>
          <w:szCs w:val="22"/>
          <w:lang w:val="lt-LT" w:eastAsia="de-DE"/>
        </w:rPr>
        <w:t>didesnei</w:t>
      </w:r>
      <w:r w:rsidR="00C86B19" w:rsidRPr="00561601">
        <w:rPr>
          <w:rFonts w:cs="Arial"/>
          <w:snapToGrid/>
          <w:szCs w:val="22"/>
          <w:lang w:val="lt-LT" w:eastAsia="de-DE"/>
        </w:rPr>
        <w:t xml:space="preserve"> </w:t>
      </w:r>
      <w:proofErr w:type="spellStart"/>
      <w:r w:rsidRPr="00561601">
        <w:rPr>
          <w:rFonts w:cs="Arial"/>
          <w:snapToGrid/>
          <w:szCs w:val="22"/>
          <w:lang w:val="lt-LT" w:eastAsia="de-DE"/>
        </w:rPr>
        <w:t>tromboembolinių</w:t>
      </w:r>
      <w:proofErr w:type="spellEnd"/>
      <w:r w:rsidRPr="00561601">
        <w:rPr>
          <w:rFonts w:cs="Arial"/>
          <w:snapToGrid/>
          <w:szCs w:val="22"/>
          <w:lang w:val="lt-LT" w:eastAsia="de-DE"/>
        </w:rPr>
        <w:t xml:space="preserve"> nepageidaujamų reakcijų rizikai,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infuzijos greitis turi būti minimalus, o dozė – adekvati</w:t>
      </w:r>
      <w:r w:rsidRPr="00561601">
        <w:rPr>
          <w:rFonts w:ascii="Arial" w:hAnsi="Arial" w:cs="Arial"/>
          <w:snapToGrid/>
          <w:szCs w:val="22"/>
          <w:lang w:val="lt-LT" w:eastAsia="de-DE"/>
        </w:rPr>
        <w:t>.</w:t>
      </w:r>
    </w:p>
    <w:p w14:paraId="0172AAC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270DEF0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Ūmus inkstų nepakankamumas</w:t>
      </w:r>
    </w:p>
    <w:p w14:paraId="5C974B6D" w14:textId="47231E0C"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Gauta pranešimų apie pacientų, kuriems buvo taikoma imunoglobulino į veną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 terapija, ūm</w:t>
      </w:r>
      <w:r w:rsidR="005F28BE">
        <w:rPr>
          <w:rFonts w:cs="Arial"/>
          <w:snapToGrid/>
          <w:szCs w:val="22"/>
          <w:lang w:val="lt-LT" w:eastAsia="de-DE"/>
        </w:rPr>
        <w:t>inį</w:t>
      </w:r>
      <w:r w:rsidRPr="00561601">
        <w:rPr>
          <w:rFonts w:cs="Arial"/>
          <w:snapToGrid/>
          <w:szCs w:val="22"/>
          <w:lang w:val="lt-LT" w:eastAsia="de-DE"/>
        </w:rPr>
        <w:t xml:space="preserve"> inkstų nepakankamumą. Daugeliu atvejų buvo nustatyti tokie rizikos veiksniai</w:t>
      </w:r>
      <w:r w:rsidR="00C86B19">
        <w:rPr>
          <w:rFonts w:cs="Arial"/>
          <w:snapToGrid/>
          <w:szCs w:val="22"/>
          <w:lang w:val="lt-LT" w:eastAsia="de-DE"/>
        </w:rPr>
        <w:t>,</w:t>
      </w:r>
      <w:r w:rsidRPr="00561601">
        <w:rPr>
          <w:rFonts w:cs="Arial"/>
          <w:snapToGrid/>
          <w:szCs w:val="22"/>
          <w:lang w:val="lt-LT" w:eastAsia="de-DE"/>
        </w:rPr>
        <w:t xml:space="preserve"> kaip esantis inkstų nepakankamumas, cukrinis diabetas, </w:t>
      </w:r>
      <w:proofErr w:type="spellStart"/>
      <w:r w:rsidRPr="00561601">
        <w:rPr>
          <w:rFonts w:cs="Arial"/>
          <w:snapToGrid/>
          <w:szCs w:val="22"/>
          <w:lang w:val="lt-LT" w:eastAsia="de-DE"/>
        </w:rPr>
        <w:t>hipovolemija</w:t>
      </w:r>
      <w:proofErr w:type="spellEnd"/>
      <w:r w:rsidRPr="00561601">
        <w:rPr>
          <w:rFonts w:cs="Arial"/>
          <w:snapToGrid/>
          <w:szCs w:val="22"/>
          <w:lang w:val="lt-LT" w:eastAsia="de-DE"/>
        </w:rPr>
        <w:t xml:space="preserve">, antsvoris, kartu vartoti </w:t>
      </w:r>
      <w:proofErr w:type="spellStart"/>
      <w:r w:rsidRPr="00561601">
        <w:rPr>
          <w:rFonts w:cs="Arial"/>
          <w:snapToGrid/>
          <w:szCs w:val="22"/>
          <w:lang w:val="lt-LT" w:eastAsia="de-DE"/>
        </w:rPr>
        <w:t>nefrotoksiniai</w:t>
      </w:r>
      <w:proofErr w:type="spellEnd"/>
      <w:r w:rsidRPr="00561601">
        <w:rPr>
          <w:rFonts w:cs="Arial"/>
          <w:snapToGrid/>
          <w:szCs w:val="22"/>
          <w:lang w:val="lt-LT" w:eastAsia="de-DE"/>
        </w:rPr>
        <w:t xml:space="preserve"> vaistiniai preparatai arba vyresni</w:t>
      </w:r>
      <w:r w:rsidR="00C86B19">
        <w:rPr>
          <w:rFonts w:cs="Arial"/>
          <w:snapToGrid/>
          <w:szCs w:val="22"/>
          <w:lang w:val="lt-LT" w:eastAsia="de-DE"/>
        </w:rPr>
        <w:t>s</w:t>
      </w:r>
      <w:r w:rsidRPr="00561601">
        <w:rPr>
          <w:rFonts w:cs="Arial"/>
          <w:snapToGrid/>
          <w:szCs w:val="22"/>
          <w:lang w:val="lt-LT" w:eastAsia="de-DE"/>
        </w:rPr>
        <w:t xml:space="preserve"> nei 65 metų</w:t>
      </w:r>
      <w:r w:rsidR="00C86B19">
        <w:rPr>
          <w:rFonts w:cs="Arial"/>
          <w:snapToGrid/>
          <w:szCs w:val="22"/>
          <w:lang w:val="lt-LT" w:eastAsia="de-DE"/>
        </w:rPr>
        <w:t xml:space="preserve"> amžius</w:t>
      </w:r>
      <w:r w:rsidRPr="00561601">
        <w:rPr>
          <w:rFonts w:cs="Arial"/>
          <w:snapToGrid/>
          <w:szCs w:val="22"/>
          <w:lang w:val="lt-LT" w:eastAsia="de-DE"/>
        </w:rPr>
        <w:t>.</w:t>
      </w:r>
    </w:p>
    <w:p w14:paraId="33356F9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2405AE6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Inkstų rodiklius reikia įvertinti pieš pradedant imunoglobulino infuziją į veną (ypač pacientams, kuriems gali būti ūmaus inkstų nepakankamumo rizika) ir šį vertinimą kartoti tinkamais intervalais. Pacientams, kuriems yra ūmaus inkstų nepakankamumo rizika,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vaisitniai</w:t>
      </w:r>
      <w:proofErr w:type="spellEnd"/>
      <w:r w:rsidRPr="00561601">
        <w:rPr>
          <w:rFonts w:cs="Arial"/>
          <w:snapToGrid/>
          <w:szCs w:val="22"/>
          <w:lang w:val="lt-LT" w:eastAsia="de-DE"/>
        </w:rPr>
        <w:t xml:space="preserve"> preparatai turi būti leidžiami minimaliu infuzijos greičiu ir adekvačiomis dozėmis.</w:t>
      </w:r>
    </w:p>
    <w:p w14:paraId="0901272D"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C4896D5" w14:textId="4145A3AC" w:rsidR="00B945A9" w:rsidRPr="00561601" w:rsidRDefault="005F28BE" w:rsidP="00B945A9">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Sutrikus</w:t>
      </w:r>
      <w:r w:rsidRPr="00561601">
        <w:rPr>
          <w:rFonts w:cs="Arial"/>
          <w:snapToGrid/>
          <w:szCs w:val="22"/>
          <w:lang w:val="lt-LT" w:eastAsia="de-DE"/>
        </w:rPr>
        <w:t xml:space="preserve"> </w:t>
      </w:r>
      <w:r w:rsidR="00B945A9" w:rsidRPr="00561601">
        <w:rPr>
          <w:rFonts w:cs="Arial"/>
          <w:snapToGrid/>
          <w:szCs w:val="22"/>
          <w:lang w:val="lt-LT" w:eastAsia="de-DE"/>
        </w:rPr>
        <w:t xml:space="preserve">inkstų </w:t>
      </w:r>
      <w:r w:rsidR="0026701F">
        <w:rPr>
          <w:rFonts w:cs="Arial"/>
          <w:snapToGrid/>
          <w:szCs w:val="22"/>
          <w:lang w:val="lt-LT" w:eastAsia="de-DE"/>
        </w:rPr>
        <w:t>funkcij</w:t>
      </w:r>
      <w:r>
        <w:rPr>
          <w:rFonts w:cs="Arial"/>
          <w:snapToGrid/>
          <w:szCs w:val="22"/>
          <w:lang w:val="lt-LT" w:eastAsia="de-DE"/>
        </w:rPr>
        <w:t>ai</w:t>
      </w:r>
      <w:r w:rsidR="00B945A9" w:rsidRPr="00561601">
        <w:rPr>
          <w:rFonts w:cs="Arial"/>
          <w:snapToGrid/>
          <w:szCs w:val="22"/>
          <w:lang w:val="lt-LT" w:eastAsia="de-DE"/>
        </w:rPr>
        <w:t xml:space="preserve">, </w:t>
      </w:r>
      <w:r w:rsidR="0026701F">
        <w:rPr>
          <w:rFonts w:cs="Arial"/>
          <w:snapToGrid/>
          <w:szCs w:val="22"/>
          <w:lang w:val="lt-LT" w:eastAsia="de-DE"/>
        </w:rPr>
        <w:t xml:space="preserve"> būti</w:t>
      </w:r>
      <w:r>
        <w:rPr>
          <w:rFonts w:cs="Arial"/>
          <w:snapToGrid/>
          <w:szCs w:val="22"/>
          <w:lang w:val="lt-LT" w:eastAsia="de-DE"/>
        </w:rPr>
        <w:t>na</w:t>
      </w:r>
      <w:r w:rsidR="0026701F">
        <w:rPr>
          <w:rFonts w:cs="Arial"/>
          <w:snapToGrid/>
          <w:szCs w:val="22"/>
          <w:lang w:val="lt-LT" w:eastAsia="de-DE"/>
        </w:rPr>
        <w:t xml:space="preserve"> apsvarstyt</w:t>
      </w:r>
      <w:r>
        <w:rPr>
          <w:rFonts w:cs="Arial"/>
          <w:snapToGrid/>
          <w:szCs w:val="22"/>
          <w:lang w:val="lt-LT" w:eastAsia="de-DE"/>
        </w:rPr>
        <w:t>i</w:t>
      </w:r>
      <w:r w:rsidR="00B945A9" w:rsidRPr="00561601">
        <w:rPr>
          <w:rFonts w:cs="Arial"/>
          <w:snapToGrid/>
          <w:szCs w:val="22"/>
          <w:lang w:val="lt-LT" w:eastAsia="de-DE"/>
        </w:rPr>
        <w:t xml:space="preserve"> imunoglobulino vaistinio preparato vartojimo nutraukimo</w:t>
      </w:r>
      <w:r>
        <w:rPr>
          <w:rFonts w:cs="Arial"/>
          <w:snapToGrid/>
          <w:szCs w:val="22"/>
          <w:lang w:val="lt-LT" w:eastAsia="de-DE"/>
        </w:rPr>
        <w:t xml:space="preserve"> poreikį</w:t>
      </w:r>
      <w:r w:rsidR="00B945A9" w:rsidRPr="00561601">
        <w:rPr>
          <w:rFonts w:cs="Arial"/>
          <w:snapToGrid/>
          <w:szCs w:val="22"/>
          <w:lang w:val="lt-LT" w:eastAsia="de-DE"/>
        </w:rPr>
        <w:t>.</w:t>
      </w:r>
    </w:p>
    <w:p w14:paraId="57CF26A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410B5E4A" w14:textId="725309D6"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Nors pranešimai apie inkstų funkcijos sutrikimą ir ūm</w:t>
      </w:r>
      <w:r w:rsidR="005F28BE">
        <w:rPr>
          <w:rFonts w:cs="Arial"/>
          <w:snapToGrid/>
          <w:szCs w:val="22"/>
          <w:lang w:val="lt-LT" w:eastAsia="de-DE"/>
        </w:rPr>
        <w:t>inį</w:t>
      </w:r>
      <w:r w:rsidRPr="00561601">
        <w:rPr>
          <w:rFonts w:cs="Arial"/>
          <w:snapToGrid/>
          <w:szCs w:val="22"/>
          <w:lang w:val="lt-LT" w:eastAsia="de-DE"/>
        </w:rPr>
        <w:t xml:space="preserve"> inkstų nepakankamumą buvo siejami su daugelio registruotų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vaistinių preparatų, kurių sudėtyje yra įvairių pagalbinių medžiagų, pvz., sacharozės, gliukozės ir </w:t>
      </w:r>
      <w:proofErr w:type="spellStart"/>
      <w:r w:rsidRPr="00561601">
        <w:rPr>
          <w:rFonts w:cs="Arial"/>
          <w:snapToGrid/>
          <w:szCs w:val="22"/>
          <w:lang w:val="lt-LT" w:eastAsia="de-DE"/>
        </w:rPr>
        <w:t>maltozės</w:t>
      </w:r>
      <w:proofErr w:type="spellEnd"/>
      <w:r w:rsidRPr="00561601">
        <w:rPr>
          <w:rFonts w:cs="Arial"/>
          <w:snapToGrid/>
          <w:szCs w:val="22"/>
          <w:lang w:val="lt-LT" w:eastAsia="de-DE"/>
        </w:rPr>
        <w:t xml:space="preserve">, vartojimu, didžiausia pranešimų dalis buvo siejama su tais vaistiniais preparatais, kurių sudėtyje yra stabilizatoriaus funkciją atliekančios sacharozės. Pacientams, esantiems rizikos grupėje, </w:t>
      </w:r>
      <w:r w:rsidR="0065537E">
        <w:rPr>
          <w:rFonts w:cs="Arial"/>
          <w:snapToGrid/>
          <w:szCs w:val="22"/>
          <w:lang w:val="lt-LT" w:eastAsia="de-DE"/>
        </w:rPr>
        <w:t xml:space="preserve"> būti</w:t>
      </w:r>
      <w:r w:rsidR="005F28BE">
        <w:rPr>
          <w:rFonts w:cs="Arial"/>
          <w:snapToGrid/>
          <w:szCs w:val="22"/>
          <w:lang w:val="lt-LT" w:eastAsia="de-DE"/>
        </w:rPr>
        <w:t>na</w:t>
      </w:r>
      <w:r w:rsidR="0065537E">
        <w:rPr>
          <w:rFonts w:cs="Arial"/>
          <w:snapToGrid/>
          <w:szCs w:val="22"/>
          <w:lang w:val="lt-LT" w:eastAsia="de-DE"/>
        </w:rPr>
        <w:t xml:space="preserve"> apsvarstyt</w:t>
      </w:r>
      <w:r w:rsidR="005F28BE">
        <w:rPr>
          <w:rFonts w:cs="Arial"/>
          <w:snapToGrid/>
          <w:szCs w:val="22"/>
          <w:lang w:val="lt-LT" w:eastAsia="de-DE"/>
        </w:rPr>
        <w:t>i</w:t>
      </w:r>
      <w:r w:rsidRPr="00561601">
        <w:rPr>
          <w:rFonts w:cs="Arial"/>
          <w:snapToGrid/>
          <w:szCs w:val="22"/>
          <w:lang w:val="lt-LT" w:eastAsia="de-DE"/>
        </w:rPr>
        <w:t xml:space="preserve"> imunoglobulino </w:t>
      </w:r>
      <w:r w:rsidR="00C86B19" w:rsidRPr="00561601">
        <w:rPr>
          <w:rFonts w:cs="Arial"/>
          <w:snapToGrid/>
          <w:szCs w:val="22"/>
          <w:lang w:val="lt-LT" w:eastAsia="de-DE"/>
        </w:rPr>
        <w:t>vaistini</w:t>
      </w:r>
      <w:r w:rsidR="00C86B19">
        <w:rPr>
          <w:rFonts w:cs="Arial"/>
          <w:snapToGrid/>
          <w:szCs w:val="22"/>
          <w:lang w:val="lt-LT" w:eastAsia="de-DE"/>
        </w:rPr>
        <w:t>ų</w:t>
      </w:r>
      <w:r w:rsidR="00C86B19" w:rsidRPr="00561601">
        <w:rPr>
          <w:rFonts w:cs="Arial"/>
          <w:snapToGrid/>
          <w:szCs w:val="22"/>
          <w:lang w:val="lt-LT" w:eastAsia="de-DE"/>
        </w:rPr>
        <w:t xml:space="preserve"> </w:t>
      </w:r>
      <w:r w:rsidRPr="00561601">
        <w:rPr>
          <w:rFonts w:cs="Arial"/>
          <w:snapToGrid/>
          <w:szCs w:val="22"/>
          <w:lang w:val="lt-LT" w:eastAsia="de-DE"/>
        </w:rPr>
        <w:t>preparat</w:t>
      </w:r>
      <w:r w:rsidR="005F28BE">
        <w:rPr>
          <w:rFonts w:cs="Arial"/>
          <w:snapToGrid/>
          <w:szCs w:val="22"/>
          <w:lang w:val="lt-LT" w:eastAsia="de-DE"/>
        </w:rPr>
        <w:t>ų</w:t>
      </w:r>
      <w:r w:rsidRPr="00561601">
        <w:rPr>
          <w:rFonts w:cs="Arial"/>
          <w:snapToGrid/>
          <w:szCs w:val="22"/>
          <w:lang w:val="lt-LT" w:eastAsia="de-DE"/>
        </w:rPr>
        <w:t>, kuriuose tokių pagalbinių medžiagų nėra</w:t>
      </w:r>
      <w:r w:rsidR="0065537E">
        <w:rPr>
          <w:rFonts w:cs="Arial"/>
          <w:snapToGrid/>
          <w:szCs w:val="22"/>
          <w:lang w:val="lt-LT" w:eastAsia="de-DE"/>
        </w:rPr>
        <w:t>, skyrim</w:t>
      </w:r>
      <w:r w:rsidR="005F28BE">
        <w:rPr>
          <w:rFonts w:cs="Arial"/>
          <w:snapToGrid/>
          <w:szCs w:val="22"/>
          <w:lang w:val="lt-LT" w:eastAsia="de-DE"/>
        </w:rPr>
        <w:t>o</w:t>
      </w:r>
      <w:r w:rsidR="0065537E">
        <w:rPr>
          <w:rFonts w:cs="Arial"/>
          <w:snapToGrid/>
          <w:szCs w:val="22"/>
          <w:lang w:val="lt-LT" w:eastAsia="de-DE"/>
        </w:rPr>
        <w:t xml:space="preserve"> į veną</w:t>
      </w:r>
      <w:r w:rsidR="005F28BE">
        <w:rPr>
          <w:rFonts w:cs="Arial"/>
          <w:snapToGrid/>
          <w:szCs w:val="22"/>
          <w:lang w:val="lt-LT" w:eastAsia="de-DE"/>
        </w:rPr>
        <w:t xml:space="preserve"> poreikį</w:t>
      </w:r>
      <w:r w:rsidRPr="00561601">
        <w:rPr>
          <w:rFonts w:cs="Arial"/>
          <w:snapToGrid/>
          <w:szCs w:val="22"/>
          <w:lang w:val="lt-LT" w:eastAsia="de-DE"/>
        </w:rPr>
        <w:t xml:space="preserve">. </w:t>
      </w:r>
      <w:proofErr w:type="spellStart"/>
      <w:r w:rsidR="00A34EF2">
        <w:rPr>
          <w:snapToGrid/>
          <w:szCs w:val="22"/>
          <w:lang w:val="lt-LT" w:eastAsia="de-DE"/>
        </w:rPr>
        <w:t>Cymvigo</w:t>
      </w:r>
      <w:proofErr w:type="spellEnd"/>
      <w:r w:rsidRPr="00561601">
        <w:rPr>
          <w:rFonts w:cs="Arial"/>
          <w:snapToGrid/>
          <w:szCs w:val="22"/>
          <w:lang w:val="lt-LT" w:eastAsia="de-DE"/>
        </w:rPr>
        <w:t xml:space="preserve"> sudėtyje nėra sacharozės, gliukozės ar </w:t>
      </w:r>
      <w:proofErr w:type="spellStart"/>
      <w:r w:rsidRPr="00561601">
        <w:rPr>
          <w:rFonts w:cs="Arial"/>
          <w:snapToGrid/>
          <w:szCs w:val="22"/>
          <w:lang w:val="lt-LT" w:eastAsia="de-DE"/>
        </w:rPr>
        <w:t>maltozės</w:t>
      </w:r>
      <w:proofErr w:type="spellEnd"/>
      <w:r w:rsidRPr="00561601">
        <w:rPr>
          <w:rFonts w:cs="Arial"/>
          <w:snapToGrid/>
          <w:szCs w:val="22"/>
          <w:lang w:val="lt-LT" w:eastAsia="de-DE"/>
        </w:rPr>
        <w:t>.</w:t>
      </w:r>
    </w:p>
    <w:p w14:paraId="6C2D137F"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1851EE71"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proofErr w:type="spellStart"/>
      <w:r w:rsidRPr="00561601">
        <w:rPr>
          <w:rFonts w:cs="Arial"/>
          <w:snapToGrid/>
          <w:szCs w:val="22"/>
          <w:u w:val="single"/>
          <w:lang w:val="lt-LT" w:eastAsia="de-DE"/>
        </w:rPr>
        <w:t>Aseptinio</w:t>
      </w:r>
      <w:proofErr w:type="spellEnd"/>
      <w:r w:rsidRPr="00561601">
        <w:rPr>
          <w:rFonts w:cs="Arial"/>
          <w:snapToGrid/>
          <w:szCs w:val="22"/>
          <w:u w:val="single"/>
          <w:lang w:val="lt-LT" w:eastAsia="de-DE"/>
        </w:rPr>
        <w:t xml:space="preserve"> meningito sindromas (AMS)</w:t>
      </w:r>
    </w:p>
    <w:p w14:paraId="1A352FE8" w14:textId="76AD4688" w:rsidR="00B945A9" w:rsidRPr="00561601" w:rsidRDefault="00B945A9" w:rsidP="00E7565F">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rFonts w:cs="Arial"/>
          <w:snapToGrid/>
          <w:szCs w:val="22"/>
          <w:lang w:val="lt-LT" w:eastAsia="de-DE"/>
        </w:rPr>
        <w:t>Buvo pranešimų, kad AMS pasireiškė gydant intraveniniu imunoglobulinu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 preparatai). Sindromas paprastai prasideda laikotarpyje nuo keleto valandų iki 2 </w:t>
      </w:r>
      <w:r w:rsidR="0065537E">
        <w:rPr>
          <w:rFonts w:cs="Arial"/>
          <w:snapToGrid/>
          <w:szCs w:val="22"/>
          <w:lang w:val="lt-LT" w:eastAsia="de-DE"/>
        </w:rPr>
        <w:t>parų</w:t>
      </w:r>
      <w:r w:rsidR="0065537E" w:rsidRPr="00561601">
        <w:rPr>
          <w:rFonts w:cs="Arial"/>
          <w:snapToGrid/>
          <w:szCs w:val="22"/>
          <w:lang w:val="lt-LT" w:eastAsia="de-DE"/>
        </w:rPr>
        <w:t xml:space="preserve"> </w:t>
      </w:r>
      <w:r w:rsidRPr="00561601">
        <w:rPr>
          <w:rFonts w:cs="Arial"/>
          <w:snapToGrid/>
          <w:szCs w:val="22"/>
          <w:lang w:val="lt-LT" w:eastAsia="de-DE"/>
        </w:rPr>
        <w:t xml:space="preserve">po gydymo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Atlikus </w:t>
      </w:r>
      <w:proofErr w:type="spellStart"/>
      <w:r w:rsidRPr="00561601">
        <w:rPr>
          <w:rFonts w:cs="Arial"/>
          <w:snapToGrid/>
          <w:szCs w:val="22"/>
          <w:lang w:val="lt-LT" w:eastAsia="de-DE"/>
        </w:rPr>
        <w:t>cerebrospinalinio</w:t>
      </w:r>
      <w:proofErr w:type="spellEnd"/>
      <w:r w:rsidRPr="00561601">
        <w:rPr>
          <w:rFonts w:cs="Arial"/>
          <w:snapToGrid/>
          <w:szCs w:val="22"/>
          <w:lang w:val="lt-LT" w:eastAsia="de-DE"/>
        </w:rPr>
        <w:t xml:space="preserve"> skysčio tyrimus dažnai diagnozuojama </w:t>
      </w:r>
      <w:proofErr w:type="spellStart"/>
      <w:r w:rsidRPr="00561601">
        <w:rPr>
          <w:rFonts w:cs="Arial"/>
          <w:snapToGrid/>
          <w:szCs w:val="22"/>
          <w:lang w:val="lt-LT" w:eastAsia="de-DE"/>
        </w:rPr>
        <w:t>pleocitozė</w:t>
      </w:r>
      <w:proofErr w:type="spellEnd"/>
      <w:r w:rsidRPr="00561601">
        <w:rPr>
          <w:rFonts w:cs="Arial"/>
          <w:snapToGrid/>
          <w:szCs w:val="22"/>
          <w:lang w:val="lt-LT" w:eastAsia="de-DE"/>
        </w:rPr>
        <w:t>: iki keleto tūkstančių ląstelių viename mm</w:t>
      </w:r>
      <w:r w:rsidRPr="00561601">
        <w:rPr>
          <w:rFonts w:cs="Arial"/>
          <w:snapToGrid/>
          <w:szCs w:val="22"/>
          <w:vertAlign w:val="superscript"/>
          <w:lang w:val="lt-LT" w:eastAsia="de-DE"/>
        </w:rPr>
        <w:t>3</w:t>
      </w:r>
      <w:r w:rsidRPr="00561601">
        <w:rPr>
          <w:rFonts w:cs="Arial"/>
          <w:snapToGrid/>
          <w:szCs w:val="22"/>
          <w:lang w:val="lt-LT" w:eastAsia="de-DE"/>
        </w:rPr>
        <w:t xml:space="preserve">, daugiausia </w:t>
      </w:r>
      <w:proofErr w:type="spellStart"/>
      <w:r w:rsidRPr="00561601">
        <w:rPr>
          <w:rFonts w:cs="Arial"/>
          <w:snapToGrid/>
          <w:szCs w:val="22"/>
          <w:lang w:val="lt-LT" w:eastAsia="de-DE"/>
        </w:rPr>
        <w:t>granulocitų</w:t>
      </w:r>
      <w:proofErr w:type="spellEnd"/>
      <w:r w:rsidRPr="00561601">
        <w:rPr>
          <w:rFonts w:cs="Arial"/>
          <w:snapToGrid/>
          <w:szCs w:val="22"/>
          <w:lang w:val="lt-LT" w:eastAsia="de-DE"/>
        </w:rPr>
        <w:t xml:space="preserve">, ir iki keleto šimtų mg/dl padidėjusios baltymų koncentracijos. AMS galimas dažniau, kai naudojama didelė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dozė (2 g/kg).</w:t>
      </w:r>
    </w:p>
    <w:p w14:paraId="057B9C5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722A87C1" w14:textId="7077CFE8"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Pacientus, kuriems pasireiškia tokių požymių ir simptomų, reikia kruopščiai ištirti </w:t>
      </w:r>
      <w:proofErr w:type="spellStart"/>
      <w:r w:rsidRPr="00561601">
        <w:rPr>
          <w:rFonts w:cs="Arial"/>
          <w:snapToGrid/>
          <w:szCs w:val="22"/>
          <w:lang w:val="lt-LT" w:eastAsia="de-DE"/>
        </w:rPr>
        <w:t>neurologiškai</w:t>
      </w:r>
      <w:proofErr w:type="spellEnd"/>
      <w:r w:rsidRPr="00561601">
        <w:rPr>
          <w:rFonts w:cs="Arial"/>
          <w:snapToGrid/>
          <w:szCs w:val="22"/>
          <w:lang w:val="lt-LT" w:eastAsia="de-DE"/>
        </w:rPr>
        <w:t xml:space="preserve">, įskaitant </w:t>
      </w:r>
      <w:proofErr w:type="spellStart"/>
      <w:r w:rsidRPr="00561601">
        <w:rPr>
          <w:rFonts w:cs="Arial"/>
          <w:snapToGrid/>
          <w:szCs w:val="22"/>
          <w:lang w:val="lt-LT" w:eastAsia="de-DE"/>
        </w:rPr>
        <w:t>cerebrospinalinio</w:t>
      </w:r>
      <w:proofErr w:type="spellEnd"/>
      <w:r w:rsidRPr="00561601">
        <w:rPr>
          <w:rFonts w:cs="Arial"/>
          <w:snapToGrid/>
          <w:szCs w:val="22"/>
          <w:lang w:val="lt-LT" w:eastAsia="de-DE"/>
        </w:rPr>
        <w:t xml:space="preserve"> skysčio tyrimus kad būtų </w:t>
      </w:r>
      <w:r w:rsidR="0065537E">
        <w:rPr>
          <w:rFonts w:cs="Arial"/>
          <w:snapToGrid/>
          <w:szCs w:val="22"/>
          <w:lang w:val="lt-LT" w:eastAsia="de-DE"/>
        </w:rPr>
        <w:t>paneigtos</w:t>
      </w:r>
      <w:r w:rsidR="0065537E" w:rsidRPr="00561601">
        <w:rPr>
          <w:rFonts w:cs="Arial"/>
          <w:snapToGrid/>
          <w:szCs w:val="22"/>
          <w:lang w:val="lt-LT" w:eastAsia="de-DE"/>
        </w:rPr>
        <w:t xml:space="preserve"> </w:t>
      </w:r>
      <w:r w:rsidRPr="00561601">
        <w:rPr>
          <w:rFonts w:cs="Arial"/>
          <w:snapToGrid/>
          <w:szCs w:val="22"/>
          <w:lang w:val="lt-LT" w:eastAsia="de-DE"/>
        </w:rPr>
        <w:t xml:space="preserve">kitos meningito priežastys. </w:t>
      </w:r>
    </w:p>
    <w:p w14:paraId="64A6ED8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72F22109"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Nutraukus gydymą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AMS simptomai ir be pasekmių išnyko per keletą dienų.</w:t>
      </w:r>
    </w:p>
    <w:p w14:paraId="4DEA58C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25D4DC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Hemolizinė anemija</w:t>
      </w:r>
    </w:p>
    <w:p w14:paraId="407D593B" w14:textId="1442A8A1"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Intraveniniame imunoglobuline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 preparatai) gali būti kraujo grupės antikūnų, kurie gali veikti kaip </w:t>
      </w:r>
      <w:proofErr w:type="spellStart"/>
      <w:r w:rsidRPr="00561601">
        <w:rPr>
          <w:rFonts w:cs="Arial"/>
          <w:snapToGrid/>
          <w:szCs w:val="22"/>
          <w:lang w:val="lt-LT" w:eastAsia="de-DE"/>
        </w:rPr>
        <w:t>hemolizinai</w:t>
      </w:r>
      <w:proofErr w:type="spellEnd"/>
      <w:r w:rsidRPr="00561601">
        <w:rPr>
          <w:rFonts w:cs="Arial"/>
          <w:snapToGrid/>
          <w:szCs w:val="22"/>
          <w:lang w:val="lt-LT" w:eastAsia="de-DE"/>
        </w:rPr>
        <w:t xml:space="preserve"> ir </w:t>
      </w:r>
      <w:proofErr w:type="spellStart"/>
      <w:r w:rsidRPr="00561601">
        <w:rPr>
          <w:rFonts w:cs="Arial"/>
          <w:i/>
          <w:iCs/>
          <w:snapToGrid/>
          <w:szCs w:val="22"/>
          <w:lang w:val="lt-LT" w:eastAsia="de-DE"/>
        </w:rPr>
        <w:t>in</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vivo</w:t>
      </w:r>
      <w:proofErr w:type="spellEnd"/>
      <w:r w:rsidRPr="00561601">
        <w:rPr>
          <w:rFonts w:cs="Arial"/>
          <w:snapToGrid/>
          <w:szCs w:val="22"/>
          <w:lang w:val="lt-LT" w:eastAsia="de-DE"/>
        </w:rPr>
        <w:t xml:space="preserve"> skatinti raudonųjų kraujo ląstelių pasidengimą imunoglobulinais, o tai nulemia tiesioginę teigiamą </w:t>
      </w:r>
      <w:proofErr w:type="spellStart"/>
      <w:r w:rsidR="0065537E" w:rsidRPr="00561601">
        <w:rPr>
          <w:rFonts w:cs="Arial"/>
          <w:snapToGrid/>
          <w:szCs w:val="22"/>
          <w:lang w:val="lt-LT" w:eastAsia="de-DE"/>
        </w:rPr>
        <w:t>antiglobulin</w:t>
      </w:r>
      <w:r w:rsidR="0065537E">
        <w:rPr>
          <w:rFonts w:cs="Arial"/>
          <w:snapToGrid/>
          <w:szCs w:val="22"/>
          <w:lang w:val="lt-LT" w:eastAsia="de-DE"/>
        </w:rPr>
        <w:t>o</w:t>
      </w:r>
      <w:proofErr w:type="spellEnd"/>
      <w:r w:rsidR="0065537E" w:rsidRPr="00561601">
        <w:rPr>
          <w:rFonts w:cs="Arial"/>
          <w:snapToGrid/>
          <w:szCs w:val="22"/>
          <w:lang w:val="lt-LT" w:eastAsia="de-DE"/>
        </w:rPr>
        <w:t xml:space="preserve"> </w:t>
      </w:r>
      <w:r w:rsidRPr="00561601">
        <w:rPr>
          <w:rFonts w:cs="Arial"/>
          <w:snapToGrid/>
          <w:szCs w:val="22"/>
          <w:lang w:val="lt-LT" w:eastAsia="de-DE"/>
        </w:rPr>
        <w:t>reakciją (</w:t>
      </w:r>
      <w:proofErr w:type="spellStart"/>
      <w:r w:rsidRPr="00561601">
        <w:rPr>
          <w:rFonts w:cs="Arial"/>
          <w:snapToGrid/>
          <w:szCs w:val="22"/>
          <w:lang w:val="lt-LT" w:eastAsia="de-DE"/>
        </w:rPr>
        <w:t>Kumbso</w:t>
      </w:r>
      <w:proofErr w:type="spellEnd"/>
      <w:r w:rsidRPr="00561601">
        <w:rPr>
          <w:rFonts w:cs="Arial"/>
          <w:snapToGrid/>
          <w:szCs w:val="22"/>
          <w:lang w:val="lt-LT" w:eastAsia="de-DE"/>
        </w:rPr>
        <w:t xml:space="preserve"> </w:t>
      </w:r>
      <w:r w:rsidR="00D92430">
        <w:rPr>
          <w:rFonts w:cs="Arial"/>
          <w:snapToGrid/>
          <w:szCs w:val="22"/>
          <w:lang w:val="lt-LT" w:eastAsia="de-DE"/>
        </w:rPr>
        <w:t>testas</w:t>
      </w:r>
      <w:r w:rsidRPr="00561601">
        <w:rPr>
          <w:rFonts w:cs="Arial"/>
          <w:snapToGrid/>
          <w:szCs w:val="22"/>
          <w:lang w:val="lt-LT" w:eastAsia="de-DE"/>
        </w:rPr>
        <w:t xml:space="preserve">) ir retais atvejais </w:t>
      </w:r>
      <w:proofErr w:type="spellStart"/>
      <w:r w:rsidRPr="00561601">
        <w:rPr>
          <w:rFonts w:cs="Arial"/>
          <w:snapToGrid/>
          <w:szCs w:val="22"/>
          <w:lang w:val="lt-LT" w:eastAsia="de-DE"/>
        </w:rPr>
        <w:t>hemolizę</w:t>
      </w:r>
      <w:proofErr w:type="spellEnd"/>
      <w:r w:rsidRPr="00561601">
        <w:rPr>
          <w:rFonts w:cs="Arial"/>
          <w:snapToGrid/>
          <w:szCs w:val="22"/>
          <w:lang w:val="lt-LT" w:eastAsia="de-DE"/>
        </w:rPr>
        <w:t xml:space="preserve">. Hemolizinė anemija gali pasireikšti po gydymo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dėl sustiprėjusio eritrocitų irimo. Būtina stebėti, ar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recipientams nepasireiškia </w:t>
      </w:r>
      <w:r w:rsidR="0065537E" w:rsidRPr="00561601">
        <w:rPr>
          <w:rFonts w:cs="Arial"/>
          <w:snapToGrid/>
          <w:szCs w:val="22"/>
          <w:lang w:val="lt-LT" w:eastAsia="de-DE"/>
        </w:rPr>
        <w:t>klinikini</w:t>
      </w:r>
      <w:r w:rsidR="0065537E">
        <w:rPr>
          <w:rFonts w:cs="Arial"/>
          <w:snapToGrid/>
          <w:szCs w:val="22"/>
          <w:lang w:val="lt-LT" w:eastAsia="de-DE"/>
        </w:rPr>
        <w:t>ų</w:t>
      </w:r>
      <w:r w:rsidR="0065537E" w:rsidRPr="00561601">
        <w:rPr>
          <w:rFonts w:cs="Arial"/>
          <w:snapToGrid/>
          <w:szCs w:val="22"/>
          <w:lang w:val="lt-LT" w:eastAsia="de-DE"/>
        </w:rPr>
        <w:t xml:space="preserve"> </w:t>
      </w:r>
      <w:proofErr w:type="spellStart"/>
      <w:r w:rsidRPr="00561601">
        <w:rPr>
          <w:rFonts w:cs="Arial"/>
          <w:snapToGrid/>
          <w:szCs w:val="22"/>
          <w:lang w:val="lt-LT" w:eastAsia="de-DE"/>
        </w:rPr>
        <w:t>hemolizės</w:t>
      </w:r>
      <w:proofErr w:type="spellEnd"/>
      <w:r w:rsidRPr="00561601">
        <w:rPr>
          <w:rFonts w:cs="Arial"/>
          <w:snapToGrid/>
          <w:szCs w:val="22"/>
          <w:lang w:val="lt-LT" w:eastAsia="de-DE"/>
        </w:rPr>
        <w:t xml:space="preserve"> </w:t>
      </w:r>
      <w:r w:rsidR="0065537E" w:rsidRPr="00561601">
        <w:rPr>
          <w:rFonts w:cs="Arial"/>
          <w:snapToGrid/>
          <w:szCs w:val="22"/>
          <w:lang w:val="lt-LT" w:eastAsia="de-DE"/>
        </w:rPr>
        <w:t>požymi</w:t>
      </w:r>
      <w:r w:rsidR="0065537E">
        <w:rPr>
          <w:rFonts w:cs="Arial"/>
          <w:snapToGrid/>
          <w:szCs w:val="22"/>
          <w:lang w:val="lt-LT" w:eastAsia="de-DE"/>
        </w:rPr>
        <w:t>ų</w:t>
      </w:r>
      <w:r w:rsidR="0065537E" w:rsidRPr="00561601">
        <w:rPr>
          <w:rFonts w:cs="Arial"/>
          <w:snapToGrid/>
          <w:szCs w:val="22"/>
          <w:lang w:val="lt-LT" w:eastAsia="de-DE"/>
        </w:rPr>
        <w:t xml:space="preserve"> </w:t>
      </w:r>
      <w:r w:rsidRPr="00561601">
        <w:rPr>
          <w:rFonts w:cs="Arial"/>
          <w:snapToGrid/>
          <w:szCs w:val="22"/>
          <w:lang w:val="lt-LT" w:eastAsia="de-DE"/>
        </w:rPr>
        <w:t xml:space="preserve">ir </w:t>
      </w:r>
      <w:r w:rsidR="0065537E" w:rsidRPr="00561601">
        <w:rPr>
          <w:rFonts w:cs="Arial"/>
          <w:snapToGrid/>
          <w:szCs w:val="22"/>
          <w:lang w:val="lt-LT" w:eastAsia="de-DE"/>
        </w:rPr>
        <w:t>simptom</w:t>
      </w:r>
      <w:r w:rsidR="0065537E">
        <w:rPr>
          <w:rFonts w:cs="Arial"/>
          <w:snapToGrid/>
          <w:szCs w:val="22"/>
          <w:lang w:val="lt-LT" w:eastAsia="de-DE"/>
        </w:rPr>
        <w:t>ų</w:t>
      </w:r>
      <w:r w:rsidRPr="00561601">
        <w:rPr>
          <w:rFonts w:cs="Arial"/>
          <w:snapToGrid/>
          <w:szCs w:val="22"/>
          <w:lang w:val="lt-LT" w:eastAsia="de-DE"/>
        </w:rPr>
        <w:t>.</w:t>
      </w:r>
    </w:p>
    <w:p w14:paraId="23D4FE08"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D224B54" w14:textId="77777777"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u w:val="single"/>
          <w:lang w:val="lt-LT" w:eastAsia="de-DE"/>
        </w:rPr>
      </w:pPr>
      <w:proofErr w:type="spellStart"/>
      <w:r w:rsidRPr="00561601">
        <w:rPr>
          <w:rFonts w:cs="Arial"/>
          <w:snapToGrid/>
          <w:szCs w:val="22"/>
          <w:u w:val="single"/>
          <w:lang w:val="lt-LT" w:eastAsia="de-DE"/>
        </w:rPr>
        <w:t>Neutropenija</w:t>
      </w:r>
      <w:proofErr w:type="spellEnd"/>
      <w:r w:rsidRPr="00561601">
        <w:rPr>
          <w:rFonts w:cs="Arial"/>
          <w:snapToGrid/>
          <w:szCs w:val="22"/>
          <w:u w:val="single"/>
          <w:lang w:val="lt-LT" w:eastAsia="de-DE"/>
        </w:rPr>
        <w:t xml:space="preserve"> / </w:t>
      </w:r>
      <w:proofErr w:type="spellStart"/>
      <w:r w:rsidRPr="00561601">
        <w:rPr>
          <w:rFonts w:cs="Arial"/>
          <w:snapToGrid/>
          <w:szCs w:val="22"/>
          <w:u w:val="single"/>
          <w:lang w:val="lt-LT" w:eastAsia="de-DE"/>
        </w:rPr>
        <w:t>leukopenija</w:t>
      </w:r>
      <w:proofErr w:type="spellEnd"/>
    </w:p>
    <w:p w14:paraId="67B0A7DC" w14:textId="5C4BEB9F"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rFonts w:cs="Arial"/>
          <w:snapToGrid/>
          <w:szCs w:val="22"/>
          <w:lang w:val="lt-LT" w:eastAsia="de-DE"/>
        </w:rPr>
        <w:t xml:space="preserve">Po gydymo į veną leidžiamu imunoglobulinu buvo pranešta apie trumpalaikį </w:t>
      </w:r>
      <w:proofErr w:type="spellStart"/>
      <w:r w:rsidRPr="00561601">
        <w:rPr>
          <w:rFonts w:cs="Arial"/>
          <w:snapToGrid/>
          <w:szCs w:val="22"/>
          <w:lang w:val="lt-LT" w:eastAsia="de-DE"/>
        </w:rPr>
        <w:t>neutrofilų</w:t>
      </w:r>
      <w:proofErr w:type="spellEnd"/>
      <w:r w:rsidRPr="00561601">
        <w:rPr>
          <w:rFonts w:cs="Arial"/>
          <w:snapToGrid/>
          <w:szCs w:val="22"/>
          <w:lang w:val="lt-LT" w:eastAsia="de-DE"/>
        </w:rPr>
        <w:t xml:space="preserve"> skaičiaus sumažėjimą ir (arba) </w:t>
      </w:r>
      <w:proofErr w:type="spellStart"/>
      <w:r w:rsidRPr="00561601">
        <w:rPr>
          <w:rFonts w:cs="Arial"/>
          <w:snapToGrid/>
          <w:szCs w:val="22"/>
          <w:lang w:val="lt-LT" w:eastAsia="de-DE"/>
        </w:rPr>
        <w:t>neutropenijos</w:t>
      </w:r>
      <w:proofErr w:type="spellEnd"/>
      <w:r w:rsidRPr="00561601">
        <w:rPr>
          <w:rFonts w:cs="Arial"/>
          <w:snapToGrid/>
          <w:szCs w:val="22"/>
          <w:lang w:val="lt-LT" w:eastAsia="de-DE"/>
        </w:rPr>
        <w:t xml:space="preserve"> (kartais sunkios) epizodus. Tai paprastai pasireiškia per kelias valandas ar </w:t>
      </w:r>
      <w:r w:rsidR="0065537E">
        <w:rPr>
          <w:rFonts w:cs="Arial"/>
          <w:snapToGrid/>
          <w:szCs w:val="22"/>
          <w:lang w:val="lt-LT" w:eastAsia="de-DE"/>
        </w:rPr>
        <w:t>paras</w:t>
      </w:r>
      <w:r w:rsidR="0065537E" w:rsidRPr="00561601">
        <w:rPr>
          <w:rFonts w:cs="Arial"/>
          <w:snapToGrid/>
          <w:szCs w:val="22"/>
          <w:lang w:val="lt-LT" w:eastAsia="de-DE"/>
        </w:rPr>
        <w:t xml:space="preserve"> </w:t>
      </w:r>
      <w:r w:rsidRPr="00561601">
        <w:rPr>
          <w:rFonts w:cs="Arial"/>
          <w:snapToGrid/>
          <w:szCs w:val="22"/>
          <w:lang w:val="lt-LT" w:eastAsia="de-DE"/>
        </w:rPr>
        <w:t xml:space="preserve">po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vartojimo ir savaime praeina per 7–14 parų.</w:t>
      </w:r>
    </w:p>
    <w:p w14:paraId="7F2494A9"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bidi="en-GB"/>
        </w:rPr>
      </w:pPr>
    </w:p>
    <w:p w14:paraId="39680D42" w14:textId="77777777"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rFonts w:cs="Arial"/>
          <w:snapToGrid/>
          <w:szCs w:val="22"/>
          <w:u w:val="single"/>
          <w:lang w:val="lt-LT" w:eastAsia="de-DE"/>
        </w:rPr>
        <w:t>Su transfuzija susijęs ūm</w:t>
      </w:r>
      <w:r w:rsidR="00D92430">
        <w:rPr>
          <w:rFonts w:cs="Arial"/>
          <w:snapToGrid/>
          <w:szCs w:val="22"/>
          <w:u w:val="single"/>
          <w:lang w:val="lt-LT" w:eastAsia="de-DE"/>
        </w:rPr>
        <w:t>inis</w:t>
      </w:r>
      <w:r w:rsidRPr="00561601">
        <w:rPr>
          <w:rFonts w:cs="Arial"/>
          <w:snapToGrid/>
          <w:szCs w:val="22"/>
          <w:u w:val="single"/>
          <w:lang w:val="lt-LT" w:eastAsia="de-DE"/>
        </w:rPr>
        <w:t xml:space="preserve"> plaučių pažeidimas (TRALI)</w:t>
      </w:r>
    </w:p>
    <w:p w14:paraId="67D16C2C" w14:textId="77777777" w:rsidR="00B945A9" w:rsidRPr="00561601" w:rsidRDefault="00B945A9" w:rsidP="00B945A9">
      <w:pPr>
        <w:tabs>
          <w:tab w:val="clear" w:pos="567"/>
        </w:tabs>
        <w:overflowPunct w:val="0"/>
        <w:autoSpaceDE w:val="0"/>
        <w:autoSpaceDN w:val="0"/>
        <w:adjustRightInd w:val="0"/>
        <w:spacing w:line="240" w:lineRule="auto"/>
        <w:textAlignment w:val="baseline"/>
        <w:rPr>
          <w:rFonts w:ascii="Arial" w:hAnsi="Arial" w:cs="Arial"/>
          <w:snapToGrid/>
          <w:szCs w:val="22"/>
          <w:lang w:val="lt-LT" w:eastAsia="de-DE"/>
        </w:rPr>
      </w:pP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vaistiniais preparatais gydytiems pacientams buvo registruoti </w:t>
      </w:r>
      <w:proofErr w:type="spellStart"/>
      <w:r w:rsidRPr="00561601">
        <w:rPr>
          <w:rFonts w:cs="Arial"/>
          <w:snapToGrid/>
          <w:szCs w:val="22"/>
          <w:lang w:val="lt-LT" w:eastAsia="de-DE"/>
        </w:rPr>
        <w:t>nekardiogeninės</w:t>
      </w:r>
      <w:proofErr w:type="spellEnd"/>
      <w:r w:rsidRPr="00561601">
        <w:rPr>
          <w:rFonts w:cs="Arial"/>
          <w:snapToGrid/>
          <w:szCs w:val="22"/>
          <w:lang w:val="lt-LT" w:eastAsia="de-DE"/>
        </w:rPr>
        <w:t xml:space="preserve"> plaučių edemos atvejai [su transfuzija susijęs ūm</w:t>
      </w:r>
      <w:r w:rsidR="00D92430">
        <w:rPr>
          <w:rFonts w:cs="Arial"/>
          <w:snapToGrid/>
          <w:szCs w:val="22"/>
          <w:lang w:val="lt-LT" w:eastAsia="de-DE"/>
        </w:rPr>
        <w:t>inis</w:t>
      </w:r>
      <w:r w:rsidRPr="00561601">
        <w:rPr>
          <w:rFonts w:cs="Arial"/>
          <w:snapToGrid/>
          <w:szCs w:val="22"/>
          <w:lang w:val="lt-LT" w:eastAsia="de-DE"/>
        </w:rPr>
        <w:t xml:space="preserve"> plaučių pažeidimas (angl. </w:t>
      </w:r>
      <w:proofErr w:type="spellStart"/>
      <w:r w:rsidRPr="00561601">
        <w:rPr>
          <w:rFonts w:cs="Arial"/>
          <w:i/>
          <w:iCs/>
          <w:snapToGrid/>
          <w:szCs w:val="22"/>
          <w:lang w:val="lt-LT" w:eastAsia="de-DE"/>
        </w:rPr>
        <w:t>Transfusion</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Related</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Acute</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Lung</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Injury</w:t>
      </w:r>
      <w:proofErr w:type="spellEnd"/>
      <w:r w:rsidRPr="00561601">
        <w:rPr>
          <w:rFonts w:cs="Arial"/>
          <w:snapToGrid/>
          <w:szCs w:val="22"/>
          <w:lang w:val="lt-LT" w:eastAsia="de-DE"/>
        </w:rPr>
        <w:t xml:space="preserve">, TRALI)]. TRALI būdinga sunki hipoksija, </w:t>
      </w:r>
      <w:proofErr w:type="spellStart"/>
      <w:r w:rsidRPr="00561601">
        <w:rPr>
          <w:rFonts w:cs="Arial"/>
          <w:snapToGrid/>
          <w:szCs w:val="22"/>
          <w:lang w:val="lt-LT" w:eastAsia="de-DE"/>
        </w:rPr>
        <w:t>dispnėja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tachipnėja</w:t>
      </w:r>
      <w:proofErr w:type="spellEnd"/>
      <w:r w:rsidRPr="00561601">
        <w:rPr>
          <w:rFonts w:cs="Arial"/>
          <w:snapToGrid/>
          <w:szCs w:val="22"/>
          <w:lang w:val="lt-LT" w:eastAsia="de-DE"/>
        </w:rPr>
        <w:t xml:space="preserve">, cianozė, karščiavimas ir </w:t>
      </w:r>
      <w:proofErr w:type="spellStart"/>
      <w:r w:rsidRPr="00561601">
        <w:rPr>
          <w:rFonts w:cs="Arial"/>
          <w:snapToGrid/>
          <w:szCs w:val="22"/>
          <w:lang w:val="lt-LT" w:eastAsia="de-DE"/>
        </w:rPr>
        <w:t>hipotenzija</w:t>
      </w:r>
      <w:proofErr w:type="spellEnd"/>
      <w:r w:rsidRPr="00561601">
        <w:rPr>
          <w:rFonts w:cs="Arial"/>
          <w:snapToGrid/>
          <w:szCs w:val="22"/>
          <w:lang w:val="lt-LT" w:eastAsia="de-DE"/>
        </w:rPr>
        <w:t xml:space="preserve">. TRALI simptomai paprastai pasireiškia transfuzijos metu arba per 6 valandas po jos, dažnai per 1–2 valandas. Todėl pacientus, kuriems skiriami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preparatai, būtina atidžiai stebėti, ar neatsiras nepageidaujamų plaučių reakcijų, o joms atsiradus – nedelsiant nutraukti infuziją. TRALI yra potencialiai gyvybei pavojinga būklė, reikalaujanti skubaus gydymo intensyviosios terapijos skyriuje.</w:t>
      </w:r>
    </w:p>
    <w:p w14:paraId="682FD3F6"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bidi="en-GB"/>
        </w:rPr>
      </w:pPr>
    </w:p>
    <w:p w14:paraId="0DE36780"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rPr>
      </w:pPr>
      <w:r w:rsidRPr="00561601">
        <w:rPr>
          <w:snapToGrid/>
          <w:szCs w:val="22"/>
          <w:u w:val="single"/>
          <w:lang w:val="lt-LT" w:eastAsia="de-DE"/>
        </w:rPr>
        <w:t>Poveikis serologiniams tyrimams</w:t>
      </w:r>
    </w:p>
    <w:p w14:paraId="680658E3"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Pavartojus imunoglobulinų, gali būti stebimas laikinas įvairių pasyviai į paciento kraują perkeltų antikūnų kiekio padidėjimas, todėl galimi klaidingai teigiami serologinių tyrimų rezultatai.</w:t>
      </w:r>
    </w:p>
    <w:p w14:paraId="568CEFE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bidi="en-GB"/>
        </w:rPr>
      </w:pPr>
    </w:p>
    <w:p w14:paraId="77DD53C6" w14:textId="7963F9CD"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Pasyvus antikūnų perdavimas eritrocitų antigenams, pvz., A, B ir D, gali trukdyti atlikti kai kuriuos serologinius eritrocitų antikūnų tyrimus, pvz., </w:t>
      </w:r>
      <w:r w:rsidR="0065537E" w:rsidRPr="00561601">
        <w:rPr>
          <w:rFonts w:cs="Arial"/>
          <w:snapToGrid/>
          <w:szCs w:val="22"/>
          <w:lang w:val="lt-LT" w:eastAsia="de-DE"/>
        </w:rPr>
        <w:t>tiesiogin</w:t>
      </w:r>
      <w:r w:rsidR="0065537E">
        <w:rPr>
          <w:rFonts w:cs="Arial"/>
          <w:snapToGrid/>
          <w:szCs w:val="22"/>
          <w:lang w:val="lt-LT" w:eastAsia="de-DE"/>
        </w:rPr>
        <w:t>į</w:t>
      </w:r>
      <w:r w:rsidR="0065537E" w:rsidRPr="00561601">
        <w:rPr>
          <w:rFonts w:cs="Arial"/>
          <w:snapToGrid/>
          <w:szCs w:val="22"/>
          <w:lang w:val="lt-LT" w:eastAsia="de-DE"/>
        </w:rPr>
        <w:t xml:space="preserve"> </w:t>
      </w:r>
      <w:proofErr w:type="spellStart"/>
      <w:r w:rsidRPr="00561601">
        <w:rPr>
          <w:rFonts w:cs="Arial"/>
          <w:snapToGrid/>
          <w:szCs w:val="22"/>
          <w:lang w:val="lt-LT" w:eastAsia="de-DE"/>
        </w:rPr>
        <w:t>antiglobulino</w:t>
      </w:r>
      <w:proofErr w:type="spellEnd"/>
      <w:r w:rsidRPr="00561601">
        <w:rPr>
          <w:rFonts w:cs="Arial"/>
          <w:snapToGrid/>
          <w:szCs w:val="22"/>
          <w:lang w:val="lt-LT" w:eastAsia="de-DE"/>
        </w:rPr>
        <w:t xml:space="preserve"> </w:t>
      </w:r>
      <w:r w:rsidR="0065537E" w:rsidRPr="00561601">
        <w:rPr>
          <w:rFonts w:cs="Arial"/>
          <w:snapToGrid/>
          <w:szCs w:val="22"/>
          <w:lang w:val="lt-LT" w:eastAsia="de-DE"/>
        </w:rPr>
        <w:t>tyrim</w:t>
      </w:r>
      <w:r w:rsidR="0065537E">
        <w:rPr>
          <w:rFonts w:cs="Arial"/>
          <w:snapToGrid/>
          <w:szCs w:val="22"/>
          <w:lang w:val="lt-LT" w:eastAsia="de-DE"/>
        </w:rPr>
        <w:t>ą</w:t>
      </w:r>
      <w:r w:rsidR="0065537E" w:rsidRPr="00561601">
        <w:rPr>
          <w:rFonts w:cs="Arial"/>
          <w:snapToGrid/>
          <w:szCs w:val="22"/>
          <w:lang w:val="lt-LT" w:eastAsia="de-DE"/>
        </w:rPr>
        <w:t xml:space="preserve"> </w:t>
      </w:r>
      <w:r w:rsidRPr="00561601">
        <w:rPr>
          <w:rFonts w:cs="Arial"/>
          <w:snapToGrid/>
          <w:szCs w:val="22"/>
          <w:lang w:val="lt-LT" w:eastAsia="de-DE"/>
        </w:rPr>
        <w:t>(</w:t>
      </w:r>
      <w:r w:rsidR="0065537E">
        <w:rPr>
          <w:rFonts w:cs="Arial"/>
          <w:snapToGrid/>
          <w:szCs w:val="22"/>
          <w:lang w:val="lt-LT" w:eastAsia="de-DE"/>
        </w:rPr>
        <w:t>T</w:t>
      </w:r>
      <w:r w:rsidR="0065537E" w:rsidRPr="00561601">
        <w:rPr>
          <w:rFonts w:cs="Arial"/>
          <w:snapToGrid/>
          <w:szCs w:val="22"/>
          <w:lang w:val="lt-LT" w:eastAsia="de-DE"/>
        </w:rPr>
        <w:t>AT</w:t>
      </w:r>
      <w:r w:rsidRPr="00561601">
        <w:rPr>
          <w:rFonts w:cs="Arial"/>
          <w:snapToGrid/>
          <w:szCs w:val="22"/>
          <w:lang w:val="lt-LT" w:eastAsia="de-DE"/>
        </w:rPr>
        <w:t xml:space="preserve">, tiesioginį </w:t>
      </w:r>
      <w:proofErr w:type="spellStart"/>
      <w:r w:rsidRPr="00561601">
        <w:rPr>
          <w:rFonts w:cs="Arial"/>
          <w:snapToGrid/>
          <w:szCs w:val="22"/>
          <w:lang w:val="lt-LT" w:eastAsia="de-DE"/>
        </w:rPr>
        <w:t>Kumbso</w:t>
      </w:r>
      <w:proofErr w:type="spellEnd"/>
      <w:r w:rsidRPr="00561601">
        <w:rPr>
          <w:rFonts w:cs="Arial"/>
          <w:snapToGrid/>
          <w:szCs w:val="22"/>
          <w:lang w:val="lt-LT" w:eastAsia="de-DE"/>
        </w:rPr>
        <w:t xml:space="preserve"> </w:t>
      </w:r>
      <w:r w:rsidR="00D92430">
        <w:rPr>
          <w:rFonts w:cs="Arial"/>
          <w:snapToGrid/>
          <w:szCs w:val="22"/>
          <w:lang w:val="lt-LT" w:eastAsia="de-DE"/>
        </w:rPr>
        <w:t>testą</w:t>
      </w:r>
      <w:r w:rsidRPr="00561601">
        <w:rPr>
          <w:rFonts w:cs="Arial"/>
          <w:snapToGrid/>
          <w:szCs w:val="22"/>
          <w:lang w:val="lt-LT" w:eastAsia="de-DE"/>
        </w:rPr>
        <w:t>).</w:t>
      </w:r>
    </w:p>
    <w:p w14:paraId="00E3DCBA"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bidi="en-GB"/>
        </w:rPr>
      </w:pPr>
    </w:p>
    <w:p w14:paraId="4097808B" w14:textId="77777777" w:rsidR="00B945A9" w:rsidRPr="00561601" w:rsidRDefault="00B945A9" w:rsidP="00B945A9">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rFonts w:cs="Arial"/>
          <w:b/>
          <w:snapToGrid/>
          <w:szCs w:val="22"/>
          <w:lang w:val="lt-LT" w:eastAsia="de-DE"/>
        </w:rPr>
        <w:t>Nesuderinamumas ir specialūs reikalavimai vaistiniam preparatui ruošti</w:t>
      </w:r>
    </w:p>
    <w:p w14:paraId="0F2B3E73"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Šio vaistinio preparato negalima maišyti nei su kitais vaistiniais preparatais, nei su kitais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vaistiniais preparatais.</w:t>
      </w:r>
    </w:p>
    <w:p w14:paraId="09077A94" w14:textId="77777777" w:rsidR="00B945A9" w:rsidRPr="00561601" w:rsidRDefault="00B945A9" w:rsidP="00B945A9">
      <w:pPr>
        <w:overflowPunct w:val="0"/>
        <w:autoSpaceDE w:val="0"/>
        <w:autoSpaceDN w:val="0"/>
        <w:adjustRightInd w:val="0"/>
        <w:spacing w:line="240" w:lineRule="auto"/>
        <w:ind w:right="-1"/>
        <w:textAlignment w:val="baseline"/>
        <w:rPr>
          <w:snapToGrid/>
          <w:szCs w:val="22"/>
          <w:lang w:val="lt-LT" w:eastAsia="de-DE"/>
        </w:rPr>
      </w:pPr>
    </w:p>
    <w:p w14:paraId="7EF62719"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Pirmą kartą atidarius, vaistinį preparatą reikia vartoti nedelsiant.</w:t>
      </w:r>
    </w:p>
    <w:p w14:paraId="4446F825"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p>
    <w:p w14:paraId="71AA8C43"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Prieš vartojant vaistinį preparatą reikia atšildyti iki kambario arba kūno temperatūros</w:t>
      </w:r>
      <w:r w:rsidRPr="00561601">
        <w:rPr>
          <w:rFonts w:ascii="Arial" w:hAnsi="Arial" w:cs="Arial"/>
          <w:snapToGrid/>
          <w:szCs w:val="22"/>
          <w:lang w:val="lt-LT" w:eastAsia="de-DE"/>
        </w:rPr>
        <w:t>.</w:t>
      </w:r>
    </w:p>
    <w:p w14:paraId="36D3EAF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7AE9CCAF" w14:textId="0B731879"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Prieš vartojant vaistinį preparatą reikia apžiūrėti. Tirpalas turi būti skaidrus arba šiek tiek opalinis ir bespalvis arba gelsvas. Ne</w:t>
      </w:r>
      <w:r w:rsidR="005E6070">
        <w:rPr>
          <w:rFonts w:cs="Arial"/>
          <w:snapToGrid/>
          <w:szCs w:val="22"/>
          <w:lang w:val="lt-LT" w:eastAsia="de-DE"/>
        </w:rPr>
        <w:t>vartokite</w:t>
      </w:r>
      <w:r w:rsidRPr="00561601">
        <w:rPr>
          <w:rFonts w:cs="Arial"/>
          <w:snapToGrid/>
          <w:szCs w:val="22"/>
          <w:lang w:val="lt-LT" w:eastAsia="de-DE"/>
        </w:rPr>
        <w:t xml:space="preserve"> tirpalų, kurie yra drumsti arba kuriuose yra nuosėdų.</w:t>
      </w:r>
    </w:p>
    <w:p w14:paraId="765E564C" w14:textId="77777777" w:rsidR="00B945A9" w:rsidRPr="00561601" w:rsidRDefault="00B945A9" w:rsidP="00B945A9">
      <w:pPr>
        <w:tabs>
          <w:tab w:val="clear" w:pos="567"/>
        </w:tabs>
        <w:spacing w:line="240" w:lineRule="auto"/>
        <w:rPr>
          <w:lang w:val="lt-LT"/>
        </w:rPr>
      </w:pPr>
    </w:p>
    <w:sectPr w:rsidR="00B945A9" w:rsidRPr="00561601" w:rsidSect="00974E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04D0C"/>
    <w:multiLevelType w:val="hybridMultilevel"/>
    <w:tmpl w:val="075A6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230AC"/>
    <w:multiLevelType w:val="hybridMultilevel"/>
    <w:tmpl w:val="C88EA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94C2D"/>
    <w:multiLevelType w:val="hybridMultilevel"/>
    <w:tmpl w:val="5882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2F2E14"/>
    <w:multiLevelType w:val="hybridMultilevel"/>
    <w:tmpl w:val="E974A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551AB6"/>
    <w:multiLevelType w:val="hybridMultilevel"/>
    <w:tmpl w:val="E9E81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3F1FC1"/>
    <w:multiLevelType w:val="hybridMultilevel"/>
    <w:tmpl w:val="B7B89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90773F"/>
    <w:multiLevelType w:val="hybridMultilevel"/>
    <w:tmpl w:val="0BF88E4E"/>
    <w:lvl w:ilvl="0" w:tplc="04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701217"/>
    <w:multiLevelType w:val="hybridMultilevel"/>
    <w:tmpl w:val="78B8C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3A6F36"/>
    <w:multiLevelType w:val="hybridMultilevel"/>
    <w:tmpl w:val="63DA1198"/>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31A97072"/>
    <w:multiLevelType w:val="hybridMultilevel"/>
    <w:tmpl w:val="4D540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80257A"/>
    <w:multiLevelType w:val="hybridMultilevel"/>
    <w:tmpl w:val="D4903A3A"/>
    <w:lvl w:ilvl="0" w:tplc="04070001">
      <w:start w:val="1"/>
      <w:numFmt w:val="bullet"/>
      <w:lvlText w:val=""/>
      <w:lvlJc w:val="left"/>
      <w:pPr>
        <w:ind w:left="720" w:hanging="360"/>
      </w:pPr>
      <w:rPr>
        <w:rFonts w:ascii="Symbol" w:hAnsi="Symbol" w:hint="default"/>
      </w:rPr>
    </w:lvl>
    <w:lvl w:ilvl="1" w:tplc="0F76A4C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796A35"/>
    <w:multiLevelType w:val="hybridMultilevel"/>
    <w:tmpl w:val="C6BA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47248"/>
    <w:multiLevelType w:val="hybridMultilevel"/>
    <w:tmpl w:val="1D9A1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4B4523"/>
    <w:multiLevelType w:val="hybridMultilevel"/>
    <w:tmpl w:val="1CECD6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
  </w:num>
  <w:num w:numId="8">
    <w:abstractNumId w:val="7"/>
  </w:num>
  <w:num w:numId="9">
    <w:abstractNumId w:val="12"/>
  </w:num>
  <w:num w:numId="10">
    <w:abstractNumId w:val="4"/>
  </w:num>
  <w:num w:numId="11">
    <w:abstractNumId w:val="16"/>
  </w:num>
  <w:num w:numId="12">
    <w:abstractNumId w:val="8"/>
  </w:num>
  <w:num w:numId="13">
    <w:abstractNumId w:val="11"/>
  </w:num>
  <w:num w:numId="14">
    <w:abstractNumId w:val="5"/>
  </w:num>
  <w:num w:numId="15">
    <w:abstractNumId w:val="10"/>
  </w:num>
  <w:num w:numId="16">
    <w:abstractNumId w:val="3"/>
  </w:num>
  <w:num w:numId="17">
    <w:abstractNumId w:val="6"/>
  </w:num>
  <w:num w:numId="18">
    <w:abstractNumId w:val="14"/>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3A4"/>
    <w:rsid w:val="00004C89"/>
    <w:rsid w:val="00005EAF"/>
    <w:rsid w:val="00012FD2"/>
    <w:rsid w:val="0001538C"/>
    <w:rsid w:val="00023C68"/>
    <w:rsid w:val="00026E72"/>
    <w:rsid w:val="00033FE1"/>
    <w:rsid w:val="000356B3"/>
    <w:rsid w:val="00041E90"/>
    <w:rsid w:val="00042D19"/>
    <w:rsid w:val="00051F09"/>
    <w:rsid w:val="00053926"/>
    <w:rsid w:val="000564D8"/>
    <w:rsid w:val="00056AC0"/>
    <w:rsid w:val="00064379"/>
    <w:rsid w:val="00064E3D"/>
    <w:rsid w:val="0007681A"/>
    <w:rsid w:val="00082D45"/>
    <w:rsid w:val="00087EF9"/>
    <w:rsid w:val="000A58F3"/>
    <w:rsid w:val="000A74BB"/>
    <w:rsid w:val="000A79DC"/>
    <w:rsid w:val="000D1995"/>
    <w:rsid w:val="000E2574"/>
    <w:rsid w:val="00106243"/>
    <w:rsid w:val="0012379B"/>
    <w:rsid w:val="00126F6D"/>
    <w:rsid w:val="0013062A"/>
    <w:rsid w:val="001312C6"/>
    <w:rsid w:val="001372E6"/>
    <w:rsid w:val="001428D9"/>
    <w:rsid w:val="00161490"/>
    <w:rsid w:val="0016170E"/>
    <w:rsid w:val="00164069"/>
    <w:rsid w:val="001701D4"/>
    <w:rsid w:val="00170AF2"/>
    <w:rsid w:val="001757A0"/>
    <w:rsid w:val="001766CE"/>
    <w:rsid w:val="0019200A"/>
    <w:rsid w:val="00196F6D"/>
    <w:rsid w:val="00196F8B"/>
    <w:rsid w:val="001A0EB1"/>
    <w:rsid w:val="001A18CB"/>
    <w:rsid w:val="001A3DF1"/>
    <w:rsid w:val="001A4353"/>
    <w:rsid w:val="001C11F8"/>
    <w:rsid w:val="001C6A4F"/>
    <w:rsid w:val="001D1F9C"/>
    <w:rsid w:val="001D20F2"/>
    <w:rsid w:val="001E037F"/>
    <w:rsid w:val="001E2FF6"/>
    <w:rsid w:val="001F10B8"/>
    <w:rsid w:val="001F134A"/>
    <w:rsid w:val="00203667"/>
    <w:rsid w:val="00215D0F"/>
    <w:rsid w:val="00227A69"/>
    <w:rsid w:val="00227FAA"/>
    <w:rsid w:val="00230A89"/>
    <w:rsid w:val="00234159"/>
    <w:rsid w:val="002537A1"/>
    <w:rsid w:val="00253AEB"/>
    <w:rsid w:val="00256676"/>
    <w:rsid w:val="00260E86"/>
    <w:rsid w:val="0026701F"/>
    <w:rsid w:val="0027120D"/>
    <w:rsid w:val="00274C95"/>
    <w:rsid w:val="00285FA7"/>
    <w:rsid w:val="002907BD"/>
    <w:rsid w:val="002934E5"/>
    <w:rsid w:val="00293763"/>
    <w:rsid w:val="002937FF"/>
    <w:rsid w:val="002A46B4"/>
    <w:rsid w:val="002A79A4"/>
    <w:rsid w:val="002B09DE"/>
    <w:rsid w:val="002B2A03"/>
    <w:rsid w:val="002B7762"/>
    <w:rsid w:val="002C07E3"/>
    <w:rsid w:val="002C19BF"/>
    <w:rsid w:val="002C77D0"/>
    <w:rsid w:val="002D17F0"/>
    <w:rsid w:val="002E46D1"/>
    <w:rsid w:val="002F669B"/>
    <w:rsid w:val="003030F5"/>
    <w:rsid w:val="00305AE8"/>
    <w:rsid w:val="0031195D"/>
    <w:rsid w:val="00324A02"/>
    <w:rsid w:val="00331196"/>
    <w:rsid w:val="00337870"/>
    <w:rsid w:val="0036007D"/>
    <w:rsid w:val="0036167A"/>
    <w:rsid w:val="00365C06"/>
    <w:rsid w:val="00373268"/>
    <w:rsid w:val="0037392F"/>
    <w:rsid w:val="00380FA5"/>
    <w:rsid w:val="00384AC2"/>
    <w:rsid w:val="003A087B"/>
    <w:rsid w:val="003B266B"/>
    <w:rsid w:val="003B47A8"/>
    <w:rsid w:val="003C0CDD"/>
    <w:rsid w:val="003C6461"/>
    <w:rsid w:val="003D7083"/>
    <w:rsid w:val="003F29A3"/>
    <w:rsid w:val="003F5A9F"/>
    <w:rsid w:val="00401E3B"/>
    <w:rsid w:val="00404D3A"/>
    <w:rsid w:val="004060DC"/>
    <w:rsid w:val="00411E9F"/>
    <w:rsid w:val="00415DC0"/>
    <w:rsid w:val="00420FC4"/>
    <w:rsid w:val="004312F8"/>
    <w:rsid w:val="00444711"/>
    <w:rsid w:val="00445E46"/>
    <w:rsid w:val="00446DD0"/>
    <w:rsid w:val="00447919"/>
    <w:rsid w:val="00447DE7"/>
    <w:rsid w:val="0045251D"/>
    <w:rsid w:val="00452DF7"/>
    <w:rsid w:val="00461F31"/>
    <w:rsid w:val="0046446F"/>
    <w:rsid w:val="004863C3"/>
    <w:rsid w:val="004979B2"/>
    <w:rsid w:val="004A4EED"/>
    <w:rsid w:val="004A59A1"/>
    <w:rsid w:val="004B6494"/>
    <w:rsid w:val="004D3EB8"/>
    <w:rsid w:val="004D5961"/>
    <w:rsid w:val="004E12BC"/>
    <w:rsid w:val="004E23D3"/>
    <w:rsid w:val="00500489"/>
    <w:rsid w:val="0050230C"/>
    <w:rsid w:val="0050468E"/>
    <w:rsid w:val="00512D22"/>
    <w:rsid w:val="00512F50"/>
    <w:rsid w:val="0051480C"/>
    <w:rsid w:val="00517E81"/>
    <w:rsid w:val="00530EE0"/>
    <w:rsid w:val="00531320"/>
    <w:rsid w:val="00543044"/>
    <w:rsid w:val="00546103"/>
    <w:rsid w:val="00553A3C"/>
    <w:rsid w:val="00556426"/>
    <w:rsid w:val="00561601"/>
    <w:rsid w:val="00561AD9"/>
    <w:rsid w:val="00562318"/>
    <w:rsid w:val="00571571"/>
    <w:rsid w:val="005716D6"/>
    <w:rsid w:val="00572B67"/>
    <w:rsid w:val="00576739"/>
    <w:rsid w:val="0057768E"/>
    <w:rsid w:val="00581B94"/>
    <w:rsid w:val="005832AB"/>
    <w:rsid w:val="00583E5F"/>
    <w:rsid w:val="00585786"/>
    <w:rsid w:val="00585EF2"/>
    <w:rsid w:val="00591ED4"/>
    <w:rsid w:val="005C512C"/>
    <w:rsid w:val="005C5CB6"/>
    <w:rsid w:val="005D00C0"/>
    <w:rsid w:val="005D0870"/>
    <w:rsid w:val="005D65BC"/>
    <w:rsid w:val="005E6070"/>
    <w:rsid w:val="005F28BE"/>
    <w:rsid w:val="00610BB9"/>
    <w:rsid w:val="006250C6"/>
    <w:rsid w:val="00633CA8"/>
    <w:rsid w:val="00634870"/>
    <w:rsid w:val="0063604E"/>
    <w:rsid w:val="006421E0"/>
    <w:rsid w:val="00643BF3"/>
    <w:rsid w:val="006474E5"/>
    <w:rsid w:val="0065537E"/>
    <w:rsid w:val="00664263"/>
    <w:rsid w:val="00676633"/>
    <w:rsid w:val="006A394D"/>
    <w:rsid w:val="006A3DA7"/>
    <w:rsid w:val="006B6B44"/>
    <w:rsid w:val="006D0F58"/>
    <w:rsid w:val="006D1606"/>
    <w:rsid w:val="006D5169"/>
    <w:rsid w:val="006E300C"/>
    <w:rsid w:val="006E4D0B"/>
    <w:rsid w:val="00703DCE"/>
    <w:rsid w:val="00707742"/>
    <w:rsid w:val="00707C1E"/>
    <w:rsid w:val="00723904"/>
    <w:rsid w:val="00744547"/>
    <w:rsid w:val="00745731"/>
    <w:rsid w:val="007500C1"/>
    <w:rsid w:val="00750ADF"/>
    <w:rsid w:val="00763428"/>
    <w:rsid w:val="00767747"/>
    <w:rsid w:val="00774CA4"/>
    <w:rsid w:val="00776466"/>
    <w:rsid w:val="00783FB3"/>
    <w:rsid w:val="007920D9"/>
    <w:rsid w:val="00792396"/>
    <w:rsid w:val="00797B81"/>
    <w:rsid w:val="007A0B20"/>
    <w:rsid w:val="007A1786"/>
    <w:rsid w:val="007A38C8"/>
    <w:rsid w:val="007B44EC"/>
    <w:rsid w:val="007D2D93"/>
    <w:rsid w:val="007D3834"/>
    <w:rsid w:val="007D3B76"/>
    <w:rsid w:val="007E14AF"/>
    <w:rsid w:val="007E4A60"/>
    <w:rsid w:val="007E6A04"/>
    <w:rsid w:val="007E6F5D"/>
    <w:rsid w:val="007F3D3B"/>
    <w:rsid w:val="007F581F"/>
    <w:rsid w:val="00802955"/>
    <w:rsid w:val="00803973"/>
    <w:rsid w:val="0080684F"/>
    <w:rsid w:val="00823F2A"/>
    <w:rsid w:val="00825AB9"/>
    <w:rsid w:val="00826CB6"/>
    <w:rsid w:val="008327FC"/>
    <w:rsid w:val="00837877"/>
    <w:rsid w:val="00845CD3"/>
    <w:rsid w:val="00852BC5"/>
    <w:rsid w:val="00855CD7"/>
    <w:rsid w:val="00864315"/>
    <w:rsid w:val="00866D43"/>
    <w:rsid w:val="008735EE"/>
    <w:rsid w:val="00883612"/>
    <w:rsid w:val="008847D7"/>
    <w:rsid w:val="00893B1F"/>
    <w:rsid w:val="00894F79"/>
    <w:rsid w:val="008A0060"/>
    <w:rsid w:val="008A3258"/>
    <w:rsid w:val="008A6BE7"/>
    <w:rsid w:val="008B04A7"/>
    <w:rsid w:val="008B3B40"/>
    <w:rsid w:val="008C02AD"/>
    <w:rsid w:val="008C3E1C"/>
    <w:rsid w:val="008C6F33"/>
    <w:rsid w:val="008C7DEF"/>
    <w:rsid w:val="008D0E46"/>
    <w:rsid w:val="008D3F3C"/>
    <w:rsid w:val="008D60A1"/>
    <w:rsid w:val="008E479A"/>
    <w:rsid w:val="008F5FFC"/>
    <w:rsid w:val="0090028F"/>
    <w:rsid w:val="0091168E"/>
    <w:rsid w:val="009237DB"/>
    <w:rsid w:val="00923DFE"/>
    <w:rsid w:val="00924A8E"/>
    <w:rsid w:val="0092674D"/>
    <w:rsid w:val="00941490"/>
    <w:rsid w:val="009533F5"/>
    <w:rsid w:val="00972097"/>
    <w:rsid w:val="00972FD3"/>
    <w:rsid w:val="00974E14"/>
    <w:rsid w:val="00975F79"/>
    <w:rsid w:val="00977D00"/>
    <w:rsid w:val="00992F52"/>
    <w:rsid w:val="009958DB"/>
    <w:rsid w:val="00996576"/>
    <w:rsid w:val="009A25B4"/>
    <w:rsid w:val="009A3AF5"/>
    <w:rsid w:val="009A720E"/>
    <w:rsid w:val="009B484F"/>
    <w:rsid w:val="009B6F40"/>
    <w:rsid w:val="009C052E"/>
    <w:rsid w:val="009C109C"/>
    <w:rsid w:val="009C11C3"/>
    <w:rsid w:val="009C2773"/>
    <w:rsid w:val="009C30B0"/>
    <w:rsid w:val="009C6486"/>
    <w:rsid w:val="009C7441"/>
    <w:rsid w:val="009D3D0E"/>
    <w:rsid w:val="009D4799"/>
    <w:rsid w:val="009D673B"/>
    <w:rsid w:val="00A03497"/>
    <w:rsid w:val="00A04E5B"/>
    <w:rsid w:val="00A1360B"/>
    <w:rsid w:val="00A2673F"/>
    <w:rsid w:val="00A303F0"/>
    <w:rsid w:val="00A34EF2"/>
    <w:rsid w:val="00A351B9"/>
    <w:rsid w:val="00A50626"/>
    <w:rsid w:val="00A51465"/>
    <w:rsid w:val="00A76206"/>
    <w:rsid w:val="00A92D6B"/>
    <w:rsid w:val="00A94F32"/>
    <w:rsid w:val="00AA148B"/>
    <w:rsid w:val="00AB2160"/>
    <w:rsid w:val="00AB52E0"/>
    <w:rsid w:val="00AB5392"/>
    <w:rsid w:val="00AD44C7"/>
    <w:rsid w:val="00AD4E59"/>
    <w:rsid w:val="00AD6D6C"/>
    <w:rsid w:val="00AE2760"/>
    <w:rsid w:val="00AE7B91"/>
    <w:rsid w:val="00AF0C7A"/>
    <w:rsid w:val="00B01C53"/>
    <w:rsid w:val="00B211D8"/>
    <w:rsid w:val="00B31D34"/>
    <w:rsid w:val="00B332AD"/>
    <w:rsid w:val="00B5059E"/>
    <w:rsid w:val="00B512E8"/>
    <w:rsid w:val="00B51C06"/>
    <w:rsid w:val="00B5259B"/>
    <w:rsid w:val="00B61254"/>
    <w:rsid w:val="00B72F88"/>
    <w:rsid w:val="00B74A3D"/>
    <w:rsid w:val="00B8386E"/>
    <w:rsid w:val="00B945A9"/>
    <w:rsid w:val="00B962A3"/>
    <w:rsid w:val="00BA16A6"/>
    <w:rsid w:val="00BA5E83"/>
    <w:rsid w:val="00BB178F"/>
    <w:rsid w:val="00BD3E3F"/>
    <w:rsid w:val="00BD42B9"/>
    <w:rsid w:val="00C11F0F"/>
    <w:rsid w:val="00C14E62"/>
    <w:rsid w:val="00C20B03"/>
    <w:rsid w:val="00C22EF3"/>
    <w:rsid w:val="00C27BA1"/>
    <w:rsid w:val="00C30A9B"/>
    <w:rsid w:val="00C31175"/>
    <w:rsid w:val="00C338A9"/>
    <w:rsid w:val="00C40AE3"/>
    <w:rsid w:val="00C40C5A"/>
    <w:rsid w:val="00C447B2"/>
    <w:rsid w:val="00C54BE9"/>
    <w:rsid w:val="00C64E44"/>
    <w:rsid w:val="00C70BBD"/>
    <w:rsid w:val="00C77B32"/>
    <w:rsid w:val="00C80F62"/>
    <w:rsid w:val="00C8680A"/>
    <w:rsid w:val="00C86B19"/>
    <w:rsid w:val="00CA5840"/>
    <w:rsid w:val="00CB50E6"/>
    <w:rsid w:val="00CC0CCE"/>
    <w:rsid w:val="00CC6ABF"/>
    <w:rsid w:val="00CD0A03"/>
    <w:rsid w:val="00CD46CD"/>
    <w:rsid w:val="00CD76CA"/>
    <w:rsid w:val="00CE6EC2"/>
    <w:rsid w:val="00D15ECA"/>
    <w:rsid w:val="00D17BA9"/>
    <w:rsid w:val="00D359F5"/>
    <w:rsid w:val="00D35F53"/>
    <w:rsid w:val="00D36950"/>
    <w:rsid w:val="00D41DAC"/>
    <w:rsid w:val="00D524D7"/>
    <w:rsid w:val="00D536C9"/>
    <w:rsid w:val="00D60D86"/>
    <w:rsid w:val="00D70FBC"/>
    <w:rsid w:val="00D71CE4"/>
    <w:rsid w:val="00D73182"/>
    <w:rsid w:val="00D73BCB"/>
    <w:rsid w:val="00D77C14"/>
    <w:rsid w:val="00D82391"/>
    <w:rsid w:val="00D857B8"/>
    <w:rsid w:val="00D92430"/>
    <w:rsid w:val="00DA111E"/>
    <w:rsid w:val="00DC3A2B"/>
    <w:rsid w:val="00E01FA9"/>
    <w:rsid w:val="00E04130"/>
    <w:rsid w:val="00E1177A"/>
    <w:rsid w:val="00E130E7"/>
    <w:rsid w:val="00E133D8"/>
    <w:rsid w:val="00E15161"/>
    <w:rsid w:val="00E15809"/>
    <w:rsid w:val="00E16FC5"/>
    <w:rsid w:val="00E21849"/>
    <w:rsid w:val="00E218E8"/>
    <w:rsid w:val="00E23101"/>
    <w:rsid w:val="00E361C8"/>
    <w:rsid w:val="00E428F5"/>
    <w:rsid w:val="00E47068"/>
    <w:rsid w:val="00E507C8"/>
    <w:rsid w:val="00E601C8"/>
    <w:rsid w:val="00E644B8"/>
    <w:rsid w:val="00E7064A"/>
    <w:rsid w:val="00E741EA"/>
    <w:rsid w:val="00E7565F"/>
    <w:rsid w:val="00E75A17"/>
    <w:rsid w:val="00E826AD"/>
    <w:rsid w:val="00E942E1"/>
    <w:rsid w:val="00E968AE"/>
    <w:rsid w:val="00E96A34"/>
    <w:rsid w:val="00E96C07"/>
    <w:rsid w:val="00EB1A01"/>
    <w:rsid w:val="00EC46F9"/>
    <w:rsid w:val="00EC58D2"/>
    <w:rsid w:val="00ED1FAB"/>
    <w:rsid w:val="00ED2966"/>
    <w:rsid w:val="00EE179F"/>
    <w:rsid w:val="00EF051C"/>
    <w:rsid w:val="00EF6F56"/>
    <w:rsid w:val="00F02A87"/>
    <w:rsid w:val="00F02E72"/>
    <w:rsid w:val="00F034C9"/>
    <w:rsid w:val="00F05638"/>
    <w:rsid w:val="00F07C39"/>
    <w:rsid w:val="00F14FAD"/>
    <w:rsid w:val="00F205D1"/>
    <w:rsid w:val="00F307ED"/>
    <w:rsid w:val="00F31A09"/>
    <w:rsid w:val="00F333D9"/>
    <w:rsid w:val="00F33A26"/>
    <w:rsid w:val="00F34163"/>
    <w:rsid w:val="00F36FBA"/>
    <w:rsid w:val="00F41E74"/>
    <w:rsid w:val="00F45F98"/>
    <w:rsid w:val="00F54500"/>
    <w:rsid w:val="00F61A84"/>
    <w:rsid w:val="00F65C3C"/>
    <w:rsid w:val="00F66B16"/>
    <w:rsid w:val="00F83B82"/>
    <w:rsid w:val="00F955AC"/>
    <w:rsid w:val="00F955F5"/>
    <w:rsid w:val="00FA27FC"/>
    <w:rsid w:val="00FA669A"/>
    <w:rsid w:val="00FA7552"/>
    <w:rsid w:val="00FB4933"/>
    <w:rsid w:val="00FB6F43"/>
    <w:rsid w:val="00FB7ECA"/>
    <w:rsid w:val="00FC1474"/>
    <w:rsid w:val="00FD0DD7"/>
    <w:rsid w:val="00FD35A2"/>
    <w:rsid w:val="00FD3B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5D5E"/>
  <w15:docId w15:val="{75721A5A-6909-4C2C-96D9-53C2AE21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530EE0"/>
    <w:pPr>
      <w:tabs>
        <w:tab w:val="clear" w:pos="567"/>
      </w:tabs>
      <w:spacing w:after="200" w:line="276" w:lineRule="auto"/>
      <w:ind w:left="720"/>
      <w:contextualSpacing/>
    </w:pPr>
    <w:rPr>
      <w:rFonts w:ascii="Calibri" w:eastAsia="Calibri" w:hAnsi="Calibri"/>
      <w:snapToGrid/>
      <w:szCs w:val="22"/>
      <w:lang w:val="lt-LT"/>
    </w:rPr>
  </w:style>
  <w:style w:type="table" w:styleId="Lentelstinklelis">
    <w:name w:val="Table Grid"/>
    <w:basedOn w:val="prastojilentel"/>
    <w:uiPriority w:val="59"/>
    <w:rsid w:val="00530EE0"/>
    <w:rPr>
      <w:rFonts w:eastAsia="Times New Roman"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0EE0"/>
    <w:rPr>
      <w:rFonts w:eastAsia="Times New Roman"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prastasis"/>
    <w:rsid w:val="001312C6"/>
    <w:pPr>
      <w:tabs>
        <w:tab w:val="clear" w:pos="567"/>
      </w:tabs>
      <w:spacing w:line="240" w:lineRule="auto"/>
      <w:jc w:val="both"/>
    </w:pPr>
    <w:rPr>
      <w:snapToGrid/>
      <w:szCs w:val="24"/>
      <w:lang w:val="lt-LT"/>
    </w:rPr>
  </w:style>
  <w:style w:type="character" w:customStyle="1" w:styleId="cf01">
    <w:name w:val="cf01"/>
    <w:rsid w:val="007E14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EFF7-26F9-46A4-8B2A-A0817B79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14068</Words>
  <Characters>8020</Characters>
  <Application>Microsoft Office Word</Application>
  <DocSecurity>0</DocSecurity>
  <Lines>66</Lines>
  <Paragraphs>44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lt-pi-Cytotect</vt:lpstr>
      <vt:lpstr>lt-pi-Cytotect</vt:lpstr>
      <vt:lpstr>lt-pi-Cytotect</vt:lpstr>
    </vt:vector>
  </TitlesOfParts>
  <Company>Biotest Pharma GmbH</Company>
  <LinksUpToDate>false</LinksUpToDate>
  <CharactersWithSpaces>22044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lt-pi-Cytotect</dc:title>
  <dc:creator>Justina Tverkuvienė</dc:creator>
  <cp:lastModifiedBy>Birutė Valkauskaitė</cp:lastModifiedBy>
  <cp:revision>2</cp:revision>
  <dcterms:created xsi:type="dcterms:W3CDTF">2023-06-09T05:32:00Z</dcterms:created>
  <dcterms:modified xsi:type="dcterms:W3CDTF">2023-06-09T05:32:00Z</dcterms:modified>
</cp:coreProperties>
</file>