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ED15E"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b/>
          <w:lang w:eastAsia="sl-SI"/>
        </w:rPr>
      </w:pPr>
      <w:bookmarkStart w:id="0" w:name="Tab"/>
      <w:bookmarkStart w:id="1" w:name="_GoBack"/>
      <w:bookmarkEnd w:id="0"/>
      <w:bookmarkEnd w:id="1"/>
    </w:p>
    <w:p w14:paraId="3CB2BE6B"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b/>
          <w:lang w:eastAsia="sl-SI"/>
        </w:rPr>
      </w:pPr>
    </w:p>
    <w:p w14:paraId="303FDC59"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1CF51521"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013861D1"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6B0D45B2"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7737B566"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2F36F979"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6B0D74B1"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7E428D0E"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5A2A3B82"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2139D9F2"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436AEC16"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77EFD34B"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4689D324"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3075DF53"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3505456D"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26452B02"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468FBF59"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13AC8816"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5CED63CC"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1A1A5E9B"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00AC1D74"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65F2A702"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2" w:name="_Toc129243096"/>
      <w:bookmarkStart w:id="3" w:name="_Toc129243221"/>
      <w:r w:rsidRPr="003E1719">
        <w:rPr>
          <w:rFonts w:ascii="Times New Roman" w:eastAsia="Times New Roman" w:hAnsi="Times New Roman" w:cs="Times New Roman"/>
          <w:b/>
          <w:caps/>
          <w:lang w:eastAsia="sl-SI"/>
        </w:rPr>
        <w:t>I PRIEDAS</w:t>
      </w:r>
      <w:bookmarkEnd w:id="2"/>
      <w:bookmarkEnd w:id="3"/>
    </w:p>
    <w:p w14:paraId="28FDD697"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p>
    <w:p w14:paraId="2D1E1C26" w14:textId="77777777" w:rsidR="000D7B89" w:rsidRPr="003E1719" w:rsidRDefault="000D7B89" w:rsidP="000D7B89">
      <w:pPr>
        <w:widowControl w:val="0"/>
        <w:spacing w:after="0" w:line="240" w:lineRule="auto"/>
        <w:ind w:left="567" w:hanging="567"/>
        <w:jc w:val="center"/>
        <w:rPr>
          <w:rFonts w:ascii="Times New Roman" w:eastAsia="Times New Roman" w:hAnsi="Times New Roman" w:cs="Times New Roman"/>
          <w:lang w:eastAsia="sl-SI"/>
        </w:rPr>
      </w:pPr>
      <w:r w:rsidRPr="003E1719">
        <w:rPr>
          <w:rFonts w:ascii="Times New Roman" w:eastAsia="Times New Roman" w:hAnsi="Times New Roman" w:cs="Times New Roman"/>
          <w:b/>
          <w:lang w:eastAsia="sl-SI"/>
        </w:rPr>
        <w:t>PREPARATO CHARAKTERISTIKŲ SANTRAUKA</w:t>
      </w:r>
    </w:p>
    <w:p w14:paraId="772AA79B"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r w:rsidRPr="003E1719">
        <w:rPr>
          <w:rFonts w:ascii="Times New Roman" w:eastAsia="Times New Roman" w:hAnsi="Times New Roman" w:cs="Times New Roman"/>
          <w:lang w:eastAsia="sl-SI"/>
        </w:rPr>
        <w:br w:type="page"/>
      </w:r>
    </w:p>
    <w:p w14:paraId="3A6CE24A"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lastRenderedPageBreak/>
        <w:t>1.</w:t>
      </w:r>
      <w:r w:rsidRPr="003E1719">
        <w:rPr>
          <w:rFonts w:ascii="Times New Roman" w:eastAsia="Times New Roman" w:hAnsi="Times New Roman" w:cs="Times New Roman"/>
          <w:b/>
          <w:lang w:eastAsia="sl-SI"/>
        </w:rPr>
        <w:tab/>
        <w:t>VAISTINIO PREPARATO PAVADINIMAS</w:t>
      </w:r>
    </w:p>
    <w:p w14:paraId="7E3209D2"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p>
    <w:p w14:paraId="60AFAE6E" w14:textId="3557CB8E" w:rsidR="000D7B89" w:rsidRPr="003E1719" w:rsidRDefault="00AF3800" w:rsidP="000D7B8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Rosuvastatin/Ezetimibe Teva</w:t>
      </w:r>
      <w:r w:rsidR="000D7B89" w:rsidRPr="003E1719">
        <w:rPr>
          <w:rFonts w:ascii="Times New Roman" w:eastAsia="Times New Roman" w:hAnsi="Times New Roman" w:cs="Times New Roman"/>
        </w:rPr>
        <w:t xml:space="preserve"> 10 mg/10 mg plėvele dengtos tabletės</w:t>
      </w:r>
    </w:p>
    <w:p w14:paraId="4EC39697" w14:textId="57C1F2B1" w:rsidR="000D7B89" w:rsidRPr="003E1719" w:rsidRDefault="00AF3800" w:rsidP="000D7B89">
      <w:pPr>
        <w:shd w:val="clear" w:color="auto" w:fill="FFFFFF"/>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rPr>
        <w:t>Rosuvastatin/Ezetimibe Teva</w:t>
      </w:r>
      <w:r w:rsidR="000D7B89" w:rsidRPr="00FF4691">
        <w:rPr>
          <w:rFonts w:ascii="Times New Roman" w:eastAsia="Times New Roman" w:hAnsi="Times New Roman" w:cs="Times New Roman"/>
          <w:highlight w:val="lightGray"/>
        </w:rPr>
        <w:t xml:space="preserve"> 20 mg/10 mg plėvele dengtos tabletės</w:t>
      </w:r>
    </w:p>
    <w:p w14:paraId="4074F68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2223A1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61B3BCD"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2.</w:t>
      </w:r>
      <w:r w:rsidRPr="003E1719">
        <w:rPr>
          <w:rFonts w:ascii="Times New Roman" w:eastAsia="Times New Roman" w:hAnsi="Times New Roman" w:cs="Times New Roman"/>
          <w:b/>
          <w:lang w:eastAsia="sl-SI"/>
        </w:rPr>
        <w:tab/>
        <w:t>KOKYBINĖ IR KIEKYBINĖ SUDĖTIS</w:t>
      </w:r>
    </w:p>
    <w:p w14:paraId="6DD2113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EEA9052" w14:textId="52FF3C2C" w:rsidR="008A5296" w:rsidRPr="003E1719" w:rsidRDefault="00AF3800" w:rsidP="008A5296">
      <w:pPr>
        <w:shd w:val="clear" w:color="auto" w:fill="FFFFFF"/>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Rosuvastatin/Ezetimibe Teva</w:t>
      </w:r>
      <w:r w:rsidR="00CB23E0">
        <w:rPr>
          <w:rFonts w:ascii="Times New Roman" w:eastAsia="Times New Roman" w:hAnsi="Times New Roman" w:cs="Times New Roman"/>
          <w:u w:val="single"/>
        </w:rPr>
        <w:t xml:space="preserve"> </w:t>
      </w:r>
      <w:r w:rsidR="008A5296" w:rsidRPr="003E1719">
        <w:rPr>
          <w:rFonts w:ascii="Times New Roman" w:eastAsia="Times New Roman" w:hAnsi="Times New Roman" w:cs="Times New Roman"/>
          <w:u w:val="single"/>
        </w:rPr>
        <w:t>10 mg/10 mg plėvele dengtos tabletės</w:t>
      </w:r>
    </w:p>
    <w:p w14:paraId="77AF55A7" w14:textId="77777777" w:rsidR="008A5296" w:rsidRPr="003E1719" w:rsidRDefault="008A5296" w:rsidP="008A5296">
      <w:pPr>
        <w:shd w:val="clear" w:color="auto" w:fill="FFFFFF"/>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rPr>
        <w:t>K</w:t>
      </w:r>
      <w:r w:rsidRPr="003E1719">
        <w:rPr>
          <w:rFonts w:ascii="Times New Roman" w:eastAsia="Times New Roman" w:hAnsi="Times New Roman" w:cs="Times New Roman"/>
          <w:lang w:eastAsia="sl-SI"/>
        </w:rPr>
        <w:t xml:space="preserve">iekvienoje plėvele dengtoje tabletėje yra </w:t>
      </w:r>
      <w:r w:rsidRPr="003E1719">
        <w:rPr>
          <w:rFonts w:ascii="Times New Roman" w:eastAsia="Times New Roman" w:hAnsi="Times New Roman" w:cs="Times New Roman"/>
        </w:rPr>
        <w:t>10 mg rozuvastatino (rozuvastatino kalcio druskos pavidalu) ir 10 mg ezetimibo.</w:t>
      </w:r>
    </w:p>
    <w:p w14:paraId="1C75ECE5" w14:textId="77777777" w:rsidR="008A5296" w:rsidRPr="003E1719" w:rsidRDefault="008A5296" w:rsidP="008A5296">
      <w:pPr>
        <w:shd w:val="clear" w:color="auto" w:fill="FFFFFF"/>
        <w:spacing w:after="0" w:line="240" w:lineRule="auto"/>
        <w:rPr>
          <w:rFonts w:ascii="Times New Roman" w:eastAsia="Times New Roman" w:hAnsi="Times New Roman" w:cs="Times New Roman"/>
        </w:rPr>
      </w:pPr>
    </w:p>
    <w:p w14:paraId="730DBF2A" w14:textId="5A61FA07" w:rsidR="008A5296" w:rsidRPr="00FF4691" w:rsidRDefault="00AF3800" w:rsidP="008A5296">
      <w:pPr>
        <w:shd w:val="clear" w:color="auto" w:fill="FFFFFF"/>
        <w:spacing w:after="0" w:line="240" w:lineRule="auto"/>
        <w:rPr>
          <w:rFonts w:ascii="Times New Roman" w:eastAsia="Times New Roman" w:hAnsi="Times New Roman" w:cs="Times New Roman"/>
          <w:highlight w:val="lightGray"/>
        </w:rPr>
      </w:pPr>
      <w:r w:rsidRPr="00FF4691">
        <w:rPr>
          <w:rFonts w:ascii="Times New Roman" w:eastAsia="Times New Roman" w:hAnsi="Times New Roman" w:cs="Times New Roman"/>
          <w:highlight w:val="lightGray"/>
        </w:rPr>
        <w:t>Rosuvastatin/Ezetimibe Teva</w:t>
      </w:r>
      <w:r w:rsidR="008A5296" w:rsidRPr="00FF4691">
        <w:rPr>
          <w:rFonts w:ascii="Times New Roman" w:eastAsia="Times New Roman" w:hAnsi="Times New Roman" w:cs="Times New Roman"/>
          <w:highlight w:val="lightGray"/>
        </w:rPr>
        <w:t xml:space="preserve"> 20 mg/10 mg plėvele dengtos tabletės</w:t>
      </w:r>
    </w:p>
    <w:p w14:paraId="716BB460" w14:textId="77777777" w:rsidR="000D7B89" w:rsidRPr="003E1719" w:rsidRDefault="008A5296" w:rsidP="000D7B89">
      <w:pPr>
        <w:widowControl w:val="0"/>
        <w:autoSpaceDE w:val="0"/>
        <w:autoSpaceDN w:val="0"/>
        <w:adjustRightInd w:val="0"/>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lang w:eastAsia="sl-SI"/>
        </w:rPr>
        <w:t>K</w:t>
      </w:r>
      <w:r w:rsidR="000D7B89" w:rsidRPr="00FF4691">
        <w:rPr>
          <w:rFonts w:ascii="Times New Roman" w:eastAsia="Times New Roman" w:hAnsi="Times New Roman" w:cs="Times New Roman"/>
          <w:highlight w:val="lightGray"/>
          <w:lang w:eastAsia="sl-SI"/>
        </w:rPr>
        <w:t xml:space="preserve">iekvienoje plėvele dengtoje tabletėje yra </w:t>
      </w:r>
      <w:r w:rsidR="000D7B89" w:rsidRPr="00FF4691">
        <w:rPr>
          <w:rFonts w:ascii="Times New Roman" w:eastAsia="Times New Roman" w:hAnsi="Times New Roman" w:cs="Times New Roman"/>
          <w:highlight w:val="lightGray"/>
        </w:rPr>
        <w:t>20 mg rozuvastatino (rozuvastatino kalcio druskos pavidalu) ir 10 mg ezetimibo.</w:t>
      </w:r>
    </w:p>
    <w:p w14:paraId="4BF3CC79"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bCs/>
        </w:rPr>
      </w:pPr>
    </w:p>
    <w:p w14:paraId="62F812B3"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bCs/>
          <w:u w:val="single"/>
        </w:rPr>
      </w:pPr>
      <w:r w:rsidRPr="003E1719">
        <w:rPr>
          <w:rFonts w:ascii="Times New Roman" w:eastAsia="Times New Roman" w:hAnsi="Times New Roman" w:cs="Times New Roman"/>
          <w:snapToGrid w:val="0"/>
          <w:u w:val="single"/>
        </w:rPr>
        <w:t>Pagalbinės medžiagos, kurių poveikis žinomas</w:t>
      </w:r>
      <w:r w:rsidRPr="003E1719">
        <w:rPr>
          <w:rFonts w:ascii="Times New Roman" w:eastAsia="Times New Roman" w:hAnsi="Times New Roman" w:cs="Times New Roman"/>
          <w:bCs/>
          <w:u w:val="single"/>
        </w:rPr>
        <w:t>:</w:t>
      </w:r>
    </w:p>
    <w:p w14:paraId="61F24793" w14:textId="77777777" w:rsidR="000D7B89" w:rsidRPr="003E1719" w:rsidRDefault="008A5296" w:rsidP="008A5296">
      <w:pPr>
        <w:shd w:val="clear" w:color="auto" w:fill="FFFFFF"/>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rPr>
        <w:t>K</w:t>
      </w:r>
      <w:r w:rsidRPr="003E1719">
        <w:rPr>
          <w:rFonts w:ascii="Times New Roman" w:eastAsia="Times New Roman" w:hAnsi="Times New Roman" w:cs="Times New Roman"/>
          <w:lang w:eastAsia="sl-SI"/>
        </w:rPr>
        <w:t xml:space="preserve">iekvienoje </w:t>
      </w:r>
      <w:r w:rsidR="00AF3800">
        <w:rPr>
          <w:rFonts w:ascii="Times New Roman" w:eastAsia="Times New Roman" w:hAnsi="Times New Roman" w:cs="Times New Roman"/>
        </w:rPr>
        <w:t>Rosuvastatin/Ezetimibe Teva</w:t>
      </w:r>
      <w:r w:rsidRPr="003E1719">
        <w:rPr>
          <w:rFonts w:ascii="Times New Roman" w:eastAsia="Times New Roman" w:hAnsi="Times New Roman" w:cs="Times New Roman"/>
        </w:rPr>
        <w:t xml:space="preserve"> 10 mg/10 mg</w:t>
      </w:r>
      <w:r w:rsidRPr="00FF4691">
        <w:rPr>
          <w:rFonts w:ascii="Times New Roman" w:eastAsia="Times New Roman" w:hAnsi="Times New Roman" w:cs="Times New Roman"/>
          <w:highlight w:val="lightGray"/>
        </w:rPr>
        <w:t>, 20 mg/10 mg</w:t>
      </w:r>
      <w:r w:rsidRPr="003E1719">
        <w:rPr>
          <w:rFonts w:ascii="Times New Roman" w:eastAsia="Times New Roman" w:hAnsi="Times New Roman" w:cs="Times New Roman"/>
        </w:rPr>
        <w:t xml:space="preserve"> </w:t>
      </w:r>
      <w:r w:rsidRPr="003E1719">
        <w:rPr>
          <w:rFonts w:ascii="Times New Roman" w:eastAsia="Times New Roman" w:hAnsi="Times New Roman" w:cs="Times New Roman"/>
          <w:lang w:eastAsia="sl-SI"/>
        </w:rPr>
        <w:t>plėvele dengtoje tabletėje yra 190,5 mg laktozės.</w:t>
      </w:r>
    </w:p>
    <w:p w14:paraId="26B0B77C" w14:textId="77777777" w:rsidR="008A5296" w:rsidRPr="003E1719" w:rsidRDefault="008A5296" w:rsidP="008A5296">
      <w:pPr>
        <w:shd w:val="clear" w:color="auto" w:fill="FFFFFF"/>
        <w:spacing w:after="0" w:line="240" w:lineRule="auto"/>
        <w:rPr>
          <w:rFonts w:ascii="Times New Roman" w:eastAsia="Times New Roman" w:hAnsi="Times New Roman" w:cs="Times New Roman"/>
          <w:u w:val="single"/>
          <w:lang w:eastAsia="sl-SI"/>
        </w:rPr>
      </w:pPr>
    </w:p>
    <w:p w14:paraId="647BC4C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Visos pagalbinės medžiagos išvardytos 6.1 skyriuje.</w:t>
      </w:r>
    </w:p>
    <w:p w14:paraId="7B399B2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C020739"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lang w:eastAsia="sl-SI"/>
        </w:rPr>
      </w:pPr>
    </w:p>
    <w:p w14:paraId="24DC10D1"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3.</w:t>
      </w:r>
      <w:r w:rsidRPr="003E1719">
        <w:rPr>
          <w:rFonts w:ascii="Times New Roman" w:eastAsia="Times New Roman" w:hAnsi="Times New Roman" w:cs="Times New Roman"/>
          <w:b/>
          <w:lang w:eastAsia="sl-SI"/>
        </w:rPr>
        <w:tab/>
        <w:t>FARMACINĖ FORMA</w:t>
      </w:r>
    </w:p>
    <w:p w14:paraId="297DE63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DF4851F" w14:textId="24B44159"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Plėvele dengta tabletė.</w:t>
      </w:r>
    </w:p>
    <w:p w14:paraId="08A3CD42"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0F060C09" w14:textId="77777777" w:rsidR="008A5296" w:rsidRPr="003E1719" w:rsidRDefault="00AF3800" w:rsidP="008A5296">
      <w:pPr>
        <w:shd w:val="clear" w:color="auto" w:fill="FFFFFF"/>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rPr>
        <w:t>Rosuvastatin/Ezetimibe Teva</w:t>
      </w:r>
      <w:r w:rsidR="008A5296" w:rsidRPr="00FF4691">
        <w:rPr>
          <w:rFonts w:ascii="Times New Roman" w:eastAsia="Times New Roman" w:hAnsi="Times New Roman" w:cs="Times New Roman"/>
          <w:highlight w:val="lightGray"/>
        </w:rPr>
        <w:t xml:space="preserve"> 10 mg/10 mg plėvele dengtos tabletės</w:t>
      </w:r>
    </w:p>
    <w:p w14:paraId="76086B71" w14:textId="7B76148F" w:rsidR="000D7B89" w:rsidRPr="003E1719" w:rsidRDefault="008A5296"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Smėlio spalvos</w:t>
      </w:r>
      <w:r w:rsidR="000D7B89" w:rsidRPr="003E1719">
        <w:rPr>
          <w:rFonts w:ascii="Times New Roman" w:eastAsia="Times New Roman" w:hAnsi="Times New Roman" w:cs="Times New Roman"/>
        </w:rPr>
        <w:t>, apvalios, abipus išg</w:t>
      </w:r>
      <w:r w:rsidRPr="003E1719">
        <w:rPr>
          <w:rFonts w:ascii="Times New Roman" w:eastAsia="Times New Roman" w:hAnsi="Times New Roman" w:cs="Times New Roman"/>
        </w:rPr>
        <w:t>aubtos plėvele dengtos tabletės</w:t>
      </w:r>
      <w:r w:rsidR="000D7B89" w:rsidRPr="003E1719">
        <w:rPr>
          <w:rFonts w:ascii="Times New Roman" w:eastAsia="Times New Roman" w:hAnsi="Times New Roman" w:cs="Times New Roman"/>
        </w:rPr>
        <w:t xml:space="preserve">, </w:t>
      </w:r>
      <w:r w:rsidRPr="003E1719">
        <w:rPr>
          <w:rFonts w:ascii="Times New Roman" w:eastAsia="Times New Roman" w:hAnsi="Times New Roman" w:cs="Times New Roman"/>
        </w:rPr>
        <w:t xml:space="preserve">maždaug 10 mm skersmens, </w:t>
      </w:r>
      <w:r w:rsidR="000D7B89" w:rsidRPr="003E1719">
        <w:rPr>
          <w:rFonts w:ascii="Times New Roman" w:eastAsia="Times New Roman" w:hAnsi="Times New Roman" w:cs="Times New Roman"/>
        </w:rPr>
        <w:t>vienoje tabletės pusėje</w:t>
      </w:r>
      <w:r w:rsidR="00F72942">
        <w:rPr>
          <w:rFonts w:ascii="Times New Roman" w:eastAsia="Times New Roman" w:hAnsi="Times New Roman" w:cs="Times New Roman"/>
        </w:rPr>
        <w:t xml:space="preserve"> yra</w:t>
      </w:r>
      <w:r w:rsidR="000D7B89" w:rsidRPr="003E1719">
        <w:rPr>
          <w:rFonts w:ascii="Times New Roman" w:eastAsia="Times New Roman" w:hAnsi="Times New Roman" w:cs="Times New Roman"/>
        </w:rPr>
        <w:t xml:space="preserve"> įspau</w:t>
      </w:r>
      <w:r w:rsidRPr="003E1719">
        <w:rPr>
          <w:rFonts w:ascii="Times New Roman" w:eastAsia="Times New Roman" w:hAnsi="Times New Roman" w:cs="Times New Roman"/>
        </w:rPr>
        <w:t xml:space="preserve">das </w:t>
      </w:r>
      <w:r w:rsidR="000D7B89" w:rsidRPr="003E1719">
        <w:rPr>
          <w:rFonts w:ascii="Times New Roman" w:eastAsia="Times New Roman" w:hAnsi="Times New Roman" w:cs="Times New Roman"/>
        </w:rPr>
        <w:t>„</w:t>
      </w:r>
      <w:r w:rsidR="009A34B9">
        <w:rPr>
          <w:rFonts w:ascii="Times New Roman" w:eastAsia="Times New Roman" w:hAnsi="Times New Roman" w:cs="Times New Roman"/>
        </w:rPr>
        <w:t>EL 4</w:t>
      </w:r>
      <w:r w:rsidR="000D7B89" w:rsidRPr="003E1719">
        <w:rPr>
          <w:rFonts w:ascii="Times New Roman" w:eastAsia="Times New Roman" w:hAnsi="Times New Roman" w:cs="Times New Roman"/>
        </w:rPr>
        <w:t xml:space="preserve">“. </w:t>
      </w:r>
    </w:p>
    <w:p w14:paraId="3C0EB467" w14:textId="77777777" w:rsidR="008A5296" w:rsidRPr="003E1719" w:rsidRDefault="008A5296" w:rsidP="000D7B89">
      <w:pPr>
        <w:widowControl w:val="0"/>
        <w:tabs>
          <w:tab w:val="left" w:pos="567"/>
        </w:tabs>
        <w:spacing w:after="0" w:line="240" w:lineRule="auto"/>
        <w:rPr>
          <w:rFonts w:ascii="Times New Roman" w:eastAsia="Times New Roman" w:hAnsi="Times New Roman" w:cs="Times New Roman"/>
        </w:rPr>
      </w:pPr>
    </w:p>
    <w:p w14:paraId="1B2BB20E" w14:textId="77777777" w:rsidR="008A5296" w:rsidRPr="00FF4691" w:rsidRDefault="00AF3800" w:rsidP="008A5296">
      <w:pPr>
        <w:shd w:val="clear" w:color="auto" w:fill="FFFFFF"/>
        <w:spacing w:after="0" w:line="240" w:lineRule="auto"/>
        <w:rPr>
          <w:rFonts w:ascii="Times New Roman" w:eastAsia="Times New Roman" w:hAnsi="Times New Roman" w:cs="Times New Roman"/>
          <w:highlight w:val="lightGray"/>
        </w:rPr>
      </w:pPr>
      <w:r w:rsidRPr="00FF4691">
        <w:rPr>
          <w:rFonts w:ascii="Times New Roman" w:eastAsia="Times New Roman" w:hAnsi="Times New Roman" w:cs="Times New Roman"/>
          <w:highlight w:val="lightGray"/>
        </w:rPr>
        <w:t>Rosuvastatin/Ezetimibe Teva</w:t>
      </w:r>
      <w:r w:rsidR="008A5296" w:rsidRPr="00FF4691">
        <w:rPr>
          <w:rFonts w:ascii="Times New Roman" w:eastAsia="Times New Roman" w:hAnsi="Times New Roman" w:cs="Times New Roman"/>
          <w:highlight w:val="lightGray"/>
        </w:rPr>
        <w:t xml:space="preserve"> 20 mg/10 mg plėvele dengtos tabletės</w:t>
      </w:r>
    </w:p>
    <w:p w14:paraId="765A865E" w14:textId="323BB33F" w:rsidR="008A5296" w:rsidRPr="003E1719" w:rsidRDefault="008A5296" w:rsidP="008A5296">
      <w:pPr>
        <w:widowControl w:val="0"/>
        <w:tabs>
          <w:tab w:val="left" w:pos="567"/>
        </w:tabs>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rPr>
        <w:t xml:space="preserve">Geltonos, apvalios, abipus išgaubtos plėvele dengtos tabletės, maždaug 10 mm skersmens, vienoje tabletės pusėje </w:t>
      </w:r>
      <w:r w:rsidR="00F72942">
        <w:rPr>
          <w:rFonts w:ascii="Times New Roman" w:eastAsia="Times New Roman" w:hAnsi="Times New Roman" w:cs="Times New Roman"/>
          <w:highlight w:val="lightGray"/>
        </w:rPr>
        <w:t xml:space="preserve">yra </w:t>
      </w:r>
      <w:r w:rsidRPr="00FF4691">
        <w:rPr>
          <w:rFonts w:ascii="Times New Roman" w:eastAsia="Times New Roman" w:hAnsi="Times New Roman" w:cs="Times New Roman"/>
          <w:highlight w:val="lightGray"/>
        </w:rPr>
        <w:t>įspau</w:t>
      </w:r>
      <w:r w:rsidR="00E5772D" w:rsidRPr="00FF4691">
        <w:rPr>
          <w:rFonts w:ascii="Times New Roman" w:eastAsia="Times New Roman" w:hAnsi="Times New Roman" w:cs="Times New Roman"/>
          <w:highlight w:val="lightGray"/>
        </w:rPr>
        <w:t>das</w:t>
      </w:r>
      <w:r w:rsidRPr="00FF4691">
        <w:rPr>
          <w:rFonts w:ascii="Times New Roman" w:eastAsia="Times New Roman" w:hAnsi="Times New Roman" w:cs="Times New Roman"/>
          <w:highlight w:val="lightGray"/>
        </w:rPr>
        <w:t xml:space="preserve"> „EL 3“.</w:t>
      </w:r>
      <w:r w:rsidRPr="003E1719">
        <w:rPr>
          <w:rFonts w:ascii="Times New Roman" w:eastAsia="Times New Roman" w:hAnsi="Times New Roman" w:cs="Times New Roman"/>
        </w:rPr>
        <w:t xml:space="preserve"> </w:t>
      </w:r>
    </w:p>
    <w:p w14:paraId="09E1C8B3"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lang w:eastAsia="sl-SI"/>
        </w:rPr>
      </w:pPr>
    </w:p>
    <w:p w14:paraId="35DD3AF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32B0712"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w:t>
      </w:r>
      <w:r w:rsidRPr="003E1719">
        <w:rPr>
          <w:rFonts w:ascii="Times New Roman" w:eastAsia="Times New Roman" w:hAnsi="Times New Roman" w:cs="Times New Roman"/>
          <w:b/>
          <w:lang w:eastAsia="sl-SI"/>
        </w:rPr>
        <w:tab/>
        <w:t>KLINIKINĖ INFORMACIJA</w:t>
      </w:r>
    </w:p>
    <w:p w14:paraId="24BAF703"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p>
    <w:p w14:paraId="33A2EDC8"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4.1</w:t>
      </w:r>
      <w:r w:rsidRPr="003E1719">
        <w:rPr>
          <w:rFonts w:ascii="Times New Roman" w:eastAsia="Times New Roman" w:hAnsi="Times New Roman" w:cs="Times New Roman"/>
          <w:b/>
          <w:lang w:eastAsia="sl-SI"/>
        </w:rPr>
        <w:tab/>
        <w:t>Terapinės indikacijos</w:t>
      </w:r>
    </w:p>
    <w:p w14:paraId="0C88EB4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BB69931"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rPr>
        <w:t>Pirminė hipercholesterolemija</w:t>
      </w:r>
    </w:p>
    <w:p w14:paraId="271FF8EB" w14:textId="37584F67" w:rsidR="000D7B89" w:rsidRPr="003E1719" w:rsidRDefault="00AF3800" w:rsidP="000D7B89">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Rosuvastatin/Ezetimibe Teva</w:t>
      </w:r>
      <w:r w:rsidR="000D7B89" w:rsidRPr="003E1719">
        <w:rPr>
          <w:rFonts w:ascii="Times New Roman" w:eastAsia="Times New Roman" w:hAnsi="Times New Roman" w:cs="Times New Roman"/>
        </w:rPr>
        <w:t xml:space="preserve"> skirtas vartoti pakeičiamajam pirminės hipercholesterolemijos gyd</w:t>
      </w:r>
      <w:r w:rsidR="00014888" w:rsidRPr="003E1719">
        <w:rPr>
          <w:rFonts w:ascii="Times New Roman" w:eastAsia="Times New Roman" w:hAnsi="Times New Roman" w:cs="Times New Roman"/>
        </w:rPr>
        <w:t xml:space="preserve">ymui papildomai kartu su dieta </w:t>
      </w:r>
      <w:r w:rsidR="000D7B89" w:rsidRPr="003E1719">
        <w:rPr>
          <w:rFonts w:ascii="Times New Roman" w:eastAsia="Times New Roman" w:hAnsi="Times New Roman" w:cs="Times New Roman"/>
        </w:rPr>
        <w:t xml:space="preserve">suaugusiems pacientams, kurių būklė tinkamai </w:t>
      </w:r>
      <w:r w:rsidR="0057404E">
        <w:rPr>
          <w:rFonts w:ascii="Times New Roman" w:eastAsia="Times New Roman" w:hAnsi="Times New Roman" w:cs="Times New Roman"/>
        </w:rPr>
        <w:t>sureguliuota</w:t>
      </w:r>
      <w:r w:rsidR="0057404E" w:rsidRPr="003E1719">
        <w:rPr>
          <w:rFonts w:ascii="Times New Roman" w:eastAsia="Times New Roman" w:hAnsi="Times New Roman" w:cs="Times New Roman"/>
        </w:rPr>
        <w:t xml:space="preserve"> </w:t>
      </w:r>
      <w:r w:rsidR="000D7B89" w:rsidRPr="003E1719">
        <w:rPr>
          <w:rFonts w:ascii="Times New Roman" w:eastAsia="Times New Roman" w:hAnsi="Times New Roman" w:cs="Times New Roman"/>
        </w:rPr>
        <w:t xml:space="preserve">kartu vartojamais atskirais </w:t>
      </w:r>
      <w:r w:rsidR="00014888" w:rsidRPr="003E1719">
        <w:rPr>
          <w:rFonts w:ascii="Times New Roman" w:eastAsia="Times New Roman" w:hAnsi="Times New Roman" w:cs="Times New Roman"/>
        </w:rPr>
        <w:t>rosuvastatino ir ezetimibo</w:t>
      </w:r>
      <w:r w:rsidR="000D7B89" w:rsidRPr="003E1719">
        <w:rPr>
          <w:rFonts w:ascii="Times New Roman" w:eastAsia="Times New Roman" w:hAnsi="Times New Roman" w:cs="Times New Roman"/>
        </w:rPr>
        <w:t xml:space="preserve"> vaistiniais preparatais tokiomis pačiomis dozėmis, kokios yra fiksuotų dozių derinyje.</w:t>
      </w:r>
    </w:p>
    <w:p w14:paraId="109D1CA0"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p>
    <w:p w14:paraId="765FE403" w14:textId="77777777" w:rsidR="000D7B89" w:rsidRPr="003E1719" w:rsidRDefault="000D7B89" w:rsidP="000D7B89">
      <w:pPr>
        <w:spacing w:after="0"/>
        <w:rPr>
          <w:rFonts w:ascii="Times New Roman" w:hAnsi="Times New Roman" w:cs="Times New Roman"/>
          <w:u w:val="single"/>
        </w:rPr>
      </w:pPr>
      <w:r w:rsidRPr="003E1719">
        <w:rPr>
          <w:rFonts w:ascii="Times New Roman" w:hAnsi="Times New Roman" w:cs="Times New Roman"/>
          <w:u w:val="single"/>
          <w:lang w:val="sl-SI"/>
        </w:rPr>
        <w:t>Širdies ir kraujagyslių sistemos reiškinių profilaktika</w:t>
      </w:r>
    </w:p>
    <w:p w14:paraId="57BB48A4" w14:textId="3FC2374D" w:rsidR="000D7B89" w:rsidRPr="003E1719" w:rsidRDefault="00AF3800" w:rsidP="000D7B89">
      <w:pPr>
        <w:widowControl w:val="0"/>
        <w:spacing w:after="0" w:line="240" w:lineRule="auto"/>
        <w:rPr>
          <w:rFonts w:ascii="Times New Roman" w:hAnsi="Times New Roman" w:cs="Times New Roman"/>
          <w:lang w:val="sl-SI"/>
        </w:rPr>
      </w:pPr>
      <w:r>
        <w:rPr>
          <w:rFonts w:ascii="Times New Roman" w:eastAsia="Times New Roman" w:hAnsi="Times New Roman" w:cs="Times New Roman"/>
        </w:rPr>
        <w:t>Rosuvastatin/Ezetimibe Teva</w:t>
      </w:r>
      <w:r w:rsidR="000D7B89" w:rsidRPr="003E1719">
        <w:rPr>
          <w:rFonts w:ascii="Times New Roman" w:eastAsia="Times New Roman" w:hAnsi="Times New Roman" w:cs="Times New Roman"/>
          <w:lang w:eastAsia="sl-SI"/>
        </w:rPr>
        <w:t xml:space="preserve"> skirtas vartoti pakeičiamajam gydymui suaugusiems pacientams, kurių būklė tinkamai </w:t>
      </w:r>
      <w:r w:rsidR="0057404E">
        <w:rPr>
          <w:rFonts w:ascii="Times New Roman" w:eastAsia="Times New Roman" w:hAnsi="Times New Roman" w:cs="Times New Roman"/>
          <w:lang w:eastAsia="sl-SI"/>
        </w:rPr>
        <w:t>sureguliuota</w:t>
      </w:r>
      <w:r w:rsidR="0057404E" w:rsidRPr="003E1719">
        <w:rPr>
          <w:rFonts w:ascii="Times New Roman" w:eastAsia="Times New Roman" w:hAnsi="Times New Roman" w:cs="Times New Roman"/>
          <w:lang w:eastAsia="sl-SI"/>
        </w:rPr>
        <w:t xml:space="preserve"> </w:t>
      </w:r>
      <w:r w:rsidR="000D7B89" w:rsidRPr="003E1719">
        <w:rPr>
          <w:rFonts w:ascii="Times New Roman" w:eastAsia="Times New Roman" w:hAnsi="Times New Roman" w:cs="Times New Roman"/>
          <w:lang w:eastAsia="sl-SI"/>
        </w:rPr>
        <w:t xml:space="preserve">kartu vartojamais rozuvastatinu ir ezetimibu tokiomis pačiomis dozėmis, kokios yra fiksuotų dozių derinio vaistiniame preparate, </w:t>
      </w:r>
      <w:r w:rsidR="000D7B89" w:rsidRPr="003E1719">
        <w:rPr>
          <w:rFonts w:ascii="Times New Roman" w:hAnsi="Times New Roman" w:cs="Times New Roman"/>
          <w:color w:val="000000"/>
          <w:lang w:val="sl-SI"/>
        </w:rPr>
        <w:t xml:space="preserve">siekiant </w:t>
      </w:r>
      <w:r w:rsidR="000D7B89" w:rsidRPr="003E1719">
        <w:rPr>
          <w:rFonts w:ascii="Times New Roman" w:hAnsi="Times New Roman" w:cs="Times New Roman"/>
          <w:lang w:val="sl-SI"/>
        </w:rPr>
        <w:t>sumažinti širdies ir kraujagyslių sistemos reiškinių pavojų koronarine širdies liga (KŠL) sergantiems ir ūminį koronar</w:t>
      </w:r>
      <w:r w:rsidR="0057404E">
        <w:rPr>
          <w:rFonts w:ascii="Times New Roman" w:hAnsi="Times New Roman" w:cs="Times New Roman"/>
          <w:lang w:val="sl-SI"/>
        </w:rPr>
        <w:t>in</w:t>
      </w:r>
      <w:r w:rsidR="0057404E">
        <w:rPr>
          <w:rFonts w:ascii="Times New Roman" w:hAnsi="Times New Roman" w:cs="Times New Roman"/>
        </w:rPr>
        <w:t>į</w:t>
      </w:r>
      <w:r w:rsidR="000D7B89" w:rsidRPr="003E1719">
        <w:rPr>
          <w:rFonts w:ascii="Times New Roman" w:hAnsi="Times New Roman" w:cs="Times New Roman"/>
          <w:lang w:val="sl-SI"/>
        </w:rPr>
        <w:t xml:space="preserve"> sindromą (ŪKS) jau patyrusiems pacientams.</w:t>
      </w:r>
    </w:p>
    <w:p w14:paraId="46DE97A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46D37A9"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4.2</w:t>
      </w:r>
      <w:r w:rsidRPr="003E1719">
        <w:rPr>
          <w:rFonts w:ascii="Times New Roman" w:eastAsia="Times New Roman" w:hAnsi="Times New Roman" w:cs="Times New Roman"/>
          <w:b/>
          <w:lang w:eastAsia="sl-SI"/>
        </w:rPr>
        <w:tab/>
        <w:t>Dozavimas ir vartojimo metodas</w:t>
      </w:r>
    </w:p>
    <w:p w14:paraId="4CFD459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B6424C6"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Dozavimas</w:t>
      </w:r>
    </w:p>
    <w:p w14:paraId="3BE3952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Pacientas turi laikytis </w:t>
      </w:r>
      <w:r w:rsidR="00DD5F18" w:rsidRPr="003E1719">
        <w:rPr>
          <w:rFonts w:ascii="Times New Roman" w:eastAsia="Times New Roman" w:hAnsi="Times New Roman" w:cs="Times New Roman"/>
          <w:lang w:eastAsia="sl-SI"/>
        </w:rPr>
        <w:t>tinkamos lipidų</w:t>
      </w:r>
      <w:r w:rsidRPr="003E1719">
        <w:rPr>
          <w:rFonts w:ascii="Times New Roman" w:eastAsia="Times New Roman" w:hAnsi="Times New Roman" w:cs="Times New Roman"/>
          <w:lang w:eastAsia="sl-SI"/>
        </w:rPr>
        <w:t xml:space="preserve"> kiekį mažinančios dietos </w:t>
      </w:r>
      <w:r w:rsidR="00DD5F18" w:rsidRPr="003E1719">
        <w:rPr>
          <w:rFonts w:ascii="Times New Roman" w:eastAsia="Times New Roman" w:hAnsi="Times New Roman" w:cs="Times New Roman"/>
          <w:lang w:eastAsia="sl-SI"/>
        </w:rPr>
        <w:t>ir toliau laikytis šios dietos</w:t>
      </w:r>
      <w:r w:rsidRPr="003E1719">
        <w:rPr>
          <w:rFonts w:ascii="Times New Roman" w:eastAsia="Times New Roman" w:hAnsi="Times New Roman" w:cs="Times New Roman"/>
          <w:lang w:eastAsia="sl-SI"/>
        </w:rPr>
        <w:t xml:space="preserve"> gydymo </w:t>
      </w:r>
      <w:r w:rsidR="00AF3800">
        <w:rPr>
          <w:rFonts w:ascii="Times New Roman" w:eastAsia="Times New Roman" w:hAnsi="Times New Roman" w:cs="Times New Roman"/>
        </w:rPr>
        <w:t>Rosuvastatin/Ezetimibe Teva</w:t>
      </w:r>
      <w:r w:rsidR="00DD5F18" w:rsidRPr="003E1719">
        <w:rPr>
          <w:rFonts w:ascii="Times New Roman" w:eastAsia="Times New Roman" w:hAnsi="Times New Roman" w:cs="Times New Roman"/>
        </w:rPr>
        <w:t xml:space="preserve"> </w:t>
      </w:r>
      <w:r w:rsidRPr="003E1719">
        <w:rPr>
          <w:rFonts w:ascii="Times New Roman" w:eastAsia="Times New Roman" w:hAnsi="Times New Roman" w:cs="Times New Roman"/>
          <w:lang w:eastAsia="sl-SI"/>
        </w:rPr>
        <w:t>metu.</w:t>
      </w:r>
    </w:p>
    <w:p w14:paraId="24DCB44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1FC1454" w14:textId="77777777" w:rsidR="00DD5F18" w:rsidRPr="003E1719" w:rsidRDefault="00AF3800" w:rsidP="00DD5F1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Rosuvastatin/Ezetimibe Teva</w:t>
      </w:r>
      <w:r w:rsidR="00DD5F18" w:rsidRPr="003E1719">
        <w:rPr>
          <w:rFonts w:ascii="Times New Roman" w:eastAsia="Times New Roman" w:hAnsi="Times New Roman" w:cs="Times New Roman"/>
        </w:rPr>
        <w:t xml:space="preserve"> </w:t>
      </w:r>
      <w:r w:rsidR="00DD5F18" w:rsidRPr="003E1719">
        <w:rPr>
          <w:rFonts w:ascii="Times New Roman" w:eastAsia="Times New Roman" w:hAnsi="Times New Roman" w:cs="Times New Roman"/>
          <w:lang w:eastAsia="sl-SI"/>
        </w:rPr>
        <w:t xml:space="preserve">netinka pradiniam gydymui. Pradėti gydymą ar keisti dozę, jei reikia, galima tik vartojant atskirų veikliųjų medžiagų, </w:t>
      </w:r>
      <w:r w:rsidR="004042B8" w:rsidRPr="003E1719">
        <w:rPr>
          <w:rFonts w:ascii="Times New Roman" w:eastAsia="Times New Roman" w:hAnsi="Times New Roman" w:cs="Times New Roman"/>
          <w:lang w:eastAsia="sl-SI"/>
        </w:rPr>
        <w:t>ir</w:t>
      </w:r>
      <w:r w:rsidR="00DD5F18" w:rsidRPr="003E1719">
        <w:rPr>
          <w:rFonts w:ascii="Times New Roman" w:eastAsia="Times New Roman" w:hAnsi="Times New Roman" w:cs="Times New Roman"/>
          <w:lang w:eastAsia="sl-SI"/>
        </w:rPr>
        <w:t xml:space="preserve"> nustačius tinkamas dozes, jei įmanoma, gydymą galima pakeisti atitinkamo stiprumo fiksuotos dozės deriniu.</w:t>
      </w:r>
    </w:p>
    <w:p w14:paraId="7EA4B7DF" w14:textId="77777777" w:rsidR="00DD5F18" w:rsidRPr="003E1719" w:rsidRDefault="00DD5F18" w:rsidP="000D7B89">
      <w:pPr>
        <w:widowControl w:val="0"/>
        <w:spacing w:after="0" w:line="240" w:lineRule="auto"/>
        <w:rPr>
          <w:rFonts w:ascii="Times New Roman" w:eastAsia="Times New Roman" w:hAnsi="Times New Roman" w:cs="Times New Roman"/>
          <w:lang w:eastAsia="sl-SI"/>
        </w:rPr>
      </w:pPr>
    </w:p>
    <w:p w14:paraId="102EF2A8" w14:textId="77777777" w:rsidR="004042B8" w:rsidRPr="003E1719" w:rsidRDefault="004042B8"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Pacientai turi vartoti tokio pat stiprumo, kaip ankstesnio gydymo, dozes. </w:t>
      </w:r>
      <w:r w:rsidR="000D7B89" w:rsidRPr="003E1719">
        <w:rPr>
          <w:rFonts w:ascii="Times New Roman" w:eastAsia="Times New Roman" w:hAnsi="Times New Roman" w:cs="Times New Roman"/>
          <w:lang w:eastAsia="sl-SI"/>
        </w:rPr>
        <w:t xml:space="preserve">Rekomenduojama dozė yra viena tabletė per parą. </w:t>
      </w:r>
    </w:p>
    <w:p w14:paraId="741FC842" w14:textId="77777777" w:rsidR="004042B8" w:rsidRPr="003E1719" w:rsidRDefault="004042B8" w:rsidP="004042B8">
      <w:pPr>
        <w:widowControl w:val="0"/>
        <w:tabs>
          <w:tab w:val="left" w:pos="567"/>
        </w:tabs>
        <w:spacing w:after="0" w:line="240" w:lineRule="auto"/>
        <w:rPr>
          <w:rFonts w:ascii="Times New Roman" w:eastAsia="Times New Roman" w:hAnsi="Times New Roman" w:cs="Times New Roman"/>
          <w:snapToGrid w:val="0"/>
          <w:u w:val="single"/>
          <w:lang w:eastAsia="sl-SI"/>
        </w:rPr>
      </w:pPr>
    </w:p>
    <w:p w14:paraId="025272C8" w14:textId="77777777" w:rsidR="004042B8" w:rsidRPr="003E1719" w:rsidRDefault="004042B8" w:rsidP="004042B8">
      <w:pPr>
        <w:widowControl w:val="0"/>
        <w:tabs>
          <w:tab w:val="left" w:pos="567"/>
        </w:tabs>
        <w:spacing w:after="0" w:line="240" w:lineRule="auto"/>
        <w:rPr>
          <w:rFonts w:ascii="Times New Roman" w:eastAsia="Times New Roman" w:hAnsi="Times New Roman" w:cs="Times New Roman"/>
          <w:i/>
          <w:lang w:eastAsia="sl-SI"/>
        </w:rPr>
      </w:pPr>
      <w:r w:rsidRPr="003E1719">
        <w:rPr>
          <w:rFonts w:ascii="Times New Roman" w:eastAsia="Times New Roman" w:hAnsi="Times New Roman" w:cs="Times New Roman"/>
          <w:i/>
          <w:snapToGrid w:val="0"/>
          <w:lang w:eastAsia="sl-SI"/>
        </w:rPr>
        <w:t>Vartojimas kartu su tulžies rūgštis surišančiomis dervomis</w:t>
      </w:r>
    </w:p>
    <w:p w14:paraId="300A1E3A" w14:textId="77777777" w:rsidR="004042B8" w:rsidRPr="003E1719" w:rsidRDefault="00AF3800" w:rsidP="004042B8">
      <w:pPr>
        <w:widowControl w:val="0"/>
        <w:tabs>
          <w:tab w:val="left" w:pos="567"/>
        </w:tabs>
        <w:spacing w:after="0" w:line="240" w:lineRule="auto"/>
        <w:rPr>
          <w:rFonts w:ascii="Times New Roman" w:eastAsia="Times New Roman" w:hAnsi="Times New Roman" w:cs="Times New Roman"/>
          <w:snapToGrid w:val="0"/>
          <w:lang w:eastAsia="sl-SI"/>
        </w:rPr>
      </w:pPr>
      <w:r>
        <w:rPr>
          <w:rFonts w:ascii="Times New Roman" w:eastAsia="Times New Roman" w:hAnsi="Times New Roman" w:cs="Times New Roman"/>
        </w:rPr>
        <w:t>Rosuvastatin/Ezetimibe Teva</w:t>
      </w:r>
      <w:r w:rsidR="004042B8" w:rsidRPr="003E1719">
        <w:rPr>
          <w:rFonts w:ascii="Times New Roman" w:eastAsia="Times New Roman" w:hAnsi="Times New Roman" w:cs="Times New Roman"/>
        </w:rPr>
        <w:t xml:space="preserve"> </w:t>
      </w:r>
      <w:r w:rsidR="004042B8" w:rsidRPr="003E1719">
        <w:rPr>
          <w:rFonts w:ascii="Times New Roman" w:eastAsia="Times New Roman" w:hAnsi="Times New Roman" w:cs="Times New Roman"/>
          <w:snapToGrid w:val="0"/>
          <w:lang w:eastAsia="sl-SI"/>
        </w:rPr>
        <w:t xml:space="preserve">reikia gerti arba likus </w:t>
      </w:r>
      <w:r w:rsidR="004042B8" w:rsidRPr="003E1719">
        <w:rPr>
          <w:rFonts w:ascii="Times New Roman" w:hAnsi="Times New Roman" w:cs="Times New Roman"/>
        </w:rPr>
        <w:t>≥</w:t>
      </w:r>
      <w:r w:rsidR="004042B8" w:rsidRPr="003E1719">
        <w:rPr>
          <w:rFonts w:ascii="Times New Roman" w:eastAsia="Times New Roman" w:hAnsi="Times New Roman" w:cs="Times New Roman"/>
          <w:snapToGrid w:val="0"/>
          <w:lang w:eastAsia="sl-SI"/>
        </w:rPr>
        <w:t xml:space="preserve">2 valandoms iki tulžies rūgštis surišančių dervų vartojimo, arba po jų vartojimo praėjus </w:t>
      </w:r>
      <w:r w:rsidR="004042B8" w:rsidRPr="003E1719">
        <w:rPr>
          <w:rFonts w:ascii="Times New Roman" w:hAnsi="Times New Roman" w:cs="Times New Roman"/>
        </w:rPr>
        <w:t>≥</w:t>
      </w:r>
      <w:r w:rsidR="004042B8" w:rsidRPr="003E1719">
        <w:rPr>
          <w:rFonts w:ascii="Times New Roman" w:eastAsia="Times New Roman" w:hAnsi="Times New Roman" w:cs="Times New Roman"/>
          <w:snapToGrid w:val="0"/>
          <w:lang w:eastAsia="sl-SI"/>
        </w:rPr>
        <w:t>4 valandoms (žr. 4.5 skyrių).</w:t>
      </w:r>
    </w:p>
    <w:p w14:paraId="0F365A10" w14:textId="77777777" w:rsidR="004042B8" w:rsidRPr="003E1719" w:rsidRDefault="004042B8" w:rsidP="000D7B89">
      <w:pPr>
        <w:widowControl w:val="0"/>
        <w:spacing w:after="0" w:line="240" w:lineRule="auto"/>
        <w:rPr>
          <w:rFonts w:ascii="Times New Roman" w:eastAsia="Times New Roman" w:hAnsi="Times New Roman" w:cs="Times New Roman"/>
          <w:lang w:eastAsia="sl-SI"/>
        </w:rPr>
      </w:pPr>
    </w:p>
    <w:p w14:paraId="3329CAC4"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Ypatingos populiacijos</w:t>
      </w:r>
    </w:p>
    <w:p w14:paraId="65548875" w14:textId="77777777" w:rsidR="000D7B89" w:rsidRPr="003E1719" w:rsidRDefault="000D7B89" w:rsidP="000D7B89">
      <w:pPr>
        <w:widowControl w:val="0"/>
        <w:spacing w:after="0" w:line="240" w:lineRule="auto"/>
        <w:rPr>
          <w:rFonts w:ascii="Times New Roman" w:eastAsia="Times New Roman" w:hAnsi="Times New Roman" w:cs="Times New Roman"/>
          <w:i/>
          <w:u w:val="single"/>
          <w:lang w:eastAsia="sl-SI"/>
        </w:rPr>
      </w:pPr>
    </w:p>
    <w:p w14:paraId="7703E6BD" w14:textId="77777777" w:rsidR="004042B8" w:rsidRPr="003E1719" w:rsidRDefault="004042B8" w:rsidP="000D7B89">
      <w:pPr>
        <w:widowControl w:val="0"/>
        <w:spacing w:after="0" w:line="240" w:lineRule="auto"/>
        <w:rPr>
          <w:rFonts w:ascii="Times New Roman" w:eastAsia="Times New Roman" w:hAnsi="Times New Roman" w:cs="Times New Roman"/>
          <w:i/>
          <w:lang w:eastAsia="sl-SI"/>
        </w:rPr>
      </w:pPr>
      <w:r w:rsidRPr="003E1719">
        <w:rPr>
          <w:rFonts w:ascii="Times New Roman" w:eastAsia="Times New Roman" w:hAnsi="Times New Roman" w:cs="Times New Roman"/>
          <w:i/>
          <w:lang w:eastAsia="sl-SI"/>
        </w:rPr>
        <w:t>Vaikų populiacija</w:t>
      </w:r>
    </w:p>
    <w:p w14:paraId="6BB7D2A0" w14:textId="77777777" w:rsidR="001C1825" w:rsidRPr="003E1719" w:rsidRDefault="00AF3800" w:rsidP="004042B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Cs/>
        </w:rPr>
        <w:t>Rosuvastatin/Ezetimibe Teva</w:t>
      </w:r>
      <w:r w:rsidR="004042B8" w:rsidRPr="003E1719">
        <w:rPr>
          <w:rFonts w:ascii="Times New Roman" w:eastAsia="Times New Roman" w:hAnsi="Times New Roman" w:cs="Times New Roman"/>
          <w:iCs/>
        </w:rPr>
        <w:t xml:space="preserve"> </w:t>
      </w:r>
      <w:r w:rsidR="004042B8" w:rsidRPr="003E1719">
        <w:rPr>
          <w:rFonts w:ascii="Times New Roman" w:eastAsia="Times New Roman" w:hAnsi="Times New Roman" w:cs="Times New Roman"/>
          <w:lang w:eastAsia="sl-SI"/>
        </w:rPr>
        <w:t xml:space="preserve">saugumas ir veiksmingumas vaikams iki 18 metų neištirti. Šiuo metu žinomi duomenys aprašyti 4.8, 5.1 ir 5.2 skyriuose, bet </w:t>
      </w:r>
      <w:r w:rsidR="001C1825" w:rsidRPr="003E1719">
        <w:rPr>
          <w:rFonts w:ascii="Times New Roman" w:eastAsia="Times New Roman" w:hAnsi="Times New Roman" w:cs="Times New Roman"/>
          <w:lang w:eastAsia="sl-SI"/>
        </w:rPr>
        <w:t>rekomendacijų dėl dozavimo pateikti negalima.</w:t>
      </w:r>
    </w:p>
    <w:p w14:paraId="0618289C" w14:textId="77777777" w:rsidR="004042B8" w:rsidRPr="003E1719" w:rsidRDefault="004042B8" w:rsidP="000D7B89">
      <w:pPr>
        <w:widowControl w:val="0"/>
        <w:spacing w:after="0" w:line="240" w:lineRule="auto"/>
        <w:rPr>
          <w:rFonts w:ascii="Times New Roman" w:eastAsia="Times New Roman" w:hAnsi="Times New Roman" w:cs="Times New Roman"/>
          <w:i/>
          <w:lang w:eastAsia="sl-SI"/>
        </w:rPr>
      </w:pPr>
    </w:p>
    <w:p w14:paraId="67DA8C1C" w14:textId="77777777" w:rsidR="000D7B89" w:rsidRPr="003E1719" w:rsidRDefault="000D7B89" w:rsidP="000D7B89">
      <w:pPr>
        <w:widowControl w:val="0"/>
        <w:spacing w:after="0" w:line="240" w:lineRule="auto"/>
        <w:rPr>
          <w:rFonts w:ascii="Times New Roman" w:eastAsia="Times New Roman" w:hAnsi="Times New Roman" w:cs="Times New Roman"/>
          <w:i/>
          <w:lang w:eastAsia="sl-SI"/>
        </w:rPr>
      </w:pPr>
      <w:r w:rsidRPr="003E1719">
        <w:rPr>
          <w:rFonts w:ascii="Times New Roman" w:eastAsia="Times New Roman" w:hAnsi="Times New Roman" w:cs="Times New Roman"/>
          <w:i/>
          <w:lang w:eastAsia="sl-SI"/>
        </w:rPr>
        <w:t>Senyviems pacientams</w:t>
      </w:r>
    </w:p>
    <w:p w14:paraId="463E0B27" w14:textId="0F16C91D" w:rsidR="001C1825"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Vyresniems kaip 70 metų pacientams rekomenduojama pradinė rozuvastatino </w:t>
      </w:r>
      <w:r w:rsidRPr="005B0496">
        <w:rPr>
          <w:rFonts w:ascii="Times New Roman" w:eastAsia="Times New Roman" w:hAnsi="Times New Roman" w:cs="Times New Roman"/>
          <w:lang w:eastAsia="sl-SI"/>
        </w:rPr>
        <w:t>dozė yra 5 mg</w:t>
      </w:r>
      <w:r w:rsidRPr="003E1719">
        <w:rPr>
          <w:rFonts w:ascii="Times New Roman" w:eastAsia="Times New Roman" w:hAnsi="Times New Roman" w:cs="Times New Roman"/>
          <w:lang w:eastAsia="sl-SI"/>
        </w:rPr>
        <w:t xml:space="preserve"> (žr. 4.4 skyrių).</w:t>
      </w:r>
      <w:r w:rsidR="001C1825" w:rsidRPr="003E1719">
        <w:rPr>
          <w:rFonts w:ascii="Times New Roman" w:eastAsia="Times New Roman" w:hAnsi="Times New Roman" w:cs="Times New Roman"/>
          <w:lang w:eastAsia="sl-SI"/>
        </w:rPr>
        <w:t xml:space="preserve"> Gydymas pradedamas arba, jei reikia, dozės koregavimas gali būti atliekamas tik naudojant vien</w:t>
      </w:r>
      <w:r w:rsidR="002621BC">
        <w:rPr>
          <w:rFonts w:ascii="Times New Roman" w:eastAsia="Times New Roman" w:hAnsi="Times New Roman" w:cs="Times New Roman"/>
          <w:lang w:eastAsia="sl-SI"/>
        </w:rPr>
        <w:t>o</w:t>
      </w:r>
      <w:r w:rsidR="001C1825" w:rsidRPr="003E1719">
        <w:rPr>
          <w:rFonts w:ascii="Times New Roman" w:eastAsia="Times New Roman" w:hAnsi="Times New Roman" w:cs="Times New Roman"/>
          <w:lang w:eastAsia="sl-SI"/>
        </w:rPr>
        <w:t xml:space="preserve"> komponent</w:t>
      </w:r>
      <w:r w:rsidR="002621BC">
        <w:rPr>
          <w:rFonts w:ascii="Times New Roman" w:eastAsia="Times New Roman" w:hAnsi="Times New Roman" w:cs="Times New Roman"/>
          <w:lang w:eastAsia="sl-SI"/>
        </w:rPr>
        <w:t>o</w:t>
      </w:r>
      <w:r w:rsidR="005B0496">
        <w:rPr>
          <w:rFonts w:ascii="Times New Roman" w:eastAsia="Times New Roman" w:hAnsi="Times New Roman" w:cs="Times New Roman"/>
          <w:lang w:eastAsia="sl-SI"/>
        </w:rPr>
        <w:t xml:space="preserve"> vaistinį preparatą</w:t>
      </w:r>
      <w:r w:rsidR="001C1825" w:rsidRPr="003E1719">
        <w:rPr>
          <w:rFonts w:ascii="Times New Roman" w:eastAsia="Times New Roman" w:hAnsi="Times New Roman" w:cs="Times New Roman"/>
          <w:lang w:eastAsia="sl-SI"/>
        </w:rPr>
        <w:t>, o nustačius tinkamas dozes galima pereiti prie atitinkamo stiprumo fiksuotos dozės derinio.</w:t>
      </w:r>
    </w:p>
    <w:p w14:paraId="553EB01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0F6ECF3" w14:textId="77777777" w:rsidR="000D7B89" w:rsidRPr="003E1719" w:rsidRDefault="000D7B89" w:rsidP="000D7B89">
      <w:pPr>
        <w:widowControl w:val="0"/>
        <w:spacing w:after="0" w:line="240" w:lineRule="auto"/>
        <w:rPr>
          <w:rFonts w:ascii="Times New Roman" w:eastAsia="Times New Roman" w:hAnsi="Times New Roman" w:cs="Times New Roman"/>
          <w:i/>
          <w:lang w:eastAsia="sl-SI"/>
        </w:rPr>
      </w:pPr>
      <w:r w:rsidRPr="003E1719">
        <w:rPr>
          <w:rFonts w:ascii="Times New Roman" w:eastAsia="Times New Roman" w:hAnsi="Times New Roman" w:cs="Times New Roman"/>
          <w:i/>
          <w:lang w:eastAsia="sl-SI"/>
        </w:rPr>
        <w:t>Pacientams, kurių inkstų funkcija sutrikusi</w:t>
      </w:r>
    </w:p>
    <w:p w14:paraId="7BED0AC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Pacientams, kuriems yra lengvas inkstų funkcijos sutrikimas, dozės koreguoti nereikia.</w:t>
      </w:r>
    </w:p>
    <w:p w14:paraId="4FC27E35" w14:textId="7C2840F2" w:rsidR="001C1825"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Rekomenduojama pradinė rozuvastatino dozė pacientams, kuriems yra vidutinio sunkumo inkstų funkcijos sutrikimas (kreatinino klirensas &lt;60 ml/min.), </w:t>
      </w:r>
      <w:r w:rsidRPr="005B0496">
        <w:rPr>
          <w:rFonts w:ascii="Times New Roman" w:eastAsia="Times New Roman" w:hAnsi="Times New Roman" w:cs="Times New Roman"/>
          <w:lang w:eastAsia="sl-SI"/>
        </w:rPr>
        <w:t>yra 5 mg.</w:t>
      </w:r>
      <w:r w:rsidRPr="003E1719">
        <w:rPr>
          <w:rFonts w:ascii="Times New Roman" w:eastAsia="Times New Roman" w:hAnsi="Times New Roman" w:cs="Times New Roman"/>
          <w:lang w:eastAsia="sl-SI"/>
        </w:rPr>
        <w:t xml:space="preserve"> </w:t>
      </w:r>
      <w:r w:rsidR="005B0496">
        <w:rPr>
          <w:rFonts w:ascii="Times New Roman" w:eastAsia="Times New Roman" w:hAnsi="Times New Roman" w:cs="Times New Roman"/>
          <w:lang w:eastAsia="sl-SI"/>
        </w:rPr>
        <w:t xml:space="preserve">Mažesnės nei 10 mg ezetimibo dozės vartojant </w:t>
      </w:r>
      <w:r w:rsidR="005B0496">
        <w:rPr>
          <w:rFonts w:ascii="Times New Roman" w:eastAsia="Times New Roman" w:hAnsi="Times New Roman" w:cs="Times New Roman"/>
        </w:rPr>
        <w:t>Rosuvastatin/Ezetimibe Teva gauti neįmanoma. Jei reikia vartoti mažesnę dozę, reikia rinktis kitą rinkoje esantį tinkamo stiprumo vaistinį preparatą.</w:t>
      </w:r>
    </w:p>
    <w:p w14:paraId="737086E6" w14:textId="6231BD8A"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Sunkiu inkstų funkcijos sutrikimu sergantiems pacientams </w:t>
      </w:r>
      <w:r w:rsidR="002621BC">
        <w:rPr>
          <w:rFonts w:ascii="Times New Roman" w:eastAsia="Times New Roman" w:hAnsi="Times New Roman" w:cs="Times New Roman"/>
        </w:rPr>
        <w:t>Rosuvastatin/Ezetimibe Teva</w:t>
      </w:r>
      <w:r w:rsidR="002621BC" w:rsidRPr="003E1719" w:rsidDel="002621BC">
        <w:rPr>
          <w:rFonts w:ascii="Times New Roman" w:eastAsia="Times New Roman" w:hAnsi="Times New Roman" w:cs="Times New Roman"/>
          <w:lang w:eastAsia="sl-SI"/>
        </w:rPr>
        <w:t xml:space="preserve"> </w:t>
      </w:r>
      <w:r w:rsidR="002621BC" w:rsidRPr="003E1719">
        <w:rPr>
          <w:rFonts w:ascii="Times New Roman" w:eastAsia="Times New Roman" w:hAnsi="Times New Roman" w:cs="Times New Roman"/>
          <w:lang w:eastAsia="sl-SI"/>
        </w:rPr>
        <w:t xml:space="preserve">vartoti </w:t>
      </w:r>
      <w:r w:rsidR="002621BC">
        <w:rPr>
          <w:rFonts w:ascii="Times New Roman" w:eastAsia="Times New Roman" w:hAnsi="Times New Roman" w:cs="Times New Roman"/>
          <w:lang w:eastAsia="sl-SI"/>
        </w:rPr>
        <w:t>draudžiama</w:t>
      </w:r>
      <w:r w:rsidR="002621BC" w:rsidRPr="003E1719">
        <w:rPr>
          <w:rFonts w:ascii="Times New Roman" w:eastAsia="Times New Roman" w:hAnsi="Times New Roman" w:cs="Times New Roman"/>
          <w:lang w:eastAsia="sl-SI"/>
        </w:rPr>
        <w:t xml:space="preserve"> </w:t>
      </w:r>
      <w:r w:rsidRPr="003E1719">
        <w:rPr>
          <w:rFonts w:ascii="Times New Roman" w:eastAsia="Times New Roman" w:hAnsi="Times New Roman" w:cs="Times New Roman"/>
          <w:lang w:eastAsia="sl-SI"/>
        </w:rPr>
        <w:t>(žr. 4.3 ir 5.2 skyrius).</w:t>
      </w:r>
    </w:p>
    <w:p w14:paraId="3EF428F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7D4EFBD" w14:textId="77777777" w:rsidR="000D7B89" w:rsidRPr="003E1719" w:rsidRDefault="000D7B89" w:rsidP="000D7B89">
      <w:pPr>
        <w:widowControl w:val="0"/>
        <w:spacing w:after="0" w:line="240" w:lineRule="auto"/>
        <w:rPr>
          <w:rFonts w:ascii="Times New Roman" w:eastAsia="Times New Roman" w:hAnsi="Times New Roman" w:cs="Times New Roman"/>
          <w:i/>
          <w:lang w:eastAsia="sl-SI"/>
        </w:rPr>
      </w:pPr>
      <w:r w:rsidRPr="003E1719">
        <w:rPr>
          <w:rFonts w:ascii="Times New Roman" w:eastAsia="Times New Roman" w:hAnsi="Times New Roman" w:cs="Times New Roman"/>
          <w:i/>
          <w:lang w:eastAsia="sl-SI"/>
        </w:rPr>
        <w:t>Pacientams, kurių kepenų funkcija sutrikusi</w:t>
      </w:r>
    </w:p>
    <w:p w14:paraId="7EFDF53B"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iCs/>
        </w:rPr>
      </w:pPr>
      <w:r w:rsidRPr="003E1719">
        <w:rPr>
          <w:rFonts w:ascii="Times New Roman" w:eastAsia="Times New Roman" w:hAnsi="Times New Roman" w:cs="Times New Roman"/>
          <w:iCs/>
        </w:rPr>
        <w:t xml:space="preserve">Pacientams, kuriems yra lengvas kepenų nepakankamumas (įvertinimas pagal </w:t>
      </w:r>
      <w:r w:rsidRPr="003E1719">
        <w:rPr>
          <w:rFonts w:ascii="Times New Roman" w:eastAsia="Times New Roman" w:hAnsi="Times New Roman" w:cs="Times New Roman"/>
          <w:i/>
          <w:iCs/>
        </w:rPr>
        <w:t>Child-Pugh</w:t>
      </w:r>
      <w:r w:rsidRPr="003E1719">
        <w:rPr>
          <w:rFonts w:ascii="Times New Roman" w:eastAsia="Times New Roman" w:hAnsi="Times New Roman" w:cs="Times New Roman"/>
          <w:iCs/>
        </w:rPr>
        <w:t xml:space="preserve"> skalę 5</w:t>
      </w:r>
      <w:r w:rsidRPr="003E1719">
        <w:rPr>
          <w:rFonts w:ascii="Times New Roman" w:eastAsia="Times New Roman" w:hAnsi="Times New Roman" w:cs="Times New Roman"/>
          <w:iCs/>
        </w:rPr>
        <w:noBreakHyphen/>
        <w:t xml:space="preserve">6), dozės koreguoti nereikia. </w:t>
      </w:r>
      <w:r w:rsidR="00AF3800">
        <w:rPr>
          <w:rFonts w:ascii="Times New Roman" w:eastAsia="Times New Roman" w:hAnsi="Times New Roman" w:cs="Times New Roman"/>
          <w:iCs/>
        </w:rPr>
        <w:t>Rosuvastatin/Ezetimibe Teva</w:t>
      </w:r>
      <w:r w:rsidRPr="003E1719">
        <w:rPr>
          <w:rFonts w:ascii="Times New Roman" w:eastAsia="Times New Roman" w:hAnsi="Times New Roman" w:cs="Times New Roman"/>
          <w:iCs/>
        </w:rPr>
        <w:t xml:space="preserve"> nerekomenduojama vartoti pacientams, kuriems yra vidutinio sunkumo (įvertinimas pagal </w:t>
      </w:r>
      <w:r w:rsidRPr="003E1719">
        <w:rPr>
          <w:rFonts w:ascii="Times New Roman" w:eastAsia="Times New Roman" w:hAnsi="Times New Roman" w:cs="Times New Roman"/>
          <w:i/>
          <w:iCs/>
        </w:rPr>
        <w:t>Child-Pugh</w:t>
      </w:r>
      <w:r w:rsidRPr="003E1719">
        <w:rPr>
          <w:rFonts w:ascii="Times New Roman" w:eastAsia="Times New Roman" w:hAnsi="Times New Roman" w:cs="Times New Roman"/>
          <w:iCs/>
        </w:rPr>
        <w:t xml:space="preserve"> skalę 7-9) ar sunkus (įvertinimas pagal </w:t>
      </w:r>
      <w:r w:rsidRPr="003E1719">
        <w:rPr>
          <w:rFonts w:ascii="Times New Roman" w:eastAsia="Times New Roman" w:hAnsi="Times New Roman" w:cs="Times New Roman"/>
          <w:i/>
          <w:iCs/>
        </w:rPr>
        <w:t>Child-Pugh</w:t>
      </w:r>
      <w:r w:rsidRPr="003E1719">
        <w:rPr>
          <w:rFonts w:ascii="Times New Roman" w:eastAsia="Times New Roman" w:hAnsi="Times New Roman" w:cs="Times New Roman"/>
          <w:iCs/>
        </w:rPr>
        <w:t xml:space="preserve"> skalę &gt; 9) kepenų funkcijos sutrikimas (žr. 4.4 ir 5.2 skyrius).</w:t>
      </w:r>
    </w:p>
    <w:p w14:paraId="6FB5D4E3" w14:textId="29413758" w:rsidR="000D7B89" w:rsidRPr="003E1719" w:rsidRDefault="00AF3800" w:rsidP="000D7B89">
      <w:pPr>
        <w:widowControl w:val="0"/>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r w:rsidR="002621BC">
        <w:rPr>
          <w:rFonts w:ascii="Times New Roman" w:eastAsia="Times New Roman" w:hAnsi="Times New Roman" w:cs="Times New Roman"/>
          <w:iCs/>
        </w:rPr>
        <w:t>draudžiama</w:t>
      </w:r>
      <w:r w:rsidR="002621BC" w:rsidRPr="003E1719">
        <w:rPr>
          <w:rFonts w:ascii="Times New Roman" w:eastAsia="Times New Roman" w:hAnsi="Times New Roman" w:cs="Times New Roman"/>
          <w:iCs/>
        </w:rPr>
        <w:t xml:space="preserve"> </w:t>
      </w:r>
      <w:r w:rsidR="000D7B89" w:rsidRPr="003E1719">
        <w:rPr>
          <w:rFonts w:ascii="Times New Roman" w:eastAsia="Times New Roman" w:hAnsi="Times New Roman" w:cs="Times New Roman"/>
          <w:iCs/>
        </w:rPr>
        <w:t>vartoti pacientams, sergantiems aktyvia kepenų liga (žr. 4.3 skyrių).</w:t>
      </w:r>
    </w:p>
    <w:p w14:paraId="2DB4FD6E" w14:textId="77777777" w:rsidR="000D7B89" w:rsidRPr="003E1719" w:rsidRDefault="000D7B89" w:rsidP="000D7B89">
      <w:pPr>
        <w:widowControl w:val="0"/>
        <w:spacing w:after="0" w:line="240" w:lineRule="auto"/>
        <w:rPr>
          <w:rFonts w:ascii="Times New Roman" w:eastAsia="Times New Roman" w:hAnsi="Times New Roman" w:cs="Times New Roman"/>
          <w:i/>
          <w:lang w:eastAsia="sl-SI"/>
        </w:rPr>
      </w:pPr>
    </w:p>
    <w:p w14:paraId="136B2D45"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i/>
        </w:rPr>
      </w:pPr>
      <w:r w:rsidRPr="003E1719">
        <w:rPr>
          <w:rFonts w:ascii="Times New Roman" w:eastAsia="Times New Roman" w:hAnsi="Times New Roman" w:cs="Times New Roman"/>
          <w:i/>
        </w:rPr>
        <w:t>Rasė</w:t>
      </w:r>
    </w:p>
    <w:p w14:paraId="11B46E69" w14:textId="6197F0A7" w:rsidR="000D7B89" w:rsidRPr="003E1719" w:rsidRDefault="001F765F"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Iš Azijos kilusių asmenų </w:t>
      </w:r>
      <w:r w:rsidR="000D7B89" w:rsidRPr="003E1719">
        <w:rPr>
          <w:rFonts w:ascii="Times New Roman" w:eastAsia="Times New Roman" w:hAnsi="Times New Roman" w:cs="Times New Roman"/>
        </w:rPr>
        <w:t>organizme nustatyta didesnė sisteminė rozuvastatino ekspozicija (žr. 4.3, 4.4 ir 5.2 skyrius).</w:t>
      </w:r>
      <w:r w:rsidR="000D7B89" w:rsidRPr="003E1719">
        <w:rPr>
          <w:rFonts w:ascii="Times New Roman" w:eastAsia="Times New Roman" w:hAnsi="Times New Roman" w:cs="Times New Roman"/>
          <w:snapToGrid w:val="0"/>
        </w:rPr>
        <w:t xml:space="preserve"> </w:t>
      </w:r>
      <w:r w:rsidR="000D7B89" w:rsidRPr="003E1719">
        <w:rPr>
          <w:rFonts w:ascii="Times New Roman" w:eastAsia="Times New Roman" w:hAnsi="Times New Roman" w:cs="Times New Roman"/>
        </w:rPr>
        <w:t xml:space="preserve">Rekomenduojama pradinė </w:t>
      </w:r>
      <w:r w:rsidRPr="003E1719">
        <w:rPr>
          <w:rFonts w:ascii="Times New Roman" w:eastAsia="Times New Roman" w:hAnsi="Times New Roman" w:cs="Times New Roman"/>
        </w:rPr>
        <w:t xml:space="preserve">rosuvastatino </w:t>
      </w:r>
      <w:r w:rsidR="000D7B89" w:rsidRPr="003E1719">
        <w:rPr>
          <w:rFonts w:ascii="Times New Roman" w:eastAsia="Times New Roman" w:hAnsi="Times New Roman" w:cs="Times New Roman"/>
        </w:rPr>
        <w:t xml:space="preserve">pdozė azijiečių kilmės pacientams </w:t>
      </w:r>
      <w:r w:rsidR="000D7B89" w:rsidRPr="005B0496">
        <w:rPr>
          <w:rFonts w:ascii="Times New Roman" w:eastAsia="Times New Roman" w:hAnsi="Times New Roman" w:cs="Times New Roman"/>
        </w:rPr>
        <w:t>yra 5 mg</w:t>
      </w:r>
      <w:r w:rsidR="000D7B89" w:rsidRPr="003E1719">
        <w:rPr>
          <w:rFonts w:ascii="Times New Roman" w:eastAsia="Times New Roman" w:hAnsi="Times New Roman" w:cs="Times New Roman"/>
        </w:rPr>
        <w:t xml:space="preserve">. </w:t>
      </w:r>
      <w:r w:rsidR="005B0496">
        <w:rPr>
          <w:rFonts w:ascii="Times New Roman" w:eastAsia="Times New Roman" w:hAnsi="Times New Roman" w:cs="Times New Roman"/>
          <w:lang w:eastAsia="sl-SI"/>
        </w:rPr>
        <w:t xml:space="preserve">Mažesnės nei 10 mg ezetimibo dozės vartojant </w:t>
      </w:r>
      <w:r w:rsidR="005B0496">
        <w:rPr>
          <w:rFonts w:ascii="Times New Roman" w:eastAsia="Times New Roman" w:hAnsi="Times New Roman" w:cs="Times New Roman"/>
        </w:rPr>
        <w:t>Rosuvastatin/Ezetimibe Teva gauti neįmanoma. Jei reikia vartoti mažesnę dozę, reikia rinktis kitą rinkoje esantį tinkamo stiprumo vaistinį preparatą.</w:t>
      </w:r>
    </w:p>
    <w:p w14:paraId="51FC6A6A"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p>
    <w:p w14:paraId="5B8B4E28"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i/>
        </w:rPr>
      </w:pPr>
      <w:r w:rsidRPr="003E1719">
        <w:rPr>
          <w:rFonts w:ascii="Times New Roman" w:eastAsia="Times New Roman" w:hAnsi="Times New Roman" w:cs="Times New Roman"/>
          <w:i/>
        </w:rPr>
        <w:t>Genetinis polimorfizmas</w:t>
      </w:r>
    </w:p>
    <w:p w14:paraId="0A4232B8"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Yra žinomos specifinės genetinio polimorfizmo rūšys, kurios gali sukelti rozuvastatino ekspozicijos padidėjimą (žr. 5.2 skyrių). Pacientams, kuriems buvo nustatytos tokios specifinės polimorfizmo rūšys, rekomenduojama skirti vartoti mažesnę </w:t>
      </w:r>
      <w:r w:rsidR="00AF3800">
        <w:rPr>
          <w:rFonts w:ascii="Times New Roman" w:eastAsia="Times New Roman" w:hAnsi="Times New Roman" w:cs="Times New Roman"/>
        </w:rPr>
        <w:t>Rosuvastatin/Ezetimibe Teva</w:t>
      </w:r>
      <w:r w:rsidRPr="003E1719">
        <w:rPr>
          <w:rFonts w:ascii="Times New Roman" w:eastAsia="Times New Roman" w:hAnsi="Times New Roman" w:cs="Times New Roman"/>
        </w:rPr>
        <w:t xml:space="preserve"> paros dozę.</w:t>
      </w:r>
    </w:p>
    <w:p w14:paraId="28A07CAF"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p>
    <w:p w14:paraId="2FDC1620"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b/>
          <w:i/>
          <w:lang w:eastAsia="sl-SI"/>
        </w:rPr>
      </w:pPr>
      <w:r w:rsidRPr="003E1719">
        <w:rPr>
          <w:rFonts w:ascii="Times New Roman" w:eastAsia="Times New Roman" w:hAnsi="Times New Roman" w:cs="Times New Roman"/>
          <w:i/>
          <w:snapToGrid w:val="0"/>
        </w:rPr>
        <w:t>Dozavimas pacientams, kuriems nustatyta miopatijos rizikos veiksnių</w:t>
      </w:r>
    </w:p>
    <w:p w14:paraId="29498738" w14:textId="47030FDF"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snapToGrid w:val="0"/>
        </w:rPr>
        <w:t xml:space="preserve">Rekomenduojama pradinė </w:t>
      </w:r>
      <w:r w:rsidRPr="003E1719">
        <w:rPr>
          <w:rFonts w:ascii="Times New Roman" w:eastAsia="Times New Roman" w:hAnsi="Times New Roman" w:cs="Times New Roman"/>
        </w:rPr>
        <w:t xml:space="preserve">rozuvastatino </w:t>
      </w:r>
      <w:r w:rsidRPr="003E1719">
        <w:rPr>
          <w:rFonts w:ascii="Times New Roman" w:eastAsia="Times New Roman" w:hAnsi="Times New Roman" w:cs="Times New Roman"/>
          <w:snapToGrid w:val="0"/>
        </w:rPr>
        <w:t xml:space="preserve">dozė pacientams, kuriems yra miopatijos rizikos veiksnių, yra </w:t>
      </w:r>
      <w:r w:rsidRPr="005B0496">
        <w:rPr>
          <w:rFonts w:ascii="Times New Roman" w:eastAsia="Times New Roman" w:hAnsi="Times New Roman" w:cs="Times New Roman"/>
          <w:snapToGrid w:val="0"/>
        </w:rPr>
        <w:t>5 mg</w:t>
      </w:r>
      <w:r w:rsidRPr="003E1719">
        <w:rPr>
          <w:rFonts w:ascii="Times New Roman" w:eastAsia="Times New Roman" w:hAnsi="Times New Roman" w:cs="Times New Roman"/>
          <w:snapToGrid w:val="0"/>
        </w:rPr>
        <w:t xml:space="preserve"> (žr. 4.4 skyrių).</w:t>
      </w:r>
      <w:r w:rsidRPr="003E1719">
        <w:rPr>
          <w:rFonts w:ascii="Times New Roman" w:eastAsia="Times New Roman" w:hAnsi="Times New Roman" w:cs="Times New Roman"/>
        </w:rPr>
        <w:t xml:space="preserve"> </w:t>
      </w:r>
      <w:r w:rsidR="005B0496">
        <w:rPr>
          <w:rFonts w:ascii="Times New Roman" w:eastAsia="Times New Roman" w:hAnsi="Times New Roman" w:cs="Times New Roman"/>
          <w:lang w:eastAsia="sl-SI"/>
        </w:rPr>
        <w:t xml:space="preserve">Mažesnės nei 10 mg ezetimibo dozės vartojant </w:t>
      </w:r>
      <w:r w:rsidR="005B0496">
        <w:rPr>
          <w:rFonts w:ascii="Times New Roman" w:eastAsia="Times New Roman" w:hAnsi="Times New Roman" w:cs="Times New Roman"/>
        </w:rPr>
        <w:t>Rosuvastatin/Ezetimibe Teva gauti neįmanoma. Jei reikia vartoti mažesnę dozę, reikia rinktis kitą rinkoje esantį tinkamo stiprumo vaistinį preparatą.</w:t>
      </w:r>
    </w:p>
    <w:p w14:paraId="04D52EA9" w14:textId="77777777" w:rsidR="00C7524D" w:rsidRPr="003E1719" w:rsidRDefault="00C7524D" w:rsidP="000D7B89">
      <w:pPr>
        <w:widowControl w:val="0"/>
        <w:tabs>
          <w:tab w:val="left" w:pos="567"/>
        </w:tabs>
        <w:snapToGrid w:val="0"/>
        <w:spacing w:after="0" w:line="240" w:lineRule="auto"/>
        <w:rPr>
          <w:rFonts w:ascii="Times New Roman" w:eastAsia="Times New Roman" w:hAnsi="Times New Roman" w:cs="Times New Roman"/>
          <w:i/>
        </w:rPr>
      </w:pPr>
    </w:p>
    <w:p w14:paraId="016BCF88"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i/>
        </w:rPr>
      </w:pPr>
      <w:r w:rsidRPr="003E1719">
        <w:rPr>
          <w:rFonts w:ascii="Times New Roman" w:eastAsia="Times New Roman" w:hAnsi="Times New Roman" w:cs="Times New Roman"/>
          <w:i/>
        </w:rPr>
        <w:t>Kartu vartojami vaistiniai preparatai</w:t>
      </w:r>
    </w:p>
    <w:p w14:paraId="2005487C" w14:textId="77777777" w:rsidR="001F765F"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Rozuvastatinas yra įvairių pernašos baltymų (pvz., OATP1B1 ir BCRP) substratas. Miopatijos (įskaitant rabdiomiolizę) rizika padidėja, kai </w:t>
      </w:r>
      <w:r w:rsidR="00AF3800">
        <w:rPr>
          <w:rFonts w:ascii="Times New Roman" w:eastAsia="Times New Roman" w:hAnsi="Times New Roman" w:cs="Times New Roman"/>
        </w:rPr>
        <w:t>Rosuvastatin/Ezetimibe Teva</w:t>
      </w:r>
      <w:r w:rsidR="001F765F" w:rsidRPr="003E1719">
        <w:rPr>
          <w:rFonts w:ascii="Times New Roman" w:eastAsia="Times New Roman" w:hAnsi="Times New Roman" w:cs="Times New Roman"/>
        </w:rPr>
        <w:t xml:space="preserve"> </w:t>
      </w:r>
      <w:r w:rsidRPr="003E1719">
        <w:rPr>
          <w:rFonts w:ascii="Times New Roman" w:eastAsia="Times New Roman" w:hAnsi="Times New Roman" w:cs="Times New Roman"/>
        </w:rPr>
        <w:t>vartojamas kartu su tam tikrais vaistiniais preparatais, kurie dėl sąveikos su šiais pernašos baltymais (pvz., ciklosporinu ir tam tikrais proteazės inhibitoriais, įskaitant ritonaviro derinį su atazanaviru, lopinaviru ir (arba) tipranaviru; žr. 4.4 ir 4.5 skyrius) gali padidinti rozuvastatino koncentraciją kraujo plazmoje.</w:t>
      </w:r>
    </w:p>
    <w:p w14:paraId="05BA79BE" w14:textId="77777777" w:rsidR="001F765F" w:rsidRPr="003E1719" w:rsidRDefault="001F765F" w:rsidP="000D7B89">
      <w:pPr>
        <w:widowControl w:val="0"/>
        <w:tabs>
          <w:tab w:val="left" w:pos="567"/>
        </w:tabs>
        <w:snapToGrid w:val="0"/>
        <w:spacing w:after="0" w:line="240" w:lineRule="auto"/>
        <w:rPr>
          <w:rFonts w:ascii="Times New Roman" w:eastAsia="Times New Roman" w:hAnsi="Times New Roman" w:cs="Times New Roman"/>
        </w:rPr>
      </w:pPr>
    </w:p>
    <w:p w14:paraId="5DDD31F2"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Jei įmanoma, reikia apsvarstyti alternatyvių vaistinių preparatų vartojimą ir, jei reikia,</w:t>
      </w:r>
      <w:r w:rsidR="00063673">
        <w:rPr>
          <w:rFonts w:ascii="Times New Roman" w:eastAsia="Times New Roman" w:hAnsi="Times New Roman" w:cs="Times New Roman"/>
        </w:rPr>
        <w:t xml:space="preserve"> spręsti</w:t>
      </w:r>
      <w:r w:rsidRPr="003E1719">
        <w:rPr>
          <w:rFonts w:ascii="Times New Roman" w:eastAsia="Times New Roman" w:hAnsi="Times New Roman" w:cs="Times New Roman"/>
        </w:rPr>
        <w:t xml:space="preserve"> </w:t>
      </w:r>
      <w:r w:rsidR="00063673">
        <w:rPr>
          <w:rFonts w:ascii="Times New Roman" w:eastAsia="Times New Roman" w:hAnsi="Times New Roman" w:cs="Times New Roman"/>
        </w:rPr>
        <w:t>dėl laikino</w:t>
      </w:r>
      <w:r w:rsidRPr="003E1719">
        <w:rPr>
          <w:rFonts w:ascii="Times New Roman" w:eastAsia="Times New Roman" w:hAnsi="Times New Roman" w:cs="Times New Roman"/>
        </w:rPr>
        <w:t xml:space="preserve"> gydymo </w:t>
      </w:r>
      <w:r w:rsidR="00AF3800">
        <w:rPr>
          <w:rFonts w:ascii="Times New Roman" w:eastAsia="Times New Roman" w:hAnsi="Times New Roman" w:cs="Times New Roman"/>
        </w:rPr>
        <w:t>Rosuvastatin/Ezetimibe Teva</w:t>
      </w:r>
      <w:r w:rsidR="001F765F" w:rsidRPr="003E1719">
        <w:rPr>
          <w:rFonts w:ascii="Times New Roman" w:eastAsia="Times New Roman" w:hAnsi="Times New Roman" w:cs="Times New Roman"/>
        </w:rPr>
        <w:t xml:space="preserve"> </w:t>
      </w:r>
      <w:r w:rsidRPr="003E1719">
        <w:rPr>
          <w:rFonts w:ascii="Times New Roman" w:eastAsia="Times New Roman" w:hAnsi="Times New Roman" w:cs="Times New Roman"/>
        </w:rPr>
        <w:t>sustabdym</w:t>
      </w:r>
      <w:r w:rsidR="00063673">
        <w:rPr>
          <w:rFonts w:ascii="Times New Roman" w:eastAsia="Times New Roman" w:hAnsi="Times New Roman" w:cs="Times New Roman"/>
        </w:rPr>
        <w:t>o</w:t>
      </w:r>
      <w:r w:rsidRPr="003E1719">
        <w:rPr>
          <w:rFonts w:ascii="Times New Roman" w:eastAsia="Times New Roman" w:hAnsi="Times New Roman" w:cs="Times New Roman"/>
        </w:rPr>
        <w:t xml:space="preserve">. Tais atvejais, kai minėtų vaistinių preparatų vartojimo kartu su </w:t>
      </w:r>
      <w:r w:rsidR="00AF3800">
        <w:rPr>
          <w:rFonts w:ascii="Times New Roman" w:eastAsia="Times New Roman" w:hAnsi="Times New Roman" w:cs="Times New Roman"/>
        </w:rPr>
        <w:t>Rosuvastatin/Ezetimibe Teva</w:t>
      </w:r>
      <w:r w:rsidR="001F765F" w:rsidRPr="003E1719">
        <w:rPr>
          <w:rFonts w:ascii="Times New Roman" w:eastAsia="Times New Roman" w:hAnsi="Times New Roman" w:cs="Times New Roman"/>
        </w:rPr>
        <w:t xml:space="preserve"> </w:t>
      </w:r>
      <w:r w:rsidRPr="003E1719">
        <w:rPr>
          <w:rFonts w:ascii="Times New Roman" w:eastAsia="Times New Roman" w:hAnsi="Times New Roman" w:cs="Times New Roman"/>
        </w:rPr>
        <w:t>išvengti neįmanoma, būtina atidžiai įvertinti tokio kombinuotojo gydymo rizikos ir naudos santykį bei rozuvastatino dozės koregavimo reikalingumą (žr. 4.5 skyrių).</w:t>
      </w:r>
    </w:p>
    <w:p w14:paraId="09D1F0C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60F2556"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Vartojimo metodas</w:t>
      </w:r>
    </w:p>
    <w:p w14:paraId="1E1837AD" w14:textId="77777777" w:rsidR="00EC0BD2" w:rsidRPr="003E1719" w:rsidRDefault="00EC0BD2" w:rsidP="000D7B89">
      <w:pPr>
        <w:widowControl w:val="0"/>
        <w:spacing w:after="0" w:line="240" w:lineRule="auto"/>
        <w:rPr>
          <w:rFonts w:ascii="Times New Roman" w:eastAsia="Times New Roman" w:hAnsi="Times New Roman" w:cs="Times New Roman"/>
          <w:lang w:eastAsia="sl-SI"/>
        </w:rPr>
      </w:pPr>
    </w:p>
    <w:p w14:paraId="221C9CC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Vartoti per burną.</w:t>
      </w:r>
    </w:p>
    <w:p w14:paraId="3EB62E5E" w14:textId="77777777" w:rsidR="00AF3800" w:rsidRDefault="00AF3800" w:rsidP="001F765F">
      <w:pPr>
        <w:widowControl w:val="0"/>
        <w:spacing w:after="0" w:line="240" w:lineRule="auto"/>
        <w:rPr>
          <w:rFonts w:ascii="Times New Roman" w:eastAsia="Times New Roman" w:hAnsi="Times New Roman" w:cs="Times New Roman"/>
        </w:rPr>
      </w:pPr>
    </w:p>
    <w:p w14:paraId="6E1DA3F6" w14:textId="77777777" w:rsidR="001F765F" w:rsidRPr="003E1719" w:rsidRDefault="00AF3800" w:rsidP="001F765F">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Rosuvastatin/Ezetimibe Teva</w:t>
      </w:r>
      <w:r w:rsidR="001F765F" w:rsidRPr="003E1719">
        <w:rPr>
          <w:rFonts w:ascii="Times New Roman" w:eastAsia="Times New Roman" w:hAnsi="Times New Roman" w:cs="Times New Roman"/>
        </w:rPr>
        <w:t xml:space="preserve"> reikia vartoti kasdien tuo pačiu dienos laiku, galima vartoti valgant arba nevalgant</w:t>
      </w:r>
      <w:r w:rsidR="001F765F" w:rsidRPr="003E1719">
        <w:rPr>
          <w:rFonts w:ascii="Times New Roman" w:eastAsia="Times New Roman" w:hAnsi="Times New Roman" w:cs="Times New Roman"/>
          <w:lang w:eastAsia="sl-SI"/>
        </w:rPr>
        <w:t>.</w:t>
      </w:r>
      <w:r w:rsidR="00E93F12" w:rsidRPr="003E1719">
        <w:rPr>
          <w:rFonts w:ascii="Times New Roman" w:eastAsia="Times New Roman" w:hAnsi="Times New Roman" w:cs="Times New Roman"/>
          <w:lang w:eastAsia="sl-SI"/>
        </w:rPr>
        <w:t xml:space="preserve"> Tabletę reikia nuryti nesukramtytą užsigeriant vandeniu.</w:t>
      </w:r>
    </w:p>
    <w:p w14:paraId="0228101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5FD7E8B"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4.3</w:t>
      </w:r>
      <w:r w:rsidRPr="003E1719">
        <w:rPr>
          <w:rFonts w:ascii="Times New Roman" w:eastAsia="Times New Roman" w:hAnsi="Times New Roman" w:cs="Times New Roman"/>
          <w:b/>
          <w:lang w:eastAsia="sl-SI"/>
        </w:rPr>
        <w:tab/>
        <w:t>Kontraindikacijos</w:t>
      </w:r>
    </w:p>
    <w:p w14:paraId="78EC8BF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5C1672E" w14:textId="45F4E723" w:rsidR="000D7B89" w:rsidRPr="003E1719" w:rsidRDefault="00AF3800" w:rsidP="000D7B89">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r w:rsidR="00246480">
        <w:rPr>
          <w:rFonts w:ascii="Times New Roman" w:eastAsia="Times New Roman" w:hAnsi="Times New Roman" w:cs="Times New Roman"/>
        </w:rPr>
        <w:t>draudžiama</w:t>
      </w:r>
      <w:r w:rsidR="00246480" w:rsidRPr="003E1719">
        <w:rPr>
          <w:rFonts w:ascii="Times New Roman" w:eastAsia="Times New Roman" w:hAnsi="Times New Roman" w:cs="Times New Roman"/>
        </w:rPr>
        <w:t xml:space="preserve"> </w:t>
      </w:r>
      <w:r w:rsidR="000D7B89" w:rsidRPr="003E1719">
        <w:rPr>
          <w:rFonts w:ascii="Times New Roman" w:eastAsia="Times New Roman" w:hAnsi="Times New Roman" w:cs="Times New Roman"/>
        </w:rPr>
        <w:t>vartoti:</w:t>
      </w:r>
    </w:p>
    <w:p w14:paraId="07A02642" w14:textId="77777777" w:rsidR="000D7B89" w:rsidRPr="003E1719" w:rsidRDefault="000D7B89" w:rsidP="000D7B89">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sidRPr="003E1719">
        <w:rPr>
          <w:rFonts w:ascii="Times New Roman" w:eastAsia="Times New Roman" w:hAnsi="Times New Roman" w:cs="Times New Roman"/>
        </w:rPr>
        <w:t>pacientams, kuriems yra padidėjęs jautrumas veikliosioms medžiagoms arba bet kuriai 6.1 skyriuje nurodytai pagalbinei medžiagai;</w:t>
      </w:r>
    </w:p>
    <w:p w14:paraId="25E85D96" w14:textId="77777777" w:rsidR="000D7B89" w:rsidRPr="003E1719" w:rsidRDefault="000D7B89" w:rsidP="000D7B89">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sidRPr="003E1719">
        <w:rPr>
          <w:rFonts w:ascii="Times New Roman" w:eastAsia="Times New Roman" w:hAnsi="Times New Roman" w:cs="Times New Roman"/>
        </w:rPr>
        <w:t xml:space="preserve">pacientams, sergantiems aktyvia kepenų liga, įskaitant </w:t>
      </w:r>
      <w:r w:rsidR="00E93F12" w:rsidRPr="003E1719">
        <w:rPr>
          <w:rFonts w:ascii="Times New Roman" w:eastAsia="Times New Roman" w:hAnsi="Times New Roman" w:cs="Times New Roman"/>
        </w:rPr>
        <w:t>pastovų</w:t>
      </w:r>
      <w:r w:rsidRPr="003E1719">
        <w:rPr>
          <w:rFonts w:ascii="Times New Roman" w:eastAsia="Times New Roman" w:hAnsi="Times New Roman" w:cs="Times New Roman"/>
        </w:rPr>
        <w:t xml:space="preserve"> transaminazių aktyvumo padidėjimą kraujo serume dėl neaiškios priežasties arba bet kokį transaminazės aktyvumo kraujo serume padidėjimą, daugiau kaip 3 kartus viršijantį viršutinę normos ribą (VNR)</w:t>
      </w:r>
      <w:r w:rsidR="00E93F12" w:rsidRPr="003E1719">
        <w:rPr>
          <w:rFonts w:ascii="Times New Roman" w:eastAsia="Times New Roman" w:hAnsi="Times New Roman" w:cs="Times New Roman"/>
        </w:rPr>
        <w:t xml:space="preserve"> (žr. 4.4 skyrių)</w:t>
      </w:r>
      <w:r w:rsidRPr="003E1719">
        <w:rPr>
          <w:rFonts w:ascii="Times New Roman" w:eastAsia="Times New Roman" w:hAnsi="Times New Roman" w:cs="Times New Roman"/>
        </w:rPr>
        <w:t>;</w:t>
      </w:r>
    </w:p>
    <w:p w14:paraId="5E5B1264" w14:textId="77777777" w:rsidR="00E93F12" w:rsidRPr="003E1719" w:rsidRDefault="00E93F12" w:rsidP="00E93F12">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sidRPr="003E1719">
        <w:rPr>
          <w:rFonts w:ascii="Times New Roman" w:eastAsia="Times New Roman" w:hAnsi="Times New Roman" w:cs="Times New Roman"/>
        </w:rPr>
        <w:t>nėštumo metu, žindymo laikotarpiu ir vaisingoms moterims, kurios nenaudoja tinkamų kontracepcijos priemonių;</w:t>
      </w:r>
    </w:p>
    <w:p w14:paraId="66DD6A6E" w14:textId="77777777" w:rsidR="000D7B89" w:rsidRPr="003E1719" w:rsidRDefault="000D7B89" w:rsidP="000D7B89">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sidRPr="003E1719">
        <w:rPr>
          <w:rFonts w:ascii="Times New Roman" w:eastAsia="Times New Roman" w:hAnsi="Times New Roman" w:cs="Times New Roman"/>
        </w:rPr>
        <w:t>pacientams, kuriems yra sunkus inkstų funkcijos sutrikimas (kreatinino klirensas &lt;</w:t>
      </w:r>
      <w:r w:rsidR="00E93F12" w:rsidRPr="003E1719">
        <w:rPr>
          <w:rFonts w:ascii="Times New Roman" w:eastAsia="Times New Roman" w:hAnsi="Times New Roman" w:cs="Times New Roman"/>
        </w:rPr>
        <w:t> </w:t>
      </w:r>
      <w:r w:rsidRPr="003E1719">
        <w:rPr>
          <w:rFonts w:ascii="Times New Roman" w:eastAsia="Times New Roman" w:hAnsi="Times New Roman" w:cs="Times New Roman"/>
        </w:rPr>
        <w:t>30 ml/min.);</w:t>
      </w:r>
    </w:p>
    <w:p w14:paraId="5748F193" w14:textId="77777777" w:rsidR="000D7B89" w:rsidRPr="003E1719" w:rsidRDefault="000D7B89" w:rsidP="00E93F12">
      <w:pPr>
        <w:widowControl w:val="0"/>
        <w:numPr>
          <w:ilvl w:val="0"/>
          <w:numId w:val="19"/>
        </w:numPr>
        <w:tabs>
          <w:tab w:val="left" w:pos="567"/>
        </w:tabs>
        <w:snapToGrid w:val="0"/>
        <w:spacing w:after="0" w:line="240" w:lineRule="auto"/>
        <w:ind w:left="567" w:hanging="567"/>
        <w:rPr>
          <w:rFonts w:ascii="Times New Roman" w:eastAsia="Times New Roman" w:hAnsi="Times New Roman" w:cs="Times New Roman"/>
        </w:rPr>
      </w:pPr>
      <w:r w:rsidRPr="003E1719">
        <w:rPr>
          <w:rFonts w:ascii="Times New Roman" w:eastAsia="Times New Roman" w:hAnsi="Times New Roman" w:cs="Times New Roman"/>
        </w:rPr>
        <w:t>pacientams, sergantiems miopatija</w:t>
      </w:r>
      <w:r w:rsidR="00E93F12" w:rsidRPr="003E1719">
        <w:rPr>
          <w:rFonts w:ascii="Times New Roman" w:eastAsia="Times New Roman" w:hAnsi="Times New Roman" w:cs="Times New Roman"/>
        </w:rPr>
        <w:t xml:space="preserve"> (žr. 4.4 skyrių)</w:t>
      </w:r>
      <w:r w:rsidRPr="003E1719">
        <w:rPr>
          <w:rFonts w:ascii="Times New Roman" w:eastAsia="Times New Roman" w:hAnsi="Times New Roman" w:cs="Times New Roman"/>
        </w:rPr>
        <w:t>;</w:t>
      </w:r>
    </w:p>
    <w:p w14:paraId="246878A9" w14:textId="5F53FE15" w:rsidR="000D7B89" w:rsidRPr="003E1719" w:rsidRDefault="000D7B89" w:rsidP="000D7B89">
      <w:pPr>
        <w:widowControl w:val="0"/>
        <w:numPr>
          <w:ilvl w:val="0"/>
          <w:numId w:val="5"/>
        </w:numPr>
        <w:tabs>
          <w:tab w:val="left" w:pos="567"/>
        </w:tabs>
        <w:snapToGrid w:val="0"/>
        <w:spacing w:after="0" w:line="240" w:lineRule="auto"/>
        <w:ind w:left="567" w:hanging="567"/>
        <w:rPr>
          <w:rFonts w:ascii="Times New Roman" w:eastAsia="Times New Roman" w:hAnsi="Times New Roman" w:cs="Times New Roman"/>
        </w:rPr>
      </w:pPr>
      <w:r w:rsidRPr="003E1719">
        <w:rPr>
          <w:rFonts w:ascii="Times New Roman" w:eastAsia="Times New Roman" w:hAnsi="Times New Roman" w:cs="Times New Roman"/>
        </w:rPr>
        <w:t xml:space="preserve">pacientams, kurie kartu vartoja </w:t>
      </w:r>
      <w:r w:rsidRPr="003E1719">
        <w:rPr>
          <w:rFonts w:ascii="Times New Roman" w:eastAsia="Times New Roman" w:hAnsi="Times New Roman" w:cs="Times New Roman"/>
          <w:lang w:eastAsia="lt-LT"/>
        </w:rPr>
        <w:t>sofosbuviro/velpatasviro/voksilapreviro derin</w:t>
      </w:r>
      <w:r w:rsidR="00246480">
        <w:rPr>
          <w:rFonts w:ascii="Times New Roman" w:eastAsia="Times New Roman" w:hAnsi="Times New Roman" w:cs="Times New Roman"/>
          <w:lang w:eastAsia="lt-LT"/>
        </w:rPr>
        <w:t>io</w:t>
      </w:r>
      <w:r w:rsidRPr="003E1719">
        <w:rPr>
          <w:rFonts w:ascii="Times New Roman" w:eastAsia="Times New Roman" w:hAnsi="Times New Roman" w:cs="Times New Roman"/>
          <w:lang w:eastAsia="lt-LT"/>
        </w:rPr>
        <w:t xml:space="preserve"> (žr. 4.5 skyrių);</w:t>
      </w:r>
    </w:p>
    <w:p w14:paraId="56E9A038" w14:textId="344759B3" w:rsidR="00E93F12" w:rsidRPr="003E1719" w:rsidRDefault="000D7B89" w:rsidP="00E93F12">
      <w:pPr>
        <w:widowControl w:val="0"/>
        <w:numPr>
          <w:ilvl w:val="0"/>
          <w:numId w:val="19"/>
        </w:numPr>
        <w:tabs>
          <w:tab w:val="left" w:pos="567"/>
        </w:tabs>
        <w:snapToGrid w:val="0"/>
        <w:spacing w:after="0" w:line="240" w:lineRule="auto"/>
        <w:ind w:left="567" w:hanging="567"/>
        <w:rPr>
          <w:rFonts w:ascii="Times New Roman" w:eastAsia="Times New Roman" w:hAnsi="Times New Roman" w:cs="Times New Roman"/>
        </w:rPr>
      </w:pPr>
      <w:r w:rsidRPr="003E1719">
        <w:rPr>
          <w:rFonts w:ascii="Times New Roman" w:eastAsia="Times New Roman" w:hAnsi="Times New Roman" w:cs="Times New Roman"/>
        </w:rPr>
        <w:t>pacientams, kurie kartu vartoja ciklosporin</w:t>
      </w:r>
      <w:r w:rsidR="00246480">
        <w:rPr>
          <w:rFonts w:ascii="Times New Roman" w:eastAsia="Times New Roman" w:hAnsi="Times New Roman" w:cs="Times New Roman"/>
        </w:rPr>
        <w:t>o</w:t>
      </w:r>
      <w:r w:rsidR="00E93F12" w:rsidRPr="003E1719">
        <w:rPr>
          <w:rFonts w:ascii="Times New Roman" w:eastAsia="Times New Roman" w:hAnsi="Times New Roman" w:cs="Times New Roman"/>
        </w:rPr>
        <w:t xml:space="preserve"> (žr. 4.4, 4.5 ir 5.2 skyrius).</w:t>
      </w:r>
    </w:p>
    <w:p w14:paraId="5BB4605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1E15EFF"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4.4</w:t>
      </w:r>
      <w:r w:rsidRPr="003E1719">
        <w:rPr>
          <w:rFonts w:ascii="Times New Roman" w:eastAsia="Times New Roman" w:hAnsi="Times New Roman" w:cs="Times New Roman"/>
          <w:b/>
          <w:lang w:eastAsia="sl-SI"/>
        </w:rPr>
        <w:tab/>
        <w:t>Specialūs įspėjimai ir atsargumo priemonės</w:t>
      </w:r>
    </w:p>
    <w:p w14:paraId="2E06319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EA9E066" w14:textId="77777777" w:rsidR="000D7B89" w:rsidRPr="003E1719" w:rsidRDefault="000D7B89" w:rsidP="000D7B89">
      <w:pPr>
        <w:widowControl w:val="0"/>
        <w:spacing w:after="0" w:line="240" w:lineRule="auto"/>
        <w:rPr>
          <w:rFonts w:ascii="Times New Roman" w:eastAsia="Times New Roman" w:hAnsi="Times New Roman" w:cs="Times New Roman"/>
          <w:b/>
          <w:u w:val="single"/>
          <w:lang w:eastAsia="sl-SI"/>
        </w:rPr>
      </w:pPr>
      <w:r w:rsidRPr="003E1719">
        <w:rPr>
          <w:rFonts w:ascii="Times New Roman" w:eastAsia="Calibri" w:hAnsi="Times New Roman" w:cs="Times New Roman"/>
          <w:u w:val="single"/>
        </w:rPr>
        <w:t>Poveikis skeleto raumenims</w:t>
      </w:r>
    </w:p>
    <w:p w14:paraId="161281C6" w14:textId="663BEDB0" w:rsidR="000D7B89" w:rsidRPr="003E1719" w:rsidRDefault="00E93F12" w:rsidP="000D7B89">
      <w:pPr>
        <w:widowControl w:val="0"/>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Gauta pranešimų, kad v</w:t>
      </w:r>
      <w:r w:rsidR="000D7B89" w:rsidRPr="003E1719">
        <w:rPr>
          <w:rFonts w:ascii="Times New Roman" w:eastAsia="Times New Roman" w:hAnsi="Times New Roman" w:cs="Times New Roman"/>
          <w:snapToGrid w:val="0"/>
        </w:rPr>
        <w:t>artojant vis</w:t>
      </w:r>
      <w:r w:rsidR="00246480">
        <w:rPr>
          <w:rFonts w:ascii="Times New Roman" w:eastAsia="Times New Roman" w:hAnsi="Times New Roman" w:cs="Times New Roman"/>
          <w:snapToGrid w:val="0"/>
        </w:rPr>
        <w:t>ų</w:t>
      </w:r>
      <w:r w:rsidR="000D7B89" w:rsidRPr="003E1719">
        <w:rPr>
          <w:rFonts w:ascii="Times New Roman" w:eastAsia="Times New Roman" w:hAnsi="Times New Roman" w:cs="Times New Roman"/>
          <w:snapToGrid w:val="0"/>
        </w:rPr>
        <w:t xml:space="preserve"> ir ypač didesn</w:t>
      </w:r>
      <w:r w:rsidR="00246480">
        <w:rPr>
          <w:rFonts w:ascii="Times New Roman" w:eastAsia="Times New Roman" w:hAnsi="Times New Roman" w:cs="Times New Roman"/>
          <w:snapToGrid w:val="0"/>
        </w:rPr>
        <w:t>ių</w:t>
      </w:r>
      <w:r w:rsidR="000D7B89" w:rsidRPr="003E1719">
        <w:rPr>
          <w:rFonts w:ascii="Times New Roman" w:eastAsia="Times New Roman" w:hAnsi="Times New Roman" w:cs="Times New Roman"/>
          <w:snapToGrid w:val="0"/>
        </w:rPr>
        <w:t xml:space="preserve"> kaip 20 mg </w:t>
      </w:r>
      <w:r w:rsidRPr="003E1719">
        <w:rPr>
          <w:rFonts w:ascii="Times New Roman" w:eastAsia="Times New Roman" w:hAnsi="Times New Roman" w:cs="Times New Roman"/>
          <w:snapToGrid w:val="0"/>
        </w:rPr>
        <w:t xml:space="preserve">rozuvastatinu </w:t>
      </w:r>
      <w:r w:rsidR="000D7B89" w:rsidRPr="003E1719">
        <w:rPr>
          <w:rFonts w:ascii="Times New Roman" w:eastAsia="Times New Roman" w:hAnsi="Times New Roman" w:cs="Times New Roman"/>
          <w:snapToGrid w:val="0"/>
        </w:rPr>
        <w:t>doz</w:t>
      </w:r>
      <w:r w:rsidR="00246480">
        <w:rPr>
          <w:rFonts w:ascii="Times New Roman" w:eastAsia="Times New Roman" w:hAnsi="Times New Roman" w:cs="Times New Roman"/>
          <w:snapToGrid w:val="0"/>
        </w:rPr>
        <w:t>ių</w:t>
      </w:r>
      <w:r w:rsidRPr="003E1719">
        <w:rPr>
          <w:rFonts w:ascii="Times New Roman" w:eastAsia="Times New Roman" w:hAnsi="Times New Roman" w:cs="Times New Roman"/>
          <w:snapToGrid w:val="0"/>
        </w:rPr>
        <w:t>,</w:t>
      </w:r>
      <w:r w:rsidR="000D7B89" w:rsidRPr="003E1719">
        <w:rPr>
          <w:rFonts w:ascii="Times New Roman" w:eastAsia="Times New Roman" w:hAnsi="Times New Roman" w:cs="Times New Roman"/>
          <w:snapToGrid w:val="0"/>
        </w:rPr>
        <w:t xml:space="preserve"> pacientams pasireišk</w:t>
      </w:r>
      <w:r w:rsidRPr="003E1719">
        <w:rPr>
          <w:rFonts w:ascii="Times New Roman" w:eastAsia="Times New Roman" w:hAnsi="Times New Roman" w:cs="Times New Roman"/>
          <w:snapToGrid w:val="0"/>
        </w:rPr>
        <w:t>ė</w:t>
      </w:r>
      <w:r w:rsidR="000D7B89" w:rsidRPr="003E1719">
        <w:rPr>
          <w:rFonts w:ascii="Times New Roman" w:eastAsia="Times New Roman" w:hAnsi="Times New Roman" w:cs="Times New Roman"/>
          <w:snapToGrid w:val="0"/>
        </w:rPr>
        <w:t xml:space="preserve"> poveik</w:t>
      </w:r>
      <w:r w:rsidRPr="003E1719">
        <w:rPr>
          <w:rFonts w:ascii="Times New Roman" w:eastAsia="Times New Roman" w:hAnsi="Times New Roman" w:cs="Times New Roman"/>
          <w:snapToGrid w:val="0"/>
        </w:rPr>
        <w:t>is</w:t>
      </w:r>
      <w:r w:rsidR="000D7B89" w:rsidRPr="003E1719">
        <w:rPr>
          <w:rFonts w:ascii="Times New Roman" w:eastAsia="Times New Roman" w:hAnsi="Times New Roman" w:cs="Times New Roman"/>
          <w:snapToGrid w:val="0"/>
        </w:rPr>
        <w:t xml:space="preserve"> s</w:t>
      </w:r>
      <w:r w:rsidRPr="003E1719">
        <w:rPr>
          <w:rFonts w:ascii="Times New Roman" w:eastAsia="Times New Roman" w:hAnsi="Times New Roman" w:cs="Times New Roman"/>
          <w:snapToGrid w:val="0"/>
        </w:rPr>
        <w:t>keleto raumenims, pvz., mialgija, miopatija</w:t>
      </w:r>
      <w:r w:rsidR="000D7B89" w:rsidRPr="003E1719">
        <w:rPr>
          <w:rFonts w:ascii="Times New Roman" w:eastAsia="Times New Roman" w:hAnsi="Times New Roman" w:cs="Times New Roman"/>
          <w:snapToGrid w:val="0"/>
        </w:rPr>
        <w:t xml:space="preserve"> ir</w:t>
      </w:r>
      <w:r w:rsidRPr="003E1719">
        <w:rPr>
          <w:rFonts w:ascii="Times New Roman" w:eastAsia="Times New Roman" w:hAnsi="Times New Roman" w:cs="Times New Roman"/>
          <w:snapToGrid w:val="0"/>
        </w:rPr>
        <w:t>, retais atvejais, rabdomiolizė</w:t>
      </w:r>
      <w:r w:rsidR="000D7B89" w:rsidRPr="003E1719">
        <w:rPr>
          <w:rFonts w:ascii="Times New Roman" w:eastAsia="Times New Roman" w:hAnsi="Times New Roman" w:cs="Times New Roman"/>
          <w:snapToGrid w:val="0"/>
        </w:rPr>
        <w:t>.</w:t>
      </w:r>
    </w:p>
    <w:p w14:paraId="5F093ECD" w14:textId="77777777" w:rsidR="009C569A" w:rsidRPr="003E1719" w:rsidRDefault="000D7B89" w:rsidP="009C569A">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 xml:space="preserve">Po ezetimibo pateikimo į rinką gauta pranešimų apie miopatijos ir rabdomiolizės atvejus. </w:t>
      </w:r>
      <w:r w:rsidR="009C569A" w:rsidRPr="003E1719">
        <w:rPr>
          <w:rFonts w:ascii="Times New Roman" w:eastAsia="Times New Roman" w:hAnsi="Times New Roman" w:cs="Times New Roman"/>
          <w:snapToGrid w:val="0"/>
          <w:lang w:eastAsia="sl-SI"/>
        </w:rPr>
        <w:t>Vis dėlto, vartojant vien ezetimibo rabdomiolizė atsirasdavo labai retai ir labai retai derinant ezetimibą su kitais vaistiniais preparatais, kurie žinomai susiję su rabdomiolizės padidėjimo rizika.</w:t>
      </w:r>
    </w:p>
    <w:p w14:paraId="00BB2F52" w14:textId="77777777" w:rsidR="009C569A" w:rsidRPr="003E1719" w:rsidRDefault="009C569A" w:rsidP="009C569A">
      <w:pPr>
        <w:widowControl w:val="0"/>
        <w:tabs>
          <w:tab w:val="left" w:pos="567"/>
        </w:tabs>
        <w:spacing w:after="0" w:line="240" w:lineRule="auto"/>
        <w:rPr>
          <w:rFonts w:ascii="Times New Roman" w:eastAsia="Times New Roman" w:hAnsi="Times New Roman" w:cs="Times New Roman"/>
          <w:snapToGrid w:val="0"/>
          <w:highlight w:val="yellow"/>
          <w:lang w:eastAsia="sl-SI"/>
        </w:rPr>
      </w:pPr>
    </w:p>
    <w:p w14:paraId="2812FF08" w14:textId="77777777" w:rsidR="000D7B89" w:rsidRPr="008B4659" w:rsidRDefault="000D7B89" w:rsidP="008B4659">
      <w:pPr>
        <w:widowControl w:val="0"/>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Jei, remiantis raumenų simptomais, įtariama, kad pasireiškė miopatija, arba ji patvirtinama kreatinfosfoki</w:t>
      </w:r>
      <w:r w:rsidR="009C569A" w:rsidRPr="003E1719">
        <w:rPr>
          <w:rFonts w:ascii="Times New Roman" w:eastAsia="Times New Roman" w:hAnsi="Times New Roman" w:cs="Times New Roman"/>
          <w:snapToGrid w:val="0"/>
        </w:rPr>
        <w:t>nazės (KFK) aktyvumo padidėjimu</w:t>
      </w:r>
      <w:r w:rsidRPr="003E1719">
        <w:rPr>
          <w:rFonts w:ascii="Times New Roman" w:eastAsia="Times New Roman" w:hAnsi="Times New Roman" w:cs="Times New Roman"/>
          <w:snapToGrid w:val="0"/>
        </w:rPr>
        <w:t xml:space="preserve">, gydymą </w:t>
      </w:r>
      <w:r w:rsidR="00AF3800" w:rsidRPr="008B4659">
        <w:rPr>
          <w:rFonts w:ascii="Times New Roman" w:eastAsia="Times New Roman" w:hAnsi="Times New Roman" w:cs="Times New Roman"/>
          <w:snapToGrid w:val="0"/>
        </w:rPr>
        <w:t>Rosuvastatin/Ezetimibe Teva</w:t>
      </w:r>
      <w:r w:rsidR="009C569A" w:rsidRPr="008B4659">
        <w:rPr>
          <w:rFonts w:ascii="Times New Roman" w:eastAsia="Times New Roman" w:hAnsi="Times New Roman" w:cs="Times New Roman"/>
          <w:snapToGrid w:val="0"/>
        </w:rPr>
        <w:t xml:space="preserve"> arba</w:t>
      </w:r>
      <w:r w:rsidRPr="003E1719">
        <w:rPr>
          <w:rFonts w:ascii="Times New Roman" w:eastAsia="Times New Roman" w:hAnsi="Times New Roman" w:cs="Times New Roman"/>
          <w:snapToGrid w:val="0"/>
        </w:rPr>
        <w:t xml:space="preserve"> bet kuriuo </w:t>
      </w:r>
      <w:r w:rsidR="009C569A" w:rsidRPr="003E1719">
        <w:rPr>
          <w:rFonts w:ascii="Times New Roman" w:eastAsia="Times New Roman" w:hAnsi="Times New Roman" w:cs="Times New Roman"/>
          <w:snapToGrid w:val="0"/>
        </w:rPr>
        <w:t>kitu paciento vartojamu vaistiniu preparatu, kuris susijęs su padidėjusia rabdomiolizės rizika, reikia nedelsiant nutraukti.</w:t>
      </w:r>
      <w:r w:rsidR="00B20BF8" w:rsidRPr="003E1719">
        <w:rPr>
          <w:rFonts w:ascii="Times New Roman" w:eastAsia="Times New Roman" w:hAnsi="Times New Roman" w:cs="Times New Roman"/>
          <w:snapToGrid w:val="0"/>
        </w:rPr>
        <w:t xml:space="preserve"> </w:t>
      </w:r>
      <w:r w:rsidRPr="003E1719">
        <w:rPr>
          <w:rFonts w:ascii="Times New Roman" w:eastAsia="Times New Roman" w:hAnsi="Times New Roman" w:cs="Times New Roman"/>
          <w:snapToGrid w:val="0"/>
        </w:rPr>
        <w:t>Prieš gydymo pradžią vis</w:t>
      </w:r>
      <w:r w:rsidR="00B20BF8" w:rsidRPr="003E1719">
        <w:rPr>
          <w:rFonts w:ascii="Times New Roman" w:eastAsia="Times New Roman" w:hAnsi="Times New Roman" w:cs="Times New Roman"/>
          <w:snapToGrid w:val="0"/>
        </w:rPr>
        <w:t>us pacientus reikia į</w:t>
      </w:r>
      <w:r w:rsidRPr="003E1719">
        <w:rPr>
          <w:rFonts w:ascii="Times New Roman" w:eastAsia="Times New Roman" w:hAnsi="Times New Roman" w:cs="Times New Roman"/>
          <w:snapToGrid w:val="0"/>
        </w:rPr>
        <w:t>spėti, kad nedelsdami praneštų apie dėl neaiškių priežasčių atsiradusį raumenų skausmą, jautrumą ar silpnumą (žr. 4.8 skyrių).</w:t>
      </w:r>
    </w:p>
    <w:p w14:paraId="7BCEB01E" w14:textId="77777777" w:rsidR="000D7B89" w:rsidRPr="003E1719" w:rsidRDefault="000D7B89" w:rsidP="000D7B89">
      <w:pPr>
        <w:widowControl w:val="0"/>
        <w:spacing w:after="0" w:line="240" w:lineRule="auto"/>
        <w:rPr>
          <w:rFonts w:ascii="Times New Roman" w:eastAsia="Times New Roman" w:hAnsi="Times New Roman" w:cs="Times New Roman"/>
          <w:snapToGrid w:val="0"/>
        </w:rPr>
      </w:pPr>
    </w:p>
    <w:p w14:paraId="2A82B079" w14:textId="43697BDC" w:rsidR="00632C26" w:rsidRPr="00632C26" w:rsidRDefault="00632C26" w:rsidP="00632C26">
      <w:pPr>
        <w:spacing w:after="0" w:line="240" w:lineRule="auto"/>
        <w:rPr>
          <w:rFonts w:ascii="Times New Roman" w:eastAsia="Calibri" w:hAnsi="Times New Roman" w:cs="Times New Roman"/>
        </w:rPr>
      </w:pPr>
      <w:r w:rsidRPr="00632C26">
        <w:rPr>
          <w:rFonts w:ascii="Times New Roman" w:eastAsia="Calibri" w:hAnsi="Times New Roman" w:cs="Times New Roman"/>
        </w:rPr>
        <w:t xml:space="preserve">Keliais atvejais gauta pranešimų apie tai, kad statinai </w:t>
      </w:r>
      <w:r w:rsidRPr="00B1609A">
        <w:rPr>
          <w:rFonts w:ascii="Times New Roman" w:eastAsia="Calibri" w:hAnsi="Times New Roman" w:cs="Times New Roman"/>
          <w:i/>
        </w:rPr>
        <w:t>de novo</w:t>
      </w:r>
      <w:r w:rsidRPr="00632C26">
        <w:rPr>
          <w:rFonts w:ascii="Times New Roman" w:eastAsia="Calibri" w:hAnsi="Times New Roman" w:cs="Times New Roman"/>
        </w:rPr>
        <w:t xml:space="preserve"> sukelia sunkiąją miasteniją ar akių miasteniją arba pasunkina šiomis ligomis jau sergančių pacientų būklę (žr. 4.8 skyrių). Jeigu ligos simptomai paūmėja, </w:t>
      </w:r>
      <w:r>
        <w:rPr>
          <w:rFonts w:ascii="Times New Roman" w:eastAsia="Calibri" w:hAnsi="Times New Roman" w:cs="Times New Roman"/>
        </w:rPr>
        <w:t>Rosuvastatin/Ezetimibe Teva</w:t>
      </w:r>
      <w:r w:rsidRPr="00632C26">
        <w:rPr>
          <w:rFonts w:ascii="Times New Roman" w:eastAsia="Calibri" w:hAnsi="Times New Roman" w:cs="Times New Roman"/>
        </w:rPr>
        <w:t xml:space="preserve"> vartojimą reikia nutraukti. Gauta pranešimų apie atsinaujinusios ligos atvejus, kai buvo (pakartotinai) vartojamas tas pats arba kitas statinų grupės </w:t>
      </w:r>
    </w:p>
    <w:p w14:paraId="42D925B0" w14:textId="72B8DCBC" w:rsidR="00632C26" w:rsidRDefault="00632C26" w:rsidP="00632C26">
      <w:pPr>
        <w:widowControl w:val="0"/>
        <w:spacing w:after="0" w:line="240" w:lineRule="auto"/>
        <w:rPr>
          <w:rFonts w:ascii="Times New Roman" w:eastAsia="Calibri" w:hAnsi="Times New Roman" w:cs="Times New Roman"/>
          <w:i/>
        </w:rPr>
      </w:pPr>
      <w:r w:rsidRPr="00632C26">
        <w:rPr>
          <w:rFonts w:ascii="Times New Roman" w:eastAsia="Calibri" w:hAnsi="Times New Roman" w:cs="Times New Roman"/>
        </w:rPr>
        <w:t>vaistinis preparatas.</w:t>
      </w:r>
    </w:p>
    <w:p w14:paraId="12BFD1EE" w14:textId="77777777" w:rsidR="00632C26" w:rsidRDefault="00632C26" w:rsidP="000D7B89">
      <w:pPr>
        <w:widowControl w:val="0"/>
        <w:spacing w:after="0" w:line="240" w:lineRule="auto"/>
        <w:rPr>
          <w:rFonts w:ascii="Times New Roman" w:eastAsia="Calibri" w:hAnsi="Times New Roman" w:cs="Times New Roman"/>
          <w:i/>
        </w:rPr>
      </w:pPr>
    </w:p>
    <w:p w14:paraId="43476EEA" w14:textId="6C97B320" w:rsidR="000D7B89" w:rsidRPr="003E1719" w:rsidRDefault="000D7B89" w:rsidP="000D7B89">
      <w:pPr>
        <w:widowControl w:val="0"/>
        <w:spacing w:after="0" w:line="240" w:lineRule="auto"/>
        <w:rPr>
          <w:rFonts w:ascii="Times New Roman" w:eastAsia="Times New Roman" w:hAnsi="Times New Roman" w:cs="Times New Roman"/>
          <w:b/>
          <w:i/>
          <w:lang w:eastAsia="sl-SI"/>
        </w:rPr>
      </w:pPr>
      <w:r w:rsidRPr="003E1719">
        <w:rPr>
          <w:rFonts w:ascii="Times New Roman" w:eastAsia="Calibri" w:hAnsi="Times New Roman" w:cs="Times New Roman"/>
          <w:i/>
        </w:rPr>
        <w:t>Kreatinkinazės aktyvumo tyrimai</w:t>
      </w:r>
    </w:p>
    <w:p w14:paraId="2676DA8E" w14:textId="77777777" w:rsidR="00B20BF8" w:rsidRPr="003E1719" w:rsidRDefault="000D7B89" w:rsidP="000D7B89">
      <w:pPr>
        <w:widowControl w:val="0"/>
        <w:spacing w:after="0" w:line="240" w:lineRule="auto"/>
        <w:rPr>
          <w:rFonts w:ascii="Times New Roman" w:eastAsia="Calibri" w:hAnsi="Times New Roman" w:cs="Times New Roman"/>
        </w:rPr>
      </w:pPr>
      <w:r w:rsidRPr="003E1719">
        <w:rPr>
          <w:rFonts w:ascii="Times New Roman" w:eastAsia="Calibri" w:hAnsi="Times New Roman" w:cs="Times New Roman"/>
        </w:rPr>
        <w:t xml:space="preserve">Kreatinkinazės (KK) aktyvumo negalima tirti po didelio fizinio krūvio arba kai yra kita priežastis, dėl kurios gali padidėti KK aktyvumas, nes tai gali apsunkinti tyrimo duomenų vertinimą. </w:t>
      </w:r>
    </w:p>
    <w:p w14:paraId="38AB415E"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Calibri" w:hAnsi="Times New Roman" w:cs="Times New Roman"/>
        </w:rPr>
        <w:t>Jeigu KK aktyvumas yra reikšmingai padidėjęs pradinio vertinimo metu (&gt;5 kartus viršijama VNR), per 5</w:t>
      </w:r>
      <w:r w:rsidRPr="003E1719">
        <w:rPr>
          <w:rFonts w:ascii="Times New Roman" w:eastAsia="Calibri" w:hAnsi="Times New Roman" w:cs="Times New Roman"/>
        </w:rPr>
        <w:noBreakHyphen/>
        <w:t>7 dienas reikia atlikti patvirtinamąjį tyrimą. Jeigu pakartotinis tyrimas patvirtina pradinį KK aktyvumą, kai &gt;5 kartus viršijama VNR, gydymo pradėti negalima.</w:t>
      </w:r>
    </w:p>
    <w:p w14:paraId="1CF78D71" w14:textId="77777777" w:rsidR="000D7B89" w:rsidRPr="003E1719" w:rsidRDefault="000D7B89" w:rsidP="000D7B89">
      <w:pPr>
        <w:widowControl w:val="0"/>
        <w:spacing w:after="0" w:line="240" w:lineRule="auto"/>
        <w:rPr>
          <w:rFonts w:ascii="Times New Roman" w:eastAsia="Calibri" w:hAnsi="Times New Roman" w:cs="Times New Roman"/>
          <w:b/>
          <w:u w:val="double"/>
        </w:rPr>
      </w:pPr>
    </w:p>
    <w:p w14:paraId="5FF9D6CE" w14:textId="77777777" w:rsidR="000D7B89" w:rsidRPr="003E1719" w:rsidRDefault="000D7B89" w:rsidP="000D7B89">
      <w:pPr>
        <w:widowControl w:val="0"/>
        <w:spacing w:after="0" w:line="240" w:lineRule="auto"/>
        <w:rPr>
          <w:rFonts w:ascii="Times New Roman" w:eastAsia="Times New Roman" w:hAnsi="Times New Roman" w:cs="Times New Roman"/>
          <w:b/>
          <w:i/>
          <w:lang w:eastAsia="sl-SI"/>
        </w:rPr>
      </w:pPr>
      <w:r w:rsidRPr="003E1719">
        <w:rPr>
          <w:rFonts w:ascii="Times New Roman" w:eastAsia="Calibri" w:hAnsi="Times New Roman" w:cs="Times New Roman"/>
          <w:i/>
        </w:rPr>
        <w:t>Prieš gydymą</w:t>
      </w:r>
    </w:p>
    <w:p w14:paraId="0EB283DE" w14:textId="1301CE74" w:rsidR="000D7B89" w:rsidRPr="003E1719" w:rsidRDefault="00AF3800" w:rsidP="000D7B8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snapToGrid w:val="0"/>
          <w:lang w:eastAsia="sl-SI"/>
        </w:rPr>
        <w:t>Rosuvastatin/Ezetimibe Teva</w:t>
      </w:r>
      <w:r w:rsidR="000D7B89" w:rsidRPr="003E1719">
        <w:rPr>
          <w:rFonts w:ascii="Times New Roman" w:eastAsia="Calibri" w:hAnsi="Times New Roman" w:cs="Times New Roman"/>
        </w:rPr>
        <w:t>, kaip ir kit</w:t>
      </w:r>
      <w:r w:rsidR="00246480">
        <w:rPr>
          <w:rFonts w:ascii="Times New Roman" w:eastAsia="Calibri" w:hAnsi="Times New Roman" w:cs="Times New Roman"/>
        </w:rPr>
        <w:t>ų</w:t>
      </w:r>
      <w:r w:rsidR="000D7B89" w:rsidRPr="003E1719">
        <w:rPr>
          <w:rFonts w:ascii="Times New Roman" w:eastAsia="Calibri" w:hAnsi="Times New Roman" w:cs="Times New Roman"/>
        </w:rPr>
        <w:t xml:space="preserve"> vaistini</w:t>
      </w:r>
      <w:r w:rsidR="00246480">
        <w:rPr>
          <w:rFonts w:ascii="Times New Roman" w:eastAsia="Calibri" w:hAnsi="Times New Roman" w:cs="Times New Roman"/>
        </w:rPr>
        <w:t>ų</w:t>
      </w:r>
      <w:r w:rsidR="000D7B89" w:rsidRPr="003E1719">
        <w:rPr>
          <w:rFonts w:ascii="Times New Roman" w:eastAsia="Calibri" w:hAnsi="Times New Roman" w:cs="Times New Roman"/>
        </w:rPr>
        <w:t xml:space="preserve"> preparat</w:t>
      </w:r>
      <w:r w:rsidR="00246480">
        <w:rPr>
          <w:rFonts w:ascii="Times New Roman" w:eastAsia="Calibri" w:hAnsi="Times New Roman" w:cs="Times New Roman"/>
        </w:rPr>
        <w:t>ų</w:t>
      </w:r>
      <w:r w:rsidR="000D7B89" w:rsidRPr="003E1719">
        <w:rPr>
          <w:rFonts w:ascii="Times New Roman" w:eastAsia="Calibri" w:hAnsi="Times New Roman" w:cs="Times New Roman"/>
        </w:rPr>
        <w:t>, kurių sudėtyje yra HMG-KoA reduktazės inhibitorių, reikia atsargiai skirti vartoti pacientams, kuriems yra nustatyta miopatijos ar rabdomiolizės rizikos veiksnių. Tokie veiksniai yra:</w:t>
      </w:r>
    </w:p>
    <w:p w14:paraId="717985C1" w14:textId="77777777" w:rsidR="000D7B89" w:rsidRPr="003E1719" w:rsidRDefault="000D7B89" w:rsidP="000D7B89">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sidRPr="003E1719">
        <w:rPr>
          <w:rFonts w:ascii="Times New Roman" w:eastAsia="Calibri" w:hAnsi="Times New Roman" w:cs="Times New Roman"/>
        </w:rPr>
        <w:t>inkstų funkcijos sutrikimas;</w:t>
      </w:r>
    </w:p>
    <w:p w14:paraId="5E0D4076" w14:textId="77777777" w:rsidR="000D7B89" w:rsidRPr="003E1719" w:rsidRDefault="000D7B89" w:rsidP="000D7B89">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sidRPr="003E1719">
        <w:rPr>
          <w:rFonts w:ascii="Times New Roman" w:eastAsia="Calibri" w:hAnsi="Times New Roman" w:cs="Times New Roman"/>
        </w:rPr>
        <w:t>hipotirozė;</w:t>
      </w:r>
    </w:p>
    <w:p w14:paraId="3D6ED8BE" w14:textId="77777777" w:rsidR="000D7B89" w:rsidRPr="003E1719" w:rsidRDefault="000D7B89" w:rsidP="000D7B89">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sidRPr="003E1719">
        <w:rPr>
          <w:rFonts w:ascii="Times New Roman" w:eastAsia="Calibri" w:hAnsi="Times New Roman" w:cs="Times New Roman"/>
        </w:rPr>
        <w:t>paciento arba jo kraujo giminaičiams diagnozuota paveldimų raumenų sutrikimų;</w:t>
      </w:r>
    </w:p>
    <w:p w14:paraId="607DBDC0" w14:textId="36F0AE72" w:rsidR="000D7B89" w:rsidRPr="003E1719" w:rsidRDefault="000D7B89" w:rsidP="000D7B89">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sidRPr="003E1719">
        <w:rPr>
          <w:rFonts w:ascii="Times New Roman" w:eastAsia="Calibri" w:hAnsi="Times New Roman" w:cs="Times New Roman"/>
        </w:rPr>
        <w:t>anksčiau vartojant kit</w:t>
      </w:r>
      <w:r w:rsidR="00246480">
        <w:rPr>
          <w:rFonts w:ascii="Times New Roman" w:eastAsia="Calibri" w:hAnsi="Times New Roman" w:cs="Times New Roman"/>
        </w:rPr>
        <w:t>o</w:t>
      </w:r>
      <w:r w:rsidRPr="003E1719">
        <w:rPr>
          <w:rFonts w:ascii="Times New Roman" w:eastAsia="Calibri" w:hAnsi="Times New Roman" w:cs="Times New Roman"/>
        </w:rPr>
        <w:t xml:space="preserve"> HMG-KoA reduktazės inhibitori</w:t>
      </w:r>
      <w:r w:rsidR="00246480">
        <w:rPr>
          <w:rFonts w:ascii="Times New Roman" w:eastAsia="Calibri" w:hAnsi="Times New Roman" w:cs="Times New Roman"/>
        </w:rPr>
        <w:t>aus</w:t>
      </w:r>
      <w:r w:rsidRPr="003E1719">
        <w:rPr>
          <w:rFonts w:ascii="Times New Roman" w:eastAsia="Calibri" w:hAnsi="Times New Roman" w:cs="Times New Roman"/>
        </w:rPr>
        <w:t xml:space="preserve"> arba fibrat</w:t>
      </w:r>
      <w:r w:rsidR="00246480">
        <w:rPr>
          <w:rFonts w:ascii="Times New Roman" w:eastAsia="Calibri" w:hAnsi="Times New Roman" w:cs="Times New Roman"/>
        </w:rPr>
        <w:t>o</w:t>
      </w:r>
      <w:r w:rsidRPr="003E1719">
        <w:rPr>
          <w:rFonts w:ascii="Times New Roman" w:eastAsia="Calibri" w:hAnsi="Times New Roman" w:cs="Times New Roman"/>
        </w:rPr>
        <w:t xml:space="preserve"> pasireiškė toksinis poveikis raumenims;</w:t>
      </w:r>
    </w:p>
    <w:p w14:paraId="52E54897" w14:textId="77777777" w:rsidR="000D7B89" w:rsidRPr="003E1719" w:rsidRDefault="000D7B89" w:rsidP="000D7B89">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sidRPr="003E1719">
        <w:rPr>
          <w:rFonts w:ascii="Times New Roman" w:eastAsia="Calibri" w:hAnsi="Times New Roman" w:cs="Times New Roman"/>
        </w:rPr>
        <w:t>piktnaudžiavimas alkoholiu;</w:t>
      </w:r>
    </w:p>
    <w:p w14:paraId="411E9A87" w14:textId="77777777" w:rsidR="000D7B89" w:rsidRPr="003E1719" w:rsidRDefault="000D7B89" w:rsidP="000D7B89">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sidRPr="003E1719">
        <w:rPr>
          <w:rFonts w:ascii="Times New Roman" w:eastAsia="Calibri" w:hAnsi="Times New Roman" w:cs="Times New Roman"/>
        </w:rPr>
        <w:t>amžius virš 70 metų;</w:t>
      </w:r>
    </w:p>
    <w:p w14:paraId="4E1B066F" w14:textId="7A976BB6" w:rsidR="000D7B89" w:rsidRPr="003E1719" w:rsidRDefault="000D7B89" w:rsidP="000D7B89">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sidRPr="003E1719">
        <w:rPr>
          <w:rFonts w:ascii="Times New Roman" w:eastAsia="Calibri" w:hAnsi="Times New Roman" w:cs="Times New Roman"/>
        </w:rPr>
        <w:t xml:space="preserve">aplinkybės, kurioms esant, gali padidėti </w:t>
      </w:r>
      <w:r w:rsidR="00246480">
        <w:rPr>
          <w:rFonts w:ascii="Times New Roman" w:eastAsia="Calibri" w:hAnsi="Times New Roman" w:cs="Times New Roman"/>
        </w:rPr>
        <w:t xml:space="preserve">vaistinio preparato </w:t>
      </w:r>
      <w:r w:rsidRPr="003E1719">
        <w:rPr>
          <w:rFonts w:ascii="Times New Roman" w:eastAsia="Calibri" w:hAnsi="Times New Roman" w:cs="Times New Roman"/>
        </w:rPr>
        <w:t>kiekis kraujo plazmoje (žr. 4.2, 4.5 ir 5.2 skyrius);</w:t>
      </w:r>
    </w:p>
    <w:p w14:paraId="7DD29E8C" w14:textId="77777777" w:rsidR="000D7B89" w:rsidRPr="003E1719" w:rsidRDefault="000D7B89" w:rsidP="000D7B89">
      <w:pPr>
        <w:widowControl w:val="0"/>
        <w:numPr>
          <w:ilvl w:val="0"/>
          <w:numId w:val="6"/>
        </w:numPr>
        <w:tabs>
          <w:tab w:val="left" w:pos="567"/>
        </w:tabs>
        <w:spacing w:after="0" w:line="240" w:lineRule="auto"/>
        <w:ind w:left="567" w:hanging="567"/>
        <w:rPr>
          <w:rFonts w:ascii="Times New Roman" w:eastAsia="Times New Roman" w:hAnsi="Times New Roman" w:cs="Times New Roman"/>
          <w:b/>
          <w:lang w:eastAsia="sl-SI"/>
        </w:rPr>
      </w:pPr>
      <w:r w:rsidRPr="003E1719">
        <w:rPr>
          <w:rFonts w:ascii="Times New Roman" w:eastAsia="Calibri" w:hAnsi="Times New Roman" w:cs="Times New Roman"/>
        </w:rPr>
        <w:t>vartojimas kartu su fibratais.</w:t>
      </w:r>
    </w:p>
    <w:p w14:paraId="141952FA" w14:textId="77777777" w:rsidR="000D7B89" w:rsidRPr="003E1719" w:rsidRDefault="000D7B89" w:rsidP="000D7B89">
      <w:pPr>
        <w:widowControl w:val="0"/>
        <w:spacing w:after="0" w:line="240" w:lineRule="auto"/>
        <w:rPr>
          <w:rFonts w:ascii="Times New Roman" w:eastAsia="Calibri" w:hAnsi="Times New Roman" w:cs="Times New Roman"/>
          <w:b/>
        </w:rPr>
      </w:pPr>
    </w:p>
    <w:p w14:paraId="2A910CE0"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snapToGrid w:val="0"/>
        </w:rPr>
        <w:t>Gydymo riziką tokiems pacientams reikia įvertinti atsižvelgiant į galimą naudą, rekomenduojama stebėti klinikinę pacientų būklę. Jeigu pradinio vertinimo metu KK aktyvumas yra reikšmingai padidėjęs (&gt;5 kartus viršija VNR), gydymo pradėti negalima</w:t>
      </w:r>
      <w:r w:rsidRPr="003E1719">
        <w:rPr>
          <w:rFonts w:ascii="Times New Roman" w:eastAsia="Calibri" w:hAnsi="Times New Roman" w:cs="Times New Roman"/>
        </w:rPr>
        <w:t>.</w:t>
      </w:r>
    </w:p>
    <w:p w14:paraId="19A7AEDD" w14:textId="77777777" w:rsidR="005E2441" w:rsidRPr="003E1719" w:rsidRDefault="005E2441" w:rsidP="000D7B89">
      <w:pPr>
        <w:widowControl w:val="0"/>
        <w:spacing w:after="0" w:line="240" w:lineRule="auto"/>
        <w:rPr>
          <w:rFonts w:ascii="Times New Roman" w:eastAsia="Calibri" w:hAnsi="Times New Roman" w:cs="Times New Roman"/>
          <w:i/>
        </w:rPr>
      </w:pPr>
    </w:p>
    <w:p w14:paraId="50EC24AF" w14:textId="77777777" w:rsidR="000D7B89" w:rsidRPr="003E1719" w:rsidRDefault="000D7B89" w:rsidP="000D7B89">
      <w:pPr>
        <w:widowControl w:val="0"/>
        <w:spacing w:after="0" w:line="240" w:lineRule="auto"/>
        <w:rPr>
          <w:rFonts w:ascii="Times New Roman" w:eastAsia="Times New Roman" w:hAnsi="Times New Roman" w:cs="Times New Roman"/>
          <w:b/>
          <w:i/>
          <w:lang w:eastAsia="sl-SI"/>
        </w:rPr>
      </w:pPr>
      <w:r w:rsidRPr="003E1719">
        <w:rPr>
          <w:rFonts w:ascii="Times New Roman" w:eastAsia="Calibri" w:hAnsi="Times New Roman" w:cs="Times New Roman"/>
          <w:i/>
        </w:rPr>
        <w:t>Gydymo metu</w:t>
      </w:r>
    </w:p>
    <w:p w14:paraId="0E482398"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Pacientams būtina nurodyti, kad nedelsdami praneštų apie dėl neaiškios priežasties atsiradusį raumenų skausmą, silpnumą ar mėšlungį, ypač susijusius su bendruoju negalavimu arba karščiavimu. </w:t>
      </w:r>
      <w:r w:rsidR="005A04BF">
        <w:rPr>
          <w:rFonts w:ascii="Times New Roman" w:eastAsia="Times New Roman" w:hAnsi="Times New Roman" w:cs="Times New Roman"/>
        </w:rPr>
        <w:t>T</w:t>
      </w:r>
      <w:r w:rsidR="005A04BF" w:rsidRPr="003E1719">
        <w:rPr>
          <w:rFonts w:ascii="Times New Roman" w:eastAsia="Times New Roman" w:hAnsi="Times New Roman" w:cs="Times New Roman"/>
        </w:rPr>
        <w:t xml:space="preserve">okių pacientų organizme </w:t>
      </w:r>
      <w:r w:rsidR="005A04BF">
        <w:rPr>
          <w:rFonts w:ascii="Times New Roman" w:eastAsia="Times New Roman" w:hAnsi="Times New Roman" w:cs="Times New Roman"/>
        </w:rPr>
        <w:t>r</w:t>
      </w:r>
      <w:r w:rsidRPr="003E1719">
        <w:rPr>
          <w:rFonts w:ascii="Times New Roman" w:eastAsia="Times New Roman" w:hAnsi="Times New Roman" w:cs="Times New Roman"/>
        </w:rPr>
        <w:t xml:space="preserve">eikia nustatyti KK aktyvumą. Jeigu KK aktyvumas reikšmingai padidėja (&gt;5 kartus viršija VNR) arba raumenų pažeidimo simptomai yra sunkūs ir sukelia kasdieninį diskomfortą (net kai KK aktyvumas </w:t>
      </w:r>
      <w:r w:rsidR="005A04BF">
        <w:rPr>
          <w:rFonts w:ascii="Times New Roman" w:eastAsia="Times New Roman" w:hAnsi="Times New Roman" w:cs="Times New Roman"/>
        </w:rPr>
        <w:t>yra ≤5 kartai</w:t>
      </w:r>
      <w:r w:rsidRPr="003E1719">
        <w:rPr>
          <w:rFonts w:ascii="Times New Roman" w:eastAsia="Times New Roman" w:hAnsi="Times New Roman" w:cs="Times New Roman"/>
        </w:rPr>
        <w:t xml:space="preserve"> VNR), gydymą reikia nutraukti. Jei simptomai išnyksta ir KK aktyvumas tampa normalus, reikia apsvarstyti gydymo </w:t>
      </w:r>
      <w:r w:rsidR="005E2441" w:rsidRPr="003E1719">
        <w:rPr>
          <w:rFonts w:ascii="Times New Roman" w:eastAsia="Times New Roman" w:hAnsi="Times New Roman" w:cs="Times New Roman"/>
        </w:rPr>
        <w:t>r</w:t>
      </w:r>
      <w:r w:rsidR="000B502A" w:rsidRPr="003E1719">
        <w:rPr>
          <w:rFonts w:ascii="Times New Roman" w:eastAsia="Times New Roman" w:hAnsi="Times New Roman" w:cs="Times New Roman"/>
          <w:snapToGrid w:val="0"/>
          <w:lang w:eastAsia="sl-SI"/>
        </w:rPr>
        <w:t>oz</w:t>
      </w:r>
      <w:r w:rsidR="004042B8" w:rsidRPr="003E1719">
        <w:rPr>
          <w:rFonts w:ascii="Times New Roman" w:eastAsia="Times New Roman" w:hAnsi="Times New Roman" w:cs="Times New Roman"/>
          <w:snapToGrid w:val="0"/>
          <w:lang w:eastAsia="sl-SI"/>
        </w:rPr>
        <w:t>uvastatin</w:t>
      </w:r>
      <w:r w:rsidR="005E2441" w:rsidRPr="003E1719">
        <w:rPr>
          <w:rFonts w:ascii="Times New Roman" w:eastAsia="Times New Roman" w:hAnsi="Times New Roman" w:cs="Times New Roman"/>
          <w:snapToGrid w:val="0"/>
          <w:lang w:eastAsia="sl-SI"/>
        </w:rPr>
        <w:t>u</w:t>
      </w:r>
      <w:r w:rsidRPr="003E1719">
        <w:rPr>
          <w:rFonts w:ascii="Times New Roman" w:eastAsia="Times New Roman" w:hAnsi="Times New Roman" w:cs="Times New Roman"/>
        </w:rPr>
        <w:t xml:space="preserve"> atnaujinimą arba skirti vartoti kit</w:t>
      </w:r>
      <w:r w:rsidR="005E2441" w:rsidRPr="003E1719">
        <w:rPr>
          <w:rFonts w:ascii="Times New Roman" w:eastAsia="Times New Roman" w:hAnsi="Times New Roman" w:cs="Times New Roman"/>
        </w:rPr>
        <w:t>o</w:t>
      </w:r>
      <w:r w:rsidRPr="003E1719">
        <w:rPr>
          <w:rFonts w:ascii="Times New Roman" w:eastAsia="Times New Roman" w:hAnsi="Times New Roman" w:cs="Times New Roman"/>
        </w:rPr>
        <w:t xml:space="preserve"> HMG-KoA reduktazės inhibitori</w:t>
      </w:r>
      <w:r w:rsidR="005E2441" w:rsidRPr="003E1719">
        <w:rPr>
          <w:rFonts w:ascii="Times New Roman" w:eastAsia="Times New Roman" w:hAnsi="Times New Roman" w:cs="Times New Roman"/>
        </w:rPr>
        <w:t>aus</w:t>
      </w:r>
      <w:r w:rsidRPr="003E1719">
        <w:rPr>
          <w:rFonts w:ascii="Times New Roman" w:eastAsia="Times New Roman" w:hAnsi="Times New Roman" w:cs="Times New Roman"/>
        </w:rPr>
        <w:t xml:space="preserve"> mažiausią dozę ir atidžiai steb</w:t>
      </w:r>
      <w:r w:rsidR="005E2441" w:rsidRPr="003E1719">
        <w:rPr>
          <w:rFonts w:ascii="Times New Roman" w:eastAsia="Times New Roman" w:hAnsi="Times New Roman" w:cs="Times New Roman"/>
        </w:rPr>
        <w:t>ėti</w:t>
      </w:r>
      <w:r w:rsidRPr="003E1719">
        <w:rPr>
          <w:rFonts w:ascii="Times New Roman" w:eastAsia="Times New Roman" w:hAnsi="Times New Roman" w:cs="Times New Roman"/>
        </w:rPr>
        <w:t xml:space="preserve"> pacientą. Pacientams, kuriems nėra simptomų, KK aktyvumo įprastai stebėti nebūtina.</w:t>
      </w:r>
    </w:p>
    <w:p w14:paraId="008A45C8"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p>
    <w:p w14:paraId="53A3A8AD"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Gydymo statinais, įskaitant rozuvastatiną, metu arba po gydymo labai retai buvo gauta pranešimų apie su imunine sistema susijusią nekrozinę miopatiją (angl. </w:t>
      </w:r>
      <w:r w:rsidRPr="003E1719">
        <w:rPr>
          <w:rFonts w:ascii="Times New Roman" w:eastAsia="Times New Roman" w:hAnsi="Times New Roman" w:cs="Times New Roman"/>
          <w:i/>
        </w:rPr>
        <w:t xml:space="preserve">immune-mediated necrotising myopathy, </w:t>
      </w:r>
      <w:r w:rsidRPr="00FF4691">
        <w:rPr>
          <w:rFonts w:ascii="Times New Roman" w:eastAsia="Times New Roman" w:hAnsi="Times New Roman" w:cs="Times New Roman"/>
          <w:i/>
          <w:iCs/>
        </w:rPr>
        <w:t>IMNM</w:t>
      </w:r>
      <w:r w:rsidRPr="003E1719">
        <w:rPr>
          <w:rFonts w:ascii="Times New Roman" w:eastAsia="Times New Roman" w:hAnsi="Times New Roman" w:cs="Times New Roman"/>
        </w:rPr>
        <w:t xml:space="preserve">). </w:t>
      </w:r>
      <w:r w:rsidRPr="00FF4691">
        <w:rPr>
          <w:rFonts w:ascii="Times New Roman" w:eastAsia="Times New Roman" w:hAnsi="Times New Roman" w:cs="Times New Roman"/>
          <w:i/>
          <w:iCs/>
        </w:rPr>
        <w:t>IMNM</w:t>
      </w:r>
      <w:r w:rsidRPr="003E1719">
        <w:rPr>
          <w:rFonts w:ascii="Times New Roman" w:eastAsia="Times New Roman" w:hAnsi="Times New Roman" w:cs="Times New Roman"/>
        </w:rPr>
        <w:t xml:space="preserve"> klinikiniai simptomai yra proksimalini</w:t>
      </w:r>
      <w:r w:rsidR="005E2441" w:rsidRPr="003E1719">
        <w:rPr>
          <w:rFonts w:ascii="Times New Roman" w:eastAsia="Times New Roman" w:hAnsi="Times New Roman" w:cs="Times New Roman"/>
        </w:rPr>
        <w:t>ų</w:t>
      </w:r>
      <w:r w:rsidRPr="003E1719">
        <w:rPr>
          <w:rFonts w:ascii="Times New Roman" w:eastAsia="Times New Roman" w:hAnsi="Times New Roman" w:cs="Times New Roman"/>
        </w:rPr>
        <w:t xml:space="preserve"> raumenų silpnumas ir kreatinkinazės aktyvumo kraujo serume padidėjimas, kuris išlieka net ir nutraukus gydymą statinais.</w:t>
      </w:r>
    </w:p>
    <w:p w14:paraId="488AD655" w14:textId="77777777" w:rsidR="000D7B89" w:rsidRPr="003E1719" w:rsidRDefault="000D7B89" w:rsidP="000D7B89">
      <w:pPr>
        <w:widowControl w:val="0"/>
        <w:tabs>
          <w:tab w:val="left" w:pos="1296"/>
        </w:tabs>
        <w:snapToGrid w:val="0"/>
        <w:spacing w:after="0" w:line="240" w:lineRule="auto"/>
        <w:rPr>
          <w:rFonts w:ascii="Times New Roman" w:eastAsia="Times New Roman" w:hAnsi="Times New Roman" w:cs="Times New Roman"/>
          <w:lang w:eastAsia="sl-SI"/>
        </w:rPr>
      </w:pPr>
    </w:p>
    <w:p w14:paraId="114D45E3"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Klinikinių tyrimų metu nedideliam skaičiui pacientų, kuriems buvo skirtas gydymas rozuvastatinu kartu su kitais vaistiniais preparatais, poveikio skeleto raumenims padažnėjimo nepastebėta. Vis dėlto kitų HMG-KoA reduktazės inhibitorių vartojant kartu su fibro rūgšties dariniais, įskaitant gemfibrozilį, ciklosporinu, nikotino rūgštimi, azolų grupės vaistiniais preparatais nuo grybelių sukeltos infekcinės ligos, proteazės inhibitoriais ar makrolidų grupės antibiotikais, miozitas ir miopatija pasireiškė dažniau. Gemfibrozilis, vartojamas kartu su kai kuriais HMG-KoA reduktazės inhibitoriais, didina miopatijos riziką. Dėl šios priežasties </w:t>
      </w:r>
      <w:r w:rsidR="00AF3800">
        <w:rPr>
          <w:rFonts w:ascii="Times New Roman" w:eastAsia="Times New Roman" w:hAnsi="Times New Roman" w:cs="Times New Roman"/>
          <w:snapToGrid w:val="0"/>
          <w:lang w:eastAsia="sl-SI"/>
        </w:rPr>
        <w:t>Rosuvastatin/Ezetimibe Teva</w:t>
      </w:r>
      <w:r w:rsidR="004042B8" w:rsidRPr="003E1719">
        <w:rPr>
          <w:rFonts w:ascii="Times New Roman" w:eastAsia="Times New Roman" w:hAnsi="Times New Roman" w:cs="Times New Roman"/>
          <w:snapToGrid w:val="0"/>
          <w:lang w:eastAsia="sl-SI"/>
        </w:rPr>
        <w:t xml:space="preserve"> </w:t>
      </w:r>
      <w:r w:rsidRPr="003E1719">
        <w:rPr>
          <w:rFonts w:ascii="Times New Roman" w:eastAsia="Times New Roman" w:hAnsi="Times New Roman" w:cs="Times New Roman"/>
        </w:rPr>
        <w:t xml:space="preserve">nerekomenduojama vartoti kartu su gemfibroziliu. </w:t>
      </w:r>
      <w:r w:rsidR="00C65EAF" w:rsidRPr="003E1719">
        <w:rPr>
          <w:rFonts w:ascii="Times New Roman" w:eastAsia="Times New Roman" w:hAnsi="Times New Roman" w:cs="Times New Roman"/>
        </w:rPr>
        <w:t xml:space="preserve">Kai </w:t>
      </w:r>
      <w:r w:rsidR="00AF3800">
        <w:rPr>
          <w:rFonts w:ascii="Times New Roman" w:eastAsia="Times New Roman" w:hAnsi="Times New Roman" w:cs="Times New Roman"/>
          <w:snapToGrid w:val="0"/>
          <w:lang w:eastAsia="sl-SI"/>
        </w:rPr>
        <w:t>Rosuvastatin/Ezetimibe Teva</w:t>
      </w:r>
      <w:r w:rsidR="00C65EAF" w:rsidRPr="003E1719">
        <w:rPr>
          <w:rFonts w:ascii="Times New Roman" w:eastAsia="Times New Roman" w:hAnsi="Times New Roman" w:cs="Times New Roman"/>
          <w:snapToGrid w:val="0"/>
          <w:lang w:eastAsia="sl-SI"/>
        </w:rPr>
        <w:t xml:space="preserve"> </w:t>
      </w:r>
      <w:r w:rsidR="00C65EAF" w:rsidRPr="003E1719">
        <w:rPr>
          <w:rFonts w:ascii="Times New Roman" w:eastAsia="Times New Roman" w:hAnsi="Times New Roman" w:cs="Times New Roman"/>
        </w:rPr>
        <w:t>vartojamas kartu su fibratais ar niacinu, r</w:t>
      </w:r>
      <w:r w:rsidRPr="003E1719">
        <w:rPr>
          <w:rFonts w:ascii="Times New Roman" w:eastAsia="Times New Roman" w:hAnsi="Times New Roman" w:cs="Times New Roman"/>
        </w:rPr>
        <w:t>eikia atidžiai įvertinti poveikio lipidų kieki</w:t>
      </w:r>
      <w:r w:rsidR="00E94601" w:rsidRPr="003E1719">
        <w:rPr>
          <w:rFonts w:ascii="Times New Roman" w:eastAsia="Times New Roman" w:hAnsi="Times New Roman" w:cs="Times New Roman"/>
        </w:rPr>
        <w:t>o pokyčiui</w:t>
      </w:r>
      <w:r w:rsidRPr="003E1719">
        <w:rPr>
          <w:rFonts w:ascii="Times New Roman" w:eastAsia="Times New Roman" w:hAnsi="Times New Roman" w:cs="Times New Roman"/>
        </w:rPr>
        <w:t xml:space="preserve"> naudos ir galimos rizikos</w:t>
      </w:r>
      <w:r w:rsidR="00E94601" w:rsidRPr="003E1719">
        <w:rPr>
          <w:rFonts w:ascii="Times New Roman" w:eastAsia="Times New Roman" w:hAnsi="Times New Roman" w:cs="Times New Roman"/>
        </w:rPr>
        <w:t xml:space="preserve"> </w:t>
      </w:r>
      <w:r w:rsidR="00C65EAF" w:rsidRPr="003E1719">
        <w:rPr>
          <w:rFonts w:ascii="Times New Roman" w:eastAsia="Times New Roman" w:hAnsi="Times New Roman" w:cs="Times New Roman"/>
        </w:rPr>
        <w:t>santykį.</w:t>
      </w:r>
    </w:p>
    <w:p w14:paraId="5C7EC21F" w14:textId="77777777" w:rsidR="000D7B89" w:rsidRPr="003E1719" w:rsidRDefault="000D7B89" w:rsidP="000D7B89">
      <w:pPr>
        <w:widowControl w:val="0"/>
        <w:spacing w:after="0" w:line="240" w:lineRule="auto"/>
        <w:rPr>
          <w:rFonts w:ascii="Times New Roman" w:eastAsia="Calibri" w:hAnsi="Times New Roman" w:cs="Times New Roman"/>
        </w:rPr>
      </w:pPr>
    </w:p>
    <w:p w14:paraId="05EA02FF" w14:textId="77777777" w:rsidR="000D7B89" w:rsidRPr="003E1719" w:rsidRDefault="00AF3800" w:rsidP="000D7B89">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snapToGrid w:val="0"/>
          <w:lang w:eastAsia="sl-SI"/>
        </w:rPr>
        <w:t>Rosuvastatin/Ezetimibe Teva</w:t>
      </w:r>
      <w:r w:rsidR="004042B8" w:rsidRPr="003E1719">
        <w:rPr>
          <w:rFonts w:ascii="Times New Roman" w:eastAsia="Times New Roman" w:hAnsi="Times New Roman" w:cs="Times New Roman"/>
          <w:snapToGrid w:val="0"/>
          <w:lang w:eastAsia="sl-SI"/>
        </w:rPr>
        <w:t xml:space="preserve"> </w:t>
      </w:r>
      <w:r w:rsidR="000D7B89" w:rsidRPr="003E1719">
        <w:rPr>
          <w:rFonts w:ascii="Times New Roman" w:eastAsia="Times New Roman" w:hAnsi="Times New Roman" w:cs="Times New Roman"/>
          <w:snapToGrid w:val="0"/>
        </w:rPr>
        <w:t>negalima vartoti jokiam pacientui, kuriam pasireiškia ūminė sunki būklė, galinti rodyti miopatiją arba skatinti rabdomiolizės sukelto antrinio inkstų nepakankamumo atsiradimą (pvz., sepsis, hipotenzija, didelės apimties chirurginė operacija, trauma, sunk</w:t>
      </w:r>
      <w:r w:rsidR="00C65EAF" w:rsidRPr="003E1719">
        <w:rPr>
          <w:rFonts w:ascii="Times New Roman" w:eastAsia="Times New Roman" w:hAnsi="Times New Roman" w:cs="Times New Roman"/>
          <w:snapToGrid w:val="0"/>
        </w:rPr>
        <w:t>ios</w:t>
      </w:r>
      <w:r w:rsidR="000D7B89" w:rsidRPr="003E1719">
        <w:rPr>
          <w:rFonts w:ascii="Times New Roman" w:eastAsia="Times New Roman" w:hAnsi="Times New Roman" w:cs="Times New Roman"/>
          <w:snapToGrid w:val="0"/>
        </w:rPr>
        <w:t xml:space="preserve"> metabolizmo, endokrininės sistemos </w:t>
      </w:r>
      <w:r w:rsidR="00C65EAF" w:rsidRPr="003E1719">
        <w:rPr>
          <w:rFonts w:ascii="Times New Roman" w:eastAsia="Times New Roman" w:hAnsi="Times New Roman" w:cs="Times New Roman"/>
          <w:snapToGrid w:val="0"/>
        </w:rPr>
        <w:t xml:space="preserve">ligos </w:t>
      </w:r>
      <w:r w:rsidR="000D7B89" w:rsidRPr="003E1719">
        <w:rPr>
          <w:rFonts w:ascii="Times New Roman" w:eastAsia="Times New Roman" w:hAnsi="Times New Roman" w:cs="Times New Roman"/>
          <w:snapToGrid w:val="0"/>
        </w:rPr>
        <w:t xml:space="preserve">ar elektrolitų pusiausvyros </w:t>
      </w:r>
      <w:r w:rsidR="00C65EAF" w:rsidRPr="003E1719">
        <w:rPr>
          <w:rFonts w:ascii="Times New Roman" w:eastAsia="Times New Roman" w:hAnsi="Times New Roman" w:cs="Times New Roman"/>
          <w:snapToGrid w:val="0"/>
        </w:rPr>
        <w:t>sutrikimai,</w:t>
      </w:r>
      <w:r w:rsidR="000D7B89" w:rsidRPr="003E1719">
        <w:rPr>
          <w:rFonts w:ascii="Times New Roman" w:eastAsia="Times New Roman" w:hAnsi="Times New Roman" w:cs="Times New Roman"/>
          <w:snapToGrid w:val="0"/>
        </w:rPr>
        <w:t xml:space="preserve"> </w:t>
      </w:r>
      <w:r w:rsidR="00C65EAF" w:rsidRPr="003E1719">
        <w:rPr>
          <w:rFonts w:ascii="Times New Roman" w:eastAsia="Times New Roman" w:hAnsi="Times New Roman" w:cs="Times New Roman"/>
          <w:snapToGrid w:val="0"/>
        </w:rPr>
        <w:t xml:space="preserve">arba </w:t>
      </w:r>
      <w:r w:rsidR="000D7B89" w:rsidRPr="003E1719">
        <w:rPr>
          <w:rFonts w:ascii="Times New Roman" w:eastAsia="Times New Roman" w:hAnsi="Times New Roman" w:cs="Times New Roman"/>
          <w:snapToGrid w:val="0"/>
        </w:rPr>
        <w:t>nekontroliuojami traukuliai).</w:t>
      </w:r>
    </w:p>
    <w:p w14:paraId="7D819B0B" w14:textId="77777777" w:rsidR="000D7B89" w:rsidRPr="003E1719" w:rsidRDefault="000D7B89" w:rsidP="000D7B89">
      <w:pPr>
        <w:widowControl w:val="0"/>
        <w:spacing w:after="0" w:line="240" w:lineRule="auto"/>
        <w:rPr>
          <w:rFonts w:ascii="Times New Roman" w:eastAsia="Calibri" w:hAnsi="Times New Roman" w:cs="Times New Roman"/>
        </w:rPr>
      </w:pPr>
    </w:p>
    <w:p w14:paraId="7025EDDA" w14:textId="77777777" w:rsidR="000D7B89" w:rsidRPr="003E1719" w:rsidRDefault="000D7B89" w:rsidP="000D7B89">
      <w:pPr>
        <w:widowControl w:val="0"/>
        <w:tabs>
          <w:tab w:val="left" w:pos="1296"/>
        </w:tabs>
        <w:snapToGrid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u w:val="single"/>
          <w:lang w:eastAsia="sl-SI"/>
        </w:rPr>
        <w:t>Poveikis kepenims</w:t>
      </w:r>
    </w:p>
    <w:p w14:paraId="7A22C3F2" w14:textId="4A611106" w:rsidR="00C65EAF" w:rsidRPr="003E1719" w:rsidRDefault="00C65EAF" w:rsidP="00C65EAF">
      <w:pPr>
        <w:widowControl w:val="0"/>
        <w:tabs>
          <w:tab w:val="left" w:pos="567"/>
        </w:tabs>
        <w:snapToGrid w:val="0"/>
        <w:spacing w:after="0" w:line="240" w:lineRule="auto"/>
        <w:rPr>
          <w:rFonts w:ascii="Times New Roman" w:hAnsi="Times New Roman" w:cs="Times New Roman"/>
        </w:rPr>
      </w:pPr>
      <w:r w:rsidRPr="003E1719">
        <w:rPr>
          <w:rFonts w:ascii="Times New Roman" w:eastAsia="Times New Roman" w:hAnsi="Times New Roman" w:cs="Times New Roman"/>
        </w:rPr>
        <w:t xml:space="preserve">Kontroliuojamų gydymo klinikinių tyrimų metu gydant pacientus ezetimibu </w:t>
      </w:r>
      <w:r w:rsidR="004B5202">
        <w:rPr>
          <w:rFonts w:ascii="Times New Roman" w:eastAsia="Times New Roman" w:hAnsi="Times New Roman" w:cs="Times New Roman"/>
        </w:rPr>
        <w:t>kartu su</w:t>
      </w:r>
      <w:r w:rsidR="004B5202" w:rsidRPr="003E1719">
        <w:rPr>
          <w:rFonts w:ascii="Times New Roman" w:eastAsia="Times New Roman" w:hAnsi="Times New Roman" w:cs="Times New Roman"/>
        </w:rPr>
        <w:t xml:space="preserve"> </w:t>
      </w:r>
      <w:r w:rsidRPr="003E1719">
        <w:rPr>
          <w:rFonts w:ascii="Times New Roman" w:eastAsia="Times New Roman" w:hAnsi="Times New Roman" w:cs="Times New Roman"/>
        </w:rPr>
        <w:t>statinais buvo stebėtas nuoseklus transaminazių kiekio padidėjimas (</w:t>
      </w:r>
      <w:r w:rsidRPr="003E1719">
        <w:rPr>
          <w:rFonts w:ascii="Times New Roman" w:hAnsi="Times New Roman" w:cs="Times New Roman"/>
        </w:rPr>
        <w:t>≥3 kartus viršijoVNR).</w:t>
      </w:r>
    </w:p>
    <w:p w14:paraId="22C40F94" w14:textId="77777777" w:rsidR="00823899" w:rsidRPr="003E1719" w:rsidRDefault="00823899" w:rsidP="000D7B89">
      <w:pPr>
        <w:widowControl w:val="0"/>
        <w:tabs>
          <w:tab w:val="left" w:pos="567"/>
        </w:tabs>
        <w:snapToGrid w:val="0"/>
        <w:spacing w:after="0" w:line="240" w:lineRule="auto"/>
        <w:rPr>
          <w:rFonts w:ascii="Times New Roman" w:eastAsia="Times New Roman" w:hAnsi="Times New Roman" w:cs="Times New Roman"/>
        </w:rPr>
      </w:pPr>
    </w:p>
    <w:p w14:paraId="5696738F"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Kepenų funkcijos tyrimus rekomenduojama atlikti prieš pradedant gydymą ir praėjus 3 mėnesiams nuo gydymo pradžios. Jeigu transaminazių aktyvumas kraujo serume daugiau kaip 3 kartus viršija </w:t>
      </w:r>
      <w:r w:rsidR="000B502A" w:rsidRPr="003E1719">
        <w:rPr>
          <w:rFonts w:ascii="Times New Roman" w:eastAsia="Times New Roman" w:hAnsi="Times New Roman" w:cs="Times New Roman"/>
        </w:rPr>
        <w:t>VNR</w:t>
      </w:r>
      <w:r w:rsidRPr="003E1719">
        <w:rPr>
          <w:rFonts w:ascii="Times New Roman" w:eastAsia="Times New Roman" w:hAnsi="Times New Roman" w:cs="Times New Roman"/>
        </w:rPr>
        <w:t xml:space="preserve">, reikia nutraukti </w:t>
      </w:r>
      <w:r w:rsidR="000B502A" w:rsidRPr="003E1719">
        <w:rPr>
          <w:rFonts w:ascii="Times New Roman" w:eastAsia="Times New Roman" w:hAnsi="Times New Roman" w:cs="Times New Roman"/>
        </w:rPr>
        <w:t>roz</w:t>
      </w:r>
      <w:r w:rsidR="004042B8" w:rsidRPr="003E1719">
        <w:rPr>
          <w:rFonts w:ascii="Times New Roman" w:eastAsia="Times New Roman" w:hAnsi="Times New Roman" w:cs="Times New Roman"/>
        </w:rPr>
        <w:t>uvastatin</w:t>
      </w:r>
      <w:r w:rsidR="000B502A" w:rsidRPr="003E1719">
        <w:rPr>
          <w:rFonts w:ascii="Times New Roman" w:eastAsia="Times New Roman" w:hAnsi="Times New Roman" w:cs="Times New Roman"/>
        </w:rPr>
        <w:t>o</w:t>
      </w:r>
      <w:r w:rsidRPr="003E1719">
        <w:rPr>
          <w:rFonts w:ascii="Times New Roman" w:eastAsia="Times New Roman" w:hAnsi="Times New Roman" w:cs="Times New Roman"/>
        </w:rPr>
        <w:t xml:space="preserve"> vartojimą arba sumažinti dozę. </w:t>
      </w:r>
    </w:p>
    <w:p w14:paraId="64DC2A23"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Pacientams, sergantiems antrine hipercholesterolemija, kurią sukėlė hipotirozė arba nefrozinis sindromas, pagrindinę ligą reikia gydyti prieš pradedant gydymą </w:t>
      </w:r>
      <w:r w:rsidR="000B502A" w:rsidRPr="003E1719">
        <w:rPr>
          <w:rFonts w:ascii="Times New Roman" w:eastAsia="Times New Roman" w:hAnsi="Times New Roman" w:cs="Times New Roman"/>
        </w:rPr>
        <w:t>r</w:t>
      </w:r>
      <w:r w:rsidR="004042B8" w:rsidRPr="003E1719">
        <w:rPr>
          <w:rFonts w:ascii="Times New Roman" w:eastAsia="Times New Roman" w:hAnsi="Times New Roman" w:cs="Times New Roman"/>
        </w:rPr>
        <w:t>o</w:t>
      </w:r>
      <w:r w:rsidR="000B502A" w:rsidRPr="003E1719">
        <w:rPr>
          <w:rFonts w:ascii="Times New Roman" w:eastAsia="Times New Roman" w:hAnsi="Times New Roman" w:cs="Times New Roman"/>
        </w:rPr>
        <w:t>z</w:t>
      </w:r>
      <w:r w:rsidR="004042B8" w:rsidRPr="003E1719">
        <w:rPr>
          <w:rFonts w:ascii="Times New Roman" w:eastAsia="Times New Roman" w:hAnsi="Times New Roman" w:cs="Times New Roman"/>
        </w:rPr>
        <w:t>uvastatin</w:t>
      </w:r>
      <w:r w:rsidR="000B502A" w:rsidRPr="003E1719">
        <w:rPr>
          <w:rFonts w:ascii="Times New Roman" w:eastAsia="Times New Roman" w:hAnsi="Times New Roman" w:cs="Times New Roman"/>
        </w:rPr>
        <w:t>u</w:t>
      </w:r>
      <w:r w:rsidRPr="003E1719">
        <w:rPr>
          <w:rFonts w:ascii="Times New Roman" w:eastAsia="Times New Roman" w:hAnsi="Times New Roman" w:cs="Times New Roman"/>
        </w:rPr>
        <w:t>.</w:t>
      </w:r>
    </w:p>
    <w:p w14:paraId="6D495DD9" w14:textId="77777777" w:rsidR="00823899" w:rsidRPr="003E1719" w:rsidRDefault="00823899" w:rsidP="000D7B89">
      <w:pPr>
        <w:widowControl w:val="0"/>
        <w:tabs>
          <w:tab w:val="left" w:pos="567"/>
        </w:tabs>
        <w:snapToGrid w:val="0"/>
        <w:spacing w:after="0" w:line="240" w:lineRule="auto"/>
        <w:rPr>
          <w:rFonts w:ascii="Times New Roman" w:eastAsia="Times New Roman" w:hAnsi="Times New Roman" w:cs="Times New Roman"/>
          <w:u w:val="single"/>
        </w:rPr>
      </w:pPr>
    </w:p>
    <w:p w14:paraId="32A24592" w14:textId="77777777" w:rsidR="00823899" w:rsidRPr="003E1719" w:rsidRDefault="00823899" w:rsidP="0082389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Dėl nežinomo padidėjusios ezetimibo ekspozicijos poveikio </w:t>
      </w:r>
      <w:r w:rsidR="00AF3800">
        <w:rPr>
          <w:rFonts w:ascii="Times New Roman" w:eastAsia="Times New Roman" w:hAnsi="Times New Roman" w:cs="Times New Roman"/>
        </w:rPr>
        <w:t>Rosuvastatin/Ezetimibe Teva</w:t>
      </w:r>
      <w:r w:rsidRPr="003E1719">
        <w:rPr>
          <w:rFonts w:ascii="Times New Roman" w:eastAsia="Times New Roman" w:hAnsi="Times New Roman" w:cs="Times New Roman"/>
        </w:rPr>
        <w:t xml:space="preserve"> nerekomenduojamas pacientams, kuriems nustatytas vidutinis ar sunkus kepenų nepakankamumas (žr. 5.2 skyrių). </w:t>
      </w:r>
    </w:p>
    <w:p w14:paraId="1653AFB5" w14:textId="77777777" w:rsidR="00823899" w:rsidRPr="003E1719" w:rsidRDefault="00823899" w:rsidP="000D7B89">
      <w:pPr>
        <w:widowControl w:val="0"/>
        <w:tabs>
          <w:tab w:val="left" w:pos="567"/>
        </w:tabs>
        <w:snapToGrid w:val="0"/>
        <w:spacing w:after="0" w:line="240" w:lineRule="auto"/>
        <w:rPr>
          <w:rFonts w:ascii="Times New Roman" w:eastAsia="Times New Roman" w:hAnsi="Times New Roman" w:cs="Times New Roman"/>
          <w:u w:val="single"/>
        </w:rPr>
      </w:pPr>
    </w:p>
    <w:p w14:paraId="2388790A" w14:textId="77777777" w:rsidR="00823899" w:rsidRPr="003E1719" w:rsidRDefault="00823899" w:rsidP="000D7B89">
      <w:pPr>
        <w:widowControl w:val="0"/>
        <w:tabs>
          <w:tab w:val="left" w:pos="567"/>
        </w:tabs>
        <w:snapToGrid w:val="0"/>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Kepenų liga ir alkoholis</w:t>
      </w:r>
    </w:p>
    <w:p w14:paraId="459836A5" w14:textId="77777777" w:rsidR="00823899" w:rsidRPr="003E1719" w:rsidRDefault="00AF3800" w:rsidP="00823899">
      <w:pPr>
        <w:widowControl w:val="0"/>
        <w:tabs>
          <w:tab w:val="left" w:pos="567"/>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Rosuvastatin/Ezetimibe Teva</w:t>
      </w:r>
      <w:r w:rsidR="00823899" w:rsidRPr="003E1719">
        <w:rPr>
          <w:rFonts w:ascii="Times New Roman" w:eastAsia="Times New Roman" w:hAnsi="Times New Roman" w:cs="Times New Roman"/>
        </w:rPr>
        <w:t>, reikia atsargiai skirti vartoti pacientams, kurie dideliais kiekiais vartoja alkoholį ir (arba) sirgo kepenų liga.</w:t>
      </w:r>
    </w:p>
    <w:p w14:paraId="7B7532C0" w14:textId="77777777" w:rsidR="00823899" w:rsidRPr="003E1719" w:rsidRDefault="00823899" w:rsidP="000D7B89">
      <w:pPr>
        <w:widowControl w:val="0"/>
        <w:tabs>
          <w:tab w:val="left" w:pos="567"/>
        </w:tabs>
        <w:snapToGrid w:val="0"/>
        <w:spacing w:after="0" w:line="240" w:lineRule="auto"/>
        <w:rPr>
          <w:rFonts w:ascii="Times New Roman" w:eastAsia="Times New Roman" w:hAnsi="Times New Roman" w:cs="Times New Roman"/>
          <w:u w:val="single"/>
        </w:rPr>
      </w:pPr>
    </w:p>
    <w:p w14:paraId="5A28F5A5" w14:textId="77777777" w:rsidR="00823899" w:rsidRPr="003E1719" w:rsidRDefault="00823899" w:rsidP="00823899">
      <w:pPr>
        <w:widowControl w:val="0"/>
        <w:spacing w:after="0" w:line="240" w:lineRule="auto"/>
        <w:rPr>
          <w:rFonts w:ascii="Times New Roman" w:eastAsia="Times New Roman" w:hAnsi="Times New Roman" w:cs="Times New Roman"/>
          <w:b/>
          <w:u w:val="single"/>
          <w:lang w:eastAsia="sl-SI"/>
        </w:rPr>
      </w:pPr>
      <w:r w:rsidRPr="003E1719">
        <w:rPr>
          <w:rFonts w:ascii="Times New Roman" w:eastAsia="Calibri" w:hAnsi="Times New Roman" w:cs="Times New Roman"/>
          <w:u w:val="single"/>
        </w:rPr>
        <w:t>Poveikis inkstams</w:t>
      </w:r>
    </w:p>
    <w:p w14:paraId="7064AB8E" w14:textId="77777777" w:rsidR="00823899" w:rsidRPr="003E1719" w:rsidRDefault="00823899" w:rsidP="0082389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Didesnėmis rozuvastatino dozėmis gydytiems pacientams, ypač vartojantiems 40 mg dozę, juostelės mėginiu </w:t>
      </w:r>
      <w:r w:rsidR="00BF5DAF" w:rsidRPr="003E1719">
        <w:rPr>
          <w:rFonts w:ascii="Times New Roman" w:eastAsia="Times New Roman" w:hAnsi="Times New Roman" w:cs="Times New Roman"/>
          <w:snapToGrid w:val="0"/>
        </w:rPr>
        <w:t xml:space="preserve">buvo </w:t>
      </w:r>
      <w:r w:rsidRPr="003E1719">
        <w:rPr>
          <w:rFonts w:ascii="Times New Roman" w:eastAsia="Times New Roman" w:hAnsi="Times New Roman" w:cs="Times New Roman"/>
          <w:snapToGrid w:val="0"/>
        </w:rPr>
        <w:t xml:space="preserve">nustatytos proteinurijos (dažniausiai kanalėlių kilmės) atvejų, dažniausiai ji buvo laikina arba protarpinė. Nustatyta, kad proteinurija nerodo gresiančios ūminės ar progresuojančios inkstų ligos (žr. 4.8 skyrių). </w:t>
      </w:r>
    </w:p>
    <w:p w14:paraId="61166703" w14:textId="77777777" w:rsidR="00823899" w:rsidRPr="003E1719" w:rsidRDefault="00823899" w:rsidP="00823899">
      <w:pPr>
        <w:widowControl w:val="0"/>
        <w:tabs>
          <w:tab w:val="left" w:pos="567"/>
        </w:tabs>
        <w:spacing w:after="0" w:line="240" w:lineRule="auto"/>
        <w:rPr>
          <w:rFonts w:ascii="Times New Roman" w:eastAsia="Times New Roman" w:hAnsi="Times New Roman" w:cs="Times New Roman"/>
          <w:snapToGrid w:val="0"/>
        </w:rPr>
      </w:pPr>
    </w:p>
    <w:p w14:paraId="337AC4D1" w14:textId="77777777" w:rsidR="00823899" w:rsidRPr="003E1719" w:rsidRDefault="00823899" w:rsidP="00823899">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u w:val="single"/>
          <w:lang w:eastAsia="sl-SI"/>
        </w:rPr>
      </w:pPr>
      <w:r w:rsidRPr="003E1719">
        <w:rPr>
          <w:rFonts w:ascii="Times New Roman" w:eastAsia="Times New Roman" w:hAnsi="Times New Roman" w:cs="Times New Roman"/>
          <w:iCs/>
          <w:u w:val="single"/>
          <w:lang w:eastAsia="sl-SI"/>
        </w:rPr>
        <w:t>Intersticinė plaučių liga</w:t>
      </w:r>
    </w:p>
    <w:p w14:paraId="07DD60E4" w14:textId="77777777" w:rsidR="00823899" w:rsidRPr="003E1719" w:rsidRDefault="00823899" w:rsidP="0082389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Vartojant kai kurių statinų, ypač gydant ilgai, išskirtiniais atvejais buvo pranešta apie intersticinės plaučių ligos atvejus (žr. 4.8 skyrių). </w:t>
      </w:r>
      <w:r w:rsidR="003F07B6" w:rsidRPr="003E1719">
        <w:rPr>
          <w:rFonts w:ascii="Times New Roman" w:eastAsia="Times New Roman" w:hAnsi="Times New Roman" w:cs="Times New Roman"/>
        </w:rPr>
        <w:t>Tokiais atvejais g</w:t>
      </w:r>
      <w:r w:rsidRPr="003E1719">
        <w:rPr>
          <w:rFonts w:ascii="Times New Roman" w:eastAsia="Times New Roman" w:hAnsi="Times New Roman" w:cs="Times New Roman"/>
        </w:rPr>
        <w:t>ali pasireikšti dusulys, neproduktyvus kosulys ir bendrosios sveikatos būklės pablogėjimas (nuovargis, kūno svorio mažėjimas ir karščiavimas). Jeigu įtariama, kad pacientui pasireiškė intersticinė plaučių liga, gydymą statinais reikia nutraukti.</w:t>
      </w:r>
    </w:p>
    <w:p w14:paraId="52DAD1EF" w14:textId="77777777" w:rsidR="00823899" w:rsidRPr="003E1719" w:rsidRDefault="00823899" w:rsidP="00823899">
      <w:pPr>
        <w:widowControl w:val="0"/>
        <w:tabs>
          <w:tab w:val="left" w:pos="567"/>
        </w:tabs>
        <w:spacing w:after="0" w:line="240" w:lineRule="auto"/>
        <w:rPr>
          <w:rFonts w:ascii="Times New Roman" w:eastAsia="Times New Roman" w:hAnsi="Times New Roman" w:cs="Times New Roman"/>
          <w:u w:val="single"/>
        </w:rPr>
      </w:pPr>
    </w:p>
    <w:p w14:paraId="2FB4A620" w14:textId="77777777" w:rsidR="003F07B6" w:rsidRPr="003E1719" w:rsidRDefault="003F07B6" w:rsidP="003F07B6">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Cukrinis diabetas</w:t>
      </w:r>
    </w:p>
    <w:p w14:paraId="4055ED78" w14:textId="08D6E335"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Kai kurie duomenys rodo, kad statinai, kaip klasė, didina gliukozės kiekį kraujyje ir kai kuriems pacientams, turintiems padidintą cukrinio diabeto pasireiškimo riziką, gali sukelti hiperglikemiją, kuri pagal gaires turi būti gydoma kaip cukrinis diabetas. Vis dėlto šią riziką persveria statinų sukeliamas kraujagyslinės rizikos sumažėjimas ir tai neturi būti gydymo nutraukimo priežastis. </w:t>
      </w:r>
      <w:r w:rsidR="00BF5DAF">
        <w:rPr>
          <w:rFonts w:ascii="Times New Roman" w:eastAsia="Times New Roman" w:hAnsi="Times New Roman" w:cs="Times New Roman"/>
        </w:rPr>
        <w:t>R</w:t>
      </w:r>
      <w:r w:rsidRPr="003E1719">
        <w:rPr>
          <w:rFonts w:ascii="Times New Roman" w:eastAsia="Times New Roman" w:hAnsi="Times New Roman" w:cs="Times New Roman"/>
        </w:rPr>
        <w:t>izikos grupės pacientų (kuriems gliukozės kiekis nevalgius 5,6</w:t>
      </w:r>
      <w:r w:rsidRPr="003E1719">
        <w:rPr>
          <w:rFonts w:ascii="Times New Roman" w:eastAsia="Times New Roman" w:hAnsi="Times New Roman" w:cs="Times New Roman"/>
        </w:rPr>
        <w:noBreakHyphen/>
        <w:t>6,9 mmol/l, kūno masės indeksas [KMI] &gt; 30 kg/m</w:t>
      </w:r>
      <w:r w:rsidRPr="003E1719">
        <w:rPr>
          <w:rFonts w:ascii="Times New Roman" w:eastAsia="Times New Roman" w:hAnsi="Times New Roman" w:cs="Times New Roman"/>
          <w:vertAlign w:val="superscript"/>
        </w:rPr>
        <w:t>2</w:t>
      </w:r>
      <w:r w:rsidRPr="003E1719">
        <w:rPr>
          <w:rFonts w:ascii="Times New Roman" w:eastAsia="Times New Roman" w:hAnsi="Times New Roman" w:cs="Times New Roman"/>
        </w:rPr>
        <w:t xml:space="preserve">, padidėjęs trigliceridų kiekis, hipertenzija) </w:t>
      </w:r>
      <w:r w:rsidR="00BF5DAF">
        <w:rPr>
          <w:rFonts w:ascii="Times New Roman" w:eastAsia="Times New Roman" w:hAnsi="Times New Roman" w:cs="Times New Roman"/>
        </w:rPr>
        <w:t>t</w:t>
      </w:r>
      <w:r w:rsidR="00BF5DAF" w:rsidRPr="003E1719">
        <w:rPr>
          <w:rFonts w:ascii="Times New Roman" w:eastAsia="Times New Roman" w:hAnsi="Times New Roman" w:cs="Times New Roman"/>
        </w:rPr>
        <w:t xml:space="preserve">uri būti stebima </w:t>
      </w:r>
      <w:r w:rsidRPr="003E1719">
        <w:rPr>
          <w:rFonts w:ascii="Times New Roman" w:eastAsia="Times New Roman" w:hAnsi="Times New Roman" w:cs="Times New Roman"/>
        </w:rPr>
        <w:t>klinikinė būklė ir biocheminiai rodmenys</w:t>
      </w:r>
      <w:r w:rsidR="00BF5DAF">
        <w:rPr>
          <w:rFonts w:ascii="Times New Roman" w:eastAsia="Times New Roman" w:hAnsi="Times New Roman" w:cs="Times New Roman"/>
        </w:rPr>
        <w:t xml:space="preserve"> pagal </w:t>
      </w:r>
      <w:r w:rsidRPr="003E1719">
        <w:rPr>
          <w:rFonts w:ascii="Times New Roman" w:eastAsia="Times New Roman" w:hAnsi="Times New Roman" w:cs="Times New Roman"/>
        </w:rPr>
        <w:t>nacionalin</w:t>
      </w:r>
      <w:r w:rsidR="00BF5DAF">
        <w:rPr>
          <w:rFonts w:ascii="Times New Roman" w:eastAsia="Times New Roman" w:hAnsi="Times New Roman" w:cs="Times New Roman"/>
        </w:rPr>
        <w:t>es</w:t>
      </w:r>
      <w:r w:rsidRPr="003E1719">
        <w:rPr>
          <w:rFonts w:ascii="Times New Roman" w:eastAsia="Times New Roman" w:hAnsi="Times New Roman" w:cs="Times New Roman"/>
        </w:rPr>
        <w:t xml:space="preserve"> gair</w:t>
      </w:r>
      <w:r w:rsidR="00BF5DAF">
        <w:rPr>
          <w:rFonts w:ascii="Times New Roman" w:eastAsia="Times New Roman" w:hAnsi="Times New Roman" w:cs="Times New Roman"/>
        </w:rPr>
        <w:t>es</w:t>
      </w:r>
      <w:r w:rsidRPr="003E1719">
        <w:rPr>
          <w:rFonts w:ascii="Times New Roman" w:eastAsia="Times New Roman" w:hAnsi="Times New Roman" w:cs="Times New Roman"/>
        </w:rPr>
        <w:t>.</w:t>
      </w:r>
    </w:p>
    <w:p w14:paraId="3B83F840" w14:textId="77777777" w:rsidR="003F07B6" w:rsidRPr="003E1719" w:rsidRDefault="003F07B6" w:rsidP="003F07B6">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
    <w:p w14:paraId="50D7790E"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JUPITER tyrimo metu bendrasis cukrinio diabeto dažnis buvo 2,8 % rozuvastatino grupėje ir 2,3 % placebo grupėje, dažniausiai cukrinis diabetas pasireiškė pacientams, kurių kraujyje gliukozės kiekis nevalgius buvo 5,6</w:t>
      </w:r>
      <w:r w:rsidRPr="003E1719">
        <w:rPr>
          <w:rFonts w:ascii="Times New Roman" w:eastAsia="Times New Roman" w:hAnsi="Times New Roman" w:cs="Times New Roman"/>
        </w:rPr>
        <w:noBreakHyphen/>
        <w:t>6,9 mmol/l.</w:t>
      </w:r>
    </w:p>
    <w:p w14:paraId="754BE4B3"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u w:val="single"/>
        </w:rPr>
      </w:pPr>
    </w:p>
    <w:p w14:paraId="7B91A654"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Antikoaguliantai</w:t>
      </w:r>
    </w:p>
    <w:p w14:paraId="1DA6D5BC"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Jei </w:t>
      </w:r>
      <w:r w:rsidR="00AF3800">
        <w:rPr>
          <w:rFonts w:ascii="Times New Roman" w:eastAsia="Times New Roman" w:hAnsi="Times New Roman" w:cs="Times New Roman"/>
        </w:rPr>
        <w:t>Rosuvastatin/Ezetimibe Teva</w:t>
      </w:r>
      <w:r w:rsidRPr="003E1719">
        <w:rPr>
          <w:rFonts w:ascii="Times New Roman" w:eastAsia="Times New Roman" w:hAnsi="Times New Roman" w:cs="Times New Roman"/>
        </w:rPr>
        <w:t xml:space="preserve"> pradedama vartoti kartu su varfarinu, kitu kumarino grupės antikoaguliantu ar fluindionu, reikia tinkamai stebėti tarptautinį normalizuotą santykį (TNS) (žr. 4.5 skyrių).</w:t>
      </w:r>
    </w:p>
    <w:p w14:paraId="24625275" w14:textId="77777777" w:rsidR="003F07B6" w:rsidRPr="003E1719" w:rsidRDefault="003F07B6" w:rsidP="003F07B6">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lang w:eastAsia="sl-SI"/>
        </w:rPr>
      </w:pPr>
    </w:p>
    <w:p w14:paraId="6B021F14" w14:textId="77777777" w:rsidR="003F07B6" w:rsidRPr="003E1719" w:rsidRDefault="003F07B6" w:rsidP="003F07B6">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u w:val="single"/>
        </w:rPr>
        <w:t>Ciklosporinas</w:t>
      </w:r>
      <w:r w:rsidRPr="003E1719">
        <w:rPr>
          <w:rFonts w:ascii="Times New Roman" w:eastAsia="Times New Roman" w:hAnsi="Times New Roman" w:cs="Times New Roman"/>
        </w:rPr>
        <w:t>: žr. 4.3 ir 4.5 skyrius.</w:t>
      </w:r>
    </w:p>
    <w:p w14:paraId="4B6F3488"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u w:val="single"/>
        </w:rPr>
      </w:pPr>
    </w:p>
    <w:p w14:paraId="043F1F66"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Fibratai</w:t>
      </w:r>
    </w:p>
    <w:p w14:paraId="04A4454E"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Ar saugu ir veiksminga ezetimibo vartoti kartu su fibratais, nenustatyta (žr. aukščiau ir 4.3, 4.5 skyrius).</w:t>
      </w:r>
    </w:p>
    <w:p w14:paraId="2D036C1F"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Jeigu įtariama, kad </w:t>
      </w:r>
      <w:r w:rsidR="00AF3800">
        <w:rPr>
          <w:rFonts w:ascii="Times New Roman" w:eastAsia="Times New Roman" w:hAnsi="Times New Roman" w:cs="Times New Roman"/>
        </w:rPr>
        <w:t>Rosuvastatin/Ezetimibe Teva</w:t>
      </w:r>
      <w:r w:rsidRPr="003E1719">
        <w:rPr>
          <w:rFonts w:ascii="Times New Roman" w:eastAsia="Times New Roman" w:hAnsi="Times New Roman" w:cs="Times New Roman"/>
        </w:rPr>
        <w:t xml:space="preserve"> ir fenofibratu gydomam pacientui pasireiškė tulžies akmenligė, reikia ištirti tulžies pūslę ir minėtą gydymą nutraukti (žr. 4.5 ir 4.8 skyrius).</w:t>
      </w:r>
    </w:p>
    <w:p w14:paraId="7757B03C"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rPr>
      </w:pPr>
    </w:p>
    <w:p w14:paraId="7A10D8DE" w14:textId="77777777" w:rsidR="003F07B6" w:rsidRPr="003E1719" w:rsidRDefault="003F07B6" w:rsidP="003F07B6">
      <w:pPr>
        <w:widowControl w:val="0"/>
        <w:spacing w:after="0" w:line="240" w:lineRule="auto"/>
        <w:rPr>
          <w:rFonts w:ascii="Times New Roman" w:eastAsia="Calibri" w:hAnsi="Times New Roman" w:cs="Times New Roman"/>
          <w:u w:val="single"/>
        </w:rPr>
      </w:pPr>
      <w:r w:rsidRPr="003E1719">
        <w:rPr>
          <w:rFonts w:ascii="Times New Roman" w:eastAsia="Calibri" w:hAnsi="Times New Roman" w:cs="Times New Roman"/>
          <w:u w:val="single"/>
        </w:rPr>
        <w:t>Fuzido rūgštis</w:t>
      </w:r>
    </w:p>
    <w:p w14:paraId="735CAC37" w14:textId="77777777" w:rsidR="003F07B6" w:rsidRPr="003E1719" w:rsidRDefault="00AF3800" w:rsidP="003F07B6">
      <w:pPr>
        <w:widowControl w:val="0"/>
        <w:tabs>
          <w:tab w:val="left" w:pos="567"/>
        </w:tabs>
        <w:snapToGrid w:val="0"/>
        <w:spacing w:after="0" w:line="240" w:lineRule="auto"/>
        <w:rPr>
          <w:rFonts w:ascii="Times New Roman" w:eastAsia="Times New Roman" w:hAnsi="Times New Roman" w:cs="Times New Roman"/>
          <w:bCs/>
        </w:rPr>
      </w:pPr>
      <w:r>
        <w:rPr>
          <w:rFonts w:ascii="Times New Roman" w:eastAsia="Times New Roman" w:hAnsi="Times New Roman" w:cs="Times New Roman"/>
          <w:snapToGrid w:val="0"/>
          <w:lang w:eastAsia="sl-SI"/>
        </w:rPr>
        <w:t>Rosuvastatin/Ezetimibe Teva</w:t>
      </w:r>
      <w:r w:rsidR="003F07B6" w:rsidRPr="003E1719">
        <w:rPr>
          <w:rFonts w:ascii="Times New Roman" w:eastAsia="Times New Roman" w:hAnsi="Times New Roman" w:cs="Times New Roman"/>
          <w:snapToGrid w:val="0"/>
          <w:lang w:eastAsia="sl-SI"/>
        </w:rPr>
        <w:t xml:space="preserve"> </w:t>
      </w:r>
      <w:r w:rsidR="003F07B6" w:rsidRPr="003E1719">
        <w:rPr>
          <w:rFonts w:ascii="Times New Roman" w:eastAsia="Times New Roman" w:hAnsi="Times New Roman" w:cs="Times New Roman"/>
        </w:rPr>
        <w:t xml:space="preserve">negalima skirti kartu su sisteminio poveikio fuzido rūgšties preparatais ir 7 dienas po gydymo fuzido rūgštimi nutraukimo. </w:t>
      </w:r>
      <w:r w:rsidR="003F07B6" w:rsidRPr="003E1719">
        <w:rPr>
          <w:rFonts w:ascii="Times New Roman" w:eastAsia="Times New Roman" w:hAnsi="Times New Roman" w:cs="Times New Roman"/>
          <w:bCs/>
        </w:rPr>
        <w:t xml:space="preserve">Pacientų, kuriems </w:t>
      </w:r>
      <w:r w:rsidR="003F07B6" w:rsidRPr="003E1719">
        <w:rPr>
          <w:rFonts w:ascii="Times New Roman" w:eastAsia="Times New Roman" w:hAnsi="Times New Roman" w:cs="Times New Roman"/>
        </w:rPr>
        <w:t xml:space="preserve">sisteminio poveikio fuzido rūgšties vaistinių preparatų </w:t>
      </w:r>
      <w:r w:rsidR="003F07B6" w:rsidRPr="003E1719">
        <w:rPr>
          <w:rFonts w:ascii="Times New Roman" w:eastAsia="Times New Roman" w:hAnsi="Times New Roman" w:cs="Times New Roman"/>
          <w:bCs/>
        </w:rPr>
        <w:t>vartojimas būtinas, gydymas statinais fuzido rūgšties vartojimo laikotarpiu turi būti nutrauktas.</w:t>
      </w:r>
      <w:r w:rsidR="003F07B6" w:rsidRPr="003E1719">
        <w:rPr>
          <w:rFonts w:ascii="Times New Roman" w:eastAsia="Times New Roman" w:hAnsi="Times New Roman" w:cs="Times New Roman"/>
        </w:rPr>
        <w:t xml:space="preserve"> Pranešta apie </w:t>
      </w:r>
      <w:r w:rsidR="003F07B6" w:rsidRPr="003E1719">
        <w:rPr>
          <w:rFonts w:ascii="Times New Roman" w:eastAsia="Times New Roman" w:hAnsi="Times New Roman" w:cs="Times New Roman"/>
          <w:bCs/>
        </w:rPr>
        <w:t>rabdomiolizės atvejus (įskaitant kelis mirties atvejus) pacientams, kurie kartu vartojo fuzido rūgšties ir statinų (žr. 4.5 skyrių). Pacientas turi būti informuojamas, kad nedelsdamas kreiptųsi medicininės pagalbos, jeigu atsiras bet kokių raumenų silpnumo, skausmo ar jautrumo simptomų.</w:t>
      </w:r>
    </w:p>
    <w:p w14:paraId="4547A5A7" w14:textId="77777777" w:rsidR="003F07B6" w:rsidRPr="003E1719" w:rsidRDefault="003F07B6" w:rsidP="003F07B6">
      <w:pPr>
        <w:widowControl w:val="0"/>
        <w:tabs>
          <w:tab w:val="left" w:pos="567"/>
        </w:tabs>
        <w:snapToGrid w:val="0"/>
        <w:spacing w:after="0" w:line="240" w:lineRule="auto"/>
        <w:rPr>
          <w:rFonts w:ascii="Times New Roman" w:eastAsia="Times New Roman" w:hAnsi="Times New Roman" w:cs="Times New Roman"/>
          <w:bCs/>
        </w:rPr>
      </w:pPr>
      <w:r w:rsidRPr="003E1719">
        <w:rPr>
          <w:rFonts w:ascii="Times New Roman" w:eastAsia="Times New Roman" w:hAnsi="Times New Roman" w:cs="Times New Roman"/>
          <w:bCs/>
        </w:rPr>
        <w:t>Gydymą statinais galima atnaujinti praėjus septynioms dienoms nuo paskutiniosios fuzido rūgšties dozės pavartojimo.</w:t>
      </w:r>
      <w:r w:rsidR="00D7744E" w:rsidRPr="003E1719">
        <w:rPr>
          <w:rFonts w:ascii="Times New Roman" w:eastAsia="Times New Roman" w:hAnsi="Times New Roman" w:cs="Times New Roman"/>
          <w:bCs/>
        </w:rPr>
        <w:t xml:space="preserve"> </w:t>
      </w:r>
      <w:r w:rsidRPr="003E1719">
        <w:rPr>
          <w:rFonts w:ascii="Times New Roman" w:eastAsia="Times New Roman" w:hAnsi="Times New Roman" w:cs="Times New Roman"/>
          <w:bCs/>
        </w:rPr>
        <w:t xml:space="preserve">Išimtiniais atvejais, kai reikalingas ilgesnis gydymas sisteminio poveikio fuzido rūgšties preparatu, pvz., gydant sunkias infekcines ligas, būtinybė kartu vartoti </w:t>
      </w:r>
      <w:r w:rsidR="00AF3800">
        <w:rPr>
          <w:rFonts w:ascii="Times New Roman" w:eastAsia="Times New Roman" w:hAnsi="Times New Roman" w:cs="Times New Roman"/>
          <w:snapToGrid w:val="0"/>
          <w:lang w:eastAsia="sl-SI"/>
        </w:rPr>
        <w:t>Rosuvastatin/Ezetimibe Teva</w:t>
      </w:r>
      <w:r w:rsidRPr="003E1719">
        <w:rPr>
          <w:rFonts w:ascii="Times New Roman" w:eastAsia="Times New Roman" w:hAnsi="Times New Roman" w:cs="Times New Roman"/>
        </w:rPr>
        <w:t xml:space="preserve"> </w:t>
      </w:r>
      <w:r w:rsidRPr="003E1719">
        <w:rPr>
          <w:rFonts w:ascii="Times New Roman" w:eastAsia="Times New Roman" w:hAnsi="Times New Roman" w:cs="Times New Roman"/>
          <w:bCs/>
        </w:rPr>
        <w:t>ir fuzido rūgšties turi būti apsvarstyta kiekvienu atskiru atveju bei esant atidžiai medicininei priežiūrai.</w:t>
      </w:r>
    </w:p>
    <w:p w14:paraId="68AAD241" w14:textId="77777777" w:rsidR="003F07B6" w:rsidRPr="003E1719" w:rsidRDefault="003F07B6" w:rsidP="003F07B6">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Cs/>
          <w:lang w:eastAsia="sl-SI"/>
        </w:rPr>
      </w:pPr>
    </w:p>
    <w:p w14:paraId="7C50F89A" w14:textId="77777777" w:rsidR="00D7744E" w:rsidRPr="003E1719" w:rsidRDefault="00D7744E" w:rsidP="00D7744E">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u w:val="single"/>
        </w:rPr>
        <w:t>Proteazės inhibitoriai</w:t>
      </w:r>
    </w:p>
    <w:p w14:paraId="495E28DA" w14:textId="36D71B6E" w:rsidR="00D7744E" w:rsidRPr="003E1719" w:rsidRDefault="00D7744E" w:rsidP="00D7744E">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Pacientų, rozuvastatin</w:t>
      </w:r>
      <w:r w:rsidR="00F73B16">
        <w:rPr>
          <w:rFonts w:ascii="Times New Roman" w:eastAsia="Times New Roman" w:hAnsi="Times New Roman" w:cs="Times New Roman"/>
        </w:rPr>
        <w:t>o</w:t>
      </w:r>
      <w:r w:rsidRPr="003E1719">
        <w:rPr>
          <w:rFonts w:ascii="Times New Roman" w:eastAsia="Times New Roman" w:hAnsi="Times New Roman" w:cs="Times New Roman"/>
        </w:rPr>
        <w:t xml:space="preserve"> vartojusių kartu su įvairių proteazės inhibitorių ir ritonaviro deriniu, organizme buvo stebima padidėjusi rozuvastatino sisteminė ekspozicija. </w:t>
      </w:r>
      <w:r w:rsidR="00AF3800">
        <w:rPr>
          <w:rFonts w:ascii="Times New Roman" w:eastAsia="Times New Roman" w:hAnsi="Times New Roman" w:cs="Times New Roman"/>
        </w:rPr>
        <w:t>Rosuvastatin/Ezetimibe Teva</w:t>
      </w:r>
      <w:r w:rsidRPr="003E1719">
        <w:rPr>
          <w:rFonts w:ascii="Times New Roman" w:eastAsia="Times New Roman" w:hAnsi="Times New Roman" w:cs="Times New Roman"/>
        </w:rPr>
        <w:t xml:space="preserve"> skiriant vartoti ŽIV užkrėstiems pacientams, gydomiems proteazės inhibitoriais, reikia atsižvelgti tiek į lipidų kiekio mažinimo naudą, tiek į rozuvastatino koncentracijos kraujo plazmoje padidėjimo galimybę pacientams, gydomiems proteazės inhibitoriais, pradėjus vartoti rozuvastatino ir laipsniškai didinant dozę. Rozuvastatino vartoti kartu su proteazės inhibitoriais nerekomenduojama, nebent yra koreguojama rozuvastatino dozė (žr. 4.2 ir 4.5 skyrius).</w:t>
      </w:r>
    </w:p>
    <w:p w14:paraId="3C52053E" w14:textId="77777777" w:rsidR="00D7744E" w:rsidRPr="003E1719" w:rsidRDefault="00D7744E" w:rsidP="000D7B89">
      <w:pPr>
        <w:widowControl w:val="0"/>
        <w:tabs>
          <w:tab w:val="left" w:pos="567"/>
        </w:tabs>
        <w:snapToGrid w:val="0"/>
        <w:spacing w:after="0" w:line="240" w:lineRule="auto"/>
        <w:rPr>
          <w:rFonts w:ascii="Times New Roman" w:eastAsia="Times New Roman" w:hAnsi="Times New Roman" w:cs="Times New Roman"/>
          <w:u w:val="single"/>
        </w:rPr>
      </w:pPr>
    </w:p>
    <w:p w14:paraId="319FF164"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u w:val="single"/>
        </w:rPr>
        <w:t>Rasė</w:t>
      </w:r>
    </w:p>
    <w:p w14:paraId="5FFC694F"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Farmakokinetikos tyrimai rodo, kad vaistinio preparato ekspozicija azijiečių organizme būna didesnė, palyginti su rodmeniu europidų organizme (žr. 4.2, 4.3 ir 5.2 skyrius).</w:t>
      </w:r>
    </w:p>
    <w:p w14:paraId="7160EFAF" w14:textId="77777777" w:rsidR="000D7B89" w:rsidRPr="00212A78" w:rsidRDefault="000D7B89" w:rsidP="000D7B89">
      <w:pPr>
        <w:widowControl w:val="0"/>
        <w:tabs>
          <w:tab w:val="left" w:pos="567"/>
        </w:tabs>
        <w:snapToGrid w:val="0"/>
        <w:spacing w:after="0" w:line="240" w:lineRule="auto"/>
        <w:rPr>
          <w:rFonts w:ascii="Times New Roman" w:eastAsia="Times New Roman" w:hAnsi="Times New Roman" w:cs="Times New Roman"/>
          <w:b/>
        </w:rPr>
      </w:pPr>
    </w:p>
    <w:p w14:paraId="2ED813AC" w14:textId="77777777" w:rsidR="000D7B89" w:rsidRPr="003E1719" w:rsidRDefault="000D7B89" w:rsidP="000D7B89">
      <w:pPr>
        <w:widowControl w:val="0"/>
        <w:tabs>
          <w:tab w:val="left" w:pos="567"/>
        </w:tabs>
        <w:snapToGrid w:val="0"/>
        <w:spacing w:after="0" w:line="240" w:lineRule="auto"/>
        <w:rPr>
          <w:rFonts w:ascii="Times New Roman" w:hAnsi="Times New Roman" w:cs="Times New Roman"/>
          <w:u w:val="single"/>
        </w:rPr>
      </w:pPr>
      <w:r w:rsidRPr="003E1719">
        <w:rPr>
          <w:rFonts w:ascii="Times New Roman" w:hAnsi="Times New Roman" w:cs="Times New Roman"/>
          <w:u w:val="single"/>
        </w:rPr>
        <w:t>Sunkios nepageidaujamos odos reakcijos</w:t>
      </w:r>
    </w:p>
    <w:p w14:paraId="32777425" w14:textId="77777777" w:rsidR="000D7B89" w:rsidRPr="003E1719" w:rsidRDefault="000D7B89" w:rsidP="000D7B89">
      <w:pPr>
        <w:widowControl w:val="0"/>
        <w:tabs>
          <w:tab w:val="left" w:pos="567"/>
        </w:tabs>
        <w:snapToGrid w:val="0"/>
        <w:spacing w:after="0" w:line="240" w:lineRule="auto"/>
        <w:rPr>
          <w:rFonts w:ascii="Times New Roman" w:hAnsi="Times New Roman" w:cs="Times New Roman"/>
        </w:rPr>
      </w:pPr>
      <w:r w:rsidRPr="003E1719">
        <w:rPr>
          <w:rFonts w:ascii="Times New Roman" w:hAnsi="Times New Roman" w:cs="Times New Roman"/>
        </w:rPr>
        <w:t>Pranešta apie su rozuvastatino vartojimu susijusias sunkias odos nepageidaujamas reakcijas, įskaitant Stivenso-Džonsono (</w:t>
      </w:r>
      <w:r w:rsidRPr="003E1719">
        <w:rPr>
          <w:rFonts w:ascii="Times New Roman" w:hAnsi="Times New Roman" w:cs="Times New Roman"/>
          <w:iCs/>
        </w:rPr>
        <w:t>Stevens-Johnson</w:t>
      </w:r>
      <w:r w:rsidRPr="003E1719">
        <w:rPr>
          <w:rFonts w:ascii="Times New Roman" w:hAnsi="Times New Roman" w:cs="Times New Roman"/>
        </w:rPr>
        <w:t>) sindromą (</w:t>
      </w:r>
      <w:r w:rsidRPr="003E1719">
        <w:rPr>
          <w:rFonts w:ascii="Times New Roman" w:hAnsi="Times New Roman" w:cs="Times New Roman"/>
          <w:iCs/>
        </w:rPr>
        <w:t>SDS</w:t>
      </w:r>
      <w:r w:rsidRPr="003E1719">
        <w:rPr>
          <w:rFonts w:ascii="Times New Roman" w:hAnsi="Times New Roman" w:cs="Times New Roman"/>
        </w:rPr>
        <w:t xml:space="preserve">) ir </w:t>
      </w:r>
      <w:r w:rsidR="001C01E5" w:rsidRPr="003E1719">
        <w:rPr>
          <w:rFonts w:ascii="Times New Roman" w:hAnsi="Times New Roman" w:cs="Times New Roman"/>
          <w:shd w:val="clear" w:color="auto" w:fill="FFFFFF"/>
        </w:rPr>
        <w:t>hiperergijos vaistams sindromą (</w:t>
      </w:r>
      <w:r w:rsidRPr="003E1719">
        <w:rPr>
          <w:rFonts w:ascii="Times New Roman" w:hAnsi="Times New Roman" w:cs="Times New Roman"/>
        </w:rPr>
        <w:t>reakciją į vaistinį preparatą su eozinofil</w:t>
      </w:r>
      <w:r w:rsidR="001C01E5" w:rsidRPr="003E1719">
        <w:rPr>
          <w:rFonts w:ascii="Times New Roman" w:hAnsi="Times New Roman" w:cs="Times New Roman"/>
        </w:rPr>
        <w:t>ija ir sisteminiais simptomais [</w:t>
      </w:r>
      <w:r w:rsidRPr="003E1719">
        <w:rPr>
          <w:rFonts w:ascii="Times New Roman" w:hAnsi="Times New Roman" w:cs="Times New Roman"/>
        </w:rPr>
        <w:t xml:space="preserve">angl. </w:t>
      </w:r>
      <w:r w:rsidRPr="003E1719">
        <w:rPr>
          <w:rFonts w:ascii="Times New Roman" w:hAnsi="Times New Roman" w:cs="Times New Roman"/>
          <w:i/>
        </w:rPr>
        <w:t>drug reaction with eosinophilia and systemic symptoms, DRESS</w:t>
      </w:r>
      <w:r w:rsidR="001C01E5" w:rsidRPr="003E1719">
        <w:rPr>
          <w:rFonts w:ascii="Times New Roman" w:hAnsi="Times New Roman" w:cs="Times New Roman"/>
        </w:rPr>
        <w:t>]</w:t>
      </w:r>
      <w:r w:rsidRPr="003E1719">
        <w:rPr>
          <w:rFonts w:ascii="Times New Roman" w:hAnsi="Times New Roman" w:cs="Times New Roman"/>
        </w:rPr>
        <w:t xml:space="preserve">), kurios gali būti pavojingos gyvybei arba mirtinos. Vaistinio preparato skyrimo metu pacientus reikia informuoti, kokie yra sunkių odos reakcijų požymiai bei simptomai ir juos būtina atidžiai stebėti. Jeigu požymiai ir simptomai rodo, kad galėjo atsirasti tokių reakcijų, būtina nedelsiant nutraukti </w:t>
      </w:r>
      <w:r w:rsidR="00AF3800">
        <w:rPr>
          <w:rFonts w:ascii="Times New Roman" w:hAnsi="Times New Roman" w:cs="Times New Roman"/>
        </w:rPr>
        <w:t>Rosuvastatin/Ezetimibe Teva</w:t>
      </w:r>
      <w:r w:rsidR="004042B8" w:rsidRPr="003E1719">
        <w:rPr>
          <w:rFonts w:ascii="Times New Roman" w:hAnsi="Times New Roman" w:cs="Times New Roman"/>
        </w:rPr>
        <w:t xml:space="preserve"> </w:t>
      </w:r>
      <w:r w:rsidRPr="003E1719">
        <w:rPr>
          <w:rFonts w:ascii="Times New Roman" w:hAnsi="Times New Roman" w:cs="Times New Roman"/>
        </w:rPr>
        <w:t>vartojimą ir apsvarstyti alternatyvaus gydymo galimybę.</w:t>
      </w:r>
    </w:p>
    <w:p w14:paraId="2BAF6DEF" w14:textId="77777777" w:rsidR="000D7B89" w:rsidRPr="003E1719" w:rsidRDefault="000D7B89" w:rsidP="000D7B89">
      <w:pPr>
        <w:widowControl w:val="0"/>
        <w:tabs>
          <w:tab w:val="left" w:pos="567"/>
        </w:tabs>
        <w:snapToGrid w:val="0"/>
        <w:spacing w:after="0" w:line="240" w:lineRule="auto"/>
        <w:rPr>
          <w:rFonts w:ascii="Times New Roman" w:hAnsi="Times New Roman" w:cs="Times New Roman"/>
        </w:rPr>
      </w:pPr>
      <w:r w:rsidRPr="003E1719">
        <w:rPr>
          <w:rFonts w:ascii="Times New Roman" w:hAnsi="Times New Roman" w:cs="Times New Roman"/>
        </w:rPr>
        <w:t xml:space="preserve">Jeigu pacientui vartojant pasireiškia sunki reakcija (tokia kaip </w:t>
      </w:r>
      <w:r w:rsidRPr="003E1719">
        <w:rPr>
          <w:rFonts w:ascii="Times New Roman" w:hAnsi="Times New Roman" w:cs="Times New Roman"/>
          <w:iCs/>
        </w:rPr>
        <w:t xml:space="preserve">SDS </w:t>
      </w:r>
      <w:r w:rsidRPr="003E1719">
        <w:rPr>
          <w:rFonts w:ascii="Times New Roman" w:hAnsi="Times New Roman" w:cs="Times New Roman"/>
        </w:rPr>
        <w:t xml:space="preserve">ar </w:t>
      </w:r>
      <w:r w:rsidRPr="003E1719">
        <w:rPr>
          <w:rFonts w:ascii="Times New Roman" w:hAnsi="Times New Roman" w:cs="Times New Roman"/>
          <w:i/>
        </w:rPr>
        <w:t>DRESS</w:t>
      </w:r>
      <w:r w:rsidRPr="003E1719">
        <w:rPr>
          <w:rFonts w:ascii="Times New Roman" w:hAnsi="Times New Roman" w:cs="Times New Roman"/>
        </w:rPr>
        <w:t xml:space="preserve">), tokiam pacientui gydymo </w:t>
      </w:r>
      <w:r w:rsidR="00AF3800">
        <w:rPr>
          <w:rFonts w:ascii="Times New Roman" w:hAnsi="Times New Roman" w:cs="Times New Roman"/>
        </w:rPr>
        <w:t>Rosuvastatin/Ezetimibe Teva</w:t>
      </w:r>
      <w:r w:rsidR="004042B8" w:rsidRPr="003E1719">
        <w:rPr>
          <w:rFonts w:ascii="Times New Roman" w:hAnsi="Times New Roman" w:cs="Times New Roman"/>
        </w:rPr>
        <w:t xml:space="preserve"> </w:t>
      </w:r>
      <w:r w:rsidRPr="003E1719">
        <w:rPr>
          <w:rFonts w:ascii="Times New Roman" w:hAnsi="Times New Roman" w:cs="Times New Roman"/>
        </w:rPr>
        <w:t>niekada negalima atnaujinti.</w:t>
      </w:r>
    </w:p>
    <w:p w14:paraId="04193009"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p>
    <w:p w14:paraId="55548450" w14:textId="77777777" w:rsidR="00D7744E" w:rsidRPr="003E1719" w:rsidRDefault="00D7744E" w:rsidP="000D7B89">
      <w:pPr>
        <w:widowControl w:val="0"/>
        <w:tabs>
          <w:tab w:val="left" w:pos="567"/>
        </w:tabs>
        <w:snapToGrid w:val="0"/>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Vaikų populiacija</w:t>
      </w:r>
    </w:p>
    <w:p w14:paraId="2664D000" w14:textId="77777777" w:rsidR="001C01E5" w:rsidRPr="003E1719" w:rsidRDefault="00AF3800" w:rsidP="001C01E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Cs/>
        </w:rPr>
        <w:t>Rosuvastatin/Ezetimibe Teva</w:t>
      </w:r>
      <w:r w:rsidR="001C01E5" w:rsidRPr="003E1719">
        <w:rPr>
          <w:rFonts w:ascii="Times New Roman" w:eastAsia="Times New Roman" w:hAnsi="Times New Roman" w:cs="Times New Roman"/>
          <w:iCs/>
        </w:rPr>
        <w:t xml:space="preserve"> </w:t>
      </w:r>
      <w:r w:rsidR="001C01E5" w:rsidRPr="003E1719">
        <w:rPr>
          <w:rFonts w:ascii="Times New Roman" w:eastAsia="Times New Roman" w:hAnsi="Times New Roman" w:cs="Times New Roman"/>
          <w:lang w:eastAsia="sl-SI"/>
        </w:rPr>
        <w:t>saugumas ir veiksmingumas vaikams iki 18 metų neištirti, todėl šiai amžiaus grupei jo vartojimas nerekomenduojamas.</w:t>
      </w:r>
    </w:p>
    <w:p w14:paraId="048C48CD" w14:textId="77777777" w:rsidR="00D7744E" w:rsidRPr="003E1719" w:rsidRDefault="00D7744E" w:rsidP="000D7B89">
      <w:pPr>
        <w:widowControl w:val="0"/>
        <w:tabs>
          <w:tab w:val="left" w:pos="567"/>
        </w:tabs>
        <w:snapToGrid w:val="0"/>
        <w:spacing w:after="0" w:line="240" w:lineRule="auto"/>
        <w:rPr>
          <w:rFonts w:ascii="Times New Roman" w:eastAsia="Times New Roman" w:hAnsi="Times New Roman" w:cs="Times New Roman"/>
        </w:rPr>
      </w:pPr>
    </w:p>
    <w:p w14:paraId="14D187D0" w14:textId="77777777" w:rsidR="001C01E5" w:rsidRPr="003E1719" w:rsidRDefault="00AF3800" w:rsidP="000D7B89">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Rosuvastatin/Ezetimibe Teva</w:t>
      </w:r>
      <w:r w:rsidR="004042B8" w:rsidRPr="003E1719">
        <w:rPr>
          <w:rFonts w:ascii="Times New Roman" w:eastAsia="Times New Roman" w:hAnsi="Times New Roman" w:cs="Times New Roman"/>
          <w:b/>
        </w:rPr>
        <w:t xml:space="preserve"> </w:t>
      </w:r>
      <w:r w:rsidR="000D7B89" w:rsidRPr="003E1719">
        <w:rPr>
          <w:rFonts w:ascii="Times New Roman" w:eastAsia="Times New Roman" w:hAnsi="Times New Roman" w:cs="Times New Roman"/>
          <w:b/>
        </w:rPr>
        <w:t xml:space="preserve">sudėtyje yra laktozės. </w:t>
      </w:r>
    </w:p>
    <w:p w14:paraId="4553F7E6"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Šio vaistinio preparato negalima vartoti pacientams, kuriems nustatytas retas paveldimas sutrikimas – galaktozės netoleravimas, visiškas laktazės stygius arba gliukozės ir galaktozės malabsorbcija.</w:t>
      </w:r>
    </w:p>
    <w:p w14:paraId="415A1B61"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p>
    <w:p w14:paraId="38D93680" w14:textId="77777777" w:rsidR="001C01E5" w:rsidRPr="003E1719" w:rsidRDefault="00AF3800" w:rsidP="001C01E5">
      <w:pPr>
        <w:widowControl w:val="0"/>
        <w:tabs>
          <w:tab w:val="left" w:pos="567"/>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Rosuvastatin/Ezetimibe Teva</w:t>
      </w:r>
      <w:r w:rsidR="001C01E5" w:rsidRPr="003E1719">
        <w:rPr>
          <w:rFonts w:ascii="Times New Roman" w:eastAsia="Times New Roman" w:hAnsi="Times New Roman" w:cs="Times New Roman"/>
          <w:b/>
        </w:rPr>
        <w:t xml:space="preserve"> sudėtyje yra natrio. </w:t>
      </w:r>
    </w:p>
    <w:p w14:paraId="000C9350" w14:textId="7544271F" w:rsidR="000D7B89" w:rsidRPr="003E1719" w:rsidRDefault="00F72942"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rPr>
        <w:t xml:space="preserve">Šio vaistinio preparato </w:t>
      </w:r>
      <w:r w:rsidR="004042B8" w:rsidRPr="003E1719">
        <w:rPr>
          <w:rFonts w:ascii="Times New Roman" w:eastAsia="Times New Roman" w:hAnsi="Times New Roman" w:cs="Times New Roman"/>
        </w:rPr>
        <w:t xml:space="preserve"> </w:t>
      </w:r>
      <w:r w:rsidR="000D7B89" w:rsidRPr="003E1719">
        <w:rPr>
          <w:rFonts w:ascii="Times New Roman" w:eastAsia="Times New Roman" w:hAnsi="Times New Roman" w:cs="Times New Roman"/>
          <w:lang w:eastAsia="sl-SI"/>
        </w:rPr>
        <w:t>tabletėje yra mažiau kaip 1 mmol (23 mg) natrio, t. y. jis beveik neturi reikšmės.</w:t>
      </w:r>
    </w:p>
    <w:p w14:paraId="7D7C0A1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A9D51F5"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4.5</w:t>
      </w:r>
      <w:r w:rsidRPr="003E1719">
        <w:rPr>
          <w:rFonts w:ascii="Times New Roman" w:eastAsia="Times New Roman" w:hAnsi="Times New Roman" w:cs="Times New Roman"/>
          <w:b/>
          <w:lang w:eastAsia="sl-SI"/>
        </w:rPr>
        <w:tab/>
        <w:t>Sąveika su kitais v</w:t>
      </w:r>
      <w:r w:rsidR="004708E6" w:rsidRPr="003E1719">
        <w:rPr>
          <w:rFonts w:ascii="Times New Roman" w:eastAsia="Times New Roman" w:hAnsi="Times New Roman" w:cs="Times New Roman"/>
          <w:b/>
          <w:lang w:eastAsia="sl-SI"/>
        </w:rPr>
        <w:t>a</w:t>
      </w:r>
      <w:r w:rsidRPr="003E1719">
        <w:rPr>
          <w:rFonts w:ascii="Times New Roman" w:eastAsia="Times New Roman" w:hAnsi="Times New Roman" w:cs="Times New Roman"/>
          <w:b/>
          <w:lang w:eastAsia="sl-SI"/>
        </w:rPr>
        <w:t>istiniais preparatais ir kitokia sąveika</w:t>
      </w:r>
    </w:p>
    <w:p w14:paraId="205DED8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E6D7555"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Draudžiami deriniai</w:t>
      </w:r>
    </w:p>
    <w:p w14:paraId="583B274D"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p>
    <w:p w14:paraId="705FA49D" w14:textId="07FA9D85"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i/>
        </w:rPr>
        <w:t xml:space="preserve">Ciklosporinas. </w:t>
      </w:r>
      <w:r w:rsidR="00AF3800">
        <w:rPr>
          <w:rFonts w:ascii="Times New Roman" w:eastAsia="Times New Roman" w:hAnsi="Times New Roman" w:cs="Times New Roman"/>
        </w:rPr>
        <w:t>Rosuvastatin/Ezetimibe Teva</w:t>
      </w:r>
      <w:r w:rsidR="004042B8" w:rsidRPr="003E1719">
        <w:rPr>
          <w:rFonts w:ascii="Times New Roman" w:eastAsia="Times New Roman" w:hAnsi="Times New Roman" w:cs="Times New Roman"/>
        </w:rPr>
        <w:t xml:space="preserve"> </w:t>
      </w:r>
      <w:r w:rsidR="00F73B16">
        <w:rPr>
          <w:rFonts w:ascii="Times New Roman" w:eastAsia="Times New Roman" w:hAnsi="Times New Roman" w:cs="Times New Roman"/>
        </w:rPr>
        <w:t>draudžiama</w:t>
      </w:r>
      <w:r w:rsidR="00F73B16" w:rsidRPr="003E1719">
        <w:rPr>
          <w:rFonts w:ascii="Times New Roman" w:eastAsia="Times New Roman" w:hAnsi="Times New Roman" w:cs="Times New Roman"/>
        </w:rPr>
        <w:t xml:space="preserve"> </w:t>
      </w:r>
      <w:r w:rsidRPr="003E1719">
        <w:rPr>
          <w:rFonts w:ascii="Times New Roman" w:eastAsia="Times New Roman" w:hAnsi="Times New Roman" w:cs="Times New Roman"/>
        </w:rPr>
        <w:t xml:space="preserve">vartoti ciklosporinu gydomiems pacientams </w:t>
      </w:r>
      <w:r w:rsidR="001C01E5" w:rsidRPr="003E1719">
        <w:rPr>
          <w:rFonts w:ascii="Times New Roman" w:eastAsia="Times New Roman" w:hAnsi="Times New Roman" w:cs="Times New Roman"/>
        </w:rPr>
        <w:t xml:space="preserve">dėl sudėtyje esančio rozuvastatino </w:t>
      </w:r>
      <w:r w:rsidRPr="003E1719">
        <w:rPr>
          <w:rFonts w:ascii="Times New Roman" w:eastAsia="Times New Roman" w:hAnsi="Times New Roman" w:cs="Times New Roman"/>
        </w:rPr>
        <w:t>(žr. 4.3 skyrių). Rozuvastatin</w:t>
      </w:r>
      <w:r w:rsidR="00F73B16">
        <w:rPr>
          <w:rFonts w:ascii="Times New Roman" w:eastAsia="Times New Roman" w:hAnsi="Times New Roman" w:cs="Times New Roman"/>
        </w:rPr>
        <w:t>o</w:t>
      </w:r>
      <w:r w:rsidRPr="003E1719">
        <w:rPr>
          <w:rFonts w:ascii="Times New Roman" w:eastAsia="Times New Roman" w:hAnsi="Times New Roman" w:cs="Times New Roman"/>
        </w:rPr>
        <w:t xml:space="preserve"> vartojant kartu su ciklosporinu, rozuvastatino AUC buvo vidutiniškai 7 kartus didesnis nei sveikiems savanoriams nustatytas rodmuo (žr. 1 lentelę). Minėtų vaistinių preparatų vartojant kartu, ciklosporino koncentracija kraujo plazmoje nepakito.</w:t>
      </w:r>
    </w:p>
    <w:p w14:paraId="203B0D9A"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p>
    <w:p w14:paraId="14859C7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Tyrimo, kur</w:t>
      </w:r>
      <w:r w:rsidR="001C01E5" w:rsidRPr="003E1719">
        <w:rPr>
          <w:rFonts w:ascii="Times New Roman" w:eastAsia="Times New Roman" w:hAnsi="Times New Roman" w:cs="Times New Roman"/>
          <w:lang w:eastAsia="sl-SI"/>
        </w:rPr>
        <w:t>iame dalyvavę aštuoni pacientai</w:t>
      </w:r>
      <w:r w:rsidRPr="003E1719">
        <w:rPr>
          <w:rFonts w:ascii="Times New Roman" w:eastAsia="Times New Roman" w:hAnsi="Times New Roman" w:cs="Times New Roman"/>
          <w:lang w:eastAsia="sl-SI"/>
        </w:rPr>
        <w:t xml:space="preserve"> </w:t>
      </w:r>
      <w:r w:rsidR="001C01E5" w:rsidRPr="003E1719">
        <w:rPr>
          <w:rFonts w:ascii="Times New Roman" w:eastAsia="Times New Roman" w:hAnsi="Times New Roman" w:cs="Times New Roman"/>
          <w:lang w:eastAsia="sl-SI"/>
        </w:rPr>
        <w:t xml:space="preserve">po </w:t>
      </w:r>
      <w:r w:rsidRPr="003E1719">
        <w:rPr>
          <w:rFonts w:ascii="Times New Roman" w:eastAsia="Times New Roman" w:hAnsi="Times New Roman" w:cs="Times New Roman"/>
          <w:lang w:eastAsia="sl-SI"/>
        </w:rPr>
        <w:t>inkst</w:t>
      </w:r>
      <w:r w:rsidR="001C01E5" w:rsidRPr="003E1719">
        <w:rPr>
          <w:rFonts w:ascii="Times New Roman" w:eastAsia="Times New Roman" w:hAnsi="Times New Roman" w:cs="Times New Roman"/>
          <w:lang w:eastAsia="sl-SI"/>
        </w:rPr>
        <w:t>o persodinino</w:t>
      </w:r>
      <w:r w:rsidRPr="003E1719">
        <w:rPr>
          <w:rFonts w:ascii="Times New Roman" w:eastAsia="Times New Roman" w:hAnsi="Times New Roman" w:cs="Times New Roman"/>
          <w:lang w:eastAsia="sl-SI"/>
        </w:rPr>
        <w:t xml:space="preserve"> ir kurių kreatinino klirensas buvo didesnis kaip 50 ml/min., vartojo stabilią ciklosporino dozę, metu vienkartinė 10 mg ezetimibo dozė 3,4 (2,3-7,9) karto padidino vidutinį bendrąjį ezetimibo AUC (duomenys lyginti su kito tyrimo, kurio metu sveiki kontrolinės grupės tiriamieji (n=17) vartojo vien ezetimibo, duomenimis). Kito tyrimo metu pacientui kuriam buvo sunkus inkstų </w:t>
      </w:r>
      <w:r w:rsidR="00B3735E" w:rsidRPr="003E1719">
        <w:rPr>
          <w:rFonts w:ascii="Times New Roman" w:eastAsia="Times New Roman" w:hAnsi="Times New Roman" w:cs="Times New Roman"/>
          <w:lang w:eastAsia="sl-SI"/>
        </w:rPr>
        <w:t xml:space="preserve">nepakankamumas, buvo persodintas inkstas, </w:t>
      </w:r>
      <w:r w:rsidRPr="003E1719">
        <w:rPr>
          <w:rFonts w:ascii="Times New Roman" w:eastAsia="Times New Roman" w:hAnsi="Times New Roman" w:cs="Times New Roman"/>
          <w:lang w:eastAsia="sl-SI"/>
        </w:rPr>
        <w:t>ir kuris vartojo ciklosporino ir daug kitokių vaistinių preparatų, bendroji ezetimibo ekspozicija padidėjo 12 kartų, palyginti su kontrolinės grupės pacientais, kurie vartojo tik ezetimibo. Dviejų periodų kryžminiame tyrime, kuriame dalyvavo 12 sveikų asmenų, pacientams, vartojusiesiems 20 mg ezetimibo 8 dienas kartu su vienkartine 100 mg ciklosporino doze septintąją dieną, ciklosporino AUC padidėjo vidutiniškai 15 % (svyravo nuo 10 % sumažėjimo iki 51 % padidėjimo), palyginti su vartojusiaisiais vieno ciklosporino vienkartinę 100 mg dozę. Kontroliuojamo tyrimo, siekiant įvertinti kartu vartojamo ezetimibo poveikį ciklosporino ekspozicijai pacientų, kuriems persodintas inkstas, organizme, neatlikta.</w:t>
      </w:r>
    </w:p>
    <w:p w14:paraId="64CF9089"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p>
    <w:p w14:paraId="09E8D0C8"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Nerekomenduojami deriniai</w:t>
      </w:r>
    </w:p>
    <w:p w14:paraId="439E498B"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p>
    <w:p w14:paraId="2A783EE0" w14:textId="77777777" w:rsidR="00EC0BD2" w:rsidRPr="003E1719" w:rsidRDefault="000D7B89" w:rsidP="000D7B89">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Proteazės inhibitoriai.</w:t>
      </w:r>
    </w:p>
    <w:p w14:paraId="6210E7FF"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Nors tikslus sąveikos mechanizmas nėra žinomas, kartu vartojami proteazės inhibitoriai gali labai padidinti rozuvastatino ekspoziciją (žr.</w:t>
      </w:r>
      <w:r w:rsidR="00B3735E" w:rsidRPr="003E1719">
        <w:rPr>
          <w:rFonts w:ascii="Times New Roman" w:eastAsia="Times New Roman" w:hAnsi="Times New Roman" w:cs="Times New Roman"/>
          <w:snapToGrid w:val="0"/>
        </w:rPr>
        <w:t>4.5 skyriaus</w:t>
      </w:r>
      <w:r w:rsidRPr="003E1719">
        <w:rPr>
          <w:rFonts w:ascii="Times New Roman" w:eastAsia="Times New Roman" w:hAnsi="Times New Roman" w:cs="Times New Roman"/>
          <w:snapToGrid w:val="0"/>
        </w:rPr>
        <w:t xml:space="preserve"> 1 lentelę). Pavyzdžiui, farmakokinetikos tyrimo metu sveikiems savanoriams vartojant </w:t>
      </w:r>
      <w:r w:rsidR="00B3735E" w:rsidRPr="003E1719">
        <w:rPr>
          <w:rFonts w:ascii="Times New Roman" w:eastAsia="Times New Roman" w:hAnsi="Times New Roman" w:cs="Times New Roman"/>
          <w:snapToGrid w:val="0"/>
        </w:rPr>
        <w:t xml:space="preserve">10 mg rozuvastatino dozę </w:t>
      </w:r>
      <w:r w:rsidRPr="003E1719">
        <w:rPr>
          <w:rFonts w:ascii="Times New Roman" w:eastAsia="Times New Roman" w:hAnsi="Times New Roman" w:cs="Times New Roman"/>
          <w:snapToGrid w:val="0"/>
        </w:rPr>
        <w:t>kartu su dviejų proteazės inhibitorių deriniu (300 mg atazanaviro/ 100 mg ritonaviro), rozuvastatino AUC ir C</w:t>
      </w:r>
      <w:r w:rsidRPr="003E1719">
        <w:rPr>
          <w:rFonts w:ascii="Times New Roman" w:eastAsia="Times New Roman" w:hAnsi="Times New Roman" w:cs="Times New Roman"/>
          <w:snapToGrid w:val="0"/>
          <w:vertAlign w:val="subscript"/>
        </w:rPr>
        <w:t xml:space="preserve">max </w:t>
      </w:r>
      <w:r w:rsidRPr="003E1719">
        <w:rPr>
          <w:rFonts w:ascii="Times New Roman" w:eastAsia="Times New Roman" w:hAnsi="Times New Roman" w:cs="Times New Roman"/>
          <w:snapToGrid w:val="0"/>
        </w:rPr>
        <w:t>padidėjo atitinkamai</w:t>
      </w:r>
      <w:r w:rsidRPr="003E1719">
        <w:rPr>
          <w:rFonts w:ascii="Times New Roman" w:eastAsia="Times New Roman" w:hAnsi="Times New Roman" w:cs="Times New Roman"/>
          <w:snapToGrid w:val="0"/>
          <w:vertAlign w:val="subscript"/>
        </w:rPr>
        <w:t xml:space="preserve"> </w:t>
      </w:r>
      <w:r w:rsidRPr="003E1719">
        <w:rPr>
          <w:rFonts w:ascii="Times New Roman" w:eastAsia="Times New Roman" w:hAnsi="Times New Roman" w:cs="Times New Roman"/>
          <w:snapToGrid w:val="0"/>
        </w:rPr>
        <w:t>maždaug tris ir septynis kartus. Rozuvastatino vartojimas kartu su kai kuriais proteazės inhibitorių deriniais gali būti svarstomas tik atidžiai įvertinus rozuvastatino dozės koregavimo reikalingumą remiantis tikėtinu rozuvastatino ekspozicijos padidėjimu (žr. 4.2 ir 4.4 skyrius bei 4.5 skyriaus 1 lentelę).</w:t>
      </w:r>
    </w:p>
    <w:p w14:paraId="3DA10C8F"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p>
    <w:p w14:paraId="666BAB81" w14:textId="77777777" w:rsidR="00EC0BD2"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i/>
        </w:rPr>
        <w:t>Pernašos baltymų inhibitoriai.</w:t>
      </w:r>
      <w:r w:rsidRPr="003E1719">
        <w:rPr>
          <w:rFonts w:ascii="Times New Roman" w:eastAsia="Times New Roman" w:hAnsi="Times New Roman" w:cs="Times New Roman"/>
        </w:rPr>
        <w:t xml:space="preserve"> </w:t>
      </w:r>
    </w:p>
    <w:p w14:paraId="4B9F60BC" w14:textId="3479B1C3"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Rozuvastatinas yra tam tikrų pernašos baltymų, įskaitant pasisavinimo kepenyse pernešiklį OATP1B1 ir srauto pernešiklį BCRP, substratas. Rozuvastatin</w:t>
      </w:r>
      <w:r w:rsidR="00F73B16">
        <w:rPr>
          <w:rFonts w:ascii="Times New Roman" w:eastAsia="Times New Roman" w:hAnsi="Times New Roman" w:cs="Times New Roman"/>
        </w:rPr>
        <w:t>o</w:t>
      </w:r>
      <w:r w:rsidRPr="003E1719">
        <w:rPr>
          <w:rFonts w:ascii="Times New Roman" w:eastAsia="Times New Roman" w:hAnsi="Times New Roman" w:cs="Times New Roman"/>
        </w:rPr>
        <w:t xml:space="preserve"> vartojant kartu su kitais vaistiniais preparatais, kurie yra šių pernašos baltymų inhibitoriai, gali padidėti rozuvastatino koncentracija kraujo plazmoje ir miopatijos pasireiškimo rizika (žr. 4.2 ir 4.4 skyrius bei 4.5 skyriaus 1 lentelę).</w:t>
      </w:r>
    </w:p>
    <w:p w14:paraId="3C4EE337"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bCs/>
        </w:rPr>
      </w:pPr>
    </w:p>
    <w:p w14:paraId="396F836E" w14:textId="77777777" w:rsidR="00EC0BD2" w:rsidRPr="003E1719" w:rsidRDefault="00B3735E" w:rsidP="000D7B89">
      <w:pPr>
        <w:widowControl w:val="0"/>
        <w:tabs>
          <w:tab w:val="left" w:pos="567"/>
        </w:tabs>
        <w:spacing w:after="0" w:line="240" w:lineRule="auto"/>
        <w:rPr>
          <w:rFonts w:ascii="Times New Roman" w:eastAsia="Times New Roman" w:hAnsi="Times New Roman" w:cs="Times New Roman"/>
          <w:bCs/>
        </w:rPr>
      </w:pPr>
      <w:r w:rsidRPr="003E1719">
        <w:rPr>
          <w:rFonts w:ascii="Times New Roman" w:eastAsia="Times New Roman" w:hAnsi="Times New Roman" w:cs="Times New Roman"/>
          <w:bCs/>
          <w:i/>
        </w:rPr>
        <w:t>Gemfibrozilis ir kiti lipidų koncentraciją mažinantys vaistiniai preparatai</w:t>
      </w:r>
      <w:r w:rsidR="000D7B89" w:rsidRPr="003E1719">
        <w:rPr>
          <w:rFonts w:ascii="Times New Roman" w:eastAsia="Times New Roman" w:hAnsi="Times New Roman" w:cs="Times New Roman"/>
          <w:bCs/>
        </w:rPr>
        <w:t xml:space="preserve">. </w:t>
      </w:r>
    </w:p>
    <w:p w14:paraId="0611F39F" w14:textId="3BA55364"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Rozuvastatin</w:t>
      </w:r>
      <w:r w:rsidR="00F73B16">
        <w:rPr>
          <w:rFonts w:ascii="Times New Roman" w:eastAsia="Times New Roman" w:hAnsi="Times New Roman" w:cs="Times New Roman"/>
          <w:snapToGrid w:val="0"/>
        </w:rPr>
        <w:t>o</w:t>
      </w:r>
      <w:r w:rsidRPr="003E1719">
        <w:rPr>
          <w:rFonts w:ascii="Times New Roman" w:eastAsia="Times New Roman" w:hAnsi="Times New Roman" w:cs="Times New Roman"/>
          <w:snapToGrid w:val="0"/>
        </w:rPr>
        <w:t xml:space="preserve"> vartojant kartu su gemfibroziliu, rozuvastatino C</w:t>
      </w:r>
      <w:r w:rsidRPr="003E1719">
        <w:rPr>
          <w:rFonts w:ascii="Times New Roman" w:eastAsia="Times New Roman" w:hAnsi="Times New Roman" w:cs="Times New Roman"/>
          <w:snapToGrid w:val="0"/>
          <w:vertAlign w:val="subscript"/>
        </w:rPr>
        <w:t>max</w:t>
      </w:r>
      <w:r w:rsidRPr="003E1719">
        <w:rPr>
          <w:rFonts w:ascii="Times New Roman" w:eastAsia="Times New Roman" w:hAnsi="Times New Roman" w:cs="Times New Roman"/>
          <w:snapToGrid w:val="0"/>
        </w:rPr>
        <w:t xml:space="preserve"> ir AUC padidėjo 2 kartus (žr. 4.4 skyrių).</w:t>
      </w:r>
    </w:p>
    <w:p w14:paraId="79BBDA5F" w14:textId="77777777" w:rsidR="00597048"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Remiantis specialių sąveikos tyrimų duomenimis, reikšminga farmakokinetinė rozuvastatino ir fenofibrato sąveika nėra tikėtina, tačiau gali pasireikšti farmakodinaminė sąveika. </w:t>
      </w:r>
    </w:p>
    <w:p w14:paraId="36B576E2" w14:textId="7565D27E" w:rsidR="000D7B89" w:rsidRPr="003E1719" w:rsidRDefault="00B85988" w:rsidP="00B85988">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G</w:t>
      </w:r>
      <w:r w:rsidR="000D7B89" w:rsidRPr="003E1719">
        <w:rPr>
          <w:rFonts w:ascii="Times New Roman" w:eastAsia="Times New Roman" w:hAnsi="Times New Roman" w:cs="Times New Roman"/>
          <w:snapToGrid w:val="0"/>
        </w:rPr>
        <w:t>emfibrozilis, fenofibratas</w:t>
      </w:r>
      <w:r w:rsidRPr="003E1719">
        <w:rPr>
          <w:rFonts w:ascii="Times New Roman" w:eastAsia="Times New Roman" w:hAnsi="Times New Roman" w:cs="Times New Roman"/>
          <w:snapToGrid w:val="0"/>
        </w:rPr>
        <w:t>,</w:t>
      </w:r>
      <w:r w:rsidR="000D7B89" w:rsidRPr="003E1719">
        <w:rPr>
          <w:rFonts w:ascii="Times New Roman" w:eastAsia="Times New Roman" w:hAnsi="Times New Roman" w:cs="Times New Roman"/>
          <w:snapToGrid w:val="0"/>
        </w:rPr>
        <w:t xml:space="preserve"> kiti fibratai </w:t>
      </w:r>
      <w:r w:rsidRPr="003E1719">
        <w:rPr>
          <w:rFonts w:ascii="Times New Roman" w:eastAsia="Times New Roman" w:hAnsi="Times New Roman" w:cs="Times New Roman"/>
          <w:snapToGrid w:val="0"/>
        </w:rPr>
        <w:t xml:space="preserve">ir lipidų koncentraciją mažinančios niacino dozės (didesnės arba lygios 1 g/parą) </w:t>
      </w:r>
      <w:r w:rsidR="000D7B89" w:rsidRPr="003E1719">
        <w:rPr>
          <w:rFonts w:ascii="Times New Roman" w:eastAsia="Times New Roman" w:hAnsi="Times New Roman" w:cs="Times New Roman"/>
          <w:snapToGrid w:val="0"/>
        </w:rPr>
        <w:t xml:space="preserve">didina miopatijos riziką </w:t>
      </w:r>
      <w:r w:rsidRPr="003E1719">
        <w:rPr>
          <w:rFonts w:ascii="Times New Roman" w:eastAsia="Times New Roman" w:hAnsi="Times New Roman" w:cs="Times New Roman"/>
          <w:snapToGrid w:val="0"/>
        </w:rPr>
        <w:t xml:space="preserve">vartojant kartu su HMG-Koa reduktazės inhibitoriais, </w:t>
      </w:r>
      <w:r w:rsidR="000D7B89" w:rsidRPr="003E1719">
        <w:rPr>
          <w:rFonts w:ascii="Times New Roman" w:eastAsia="Times New Roman" w:hAnsi="Times New Roman" w:cs="Times New Roman"/>
          <w:snapToGrid w:val="0"/>
        </w:rPr>
        <w:t xml:space="preserve">greičiausiai dėl to, kad </w:t>
      </w:r>
      <w:r w:rsidRPr="003E1719">
        <w:rPr>
          <w:rFonts w:ascii="Times New Roman" w:eastAsia="Times New Roman" w:hAnsi="Times New Roman" w:cs="Times New Roman"/>
          <w:snapToGrid w:val="0"/>
        </w:rPr>
        <w:t>gali sukelti miopatiją ir monoterapijos atveju</w:t>
      </w:r>
      <w:r w:rsidR="000D7B89" w:rsidRPr="003E1719">
        <w:rPr>
          <w:rFonts w:ascii="Times New Roman" w:eastAsia="Times New Roman" w:hAnsi="Times New Roman" w:cs="Times New Roman"/>
          <w:snapToGrid w:val="0"/>
        </w:rPr>
        <w:t xml:space="preserve">. Tokie pacientai iš pradžių turi vartoti </w:t>
      </w:r>
      <w:r w:rsidR="000D7B89" w:rsidRPr="00AC7CC7">
        <w:rPr>
          <w:rFonts w:ascii="Times New Roman" w:eastAsia="Times New Roman" w:hAnsi="Times New Roman" w:cs="Times New Roman"/>
          <w:snapToGrid w:val="0"/>
        </w:rPr>
        <w:t>5 mg dozę</w:t>
      </w:r>
      <w:r w:rsidR="000D7B89" w:rsidRPr="003E1719">
        <w:rPr>
          <w:rFonts w:ascii="Times New Roman" w:eastAsia="Times New Roman" w:hAnsi="Times New Roman" w:cs="Times New Roman"/>
          <w:snapToGrid w:val="0"/>
        </w:rPr>
        <w:t>.</w:t>
      </w:r>
      <w:r w:rsidR="00AC7CC7">
        <w:rPr>
          <w:rFonts w:ascii="Times New Roman" w:eastAsia="Times New Roman" w:hAnsi="Times New Roman" w:cs="Times New Roman"/>
        </w:rPr>
        <w:t xml:space="preserve"> </w:t>
      </w:r>
      <w:r w:rsidR="00AC7CC7">
        <w:rPr>
          <w:rFonts w:ascii="Times New Roman" w:eastAsia="Times New Roman" w:hAnsi="Times New Roman" w:cs="Times New Roman"/>
          <w:lang w:eastAsia="sl-SI"/>
        </w:rPr>
        <w:t xml:space="preserve">Mažesnės nei 10 mg ezetimibo dozės vartojant </w:t>
      </w:r>
      <w:r w:rsidR="00AC7CC7">
        <w:rPr>
          <w:rFonts w:ascii="Times New Roman" w:eastAsia="Times New Roman" w:hAnsi="Times New Roman" w:cs="Times New Roman"/>
        </w:rPr>
        <w:t>Rosuvastatin/Ezetimibe Teva gauti neįmanoma. Jei reikia vartoti mažesnę dozę, reikia rinktis kitą rinkoje esantį tinkamo stiprumo vaistinį preparatą.</w:t>
      </w:r>
    </w:p>
    <w:p w14:paraId="6A9E860E"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bCs/>
        </w:rPr>
      </w:pPr>
    </w:p>
    <w:p w14:paraId="5E89ABA3"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Jei pacientas vartoja fenofibrato ir ezetimibo, gydytojai turi turėti omenyje galimą tulžies akmenligės ir tulžies pūslės ligos riziką (žr. 4.4 ir 4.8 skyrius).</w:t>
      </w:r>
      <w:r w:rsidR="00B85988" w:rsidRPr="003E1719">
        <w:rPr>
          <w:rFonts w:ascii="Times New Roman" w:eastAsia="Times New Roman" w:hAnsi="Times New Roman" w:cs="Times New Roman"/>
          <w:snapToGrid w:val="0"/>
          <w:lang w:eastAsia="sl-SI"/>
        </w:rPr>
        <w:t xml:space="preserve"> </w:t>
      </w:r>
      <w:r w:rsidRPr="003E1719">
        <w:rPr>
          <w:rFonts w:ascii="Times New Roman" w:eastAsia="Times New Roman" w:hAnsi="Times New Roman" w:cs="Times New Roman"/>
          <w:snapToGrid w:val="0"/>
          <w:lang w:eastAsia="sl-SI"/>
        </w:rPr>
        <w:t>Jeigu įtariama, kad ezetimibo ir fenofibrato vartojančiam pacientui yra tulžies akmenligė, reikia ištirti tulžies pūslę ir minėtą g</w:t>
      </w:r>
      <w:r w:rsidR="00B85988" w:rsidRPr="003E1719">
        <w:rPr>
          <w:rFonts w:ascii="Times New Roman" w:eastAsia="Times New Roman" w:hAnsi="Times New Roman" w:cs="Times New Roman"/>
          <w:snapToGrid w:val="0"/>
          <w:lang w:eastAsia="sl-SI"/>
        </w:rPr>
        <w:t>ydymą nutraukti (žr. 4.8 skyrių</w:t>
      </w:r>
      <w:r w:rsidRPr="003E1719">
        <w:rPr>
          <w:rFonts w:ascii="Times New Roman" w:eastAsia="Times New Roman" w:hAnsi="Times New Roman" w:cs="Times New Roman"/>
          <w:snapToGrid w:val="0"/>
          <w:lang w:eastAsia="sl-SI"/>
        </w:rPr>
        <w:t>).</w:t>
      </w:r>
      <w:r w:rsidR="00B85988" w:rsidRPr="003E1719">
        <w:rPr>
          <w:rFonts w:ascii="Times New Roman" w:eastAsia="Times New Roman" w:hAnsi="Times New Roman" w:cs="Times New Roman"/>
          <w:snapToGrid w:val="0"/>
          <w:lang w:eastAsia="sl-SI"/>
        </w:rPr>
        <w:t xml:space="preserve"> </w:t>
      </w:r>
      <w:r w:rsidRPr="003E1719">
        <w:rPr>
          <w:rFonts w:ascii="Times New Roman" w:eastAsia="Times New Roman" w:hAnsi="Times New Roman" w:cs="Times New Roman"/>
          <w:snapToGrid w:val="0"/>
          <w:lang w:eastAsia="sl-SI"/>
        </w:rPr>
        <w:t>Kartu su ezetimibu vartojamas fenofibratas ar gemfibrozilis šiek tiek didina bendrąją ezetimibo koncentraciją (atitinkamai maždaug 1,5 ir 1,7 karto). Ezetimibo vartojimas su kitokiais fibratais netirtas.</w:t>
      </w:r>
      <w:r w:rsidR="00B85988" w:rsidRPr="003E1719">
        <w:rPr>
          <w:rFonts w:ascii="Times New Roman" w:eastAsia="Times New Roman" w:hAnsi="Times New Roman" w:cs="Times New Roman"/>
          <w:snapToGrid w:val="0"/>
          <w:lang w:eastAsia="sl-SI"/>
        </w:rPr>
        <w:t xml:space="preserve"> </w:t>
      </w:r>
      <w:r w:rsidRPr="003E1719">
        <w:rPr>
          <w:rFonts w:ascii="Times New Roman" w:eastAsia="Times New Roman" w:hAnsi="Times New Roman" w:cs="Times New Roman"/>
          <w:snapToGrid w:val="0"/>
          <w:lang w:eastAsia="sl-SI"/>
        </w:rPr>
        <w:t xml:space="preserve">Fibratai gali </w:t>
      </w:r>
      <w:r w:rsidR="00B85988" w:rsidRPr="003E1719">
        <w:rPr>
          <w:rFonts w:ascii="Times New Roman" w:eastAsia="Times New Roman" w:hAnsi="Times New Roman" w:cs="Times New Roman"/>
          <w:snapToGrid w:val="0"/>
          <w:lang w:eastAsia="sl-SI"/>
        </w:rPr>
        <w:t>padidinti</w:t>
      </w:r>
      <w:r w:rsidRPr="003E1719">
        <w:rPr>
          <w:rFonts w:ascii="Times New Roman" w:eastAsia="Times New Roman" w:hAnsi="Times New Roman" w:cs="Times New Roman"/>
          <w:snapToGrid w:val="0"/>
          <w:lang w:eastAsia="sl-SI"/>
        </w:rPr>
        <w:t xml:space="preserve"> cholesterolio išsiskyrimą į tulžį, todėl gali </w:t>
      </w:r>
      <w:r w:rsidR="00B85988" w:rsidRPr="003E1719">
        <w:rPr>
          <w:rFonts w:ascii="Times New Roman" w:eastAsia="Times New Roman" w:hAnsi="Times New Roman" w:cs="Times New Roman"/>
          <w:snapToGrid w:val="0"/>
          <w:lang w:eastAsia="sl-SI"/>
        </w:rPr>
        <w:t>sukelti tulžies akmenligę</w:t>
      </w:r>
      <w:r w:rsidRPr="003E1719">
        <w:rPr>
          <w:rFonts w:ascii="Times New Roman" w:eastAsia="Times New Roman" w:hAnsi="Times New Roman" w:cs="Times New Roman"/>
          <w:snapToGrid w:val="0"/>
          <w:lang w:eastAsia="sl-SI"/>
        </w:rPr>
        <w:t xml:space="preserve">. Tyrimų su gyvūnais metu ezetimibas kartais didino cholesterolio kiekį tulžies pūslės tulžyje, tačiau ne visų rūšių gyvūnams (žr. 5.3 skyrių). Negalima atmesti su ezetinibo vartojimu susijusios akmenų </w:t>
      </w:r>
      <w:r w:rsidR="00DC762A" w:rsidRPr="003E1719">
        <w:rPr>
          <w:rFonts w:ascii="Times New Roman" w:eastAsia="Times New Roman" w:hAnsi="Times New Roman" w:cs="Times New Roman"/>
          <w:snapToGrid w:val="0"/>
          <w:lang w:eastAsia="sl-SI"/>
        </w:rPr>
        <w:t>susidarymo</w:t>
      </w:r>
      <w:r w:rsidRPr="003E1719">
        <w:rPr>
          <w:rFonts w:ascii="Times New Roman" w:eastAsia="Times New Roman" w:hAnsi="Times New Roman" w:cs="Times New Roman"/>
          <w:snapToGrid w:val="0"/>
          <w:lang w:eastAsia="sl-SI"/>
        </w:rPr>
        <w:t xml:space="preserve"> rizikos.</w:t>
      </w:r>
    </w:p>
    <w:p w14:paraId="628A8346"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bCs/>
        </w:rPr>
      </w:pPr>
    </w:p>
    <w:p w14:paraId="76DB0651" w14:textId="77777777" w:rsidR="00EC0BD2"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lt-LT"/>
        </w:rPr>
      </w:pPr>
      <w:r w:rsidRPr="003E1719">
        <w:rPr>
          <w:rFonts w:ascii="Times New Roman" w:eastAsia="Times New Roman" w:hAnsi="Times New Roman" w:cs="Times New Roman"/>
          <w:i/>
          <w:snapToGrid w:val="0"/>
          <w:lang w:eastAsia="lt-LT"/>
        </w:rPr>
        <w:t>Fuzido rūgštis.</w:t>
      </w:r>
      <w:r w:rsidRPr="003E1719">
        <w:rPr>
          <w:rFonts w:ascii="Times New Roman" w:eastAsia="Times New Roman" w:hAnsi="Times New Roman" w:cs="Times New Roman"/>
          <w:snapToGrid w:val="0"/>
          <w:lang w:eastAsia="lt-LT"/>
        </w:rPr>
        <w:t xml:space="preserve"> </w:t>
      </w:r>
    </w:p>
    <w:p w14:paraId="4B8E5539" w14:textId="66064C6C"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Miopatijos, įskaitant rabdomiolizę, rizika gali padidėti kartu vartojant sisteminio poveikio fuzido rūgštį ir statinus. Tokios sąveikos mechanizmas (ar jis yra farmakodinaminis, farmakokinetinis ar abu) kol kas nežinomas. Pranešta apie </w:t>
      </w:r>
      <w:r w:rsidRPr="003E1719">
        <w:rPr>
          <w:rFonts w:ascii="Times New Roman" w:eastAsia="Times New Roman" w:hAnsi="Times New Roman" w:cs="Times New Roman"/>
          <w:bCs/>
          <w:snapToGrid w:val="0"/>
        </w:rPr>
        <w:t>rabdomiolizės atvejus (įskaitant kelis mirties atvejus) pacientams, kurie kartu vartojo t</w:t>
      </w:r>
      <w:r w:rsidRPr="003E1719">
        <w:rPr>
          <w:rFonts w:ascii="Times New Roman" w:eastAsia="Times New Roman" w:hAnsi="Times New Roman" w:cs="Times New Roman"/>
          <w:snapToGrid w:val="0"/>
        </w:rPr>
        <w:t>ok</w:t>
      </w:r>
      <w:r w:rsidR="00C50133">
        <w:rPr>
          <w:rFonts w:ascii="Times New Roman" w:eastAsia="Times New Roman" w:hAnsi="Times New Roman" w:cs="Times New Roman"/>
          <w:snapToGrid w:val="0"/>
        </w:rPr>
        <w:t>io</w:t>
      </w:r>
      <w:r w:rsidRPr="003E1719">
        <w:rPr>
          <w:rFonts w:ascii="Times New Roman" w:eastAsia="Times New Roman" w:hAnsi="Times New Roman" w:cs="Times New Roman"/>
          <w:snapToGrid w:val="0"/>
        </w:rPr>
        <w:t xml:space="preserve"> vaistinių preparatų derin</w:t>
      </w:r>
      <w:r w:rsidR="00C50133">
        <w:rPr>
          <w:rFonts w:ascii="Times New Roman" w:eastAsia="Times New Roman" w:hAnsi="Times New Roman" w:cs="Times New Roman"/>
          <w:snapToGrid w:val="0"/>
        </w:rPr>
        <w:t>io</w:t>
      </w:r>
      <w:r w:rsidRPr="003E1719">
        <w:rPr>
          <w:rFonts w:ascii="Times New Roman" w:eastAsia="Times New Roman" w:hAnsi="Times New Roman" w:cs="Times New Roman"/>
          <w:snapToGrid w:val="0"/>
        </w:rPr>
        <w:t>.</w:t>
      </w:r>
    </w:p>
    <w:p w14:paraId="2E685907"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bCs/>
          <w:snapToGrid w:val="0"/>
        </w:rPr>
      </w:pPr>
      <w:r w:rsidRPr="003E1719">
        <w:rPr>
          <w:rFonts w:ascii="Times New Roman" w:eastAsia="Times New Roman" w:hAnsi="Times New Roman" w:cs="Times New Roman"/>
          <w:bCs/>
          <w:snapToGrid w:val="0"/>
        </w:rPr>
        <w:t xml:space="preserve">Pacientų, kuriems sisteminio poveikio </w:t>
      </w:r>
      <w:r w:rsidRPr="003E1719">
        <w:rPr>
          <w:rFonts w:ascii="Times New Roman" w:eastAsia="Times New Roman" w:hAnsi="Times New Roman" w:cs="Times New Roman"/>
          <w:snapToGrid w:val="0"/>
        </w:rPr>
        <w:t xml:space="preserve">fuzido rūgšties </w:t>
      </w:r>
      <w:r w:rsidRPr="003E1719">
        <w:rPr>
          <w:rFonts w:ascii="Times New Roman" w:eastAsia="Times New Roman" w:hAnsi="Times New Roman" w:cs="Times New Roman"/>
          <w:bCs/>
          <w:snapToGrid w:val="0"/>
        </w:rPr>
        <w:t xml:space="preserve">vartojimas būtinas, gydymas statinais fuzido rūgšties vartojimo laikotarpiu turi būti nutrauktas. Taip pat </w:t>
      </w:r>
      <w:r w:rsidRPr="003E1719">
        <w:rPr>
          <w:rFonts w:ascii="Times New Roman" w:eastAsia="Times New Roman" w:hAnsi="Times New Roman" w:cs="Times New Roman"/>
          <w:snapToGrid w:val="0"/>
        </w:rPr>
        <w:t>žr. 4.4 skyrių.</w:t>
      </w:r>
    </w:p>
    <w:p w14:paraId="742C3BE7"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bCs/>
        </w:rPr>
      </w:pPr>
    </w:p>
    <w:p w14:paraId="60030F5E"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Kitokia sąveika</w:t>
      </w:r>
    </w:p>
    <w:p w14:paraId="70716C20"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p>
    <w:p w14:paraId="4A4E05CE" w14:textId="77777777" w:rsidR="00EC0BD2" w:rsidRPr="003E1719" w:rsidRDefault="000D7B89" w:rsidP="00DC762A">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i/>
          <w:snapToGrid w:val="0"/>
          <w:lang w:eastAsia="sl-SI"/>
        </w:rPr>
        <w:t>Antacidiniai preparatai</w:t>
      </w:r>
      <w:r w:rsidRPr="003E1719">
        <w:rPr>
          <w:rFonts w:ascii="Times New Roman" w:eastAsia="Times New Roman" w:hAnsi="Times New Roman" w:cs="Times New Roman"/>
          <w:snapToGrid w:val="0"/>
          <w:lang w:eastAsia="sl-SI"/>
        </w:rPr>
        <w:t xml:space="preserve">. </w:t>
      </w:r>
    </w:p>
    <w:p w14:paraId="2E41852E" w14:textId="60D1A6E8" w:rsidR="00DC762A" w:rsidRPr="003E1719" w:rsidRDefault="00DC762A" w:rsidP="00DC762A">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Rozuvastatin</w:t>
      </w:r>
      <w:r w:rsidR="00C50133">
        <w:rPr>
          <w:rFonts w:ascii="Times New Roman" w:eastAsia="Times New Roman" w:hAnsi="Times New Roman" w:cs="Times New Roman"/>
          <w:snapToGrid w:val="0"/>
        </w:rPr>
        <w:t>o</w:t>
      </w:r>
      <w:r w:rsidRPr="003E1719">
        <w:rPr>
          <w:rFonts w:ascii="Times New Roman" w:eastAsia="Times New Roman" w:hAnsi="Times New Roman" w:cs="Times New Roman"/>
          <w:snapToGrid w:val="0"/>
        </w:rPr>
        <w:t xml:space="preserve"> vartojant kartu su antacidine suspensija, kurios sudėtyje yra aliuminio ir magnio hidroksidų, rozuvastatino koncentracija kraujo plazmoje sumažėjo maždaug 50 %. Toks poveikis buvo silpnesnis, antacidin</w:t>
      </w:r>
      <w:r w:rsidR="00C50133">
        <w:rPr>
          <w:rFonts w:ascii="Times New Roman" w:eastAsia="Times New Roman" w:hAnsi="Times New Roman" w:cs="Times New Roman"/>
          <w:snapToGrid w:val="0"/>
        </w:rPr>
        <w:t>io</w:t>
      </w:r>
      <w:r w:rsidRPr="003E1719">
        <w:rPr>
          <w:rFonts w:ascii="Times New Roman" w:eastAsia="Times New Roman" w:hAnsi="Times New Roman" w:cs="Times New Roman"/>
          <w:snapToGrid w:val="0"/>
        </w:rPr>
        <w:t xml:space="preserve"> vaistin</w:t>
      </w:r>
      <w:r w:rsidR="00C50133">
        <w:rPr>
          <w:rFonts w:ascii="Times New Roman" w:eastAsia="Times New Roman" w:hAnsi="Times New Roman" w:cs="Times New Roman"/>
          <w:snapToGrid w:val="0"/>
        </w:rPr>
        <w:t>io</w:t>
      </w:r>
      <w:r w:rsidRPr="003E1719">
        <w:rPr>
          <w:rFonts w:ascii="Times New Roman" w:eastAsia="Times New Roman" w:hAnsi="Times New Roman" w:cs="Times New Roman"/>
          <w:snapToGrid w:val="0"/>
        </w:rPr>
        <w:t xml:space="preserve"> preparat</w:t>
      </w:r>
      <w:r w:rsidR="00C50133">
        <w:rPr>
          <w:rFonts w:ascii="Times New Roman" w:eastAsia="Times New Roman" w:hAnsi="Times New Roman" w:cs="Times New Roman"/>
          <w:snapToGrid w:val="0"/>
        </w:rPr>
        <w:t>o</w:t>
      </w:r>
      <w:r w:rsidRPr="003E1719">
        <w:rPr>
          <w:rFonts w:ascii="Times New Roman" w:eastAsia="Times New Roman" w:hAnsi="Times New Roman" w:cs="Times New Roman"/>
          <w:snapToGrid w:val="0"/>
        </w:rPr>
        <w:t xml:space="preserve"> geriant praėjus 2 val. po rozuvastatino pavartojimo. Šios sąveikos klinikinė reikšmė netirta.</w:t>
      </w:r>
    </w:p>
    <w:p w14:paraId="229F0B48" w14:textId="77777777" w:rsidR="000D7B89" w:rsidRPr="003E1719" w:rsidRDefault="00DC762A" w:rsidP="000D7B89">
      <w:pPr>
        <w:widowControl w:val="0"/>
        <w:tabs>
          <w:tab w:val="left" w:pos="567"/>
        </w:tabs>
        <w:snapToGrid w:val="0"/>
        <w:spacing w:after="0" w:line="240" w:lineRule="auto"/>
        <w:rPr>
          <w:rFonts w:ascii="Times New Roman" w:eastAsia="Times New Roman" w:hAnsi="Times New Roman" w:cs="Times New Roman"/>
          <w:bCs/>
        </w:rPr>
      </w:pPr>
      <w:r w:rsidRPr="003E1719">
        <w:rPr>
          <w:rFonts w:ascii="Times New Roman" w:eastAsia="Times New Roman" w:hAnsi="Times New Roman" w:cs="Times New Roman"/>
          <w:bCs/>
        </w:rPr>
        <w:t>Antacidinių preparatų vartojimas kartu sumažino ezetimibo absorbciją, bet nesukėlė poveikio ezitimibo biologiniam prieinamumui. Sumažėjęs absorbcijos greitis nėra laikomas kliniškai reikšmingu.</w:t>
      </w:r>
    </w:p>
    <w:p w14:paraId="4A808D44" w14:textId="77777777" w:rsidR="00DC762A" w:rsidRPr="003E1719" w:rsidRDefault="00DC762A" w:rsidP="000D7B89">
      <w:pPr>
        <w:widowControl w:val="0"/>
        <w:tabs>
          <w:tab w:val="left" w:pos="567"/>
        </w:tabs>
        <w:snapToGrid w:val="0"/>
        <w:spacing w:after="0" w:line="240" w:lineRule="auto"/>
        <w:rPr>
          <w:rFonts w:ascii="Times New Roman" w:eastAsia="Times New Roman" w:hAnsi="Times New Roman" w:cs="Times New Roman"/>
          <w:bCs/>
        </w:rPr>
      </w:pPr>
    </w:p>
    <w:p w14:paraId="40B847D0" w14:textId="77777777" w:rsidR="00EC0BD2" w:rsidRPr="003E1719" w:rsidRDefault="00DC762A" w:rsidP="00DC762A">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 xml:space="preserve">Eritromicinas. </w:t>
      </w:r>
    </w:p>
    <w:p w14:paraId="78A7D5CB" w14:textId="65FCF14A" w:rsidR="00DC762A" w:rsidRPr="003E1719" w:rsidRDefault="00DC762A" w:rsidP="00DC762A">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Rozuvastatin</w:t>
      </w:r>
      <w:r w:rsidR="00C50133">
        <w:rPr>
          <w:rFonts w:ascii="Times New Roman" w:eastAsia="Times New Roman" w:hAnsi="Times New Roman" w:cs="Times New Roman"/>
          <w:snapToGrid w:val="0"/>
        </w:rPr>
        <w:t>o</w:t>
      </w:r>
      <w:r w:rsidRPr="003E1719">
        <w:rPr>
          <w:rFonts w:ascii="Times New Roman" w:eastAsia="Times New Roman" w:hAnsi="Times New Roman" w:cs="Times New Roman"/>
          <w:snapToGrid w:val="0"/>
        </w:rPr>
        <w:t xml:space="preserve"> vartojant kartu su eritromicinu, rozuvastatino AUC</w:t>
      </w:r>
      <w:r w:rsidRPr="003E1719">
        <w:rPr>
          <w:rFonts w:ascii="Times New Roman" w:eastAsia="Times New Roman" w:hAnsi="Times New Roman" w:cs="Times New Roman"/>
          <w:snapToGrid w:val="0"/>
          <w:vertAlign w:val="subscript"/>
        </w:rPr>
        <w:t xml:space="preserve"> </w:t>
      </w:r>
      <w:r w:rsidRPr="003E1719">
        <w:rPr>
          <w:rFonts w:ascii="Times New Roman" w:eastAsia="Times New Roman" w:hAnsi="Times New Roman" w:cs="Times New Roman"/>
          <w:snapToGrid w:val="0"/>
        </w:rPr>
        <w:t>sumažėjo 20 %, C</w:t>
      </w:r>
      <w:r w:rsidRPr="003E1719">
        <w:rPr>
          <w:rFonts w:ascii="Times New Roman" w:eastAsia="Times New Roman" w:hAnsi="Times New Roman" w:cs="Times New Roman"/>
          <w:snapToGrid w:val="0"/>
          <w:vertAlign w:val="subscript"/>
        </w:rPr>
        <w:t>max</w:t>
      </w:r>
      <w:r w:rsidRPr="003E1719">
        <w:rPr>
          <w:rFonts w:ascii="Times New Roman" w:eastAsia="Times New Roman" w:hAnsi="Times New Roman" w:cs="Times New Roman"/>
          <w:snapToGrid w:val="0"/>
        </w:rPr>
        <w:t xml:space="preserve"> sumažėjo 30 %. Ši sąveika gali pasireikšti dėl eritromicino sukelto žarnų peristaltikos suaktyvėjimo.</w:t>
      </w:r>
    </w:p>
    <w:p w14:paraId="59C1C7C7" w14:textId="77777777" w:rsidR="00DC762A" w:rsidRPr="003E1719" w:rsidRDefault="00DC762A" w:rsidP="00DC762A">
      <w:pPr>
        <w:widowControl w:val="0"/>
        <w:tabs>
          <w:tab w:val="left" w:pos="567"/>
        </w:tabs>
        <w:spacing w:after="0" w:line="240" w:lineRule="auto"/>
        <w:rPr>
          <w:rFonts w:ascii="Times New Roman" w:eastAsia="Times New Roman" w:hAnsi="Times New Roman" w:cs="Times New Roman"/>
          <w:bCs/>
          <w:i/>
          <w:snapToGrid w:val="0"/>
        </w:rPr>
      </w:pPr>
    </w:p>
    <w:p w14:paraId="7A1A0105" w14:textId="77777777" w:rsidR="00EC0BD2" w:rsidRPr="003E1719" w:rsidRDefault="000D7B89" w:rsidP="000D7B89">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 xml:space="preserve">Citochromo P450 fermentai. </w:t>
      </w:r>
    </w:p>
    <w:p w14:paraId="52A613F4"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Tyrimų </w:t>
      </w:r>
      <w:r w:rsidRPr="003E1719">
        <w:rPr>
          <w:rFonts w:ascii="Times New Roman" w:eastAsia="Times New Roman" w:hAnsi="Times New Roman" w:cs="Times New Roman"/>
          <w:i/>
          <w:snapToGrid w:val="0"/>
        </w:rPr>
        <w:t>in vitro</w:t>
      </w:r>
      <w:r w:rsidRPr="003E1719">
        <w:rPr>
          <w:rFonts w:ascii="Times New Roman" w:eastAsia="Times New Roman" w:hAnsi="Times New Roman" w:cs="Times New Roman"/>
          <w:snapToGrid w:val="0"/>
        </w:rPr>
        <w:t xml:space="preserve"> ir </w:t>
      </w:r>
      <w:r w:rsidRPr="003E1719">
        <w:rPr>
          <w:rFonts w:ascii="Times New Roman" w:eastAsia="Times New Roman" w:hAnsi="Times New Roman" w:cs="Times New Roman"/>
          <w:i/>
          <w:snapToGrid w:val="0"/>
        </w:rPr>
        <w:t>in vivo</w:t>
      </w:r>
      <w:r w:rsidRPr="003E1719">
        <w:rPr>
          <w:rFonts w:ascii="Times New Roman" w:eastAsia="Times New Roman" w:hAnsi="Times New Roman" w:cs="Times New Roman"/>
          <w:snapToGrid w:val="0"/>
        </w:rPr>
        <w:t xml:space="preserve"> duomenys rodo, kad rozuvastatinas neslopina ir nesužadina citochromo P450 izofermentų. Be to, šie izofermentai metabolizuoja tik mažą rozuvastatino dalį. Dėl šios priežasties vaistinių preparatų sąveika, susijusi su citochromo P450 veikiamu metabolizmu, nėra tikėtina. Jokios kliniškai reikšmingos rozuvastatino sąveikos su flukonazolu (CYP2C9 ir CYP3A4 inhibitorius) ar ketokonazolu (CYP2A6 ir CYP3A4 inhibitorius) nepastebėta.</w:t>
      </w:r>
    </w:p>
    <w:p w14:paraId="48584A49" w14:textId="33C18A03"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Ikiklinikinių tyrimų metu nustatyta, kad ezetimibas nestimuliuoja vaistinių preparatų metabolizme dalyvaujančių citochromo P450 fermentų. Kliniškai reikšmingos ezetimibo ir vaistinių preparatų, kurių metabolizme dalyvauja citochromo P450 1A2, 2D6, 2C8, 2C9 ir 3A4 fermentai ar N</w:t>
      </w:r>
      <w:r w:rsidR="00C50133">
        <w:rPr>
          <w:rFonts w:ascii="Times New Roman" w:eastAsia="Times New Roman" w:hAnsi="Times New Roman" w:cs="Times New Roman"/>
          <w:snapToGrid w:val="0"/>
          <w:lang w:eastAsia="sl-SI"/>
        </w:rPr>
        <w:noBreakHyphen/>
      </w:r>
      <w:r w:rsidRPr="003E1719">
        <w:rPr>
          <w:rFonts w:ascii="Times New Roman" w:eastAsia="Times New Roman" w:hAnsi="Times New Roman" w:cs="Times New Roman"/>
          <w:snapToGrid w:val="0"/>
          <w:lang w:eastAsia="sl-SI"/>
        </w:rPr>
        <w:t>acetiltransferazė, sąveikos nepastebėta.</w:t>
      </w:r>
    </w:p>
    <w:p w14:paraId="7E26B9C4"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i/>
        </w:rPr>
      </w:pPr>
    </w:p>
    <w:p w14:paraId="2EB19FF2" w14:textId="77777777" w:rsidR="00EC0BD2" w:rsidRPr="003E1719" w:rsidRDefault="003A3C14" w:rsidP="003A3C14">
      <w:pPr>
        <w:widowControl w:val="0"/>
        <w:tabs>
          <w:tab w:val="left" w:pos="567"/>
        </w:tabs>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i/>
          <w:lang w:eastAsia="sl-SI"/>
        </w:rPr>
        <w:t>Vitamino K antagonistai</w:t>
      </w:r>
      <w:r w:rsidRPr="003E1719">
        <w:rPr>
          <w:rFonts w:ascii="Times New Roman" w:eastAsia="Times New Roman" w:hAnsi="Times New Roman" w:cs="Times New Roman"/>
          <w:lang w:eastAsia="sl-SI"/>
        </w:rPr>
        <w:t xml:space="preserve">. </w:t>
      </w:r>
    </w:p>
    <w:p w14:paraId="6F51D79C" w14:textId="77777777" w:rsidR="003A3C14" w:rsidRPr="003E1719" w:rsidRDefault="003A3C14" w:rsidP="003A3C14">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Pradėjus gydymą rozuvastatinu, kaip ir kitais HMG-KoA reduktazės inhibitoriais, arba palengva padidinus dozę, pacientams, kurie kartu gydomi vitamino K antagonistais (pvz., varfarinu ar kitokiu kumarino grupės antikoaguliantu), gali padidėti tarptautinis normalizuotas santykis (TNS). Nutraukus vartojimą arba sumažinus rozuvastatino dozę, TNS gali sumažėti. Tokiais atvejais reikia tinkamai stebėti TNS.</w:t>
      </w:r>
    </w:p>
    <w:p w14:paraId="31C96D90" w14:textId="77777777" w:rsidR="003A3C14" w:rsidRPr="003E1719" w:rsidRDefault="003A3C14" w:rsidP="003A3C14">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Tyrimo, kuriame dalyvavo dvylika sveikų suaugusių vyrų, metu ezetimibas (10 mg dozė, vartota kartą per parą) kartu vartojamo varfarino biologinio prieinamumo ir protrombino laiko reikšmingai neveikė. Vis dėlto po vaistinio preparato pasirodymo rinkoje gauta pranešimų apie padidėjusį tarptautinį normalizuotą santykį (TNS) pacientams, vartojusiems ezetimibo kartu su varfarinu ar fluindionu. Jei </w:t>
      </w:r>
      <w:r w:rsidR="00AF3800">
        <w:rPr>
          <w:rFonts w:ascii="Times New Roman" w:eastAsia="Times New Roman" w:hAnsi="Times New Roman" w:cs="Times New Roman"/>
        </w:rPr>
        <w:t>Rosuvastatin/Ezetimibe Teva</w:t>
      </w:r>
      <w:r w:rsidRPr="003E1719">
        <w:rPr>
          <w:rFonts w:ascii="Times New Roman" w:eastAsia="Times New Roman" w:hAnsi="Times New Roman" w:cs="Times New Roman"/>
          <w:lang w:eastAsia="sl-SI"/>
        </w:rPr>
        <w:t xml:space="preserve"> vartojamas kartu su varfarinu, kitu kumarino grupės antikoaguliantu ar fluindionu, reikia tinkamai stebėti tarptautinį normalizuotą santykį (TNS) (žr. 4.4 skyrių).</w:t>
      </w:r>
    </w:p>
    <w:p w14:paraId="177D0AC0" w14:textId="77777777" w:rsidR="003A3C14" w:rsidRPr="003E1719" w:rsidRDefault="003A3C14" w:rsidP="003A3C14">
      <w:pPr>
        <w:widowControl w:val="0"/>
        <w:spacing w:after="0" w:line="240" w:lineRule="auto"/>
        <w:rPr>
          <w:rFonts w:ascii="Times New Roman" w:eastAsia="Times New Roman" w:hAnsi="Times New Roman" w:cs="Times New Roman"/>
          <w:lang w:eastAsia="sl-SI"/>
        </w:rPr>
      </w:pPr>
    </w:p>
    <w:p w14:paraId="33122EA2" w14:textId="77777777" w:rsidR="00EC0BD2" w:rsidRPr="003E1719" w:rsidRDefault="003A3C14" w:rsidP="003A3C14">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 xml:space="preserve">Geriamieji kontraceptikai, pakaitinė hormonų terapija (PHT). </w:t>
      </w:r>
    </w:p>
    <w:p w14:paraId="5B93D03F" w14:textId="61B4AE32" w:rsidR="003A3C14" w:rsidRPr="003E1719" w:rsidRDefault="003A3C14" w:rsidP="003A3C14">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Rozuvastatin</w:t>
      </w:r>
      <w:r w:rsidR="006906FA">
        <w:rPr>
          <w:rFonts w:ascii="Times New Roman" w:eastAsia="Times New Roman" w:hAnsi="Times New Roman" w:cs="Times New Roman"/>
          <w:snapToGrid w:val="0"/>
        </w:rPr>
        <w:t>o</w:t>
      </w:r>
      <w:r w:rsidRPr="003E1719">
        <w:rPr>
          <w:rFonts w:ascii="Times New Roman" w:eastAsia="Times New Roman" w:hAnsi="Times New Roman" w:cs="Times New Roman"/>
          <w:snapToGrid w:val="0"/>
        </w:rPr>
        <w:t xml:space="preserve"> vartojant kartu su geriamuoju kontraceptiku, etinilestradiolio ir norgestrelio AUC padidėjo atitinkamai 26 % ir 34 %. Parenkant geriamojo kontraceptiko dozę, reikia atsižvelgti į kiekio kraujo plazmoje padidėjimą. Duomenų apie farmakokinetiką tiriamųjų, vartojančių rozuvastatin</w:t>
      </w:r>
      <w:r w:rsidR="006906FA">
        <w:rPr>
          <w:rFonts w:ascii="Times New Roman" w:eastAsia="Times New Roman" w:hAnsi="Times New Roman" w:cs="Times New Roman"/>
          <w:snapToGrid w:val="0"/>
        </w:rPr>
        <w:t>o</w:t>
      </w:r>
      <w:r w:rsidRPr="003E1719">
        <w:rPr>
          <w:rFonts w:ascii="Times New Roman" w:eastAsia="Times New Roman" w:hAnsi="Times New Roman" w:cs="Times New Roman"/>
          <w:snapToGrid w:val="0"/>
        </w:rPr>
        <w:t xml:space="preserve"> kartu su PHT, organizme nėra, todėl panašaus poveikio paneigti negalima. Vis dėlto klinikinių tyrimų metu šį vaistinių preparatų derinį vartojo ir gerai toleravo daug moterų.</w:t>
      </w:r>
    </w:p>
    <w:p w14:paraId="50A8E118" w14:textId="77777777" w:rsidR="003A3C14" w:rsidRPr="003E1719" w:rsidRDefault="003A3C14" w:rsidP="003A3C14">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Klinikinių sąveikos tyrimų metu ezetimibas nedarė jokios įtakos geriamųjų kontraceptikų (etinilestradiolio ir levonorgestrelioi) farmakokinetikai.</w:t>
      </w:r>
    </w:p>
    <w:p w14:paraId="79D0383F" w14:textId="77777777" w:rsidR="003A3C14" w:rsidRPr="003E1719" w:rsidRDefault="003A3C14" w:rsidP="000D7B89">
      <w:pPr>
        <w:widowControl w:val="0"/>
        <w:spacing w:after="0" w:line="240" w:lineRule="auto"/>
        <w:rPr>
          <w:rFonts w:ascii="Times New Roman" w:eastAsia="Times New Roman" w:hAnsi="Times New Roman" w:cs="Times New Roman"/>
          <w:i/>
          <w:lang w:eastAsia="sl-SI"/>
        </w:rPr>
      </w:pPr>
    </w:p>
    <w:p w14:paraId="440AC39F" w14:textId="77777777" w:rsidR="00EC0BD2"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i/>
          <w:lang w:eastAsia="sl-SI"/>
        </w:rPr>
        <w:t>Kolestiraminas</w:t>
      </w:r>
      <w:r w:rsidRPr="003E1719">
        <w:rPr>
          <w:rFonts w:ascii="Times New Roman" w:eastAsia="Times New Roman" w:hAnsi="Times New Roman" w:cs="Times New Roman"/>
          <w:lang w:eastAsia="sl-SI"/>
        </w:rPr>
        <w:t xml:space="preserve">. </w:t>
      </w:r>
    </w:p>
    <w:p w14:paraId="6BFF729E" w14:textId="6B8B99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Kolestiraminas kartu vartojamo ezetimibo vidutinį bendrąjį (ezetimibo ir ezetimibo gliukuronido) plotą po koncentracijos ir laiko kreive (AUC) sumažino maždaug 55 %. Dėl šios sąveikos, kartu su kolestiraminu pradėjus vartoti ezetimib</w:t>
      </w:r>
      <w:r w:rsidR="006906FA">
        <w:rPr>
          <w:rFonts w:ascii="Times New Roman" w:eastAsia="Times New Roman" w:hAnsi="Times New Roman" w:cs="Times New Roman"/>
          <w:lang w:eastAsia="sl-SI"/>
        </w:rPr>
        <w:t>o</w:t>
      </w:r>
      <w:r w:rsidRPr="003E1719">
        <w:rPr>
          <w:rFonts w:ascii="Times New Roman" w:eastAsia="Times New Roman" w:hAnsi="Times New Roman" w:cs="Times New Roman"/>
          <w:lang w:eastAsia="sl-SI"/>
        </w:rPr>
        <w:t>, gali sulėtėti mažo tankio lipoproteinų cholesterolio (MTL-C) kiekio mažėjimas (žr. 4.2 skyrių).</w:t>
      </w:r>
    </w:p>
    <w:p w14:paraId="41DCF8A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53C162D" w14:textId="77777777" w:rsidR="00EC0BD2" w:rsidRPr="003E1719" w:rsidRDefault="00AD180C" w:rsidP="000D7B89">
      <w:pPr>
        <w:widowControl w:val="0"/>
        <w:spacing w:after="0" w:line="240" w:lineRule="auto"/>
        <w:rPr>
          <w:rFonts w:ascii="Times New Roman" w:eastAsia="Times New Roman" w:hAnsi="Times New Roman" w:cs="Times New Roman"/>
          <w:i/>
          <w:lang w:eastAsia="sl-SI"/>
        </w:rPr>
      </w:pPr>
      <w:r w:rsidRPr="003E1719">
        <w:rPr>
          <w:rFonts w:ascii="Times New Roman" w:eastAsia="Times New Roman" w:hAnsi="Times New Roman" w:cs="Times New Roman"/>
          <w:i/>
          <w:lang w:eastAsia="sl-SI"/>
        </w:rPr>
        <w:t>Ezetimibas/rozuvastatinas</w:t>
      </w:r>
      <w:r w:rsidR="00EC0BD2" w:rsidRPr="003E1719">
        <w:rPr>
          <w:rFonts w:ascii="Times New Roman" w:eastAsia="Times New Roman" w:hAnsi="Times New Roman" w:cs="Times New Roman"/>
          <w:i/>
          <w:lang w:eastAsia="sl-SI"/>
        </w:rPr>
        <w:t>.</w:t>
      </w:r>
    </w:p>
    <w:p w14:paraId="7D2BB1AF" w14:textId="77777777" w:rsidR="00AD180C" w:rsidRPr="003E1719" w:rsidRDefault="00AD180C"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Rozuvastatino 10 mg ir ezetimibo 10 mg vartojimas kartu hipercholesterolemija sergantiems pacientams sukėlė rozuvastatino AUC padidėjimą 1,2 karto (žr. 1 lentelę toliau). Negalima paneigti rozuvastaino ir ezetimibo </w:t>
      </w:r>
      <w:r w:rsidR="006E5772" w:rsidRPr="003E1719">
        <w:rPr>
          <w:rFonts w:ascii="Times New Roman" w:eastAsia="Times New Roman" w:hAnsi="Times New Roman" w:cs="Times New Roman"/>
          <w:lang w:eastAsia="sl-SI"/>
        </w:rPr>
        <w:t xml:space="preserve">farmakodinaminės sąveikos </w:t>
      </w:r>
      <w:r w:rsidRPr="003E1719">
        <w:rPr>
          <w:rFonts w:ascii="Times New Roman" w:eastAsia="Times New Roman" w:hAnsi="Times New Roman" w:cs="Times New Roman"/>
          <w:lang w:eastAsia="sl-SI"/>
        </w:rPr>
        <w:t xml:space="preserve">vertinant nepageidaujamo poveikio požiūriu (žr. 4.4 skyrių). </w:t>
      </w:r>
    </w:p>
    <w:p w14:paraId="104C71A6" w14:textId="77777777" w:rsidR="00AD180C" w:rsidRPr="003E1719" w:rsidRDefault="00AD180C" w:rsidP="000D7B89">
      <w:pPr>
        <w:widowControl w:val="0"/>
        <w:spacing w:after="0" w:line="240" w:lineRule="auto"/>
        <w:rPr>
          <w:rFonts w:ascii="Times New Roman" w:eastAsia="Times New Roman" w:hAnsi="Times New Roman" w:cs="Times New Roman"/>
          <w:lang w:eastAsia="sl-SI"/>
        </w:rPr>
      </w:pPr>
    </w:p>
    <w:p w14:paraId="5FB0B682" w14:textId="77777777" w:rsidR="00EC0BD2" w:rsidRPr="003E1719" w:rsidRDefault="000D7B89" w:rsidP="000D7B89">
      <w:pPr>
        <w:widowControl w:val="0"/>
        <w:tabs>
          <w:tab w:val="left" w:pos="567"/>
        </w:tabs>
        <w:snapToGrid w:val="0"/>
        <w:spacing w:after="0" w:line="240" w:lineRule="auto"/>
        <w:rPr>
          <w:rFonts w:ascii="Times New Roman" w:eastAsia="Times New Roman" w:hAnsi="Times New Roman" w:cs="Times New Roman"/>
          <w:i/>
        </w:rPr>
      </w:pPr>
      <w:r w:rsidRPr="003E1719">
        <w:rPr>
          <w:rFonts w:ascii="Times New Roman" w:eastAsia="Times New Roman" w:hAnsi="Times New Roman" w:cs="Times New Roman"/>
          <w:i/>
        </w:rPr>
        <w:t xml:space="preserve">Tikagreloras. </w:t>
      </w:r>
    </w:p>
    <w:p w14:paraId="195684D4"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i/>
        </w:rPr>
      </w:pPr>
      <w:r w:rsidRPr="003E1719">
        <w:rPr>
          <w:rFonts w:ascii="Times New Roman" w:eastAsia="Times New Roman" w:hAnsi="Times New Roman" w:cs="Times New Roman"/>
        </w:rPr>
        <w:t xml:space="preserve">Tikagreloras gali daryti įtaką rozuvastatino išskyrimui per inkstus ir padidinti rozuvastatino </w:t>
      </w:r>
      <w:r w:rsidR="00F621AA">
        <w:rPr>
          <w:rFonts w:ascii="Times New Roman" w:eastAsia="Times New Roman" w:hAnsi="Times New Roman" w:cs="Times New Roman"/>
        </w:rPr>
        <w:t>kaupimosi</w:t>
      </w:r>
      <w:r w:rsidRPr="003E1719">
        <w:rPr>
          <w:rFonts w:ascii="Times New Roman" w:eastAsia="Times New Roman" w:hAnsi="Times New Roman" w:cs="Times New Roman"/>
        </w:rPr>
        <w:t xml:space="preserve"> riziką. Tikslus mechanizmas nežinomas, tačiau kartu vartojant tikagreloro ir rozuvastatino užfiksuota atvejų, kai susilpnėjo inkstų funkcija, padidėjo KFK aktyvumas ir pasireiškė rabdomiolizė.</w:t>
      </w:r>
    </w:p>
    <w:p w14:paraId="27326633" w14:textId="77777777" w:rsidR="006E5772" w:rsidRPr="003E1719" w:rsidRDefault="006E5772" w:rsidP="006E5772">
      <w:pPr>
        <w:widowControl w:val="0"/>
        <w:tabs>
          <w:tab w:val="left" w:pos="567"/>
        </w:tabs>
        <w:spacing w:after="0" w:line="240" w:lineRule="auto"/>
        <w:rPr>
          <w:rFonts w:ascii="Times New Roman" w:eastAsia="Times New Roman" w:hAnsi="Times New Roman" w:cs="Times New Roman"/>
          <w:i/>
          <w:snapToGrid w:val="0"/>
        </w:rPr>
      </w:pPr>
    </w:p>
    <w:p w14:paraId="53877A4F" w14:textId="77777777" w:rsidR="00EC0BD2" w:rsidRPr="003E1719" w:rsidRDefault="004708E6" w:rsidP="006E5772">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Kiti vaistiniai preparatai</w:t>
      </w:r>
      <w:r w:rsidR="006E5772" w:rsidRPr="003E1719">
        <w:rPr>
          <w:rFonts w:ascii="Times New Roman" w:eastAsia="Times New Roman" w:hAnsi="Times New Roman" w:cs="Times New Roman"/>
          <w:i/>
          <w:snapToGrid w:val="0"/>
        </w:rPr>
        <w:t xml:space="preserve">. </w:t>
      </w:r>
    </w:p>
    <w:p w14:paraId="0F6C02FE" w14:textId="77777777" w:rsidR="006E5772" w:rsidRPr="003E1719" w:rsidRDefault="006E5772" w:rsidP="006E5772">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Remiantis specialių sąveikos tyrimų duomenimis, kliniškai reikšmingos sąveikos su digoksinu nesitikima.</w:t>
      </w:r>
    </w:p>
    <w:p w14:paraId="3DBB7907" w14:textId="77777777" w:rsidR="00FF5AD7" w:rsidRPr="003E1719" w:rsidRDefault="00FF5AD7" w:rsidP="006E5772">
      <w:pPr>
        <w:widowControl w:val="0"/>
        <w:tabs>
          <w:tab w:val="left" w:pos="567"/>
        </w:tabs>
        <w:spacing w:after="0" w:line="240" w:lineRule="auto"/>
        <w:rPr>
          <w:rFonts w:ascii="Times New Roman" w:eastAsia="Times New Roman" w:hAnsi="Times New Roman" w:cs="Times New Roman"/>
          <w:snapToGrid w:val="0"/>
        </w:rPr>
      </w:pPr>
    </w:p>
    <w:p w14:paraId="5C1EE891" w14:textId="77777777" w:rsidR="004708E6" w:rsidRPr="003E1719" w:rsidRDefault="004708E6" w:rsidP="006E5772">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Klinikinių sąveikos tyrimų metu nustatyta, kad ezetimibas neturi įtakos dapsono, dekstrometorfano, digoksino, glipizido, tolbutamino, midazolamo farmakokinetikai, kai buvo vartojimas kartu. Cimetidinas, vartojamas kartu su ezetimibu, neturi įtakos ezetimibo biologiniam prieinamumui.</w:t>
      </w:r>
    </w:p>
    <w:p w14:paraId="28CCF984"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i/>
        </w:rPr>
      </w:pPr>
    </w:p>
    <w:p w14:paraId="5A8CF393" w14:textId="77777777" w:rsidR="004708E6" w:rsidRPr="008B4659" w:rsidRDefault="000D7B89" w:rsidP="000D7B89">
      <w:pPr>
        <w:widowControl w:val="0"/>
        <w:tabs>
          <w:tab w:val="left" w:pos="567"/>
        </w:tabs>
        <w:spacing w:after="0" w:line="240" w:lineRule="auto"/>
        <w:rPr>
          <w:rFonts w:ascii="Times New Roman" w:eastAsia="Times New Roman" w:hAnsi="Times New Roman" w:cs="Times New Roman"/>
          <w:b/>
          <w:snapToGrid w:val="0"/>
        </w:rPr>
      </w:pPr>
      <w:r w:rsidRPr="008B4659">
        <w:rPr>
          <w:rFonts w:ascii="Times New Roman" w:eastAsia="Times New Roman" w:hAnsi="Times New Roman" w:cs="Times New Roman"/>
          <w:b/>
          <w:snapToGrid w:val="0"/>
        </w:rPr>
        <w:t xml:space="preserve">Sąveikos, kai būtina koreguoti rozuvastatino dozę (taip pat žr. 1 lentelę). </w:t>
      </w:r>
    </w:p>
    <w:p w14:paraId="6C693833" w14:textId="3DCBD2AC"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Kai rozuvastatiną būtina vartoti kartu su jo ekspoziciją didinančiais vaistiniais preparatais, būtina koreguoti rozuvastatino dozę. Jei tikėtinas ekspozicijos (AUC) padidėjimas yra maždaug 2 kartai ar daugiau, pradinė kartą per parą vartojama dozė </w:t>
      </w:r>
      <w:r w:rsidRPr="00AC7CC7">
        <w:rPr>
          <w:rFonts w:ascii="Times New Roman" w:eastAsia="Times New Roman" w:hAnsi="Times New Roman" w:cs="Times New Roman"/>
          <w:snapToGrid w:val="0"/>
        </w:rPr>
        <w:t>turi būti 5 mg</w:t>
      </w:r>
      <w:r w:rsidRPr="003E1719">
        <w:rPr>
          <w:rFonts w:ascii="Times New Roman" w:eastAsia="Times New Roman" w:hAnsi="Times New Roman" w:cs="Times New Roman"/>
          <w:snapToGrid w:val="0"/>
        </w:rPr>
        <w:t xml:space="preserve">. </w:t>
      </w:r>
      <w:r w:rsidR="00AC7CC7">
        <w:rPr>
          <w:rFonts w:ascii="Times New Roman" w:eastAsia="Times New Roman" w:hAnsi="Times New Roman" w:cs="Times New Roman"/>
          <w:lang w:eastAsia="sl-SI"/>
        </w:rPr>
        <w:t xml:space="preserve">Mažesnės nei 10 mg ezetimibo dozės vartojant </w:t>
      </w:r>
      <w:r w:rsidR="00AC7CC7">
        <w:rPr>
          <w:rFonts w:ascii="Times New Roman" w:eastAsia="Times New Roman" w:hAnsi="Times New Roman" w:cs="Times New Roman"/>
        </w:rPr>
        <w:t xml:space="preserve">Rosuvastatin/Ezetimibe Teva gauti neįmanoma. Jei reikia vartoti mažesnę dozę, reikia rinktis kitą rinkoje esantį tinkamo stiprumo vaistinį preparatą. </w:t>
      </w:r>
      <w:r w:rsidR="00131154" w:rsidRPr="003E1719">
        <w:rPr>
          <w:rFonts w:ascii="Times New Roman" w:eastAsia="Times New Roman" w:hAnsi="Times New Roman" w:cs="Times New Roman"/>
          <w:snapToGrid w:val="0"/>
        </w:rPr>
        <w:t>Didžiausia</w:t>
      </w:r>
      <w:r w:rsidRPr="003E1719">
        <w:rPr>
          <w:rFonts w:ascii="Times New Roman" w:eastAsia="Times New Roman" w:hAnsi="Times New Roman" w:cs="Times New Roman"/>
          <w:snapToGrid w:val="0"/>
        </w:rPr>
        <w:t xml:space="preserve"> rozuvastatino paros dozė turėtų būti koreguojama taip, kad tikėtina rozuvastatino ekspozicija neviršytų </w:t>
      </w:r>
      <w:r w:rsidR="00131154" w:rsidRPr="003E1719">
        <w:rPr>
          <w:rFonts w:ascii="Times New Roman" w:eastAsia="Times New Roman" w:hAnsi="Times New Roman" w:cs="Times New Roman"/>
          <w:snapToGrid w:val="0"/>
        </w:rPr>
        <w:t>susidarančios</w:t>
      </w:r>
      <w:r w:rsidRPr="003E1719">
        <w:rPr>
          <w:rFonts w:ascii="Times New Roman" w:eastAsia="Times New Roman" w:hAnsi="Times New Roman" w:cs="Times New Roman"/>
          <w:snapToGrid w:val="0"/>
        </w:rPr>
        <w:t xml:space="preserve"> vartojant 40 mg rozuvastatino paros dozę be sąveiką sukeliančių vaistinių preparatų, pvz, 20 mg rozuvastatino dozė vartojant su gemfibroziliu (padidėjimas 1,9 karto) ir 10 mg rozuvastatino dozė vartojant su atazanaviro / ritonaviro deriniu (padidėjimas 3,1 karto).</w:t>
      </w:r>
    </w:p>
    <w:p w14:paraId="1B9DE8A7"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p>
    <w:p w14:paraId="13F30658" w14:textId="77777777" w:rsidR="000D7B89" w:rsidRPr="003E1719" w:rsidRDefault="000D7B89" w:rsidP="000D7B89">
      <w:pPr>
        <w:spacing w:after="0" w:line="240" w:lineRule="auto"/>
        <w:rPr>
          <w:rFonts w:ascii="Times New Roman" w:eastAsia="Calibri" w:hAnsi="Times New Roman" w:cs="Times New Roman"/>
        </w:rPr>
      </w:pPr>
      <w:r w:rsidRPr="003E1719">
        <w:rPr>
          <w:rFonts w:ascii="Times New Roman" w:eastAsia="Calibri" w:hAnsi="Times New Roman" w:cs="Times New Roman"/>
        </w:rPr>
        <w:t>Jeigu nustatyta, kad kartu vartojamas vaistinis preparatas padidina rozuvastatino AUC mažiau kaip 2 kartus, tai pradinės rozuvastatino dozės mažinti nereikia, tačiau ją didinant virš 20 mg būtinos atsargumo priemonės.</w:t>
      </w:r>
    </w:p>
    <w:p w14:paraId="6D470FDE" w14:textId="77777777" w:rsidR="00FF5AD7" w:rsidRPr="003E1719" w:rsidRDefault="00FF5AD7" w:rsidP="000D7B89">
      <w:pPr>
        <w:spacing w:after="0" w:line="240" w:lineRule="auto"/>
        <w:rPr>
          <w:rFonts w:ascii="Times New Roman" w:eastAsia="Calibri" w:hAnsi="Times New Roman" w:cs="Times New Roman"/>
        </w:rPr>
      </w:pPr>
    </w:p>
    <w:p w14:paraId="5A38B6CD" w14:textId="77777777" w:rsidR="00954A79" w:rsidRPr="003E1719" w:rsidRDefault="00954A79" w:rsidP="00954A79">
      <w:pPr>
        <w:widowControl w:val="0"/>
        <w:tabs>
          <w:tab w:val="left" w:pos="1800"/>
        </w:tabs>
        <w:spacing w:after="0" w:line="240" w:lineRule="auto"/>
        <w:rPr>
          <w:rFonts w:ascii="Times New Roman" w:eastAsia="Times New Roman" w:hAnsi="Times New Roman" w:cs="Times New Roman"/>
          <w:b/>
          <w:bCs/>
        </w:rPr>
      </w:pPr>
      <w:r w:rsidRPr="003E1719">
        <w:rPr>
          <w:rFonts w:ascii="Times New Roman" w:eastAsia="Times New Roman" w:hAnsi="Times New Roman" w:cs="Times New Roman"/>
          <w:b/>
          <w:bCs/>
        </w:rPr>
        <w:t>1 lentelė. Kartu vartojamų vaistinių preparatų poveikis rozuvastatino ekspozicijai (AUC; mažėjančio dydžio tvarka), remiantis paskelbtais klinikinių tyrimų rezultatais</w:t>
      </w:r>
    </w:p>
    <w:p w14:paraId="4CC9B9C1" w14:textId="77777777" w:rsidR="00954A79" w:rsidRPr="003E1719" w:rsidRDefault="00954A79" w:rsidP="00954A79">
      <w:pPr>
        <w:pStyle w:val="Pagrindinistekstas"/>
        <w:keepNext/>
        <w:tabs>
          <w:tab w:val="left" w:pos="142"/>
        </w:tabs>
        <w:spacing w:before="1"/>
        <w:rPr>
          <w:b/>
          <w:i w:val="0"/>
          <w:color w:val="auto"/>
          <w:szCs w:val="22"/>
          <w:u w:val="single"/>
          <w:lang w:val="lt-LT"/>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2904"/>
        <w:gridCol w:w="2734"/>
        <w:gridCol w:w="245"/>
      </w:tblGrid>
      <w:tr w:rsidR="00954A79" w:rsidRPr="003E1719" w14:paraId="69B329E8" w14:textId="77777777" w:rsidTr="00954A79">
        <w:trPr>
          <w:gridAfter w:val="1"/>
          <w:wAfter w:w="240" w:type="dxa"/>
          <w:jc w:val="center"/>
        </w:trPr>
        <w:tc>
          <w:tcPr>
            <w:tcW w:w="8983" w:type="dxa"/>
            <w:gridSpan w:val="3"/>
          </w:tcPr>
          <w:p w14:paraId="71E7EE70" w14:textId="77777777" w:rsidR="00954A79" w:rsidRPr="003E1719" w:rsidRDefault="00954A79" w:rsidP="00954A79">
            <w:pPr>
              <w:pStyle w:val="Pagrindinistekstas"/>
              <w:widowControl w:val="0"/>
              <w:tabs>
                <w:tab w:val="left" w:pos="142"/>
              </w:tabs>
              <w:autoSpaceDE w:val="0"/>
              <w:autoSpaceDN w:val="0"/>
              <w:spacing w:before="1"/>
              <w:rPr>
                <w:b/>
                <w:i w:val="0"/>
                <w:color w:val="auto"/>
                <w:szCs w:val="22"/>
                <w:u w:val="single"/>
                <w:lang w:val="lt-LT"/>
              </w:rPr>
            </w:pPr>
            <w:r w:rsidRPr="003E1719">
              <w:rPr>
                <w:rFonts w:eastAsia="Times New Roman"/>
                <w:b/>
                <w:bCs/>
                <w:i w:val="0"/>
                <w:color w:val="auto"/>
                <w:szCs w:val="22"/>
                <w:u w:val="single"/>
                <w:lang w:val="lt-LT"/>
              </w:rPr>
              <w:t>Rozuvastatino AUC padidėjimas 2 kartus arba daugiau</w:t>
            </w:r>
          </w:p>
        </w:tc>
      </w:tr>
      <w:tr w:rsidR="00954A79" w:rsidRPr="003E1719" w14:paraId="7BD923CB" w14:textId="77777777" w:rsidTr="00954A79">
        <w:trPr>
          <w:gridAfter w:val="1"/>
          <w:wAfter w:w="240" w:type="dxa"/>
          <w:jc w:val="center"/>
        </w:trPr>
        <w:tc>
          <w:tcPr>
            <w:tcW w:w="3345" w:type="dxa"/>
          </w:tcPr>
          <w:p w14:paraId="195BA6CA" w14:textId="77777777" w:rsidR="00954A79" w:rsidRPr="003E1719" w:rsidRDefault="00954A79" w:rsidP="00954A79">
            <w:pPr>
              <w:pStyle w:val="Pagrindinistekstas"/>
              <w:widowControl w:val="0"/>
              <w:tabs>
                <w:tab w:val="left" w:pos="142"/>
              </w:tabs>
              <w:autoSpaceDE w:val="0"/>
              <w:autoSpaceDN w:val="0"/>
              <w:spacing w:before="1"/>
              <w:rPr>
                <w:b/>
                <w:i w:val="0"/>
                <w:color w:val="auto"/>
                <w:szCs w:val="22"/>
                <w:lang w:val="lt-LT"/>
              </w:rPr>
            </w:pPr>
            <w:r w:rsidRPr="003E1719">
              <w:rPr>
                <w:rFonts w:eastAsia="Times New Roman"/>
                <w:b/>
                <w:bCs/>
                <w:i w:val="0"/>
                <w:color w:val="auto"/>
                <w:szCs w:val="22"/>
                <w:lang w:val="lt-LT" w:eastAsia="zh-CN"/>
              </w:rPr>
              <w:t>Sąveiką sukeliančių vaistinių preparatų dozavimas</w:t>
            </w:r>
          </w:p>
        </w:tc>
        <w:tc>
          <w:tcPr>
            <w:tcW w:w="2904" w:type="dxa"/>
          </w:tcPr>
          <w:p w14:paraId="6C1A505F" w14:textId="77777777" w:rsidR="00954A79" w:rsidRPr="003E1719" w:rsidRDefault="00954A79" w:rsidP="00954A79">
            <w:pPr>
              <w:pStyle w:val="Pagrindinistekstas"/>
              <w:widowControl w:val="0"/>
              <w:tabs>
                <w:tab w:val="left" w:pos="142"/>
              </w:tabs>
              <w:autoSpaceDE w:val="0"/>
              <w:autoSpaceDN w:val="0"/>
              <w:spacing w:before="1"/>
              <w:jc w:val="center"/>
              <w:rPr>
                <w:b/>
                <w:i w:val="0"/>
                <w:color w:val="auto"/>
                <w:szCs w:val="22"/>
                <w:lang w:val="lt-LT"/>
              </w:rPr>
            </w:pPr>
            <w:r w:rsidRPr="003E1719">
              <w:rPr>
                <w:rFonts w:eastAsia="Times New Roman"/>
                <w:b/>
                <w:bCs/>
                <w:i w:val="0"/>
                <w:color w:val="auto"/>
                <w:szCs w:val="22"/>
                <w:lang w:val="lt-LT" w:eastAsia="zh-CN"/>
              </w:rPr>
              <w:t>Rozuvastatino dozavimas</w:t>
            </w:r>
          </w:p>
        </w:tc>
        <w:tc>
          <w:tcPr>
            <w:tcW w:w="2734" w:type="dxa"/>
          </w:tcPr>
          <w:p w14:paraId="488A472B" w14:textId="77777777" w:rsidR="00954A79" w:rsidRPr="003E1719" w:rsidRDefault="00954A79" w:rsidP="00954A79">
            <w:pPr>
              <w:pStyle w:val="Pagrindinistekstas"/>
              <w:widowControl w:val="0"/>
              <w:tabs>
                <w:tab w:val="left" w:pos="142"/>
              </w:tabs>
              <w:autoSpaceDE w:val="0"/>
              <w:autoSpaceDN w:val="0"/>
              <w:spacing w:before="1"/>
              <w:jc w:val="center"/>
              <w:rPr>
                <w:b/>
                <w:i w:val="0"/>
                <w:color w:val="auto"/>
                <w:szCs w:val="22"/>
                <w:lang w:val="lt-LT"/>
              </w:rPr>
            </w:pPr>
            <w:r w:rsidRPr="003E1719">
              <w:rPr>
                <w:rFonts w:eastAsia="Times New Roman"/>
                <w:b/>
                <w:bCs/>
                <w:i w:val="0"/>
                <w:color w:val="auto"/>
                <w:szCs w:val="22"/>
                <w:lang w:val="lt-LT" w:eastAsia="zh-CN"/>
              </w:rPr>
              <w:t>Rozuvastatino AUC pokytis*</w:t>
            </w:r>
          </w:p>
        </w:tc>
      </w:tr>
      <w:tr w:rsidR="00954A79" w:rsidRPr="003E1719" w14:paraId="4A2EDEB7" w14:textId="77777777" w:rsidTr="00954A79">
        <w:trPr>
          <w:gridAfter w:val="1"/>
          <w:wAfter w:w="240" w:type="dxa"/>
          <w:jc w:val="center"/>
        </w:trPr>
        <w:tc>
          <w:tcPr>
            <w:tcW w:w="3345" w:type="dxa"/>
          </w:tcPr>
          <w:p w14:paraId="543F2785" w14:textId="77777777" w:rsidR="00954A79" w:rsidRPr="003E1719" w:rsidRDefault="00954A79" w:rsidP="00954A79">
            <w:pPr>
              <w:widowControl w:val="0"/>
              <w:tabs>
                <w:tab w:val="left" w:pos="567"/>
              </w:tabs>
              <w:snapToGrid w:val="0"/>
              <w:spacing w:after="0" w:line="240" w:lineRule="auto"/>
              <w:rPr>
                <w:rFonts w:ascii="Times New Roman" w:hAnsi="Times New Roman" w:cs="Times New Roman"/>
                <w:iCs/>
              </w:rPr>
            </w:pPr>
            <w:r w:rsidRPr="003E1719">
              <w:rPr>
                <w:rFonts w:ascii="Times New Roman" w:hAnsi="Times New Roman" w:cs="Times New Roman"/>
                <w:lang w:eastAsia="zh-CN"/>
              </w:rPr>
              <w:t>Sofosbuviras / velpatasviras / voksilapreviras (400 mg – 100 mg – 100 mg) + voksilapreviras (100 mg) 1 kartą per parą 15 dienų</w:t>
            </w:r>
          </w:p>
        </w:tc>
        <w:tc>
          <w:tcPr>
            <w:tcW w:w="2904" w:type="dxa"/>
          </w:tcPr>
          <w:p w14:paraId="15DBEE10"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10 mg, viena dozė</w:t>
            </w:r>
          </w:p>
        </w:tc>
        <w:tc>
          <w:tcPr>
            <w:tcW w:w="2734" w:type="dxa"/>
          </w:tcPr>
          <w:p w14:paraId="3148A000" w14:textId="77777777" w:rsidR="00954A79" w:rsidRPr="003E1719" w:rsidRDefault="00FF5AD7" w:rsidP="00FF5AD7">
            <w:pPr>
              <w:widowControl w:val="0"/>
              <w:tabs>
                <w:tab w:val="left" w:pos="1296"/>
              </w:tabs>
              <w:snapToGrid w:val="0"/>
              <w:spacing w:after="0" w:line="240" w:lineRule="auto"/>
              <w:jc w:val="center"/>
              <w:rPr>
                <w:rFonts w:ascii="Times New Roman" w:eastAsia="Times New Roman" w:hAnsi="Times New Roman" w:cs="Times New Roman"/>
              </w:rPr>
            </w:pPr>
            <w:r w:rsidRPr="003E1719">
              <w:rPr>
                <w:rFonts w:ascii="Times New Roman" w:eastAsia="Times New Roman" w:hAnsi="Times New Roman" w:cs="Times New Roman"/>
              </w:rPr>
              <w:t>7,4 karto ↑</w:t>
            </w:r>
          </w:p>
        </w:tc>
      </w:tr>
      <w:tr w:rsidR="00954A79" w:rsidRPr="003E1719" w14:paraId="062353BB" w14:textId="77777777" w:rsidTr="00954A79">
        <w:trPr>
          <w:gridAfter w:val="1"/>
          <w:wAfter w:w="240" w:type="dxa"/>
          <w:jc w:val="center"/>
        </w:trPr>
        <w:tc>
          <w:tcPr>
            <w:tcW w:w="3345" w:type="dxa"/>
          </w:tcPr>
          <w:p w14:paraId="0322ED99" w14:textId="658B5A3F" w:rsidR="00954A79" w:rsidRPr="003E1719" w:rsidRDefault="00954A79" w:rsidP="00954A79">
            <w:pPr>
              <w:widowControl w:val="0"/>
              <w:tabs>
                <w:tab w:val="left" w:pos="567"/>
              </w:tabs>
              <w:snapToGrid w:val="0"/>
              <w:spacing w:after="0" w:line="240" w:lineRule="auto"/>
              <w:rPr>
                <w:rFonts w:ascii="Times New Roman" w:hAnsi="Times New Roman" w:cs="Times New Roman"/>
              </w:rPr>
            </w:pPr>
            <w:r w:rsidRPr="003E1719">
              <w:rPr>
                <w:rFonts w:ascii="Times New Roman" w:eastAsia="Times New Roman" w:hAnsi="Times New Roman" w:cs="Times New Roman"/>
              </w:rPr>
              <w:t xml:space="preserve">Ciklosporinas, 75 mg </w:t>
            </w:r>
            <w:r w:rsidR="004E6A27">
              <w:rPr>
                <w:rFonts w:ascii="Times New Roman" w:eastAsia="Times New Roman" w:hAnsi="Times New Roman" w:cs="Times New Roman"/>
              </w:rPr>
              <w:t>DKP</w:t>
            </w:r>
            <w:r w:rsidRPr="003E1719">
              <w:rPr>
                <w:rFonts w:ascii="Times New Roman" w:eastAsia="Times New Roman" w:hAnsi="Times New Roman" w:cs="Times New Roman"/>
              </w:rPr>
              <w:t xml:space="preserve"> iki 200 mg BID, 6 mėnesius</w:t>
            </w:r>
          </w:p>
        </w:tc>
        <w:tc>
          <w:tcPr>
            <w:tcW w:w="2904" w:type="dxa"/>
          </w:tcPr>
          <w:p w14:paraId="6E01B543"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10 mg OD, 10 dienų</w:t>
            </w:r>
          </w:p>
        </w:tc>
        <w:tc>
          <w:tcPr>
            <w:tcW w:w="2734" w:type="dxa"/>
          </w:tcPr>
          <w:p w14:paraId="5293AB66" w14:textId="77777777" w:rsidR="00954A79" w:rsidRPr="003E1719" w:rsidRDefault="00954A79" w:rsidP="00FF5AD7">
            <w:pPr>
              <w:widowControl w:val="0"/>
              <w:tabs>
                <w:tab w:val="left" w:pos="1296"/>
              </w:tabs>
              <w:snapToGrid w:val="0"/>
              <w:spacing w:after="0" w:line="240" w:lineRule="auto"/>
              <w:jc w:val="center"/>
              <w:rPr>
                <w:rFonts w:ascii="Times New Roman" w:eastAsia="Times New Roman" w:hAnsi="Times New Roman" w:cs="Times New Roman"/>
              </w:rPr>
            </w:pPr>
            <w:r w:rsidRPr="003E1719">
              <w:rPr>
                <w:rFonts w:ascii="Times New Roman" w:eastAsia="Times New Roman" w:hAnsi="Times New Roman" w:cs="Times New Roman"/>
              </w:rPr>
              <w:t>7</w:t>
            </w:r>
            <w:r w:rsidR="00FF5AD7" w:rsidRPr="003E1719">
              <w:rPr>
                <w:rFonts w:ascii="Times New Roman" w:eastAsia="Times New Roman" w:hAnsi="Times New Roman" w:cs="Times New Roman"/>
              </w:rPr>
              <w:t>,1 karto ↑</w:t>
            </w:r>
          </w:p>
        </w:tc>
      </w:tr>
      <w:tr w:rsidR="00954A79" w:rsidRPr="003E1719" w14:paraId="2348777A" w14:textId="77777777" w:rsidTr="00954A79">
        <w:trPr>
          <w:gridAfter w:val="1"/>
          <w:wAfter w:w="240" w:type="dxa"/>
          <w:jc w:val="center"/>
        </w:trPr>
        <w:tc>
          <w:tcPr>
            <w:tcW w:w="3345" w:type="dxa"/>
          </w:tcPr>
          <w:p w14:paraId="144FE116" w14:textId="2E121202" w:rsidR="00954A79" w:rsidRPr="003E1719" w:rsidRDefault="00954A79" w:rsidP="00954A79">
            <w:pPr>
              <w:widowControl w:val="0"/>
              <w:tabs>
                <w:tab w:val="left" w:pos="567"/>
              </w:tabs>
              <w:snapToGrid w:val="0"/>
              <w:spacing w:after="0" w:line="240" w:lineRule="auto"/>
              <w:rPr>
                <w:rFonts w:ascii="Times New Roman" w:hAnsi="Times New Roman" w:cs="Times New Roman"/>
              </w:rPr>
            </w:pPr>
            <w:r w:rsidRPr="003E1719">
              <w:rPr>
                <w:rFonts w:ascii="Times New Roman" w:eastAsia="Times New Roman" w:hAnsi="Times New Roman" w:cs="Times New Roman"/>
              </w:rPr>
              <w:t xml:space="preserve">Darolutamidas, 600 mg </w:t>
            </w:r>
            <w:r w:rsidR="004E6A27">
              <w:rPr>
                <w:rFonts w:ascii="Times New Roman" w:eastAsia="Times New Roman" w:hAnsi="Times New Roman" w:cs="Times New Roman"/>
              </w:rPr>
              <w:t>DKP</w:t>
            </w:r>
            <w:r w:rsidRPr="003E1719">
              <w:rPr>
                <w:rFonts w:ascii="Times New Roman" w:eastAsia="Times New Roman" w:hAnsi="Times New Roman" w:cs="Times New Roman"/>
              </w:rPr>
              <w:t>, 5 dienas</w:t>
            </w:r>
          </w:p>
        </w:tc>
        <w:tc>
          <w:tcPr>
            <w:tcW w:w="2904" w:type="dxa"/>
          </w:tcPr>
          <w:p w14:paraId="577ACCA7"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5 mg, viena dozė</w:t>
            </w:r>
          </w:p>
        </w:tc>
        <w:tc>
          <w:tcPr>
            <w:tcW w:w="2734" w:type="dxa"/>
          </w:tcPr>
          <w:p w14:paraId="1D09FD55"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5,2 karto </w:t>
            </w:r>
            <w:r w:rsidRPr="003E1719">
              <w:rPr>
                <w:i w:val="0"/>
                <w:iCs/>
                <w:color w:val="auto"/>
                <w:szCs w:val="22"/>
                <w:shd w:val="clear" w:color="auto" w:fill="FFFFFF"/>
                <w:lang w:val="lt-LT"/>
              </w:rPr>
              <w:t>↑</w:t>
            </w:r>
          </w:p>
        </w:tc>
      </w:tr>
      <w:tr w:rsidR="00954A79" w:rsidRPr="003E1719" w14:paraId="53CB1153" w14:textId="77777777" w:rsidTr="00954A79">
        <w:trPr>
          <w:gridAfter w:val="1"/>
          <w:wAfter w:w="240" w:type="dxa"/>
          <w:jc w:val="center"/>
        </w:trPr>
        <w:tc>
          <w:tcPr>
            <w:tcW w:w="3345" w:type="dxa"/>
          </w:tcPr>
          <w:p w14:paraId="2E1C55BE" w14:textId="06499884"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Regorafenibas, 160 mg </w:t>
            </w:r>
            <w:r w:rsidR="004E6A27">
              <w:rPr>
                <w:rFonts w:eastAsia="Times New Roman"/>
                <w:i w:val="0"/>
                <w:color w:val="auto"/>
                <w:szCs w:val="22"/>
                <w:lang w:val="lt-LT"/>
              </w:rPr>
              <w:t>VKP</w:t>
            </w:r>
            <w:r w:rsidRPr="003E1719">
              <w:rPr>
                <w:rFonts w:eastAsia="Times New Roman"/>
                <w:i w:val="0"/>
                <w:color w:val="auto"/>
                <w:szCs w:val="22"/>
                <w:lang w:val="lt-LT"/>
              </w:rPr>
              <w:t>, 14 dienų</w:t>
            </w:r>
          </w:p>
        </w:tc>
        <w:tc>
          <w:tcPr>
            <w:tcW w:w="2904" w:type="dxa"/>
          </w:tcPr>
          <w:p w14:paraId="10122C5F"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5 mg, viena dozė</w:t>
            </w:r>
          </w:p>
        </w:tc>
        <w:tc>
          <w:tcPr>
            <w:tcW w:w="2734" w:type="dxa"/>
          </w:tcPr>
          <w:p w14:paraId="243D03E4"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3,8 karto </w:t>
            </w:r>
            <w:r w:rsidRPr="003E1719">
              <w:rPr>
                <w:i w:val="0"/>
                <w:color w:val="auto"/>
                <w:szCs w:val="22"/>
                <w:lang w:val="lt-LT"/>
              </w:rPr>
              <w:t>↑</w:t>
            </w:r>
          </w:p>
        </w:tc>
      </w:tr>
      <w:tr w:rsidR="00954A79" w:rsidRPr="003E1719" w14:paraId="01739963" w14:textId="77777777" w:rsidTr="00954A79">
        <w:trPr>
          <w:gridAfter w:val="1"/>
          <w:wAfter w:w="240" w:type="dxa"/>
          <w:jc w:val="center"/>
        </w:trPr>
        <w:tc>
          <w:tcPr>
            <w:tcW w:w="3345" w:type="dxa"/>
          </w:tcPr>
          <w:p w14:paraId="306492A4" w14:textId="506CC5DC"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Atazanaviras, 300 mg/ ritonaviras, 100 mg </w:t>
            </w:r>
            <w:r w:rsidR="004E6A27">
              <w:rPr>
                <w:rFonts w:eastAsia="Times New Roman"/>
                <w:i w:val="0"/>
                <w:color w:val="auto"/>
                <w:szCs w:val="22"/>
                <w:lang w:val="lt-LT"/>
              </w:rPr>
              <w:t>VKP</w:t>
            </w:r>
            <w:r w:rsidRPr="003E1719">
              <w:rPr>
                <w:rFonts w:eastAsia="Times New Roman"/>
                <w:i w:val="0"/>
                <w:color w:val="auto"/>
                <w:szCs w:val="22"/>
                <w:lang w:val="lt-LT"/>
              </w:rPr>
              <w:t>, 8 dienas</w:t>
            </w:r>
          </w:p>
        </w:tc>
        <w:tc>
          <w:tcPr>
            <w:tcW w:w="2904" w:type="dxa"/>
          </w:tcPr>
          <w:p w14:paraId="1D5A703A"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10 mg, viena dozė</w:t>
            </w:r>
          </w:p>
        </w:tc>
        <w:tc>
          <w:tcPr>
            <w:tcW w:w="2734" w:type="dxa"/>
          </w:tcPr>
          <w:p w14:paraId="319021F6"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3,1 karto </w:t>
            </w:r>
            <w:r w:rsidRPr="003E1719">
              <w:rPr>
                <w:i w:val="0"/>
                <w:color w:val="auto"/>
                <w:szCs w:val="22"/>
                <w:lang w:val="lt-LT"/>
              </w:rPr>
              <w:t>↑</w:t>
            </w:r>
          </w:p>
        </w:tc>
      </w:tr>
      <w:tr w:rsidR="00954A79" w:rsidRPr="003E1719" w14:paraId="33365F15" w14:textId="77777777" w:rsidTr="00954A79">
        <w:trPr>
          <w:gridAfter w:val="1"/>
          <w:wAfter w:w="240" w:type="dxa"/>
          <w:jc w:val="center"/>
        </w:trPr>
        <w:tc>
          <w:tcPr>
            <w:tcW w:w="3345" w:type="dxa"/>
          </w:tcPr>
          <w:p w14:paraId="4AD01539" w14:textId="77EF74D1"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eastAsia="zh-CN"/>
              </w:rPr>
              <w:t xml:space="preserve">Velpatasviras 100 mg </w:t>
            </w:r>
            <w:r w:rsidR="004E6A27">
              <w:rPr>
                <w:rFonts w:eastAsia="Times New Roman"/>
                <w:i w:val="0"/>
                <w:color w:val="auto"/>
                <w:szCs w:val="22"/>
                <w:lang w:val="lt-LT" w:eastAsia="zh-CN"/>
              </w:rPr>
              <w:t>VKP</w:t>
            </w:r>
          </w:p>
        </w:tc>
        <w:tc>
          <w:tcPr>
            <w:tcW w:w="2904" w:type="dxa"/>
          </w:tcPr>
          <w:p w14:paraId="2BCB16A2"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10 mg, viena dozė</w:t>
            </w:r>
          </w:p>
        </w:tc>
        <w:tc>
          <w:tcPr>
            <w:tcW w:w="2734" w:type="dxa"/>
          </w:tcPr>
          <w:p w14:paraId="29300B83"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lang w:eastAsia="zh-CN"/>
              </w:rPr>
              <w:t xml:space="preserve">2,7 karto </w:t>
            </w:r>
            <w:r w:rsidRPr="003E1719">
              <w:rPr>
                <w:i w:val="0"/>
                <w:color w:val="auto"/>
                <w:szCs w:val="22"/>
                <w:lang w:val="lt-LT"/>
              </w:rPr>
              <w:t>↑</w:t>
            </w:r>
          </w:p>
        </w:tc>
      </w:tr>
      <w:tr w:rsidR="00954A79" w:rsidRPr="003E1719" w14:paraId="3C7D72D2" w14:textId="77777777" w:rsidTr="00954A79">
        <w:trPr>
          <w:gridAfter w:val="1"/>
          <w:wAfter w:w="240" w:type="dxa"/>
          <w:jc w:val="center"/>
        </w:trPr>
        <w:tc>
          <w:tcPr>
            <w:tcW w:w="3345" w:type="dxa"/>
          </w:tcPr>
          <w:p w14:paraId="47EA6ED6" w14:textId="0B79BEB5"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eastAsia="zh-CN"/>
              </w:rPr>
              <w:t xml:space="preserve">Ombitasviras 25 mg/paritapreviras 150 mg/ ritonaviras 100 mg </w:t>
            </w:r>
            <w:r w:rsidR="004E6A27">
              <w:rPr>
                <w:rFonts w:eastAsia="Times New Roman"/>
                <w:i w:val="0"/>
                <w:color w:val="auto"/>
                <w:szCs w:val="22"/>
                <w:lang w:val="lt-LT" w:eastAsia="zh-CN"/>
              </w:rPr>
              <w:t>VKP</w:t>
            </w:r>
            <w:r w:rsidRPr="003E1719">
              <w:rPr>
                <w:rFonts w:eastAsia="Times New Roman"/>
                <w:i w:val="0"/>
                <w:color w:val="auto"/>
                <w:szCs w:val="22"/>
                <w:lang w:val="lt-LT" w:eastAsia="zh-CN"/>
              </w:rPr>
              <w:t xml:space="preserve">/ dasabuviras 400 mg </w:t>
            </w:r>
            <w:r w:rsidR="006906FA">
              <w:rPr>
                <w:rFonts w:eastAsia="Times New Roman"/>
                <w:i w:val="0"/>
                <w:color w:val="auto"/>
                <w:szCs w:val="22"/>
                <w:lang w:val="lt-LT" w:eastAsia="zh-CN"/>
              </w:rPr>
              <w:t>DKP</w:t>
            </w:r>
            <w:r w:rsidRPr="003E1719">
              <w:rPr>
                <w:rFonts w:eastAsia="Times New Roman"/>
                <w:i w:val="0"/>
                <w:color w:val="auto"/>
                <w:szCs w:val="22"/>
                <w:lang w:val="lt-LT" w:eastAsia="zh-CN"/>
              </w:rPr>
              <w:t>, 14 dienų</w:t>
            </w:r>
          </w:p>
        </w:tc>
        <w:tc>
          <w:tcPr>
            <w:tcW w:w="2904" w:type="dxa"/>
          </w:tcPr>
          <w:p w14:paraId="07AAE927"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5 mg, viena dozė</w:t>
            </w:r>
          </w:p>
        </w:tc>
        <w:tc>
          <w:tcPr>
            <w:tcW w:w="2734" w:type="dxa"/>
          </w:tcPr>
          <w:p w14:paraId="42BF35BD"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lang w:eastAsia="zh-CN"/>
              </w:rPr>
              <w:t xml:space="preserve">2,6 karto </w:t>
            </w:r>
            <w:r w:rsidRPr="003E1719">
              <w:rPr>
                <w:i w:val="0"/>
                <w:color w:val="auto"/>
                <w:szCs w:val="22"/>
                <w:lang w:val="lt-LT"/>
              </w:rPr>
              <w:t>↑</w:t>
            </w:r>
          </w:p>
        </w:tc>
      </w:tr>
      <w:tr w:rsidR="00954A79" w:rsidRPr="003E1719" w14:paraId="4064EF66" w14:textId="77777777" w:rsidTr="00954A79">
        <w:trPr>
          <w:gridAfter w:val="1"/>
          <w:wAfter w:w="240" w:type="dxa"/>
          <w:jc w:val="center"/>
        </w:trPr>
        <w:tc>
          <w:tcPr>
            <w:tcW w:w="3345" w:type="dxa"/>
          </w:tcPr>
          <w:p w14:paraId="33AAAFFE" w14:textId="5895E225"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eastAsia="zh-CN"/>
              </w:rPr>
              <w:t xml:space="preserve">Grazopreviras 200 mg/elbasvirasas 50 mg </w:t>
            </w:r>
            <w:r w:rsidR="006906FA">
              <w:rPr>
                <w:rFonts w:eastAsia="Times New Roman"/>
                <w:i w:val="0"/>
                <w:color w:val="auto"/>
                <w:szCs w:val="22"/>
                <w:lang w:val="lt-LT" w:eastAsia="zh-CN"/>
              </w:rPr>
              <w:t>VKP</w:t>
            </w:r>
            <w:r w:rsidRPr="003E1719">
              <w:rPr>
                <w:rFonts w:eastAsia="Times New Roman"/>
                <w:i w:val="0"/>
                <w:color w:val="auto"/>
                <w:szCs w:val="22"/>
                <w:lang w:val="lt-LT" w:eastAsia="zh-CN"/>
              </w:rPr>
              <w:t>, 11 dienų</w:t>
            </w:r>
          </w:p>
        </w:tc>
        <w:tc>
          <w:tcPr>
            <w:tcW w:w="2904" w:type="dxa"/>
          </w:tcPr>
          <w:p w14:paraId="362E649D"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10 mg, viena dozė</w:t>
            </w:r>
          </w:p>
        </w:tc>
        <w:tc>
          <w:tcPr>
            <w:tcW w:w="2734" w:type="dxa"/>
          </w:tcPr>
          <w:p w14:paraId="2CD69D80"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i w:val="0"/>
                <w:color w:val="auto"/>
                <w:szCs w:val="22"/>
                <w:lang w:val="lt-LT"/>
              </w:rPr>
              <w:t>2.3-fold ↑</w:t>
            </w:r>
          </w:p>
        </w:tc>
      </w:tr>
      <w:tr w:rsidR="00954A79" w:rsidRPr="003E1719" w14:paraId="20945D93" w14:textId="77777777" w:rsidTr="00954A79">
        <w:trPr>
          <w:gridAfter w:val="1"/>
          <w:wAfter w:w="240" w:type="dxa"/>
          <w:jc w:val="center"/>
        </w:trPr>
        <w:tc>
          <w:tcPr>
            <w:tcW w:w="3345" w:type="dxa"/>
          </w:tcPr>
          <w:p w14:paraId="7B40E2DC" w14:textId="09118EB8" w:rsidR="00954A79" w:rsidRPr="003E1719" w:rsidRDefault="00954A79" w:rsidP="00FF5AD7">
            <w:pPr>
              <w:widowControl w:val="0"/>
              <w:spacing w:after="0" w:line="240" w:lineRule="auto"/>
              <w:rPr>
                <w:rFonts w:ascii="Times New Roman" w:eastAsia="Times New Roman" w:hAnsi="Times New Roman" w:cs="Times New Roman"/>
                <w:lang w:eastAsia="zh-CN"/>
              </w:rPr>
            </w:pPr>
            <w:r w:rsidRPr="003E1719">
              <w:rPr>
                <w:rFonts w:ascii="Times New Roman" w:eastAsia="Times New Roman" w:hAnsi="Times New Roman" w:cs="Times New Roman"/>
                <w:lang w:eastAsia="zh-CN"/>
              </w:rPr>
              <w:t>Glecapreviras 400 mg/pib</w:t>
            </w:r>
            <w:r w:rsidR="00FF5AD7" w:rsidRPr="003E1719">
              <w:rPr>
                <w:rFonts w:ascii="Times New Roman" w:eastAsia="Times New Roman" w:hAnsi="Times New Roman" w:cs="Times New Roman"/>
                <w:lang w:eastAsia="zh-CN"/>
              </w:rPr>
              <w:t xml:space="preserve">rentasviras </w:t>
            </w:r>
            <w:r w:rsidR="00974C37" w:rsidRPr="003E1719">
              <w:rPr>
                <w:rFonts w:ascii="Times New Roman" w:eastAsia="Times New Roman" w:hAnsi="Times New Roman" w:cs="Times New Roman"/>
                <w:lang w:eastAsia="zh-CN"/>
              </w:rPr>
              <w:t> </w:t>
            </w:r>
            <w:r w:rsidR="00FF5AD7" w:rsidRPr="003E1719">
              <w:rPr>
                <w:rFonts w:ascii="Times New Roman" w:eastAsia="Times New Roman" w:hAnsi="Times New Roman" w:cs="Times New Roman"/>
                <w:lang w:eastAsia="zh-CN"/>
              </w:rPr>
              <w:t xml:space="preserve">120 mg </w:t>
            </w:r>
            <w:r w:rsidR="006906FA">
              <w:rPr>
                <w:rFonts w:ascii="Times New Roman" w:eastAsia="Times New Roman" w:hAnsi="Times New Roman" w:cs="Times New Roman"/>
                <w:lang w:eastAsia="zh-CN"/>
              </w:rPr>
              <w:t>VKP</w:t>
            </w:r>
            <w:r w:rsidR="00FF5AD7" w:rsidRPr="003E1719">
              <w:rPr>
                <w:rFonts w:ascii="Times New Roman" w:eastAsia="Times New Roman" w:hAnsi="Times New Roman" w:cs="Times New Roman"/>
                <w:lang w:eastAsia="zh-CN"/>
              </w:rPr>
              <w:t>, 7 dienos</w:t>
            </w:r>
          </w:p>
        </w:tc>
        <w:tc>
          <w:tcPr>
            <w:tcW w:w="2904" w:type="dxa"/>
          </w:tcPr>
          <w:p w14:paraId="034C04B7"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lang w:eastAsia="zh-CN"/>
              </w:rPr>
              <w:t>5 mg OD, 7 dienas</w:t>
            </w:r>
          </w:p>
        </w:tc>
        <w:tc>
          <w:tcPr>
            <w:tcW w:w="2734" w:type="dxa"/>
          </w:tcPr>
          <w:p w14:paraId="165D9E73"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lang w:eastAsia="zh-CN"/>
              </w:rPr>
              <w:t xml:space="preserve">2,2 karto </w:t>
            </w:r>
            <w:r w:rsidRPr="003E1719">
              <w:rPr>
                <w:i w:val="0"/>
                <w:color w:val="auto"/>
                <w:szCs w:val="22"/>
                <w:lang w:val="lt-LT"/>
              </w:rPr>
              <w:t>↑</w:t>
            </w:r>
          </w:p>
        </w:tc>
      </w:tr>
      <w:tr w:rsidR="00954A79" w:rsidRPr="003E1719" w14:paraId="1C9F7FD8" w14:textId="77777777" w:rsidTr="00954A79">
        <w:trPr>
          <w:gridAfter w:val="1"/>
          <w:wAfter w:w="240" w:type="dxa"/>
          <w:jc w:val="center"/>
        </w:trPr>
        <w:tc>
          <w:tcPr>
            <w:tcW w:w="3345" w:type="dxa"/>
          </w:tcPr>
          <w:p w14:paraId="76D698EE" w14:textId="019CE431"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Lopinaviras, 400 mg/ ritonaviras, 100 mg </w:t>
            </w:r>
            <w:r w:rsidR="006906FA">
              <w:rPr>
                <w:rFonts w:eastAsia="Times New Roman"/>
                <w:i w:val="0"/>
                <w:color w:val="auto"/>
                <w:szCs w:val="22"/>
                <w:lang w:val="lt-LT"/>
              </w:rPr>
              <w:t>DKP</w:t>
            </w:r>
            <w:r w:rsidRPr="003E1719">
              <w:rPr>
                <w:rFonts w:eastAsia="Times New Roman"/>
                <w:i w:val="0"/>
                <w:color w:val="auto"/>
                <w:szCs w:val="22"/>
                <w:lang w:val="lt-LT"/>
              </w:rPr>
              <w:t>, 17 dienų</w:t>
            </w:r>
          </w:p>
        </w:tc>
        <w:tc>
          <w:tcPr>
            <w:tcW w:w="2904" w:type="dxa"/>
          </w:tcPr>
          <w:p w14:paraId="21B5DC12"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20 mg OD, 7 dienas</w:t>
            </w:r>
          </w:p>
        </w:tc>
        <w:tc>
          <w:tcPr>
            <w:tcW w:w="2734" w:type="dxa"/>
          </w:tcPr>
          <w:p w14:paraId="58C870E2"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2,1 karto </w:t>
            </w:r>
            <w:r w:rsidRPr="003E1719">
              <w:rPr>
                <w:i w:val="0"/>
                <w:color w:val="auto"/>
                <w:szCs w:val="22"/>
                <w:lang w:val="lt-LT"/>
              </w:rPr>
              <w:t>↑</w:t>
            </w:r>
          </w:p>
        </w:tc>
      </w:tr>
      <w:tr w:rsidR="00954A79" w:rsidRPr="003E1719" w14:paraId="72568029" w14:textId="77777777" w:rsidTr="00954A79">
        <w:trPr>
          <w:gridAfter w:val="1"/>
          <w:wAfter w:w="240" w:type="dxa"/>
          <w:jc w:val="center"/>
        </w:trPr>
        <w:tc>
          <w:tcPr>
            <w:tcW w:w="3345" w:type="dxa"/>
          </w:tcPr>
          <w:p w14:paraId="2DF850F8" w14:textId="77777777"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Klopidogrelis, 300 mg (įsotinamoji dozė), po to 75 mg po 24 val.</w:t>
            </w:r>
          </w:p>
        </w:tc>
        <w:tc>
          <w:tcPr>
            <w:tcW w:w="2904" w:type="dxa"/>
          </w:tcPr>
          <w:p w14:paraId="2A470938"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20 mg, viena dozė</w:t>
            </w:r>
          </w:p>
        </w:tc>
        <w:tc>
          <w:tcPr>
            <w:tcW w:w="2734" w:type="dxa"/>
          </w:tcPr>
          <w:p w14:paraId="02397BFE"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2 kartus </w:t>
            </w:r>
            <w:r w:rsidRPr="003E1719">
              <w:rPr>
                <w:i w:val="0"/>
                <w:color w:val="auto"/>
                <w:szCs w:val="22"/>
                <w:lang w:val="lt-LT"/>
              </w:rPr>
              <w:t>↑</w:t>
            </w:r>
          </w:p>
        </w:tc>
      </w:tr>
      <w:tr w:rsidR="00954A79" w:rsidRPr="003E1719" w14:paraId="59FDB0CD" w14:textId="77777777" w:rsidTr="00FF5AD7">
        <w:trPr>
          <w:gridAfter w:val="1"/>
          <w:wAfter w:w="240" w:type="dxa"/>
          <w:trHeight w:val="527"/>
          <w:jc w:val="center"/>
        </w:trPr>
        <w:tc>
          <w:tcPr>
            <w:tcW w:w="3345" w:type="dxa"/>
          </w:tcPr>
          <w:p w14:paraId="7B7F8A46" w14:textId="7AEAD9E1"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Gemfibrozilis, 600 mg </w:t>
            </w:r>
            <w:r w:rsidR="006906FA">
              <w:rPr>
                <w:rFonts w:eastAsia="Times New Roman"/>
                <w:i w:val="0"/>
                <w:color w:val="auto"/>
                <w:szCs w:val="22"/>
                <w:lang w:val="lt-LT"/>
              </w:rPr>
              <w:t>DKP</w:t>
            </w:r>
            <w:r w:rsidRPr="003E1719">
              <w:rPr>
                <w:rFonts w:eastAsia="Times New Roman"/>
                <w:i w:val="0"/>
                <w:color w:val="auto"/>
                <w:szCs w:val="22"/>
                <w:lang w:val="lt-LT"/>
              </w:rPr>
              <w:t>, 7 dienas</w:t>
            </w:r>
          </w:p>
        </w:tc>
        <w:tc>
          <w:tcPr>
            <w:tcW w:w="2904" w:type="dxa"/>
          </w:tcPr>
          <w:p w14:paraId="66E8870E"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80 mg, viena dozė</w:t>
            </w:r>
          </w:p>
        </w:tc>
        <w:tc>
          <w:tcPr>
            <w:tcW w:w="2734" w:type="dxa"/>
          </w:tcPr>
          <w:p w14:paraId="01920605" w14:textId="77777777" w:rsidR="00954A79" w:rsidRPr="003E1719" w:rsidRDefault="00FF5AD7"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1</w:t>
            </w:r>
            <w:r w:rsidR="00954A79" w:rsidRPr="003E1719">
              <w:rPr>
                <w:rFonts w:eastAsia="Times New Roman"/>
                <w:i w:val="0"/>
                <w:color w:val="auto"/>
                <w:szCs w:val="22"/>
              </w:rPr>
              <w:t xml:space="preserve">,9 karto </w:t>
            </w:r>
            <w:r w:rsidR="00954A79" w:rsidRPr="003E1719">
              <w:rPr>
                <w:i w:val="0"/>
                <w:color w:val="auto"/>
                <w:szCs w:val="22"/>
                <w:lang w:val="lt-LT"/>
              </w:rPr>
              <w:t>↑</w:t>
            </w:r>
          </w:p>
        </w:tc>
      </w:tr>
      <w:tr w:rsidR="00954A79" w:rsidRPr="003E1719" w14:paraId="36F13A98" w14:textId="77777777" w:rsidTr="00954A79">
        <w:trPr>
          <w:gridAfter w:val="1"/>
          <w:wAfter w:w="240" w:type="dxa"/>
          <w:jc w:val="center"/>
        </w:trPr>
        <w:tc>
          <w:tcPr>
            <w:tcW w:w="8983" w:type="dxa"/>
            <w:gridSpan w:val="3"/>
          </w:tcPr>
          <w:p w14:paraId="74749125" w14:textId="77777777" w:rsidR="00954A79" w:rsidRPr="003E1719" w:rsidRDefault="00954A79" w:rsidP="00954A79">
            <w:pPr>
              <w:pStyle w:val="Pagrindinistekstas"/>
              <w:widowControl w:val="0"/>
              <w:tabs>
                <w:tab w:val="left" w:pos="142"/>
              </w:tabs>
              <w:autoSpaceDE w:val="0"/>
              <w:autoSpaceDN w:val="0"/>
              <w:spacing w:before="1"/>
              <w:rPr>
                <w:b/>
                <w:i w:val="0"/>
                <w:iCs/>
                <w:color w:val="auto"/>
                <w:szCs w:val="22"/>
                <w:lang w:val="lt-LT"/>
              </w:rPr>
            </w:pPr>
            <w:r w:rsidRPr="003E1719">
              <w:rPr>
                <w:rFonts w:eastAsia="Times New Roman"/>
                <w:b/>
                <w:i w:val="0"/>
                <w:color w:val="auto"/>
                <w:szCs w:val="22"/>
                <w:lang w:val="lt-LT"/>
              </w:rPr>
              <w:t>Rozuvastatino AUC padidėjimas mažiau kaip 2 kartus</w:t>
            </w:r>
          </w:p>
        </w:tc>
      </w:tr>
      <w:tr w:rsidR="00954A79" w:rsidRPr="003E1719" w14:paraId="17D02034" w14:textId="77777777" w:rsidTr="00954A79">
        <w:trPr>
          <w:gridAfter w:val="1"/>
          <w:wAfter w:w="240" w:type="dxa"/>
          <w:jc w:val="center"/>
        </w:trPr>
        <w:tc>
          <w:tcPr>
            <w:tcW w:w="3345" w:type="dxa"/>
          </w:tcPr>
          <w:p w14:paraId="5F61A053" w14:textId="77777777" w:rsidR="00954A79" w:rsidRPr="003E1719" w:rsidRDefault="00954A79" w:rsidP="00FF5AD7">
            <w:pPr>
              <w:widowControl w:val="0"/>
              <w:tabs>
                <w:tab w:val="left" w:pos="567"/>
              </w:tabs>
              <w:snapToGrid w:val="0"/>
              <w:spacing w:after="0" w:line="240" w:lineRule="auto"/>
              <w:rPr>
                <w:rFonts w:ascii="Times New Roman" w:hAnsi="Times New Roman" w:cs="Times New Roman"/>
                <w:b/>
                <w:i/>
              </w:rPr>
            </w:pPr>
            <w:r w:rsidRPr="003E1719">
              <w:rPr>
                <w:rFonts w:ascii="Times New Roman" w:hAnsi="Times New Roman" w:cs="Times New Roman"/>
                <w:b/>
                <w:bCs/>
              </w:rPr>
              <w:t>Sąveikaujančio vaistinio preparato dozavimas</w:t>
            </w:r>
          </w:p>
        </w:tc>
        <w:tc>
          <w:tcPr>
            <w:tcW w:w="2904" w:type="dxa"/>
          </w:tcPr>
          <w:p w14:paraId="3F507874" w14:textId="77777777" w:rsidR="00954A79" w:rsidRPr="003E1719" w:rsidRDefault="00954A79" w:rsidP="00954A79">
            <w:pPr>
              <w:pStyle w:val="Pagrindinistekstas"/>
              <w:widowControl w:val="0"/>
              <w:tabs>
                <w:tab w:val="left" w:pos="142"/>
              </w:tabs>
              <w:autoSpaceDE w:val="0"/>
              <w:autoSpaceDN w:val="0"/>
              <w:spacing w:before="1"/>
              <w:jc w:val="center"/>
              <w:rPr>
                <w:b/>
                <w:i w:val="0"/>
                <w:color w:val="auto"/>
                <w:szCs w:val="22"/>
                <w:lang w:val="lt-LT"/>
              </w:rPr>
            </w:pPr>
            <w:r w:rsidRPr="003E1719">
              <w:rPr>
                <w:rFonts w:eastAsia="Times New Roman"/>
                <w:b/>
                <w:i w:val="0"/>
                <w:color w:val="auto"/>
                <w:szCs w:val="22"/>
                <w:lang w:val="lt-LT"/>
              </w:rPr>
              <w:t>Rozuvastatino dozavimas</w:t>
            </w:r>
          </w:p>
        </w:tc>
        <w:tc>
          <w:tcPr>
            <w:tcW w:w="2734" w:type="dxa"/>
          </w:tcPr>
          <w:p w14:paraId="0D29CDFD" w14:textId="77777777" w:rsidR="00954A79" w:rsidRPr="003E1719" w:rsidRDefault="00954A79" w:rsidP="00954A79">
            <w:pPr>
              <w:pStyle w:val="Pagrindinistekstas"/>
              <w:widowControl w:val="0"/>
              <w:tabs>
                <w:tab w:val="left" w:pos="142"/>
              </w:tabs>
              <w:autoSpaceDE w:val="0"/>
              <w:autoSpaceDN w:val="0"/>
              <w:spacing w:before="1"/>
              <w:jc w:val="center"/>
              <w:rPr>
                <w:b/>
                <w:i w:val="0"/>
                <w:color w:val="auto"/>
                <w:szCs w:val="22"/>
                <w:lang w:val="lt-LT"/>
              </w:rPr>
            </w:pPr>
            <w:r w:rsidRPr="003E1719">
              <w:rPr>
                <w:rFonts w:eastAsia="Times New Roman"/>
                <w:b/>
                <w:i w:val="0"/>
                <w:color w:val="auto"/>
                <w:szCs w:val="22"/>
                <w:lang w:val="lt-LT"/>
              </w:rPr>
              <w:t>Rozuvastatino AUC pokytis</w:t>
            </w:r>
            <w:r w:rsidRPr="003E1719">
              <w:rPr>
                <w:b/>
                <w:bCs/>
                <w:i w:val="0"/>
                <w:iCs/>
                <w:color w:val="auto"/>
                <w:szCs w:val="22"/>
                <w:lang w:val="lt-LT" w:eastAsia="zh-CN"/>
              </w:rPr>
              <w:t xml:space="preserve"> *</w:t>
            </w:r>
          </w:p>
        </w:tc>
      </w:tr>
      <w:tr w:rsidR="00954A79" w:rsidRPr="003E1719" w14:paraId="74669FDC" w14:textId="77777777" w:rsidTr="00954A79">
        <w:trPr>
          <w:gridAfter w:val="1"/>
          <w:wAfter w:w="240" w:type="dxa"/>
          <w:jc w:val="center"/>
        </w:trPr>
        <w:tc>
          <w:tcPr>
            <w:tcW w:w="3345" w:type="dxa"/>
          </w:tcPr>
          <w:p w14:paraId="267034B2" w14:textId="1EB581C8" w:rsidR="00954A79" w:rsidRPr="003E1719" w:rsidRDefault="00FF5AD7"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Eltrombopagas, </w:t>
            </w:r>
            <w:r w:rsidR="00954A79" w:rsidRPr="003E1719">
              <w:rPr>
                <w:rFonts w:eastAsia="Times New Roman"/>
                <w:i w:val="0"/>
                <w:color w:val="auto"/>
                <w:szCs w:val="22"/>
                <w:lang w:val="lt-LT"/>
              </w:rPr>
              <w:t xml:space="preserve">75 mg </w:t>
            </w:r>
            <w:r w:rsidR="006906FA">
              <w:rPr>
                <w:rFonts w:eastAsia="Times New Roman"/>
                <w:i w:val="0"/>
                <w:color w:val="auto"/>
                <w:szCs w:val="22"/>
                <w:lang w:val="lt-LT"/>
              </w:rPr>
              <w:t>VKP</w:t>
            </w:r>
            <w:r w:rsidR="00954A79" w:rsidRPr="003E1719">
              <w:rPr>
                <w:rFonts w:eastAsia="Times New Roman"/>
                <w:i w:val="0"/>
                <w:color w:val="auto"/>
                <w:szCs w:val="22"/>
                <w:lang w:val="lt-LT"/>
              </w:rPr>
              <w:t xml:space="preserve">, 5 </w:t>
            </w:r>
            <w:r w:rsidRPr="003E1719">
              <w:rPr>
                <w:rFonts w:eastAsia="Times New Roman"/>
                <w:i w:val="0"/>
                <w:color w:val="auto"/>
                <w:szCs w:val="22"/>
                <w:lang w:val="lt-LT"/>
              </w:rPr>
              <w:t>die</w:t>
            </w:r>
            <w:r w:rsidR="00954A79" w:rsidRPr="003E1719">
              <w:rPr>
                <w:rFonts w:eastAsia="Times New Roman"/>
                <w:i w:val="0"/>
                <w:color w:val="auto"/>
                <w:szCs w:val="22"/>
                <w:lang w:val="lt-LT"/>
              </w:rPr>
              <w:t>nas</w:t>
            </w:r>
          </w:p>
        </w:tc>
        <w:tc>
          <w:tcPr>
            <w:tcW w:w="2904" w:type="dxa"/>
          </w:tcPr>
          <w:p w14:paraId="39A26748" w14:textId="77777777" w:rsidR="00954A79" w:rsidRPr="003E1719" w:rsidRDefault="00954A79" w:rsidP="00974C3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10 mg, viena dozė</w:t>
            </w:r>
          </w:p>
        </w:tc>
        <w:tc>
          <w:tcPr>
            <w:tcW w:w="2734" w:type="dxa"/>
          </w:tcPr>
          <w:p w14:paraId="26610E19"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1,6 karto </w:t>
            </w:r>
            <w:r w:rsidRPr="003E1719">
              <w:rPr>
                <w:i w:val="0"/>
                <w:color w:val="auto"/>
                <w:szCs w:val="22"/>
                <w:lang w:val="lt-LT"/>
              </w:rPr>
              <w:t>↑</w:t>
            </w:r>
          </w:p>
        </w:tc>
      </w:tr>
      <w:tr w:rsidR="00954A79" w:rsidRPr="003E1719" w14:paraId="26076218" w14:textId="77777777" w:rsidTr="00954A79">
        <w:trPr>
          <w:gridAfter w:val="1"/>
          <w:wAfter w:w="240" w:type="dxa"/>
          <w:jc w:val="center"/>
        </w:trPr>
        <w:tc>
          <w:tcPr>
            <w:tcW w:w="3345" w:type="dxa"/>
          </w:tcPr>
          <w:p w14:paraId="200F9F67" w14:textId="34408A08"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Darunaviras, 600 mg/ ritonaviras, 100 mg </w:t>
            </w:r>
            <w:r w:rsidR="006906FA">
              <w:rPr>
                <w:rFonts w:eastAsia="Times New Roman"/>
                <w:i w:val="0"/>
                <w:color w:val="auto"/>
                <w:szCs w:val="22"/>
                <w:lang w:val="lt-LT"/>
              </w:rPr>
              <w:t>DKP</w:t>
            </w:r>
            <w:r w:rsidRPr="003E1719">
              <w:rPr>
                <w:rFonts w:eastAsia="Times New Roman"/>
                <w:i w:val="0"/>
                <w:color w:val="auto"/>
                <w:szCs w:val="22"/>
                <w:lang w:val="lt-LT"/>
              </w:rPr>
              <w:t>, 7 dienas</w:t>
            </w:r>
          </w:p>
        </w:tc>
        <w:tc>
          <w:tcPr>
            <w:tcW w:w="2904" w:type="dxa"/>
          </w:tcPr>
          <w:p w14:paraId="1262FC3A" w14:textId="77777777" w:rsidR="00954A79" w:rsidRPr="003E1719" w:rsidRDefault="00954A79" w:rsidP="00974C37">
            <w:pPr>
              <w:pStyle w:val="Pagrindinistekstas"/>
              <w:widowControl w:val="0"/>
              <w:tabs>
                <w:tab w:val="left" w:pos="142"/>
              </w:tabs>
              <w:autoSpaceDE w:val="0"/>
              <w:autoSpaceDN w:val="0"/>
              <w:spacing w:before="1"/>
              <w:jc w:val="center"/>
              <w:rPr>
                <w:i w:val="0"/>
                <w:color w:val="auto"/>
                <w:szCs w:val="22"/>
                <w:lang w:val="lt-LT"/>
              </w:rPr>
            </w:pPr>
            <w:r w:rsidRPr="003E1719">
              <w:rPr>
                <w:i w:val="0"/>
                <w:color w:val="auto"/>
                <w:szCs w:val="22"/>
                <w:lang w:val="lt-LT"/>
              </w:rPr>
              <w:t>10 mg OD, 7 d</w:t>
            </w:r>
            <w:r w:rsidR="00974C37" w:rsidRPr="003E1719">
              <w:rPr>
                <w:i w:val="0"/>
                <w:color w:val="auto"/>
                <w:szCs w:val="22"/>
                <w:lang w:val="lt-LT"/>
              </w:rPr>
              <w:t>ienas</w:t>
            </w:r>
          </w:p>
        </w:tc>
        <w:tc>
          <w:tcPr>
            <w:tcW w:w="2734" w:type="dxa"/>
          </w:tcPr>
          <w:p w14:paraId="7A72ED52"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1,5 karto </w:t>
            </w:r>
            <w:r w:rsidRPr="003E1719">
              <w:rPr>
                <w:i w:val="0"/>
                <w:color w:val="auto"/>
                <w:szCs w:val="22"/>
                <w:lang w:val="lt-LT"/>
              </w:rPr>
              <w:t>↑</w:t>
            </w:r>
          </w:p>
        </w:tc>
      </w:tr>
      <w:tr w:rsidR="00954A79" w:rsidRPr="003E1719" w14:paraId="07B289D8" w14:textId="77777777" w:rsidTr="00954A79">
        <w:trPr>
          <w:gridAfter w:val="1"/>
          <w:wAfter w:w="240" w:type="dxa"/>
          <w:jc w:val="center"/>
        </w:trPr>
        <w:tc>
          <w:tcPr>
            <w:tcW w:w="3345" w:type="dxa"/>
          </w:tcPr>
          <w:p w14:paraId="044AFD93" w14:textId="2AFC2D79"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Tipranaviras, 500 mg/ ritonaviras 200 mg </w:t>
            </w:r>
            <w:r w:rsidR="006906FA">
              <w:rPr>
                <w:rFonts w:eastAsia="Times New Roman"/>
                <w:i w:val="0"/>
                <w:color w:val="auto"/>
                <w:szCs w:val="22"/>
                <w:lang w:val="lt-LT"/>
              </w:rPr>
              <w:t>DKP</w:t>
            </w:r>
            <w:r w:rsidRPr="003E1719">
              <w:rPr>
                <w:rFonts w:eastAsia="Times New Roman"/>
                <w:i w:val="0"/>
                <w:color w:val="auto"/>
                <w:szCs w:val="22"/>
                <w:lang w:val="lt-LT"/>
              </w:rPr>
              <w:t>, 11 dienų</w:t>
            </w:r>
          </w:p>
        </w:tc>
        <w:tc>
          <w:tcPr>
            <w:tcW w:w="2904" w:type="dxa"/>
          </w:tcPr>
          <w:p w14:paraId="4BEEB57C" w14:textId="77777777" w:rsidR="00954A79" w:rsidRPr="003E1719" w:rsidRDefault="00954A79"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 xml:space="preserve">10 mg, </w:t>
            </w:r>
            <w:r w:rsidR="00FF5AD7" w:rsidRPr="003E1719">
              <w:rPr>
                <w:rFonts w:ascii="Times New Roman" w:eastAsia="Times New Roman" w:hAnsi="Times New Roman" w:cs="Times New Roman"/>
              </w:rPr>
              <w:t>viena dozė</w:t>
            </w:r>
          </w:p>
        </w:tc>
        <w:tc>
          <w:tcPr>
            <w:tcW w:w="2734" w:type="dxa"/>
          </w:tcPr>
          <w:p w14:paraId="1FB54205"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1,4 karto </w:t>
            </w:r>
            <w:r w:rsidRPr="003E1719">
              <w:rPr>
                <w:i w:val="0"/>
                <w:color w:val="auto"/>
                <w:szCs w:val="22"/>
                <w:lang w:val="lt-LT"/>
              </w:rPr>
              <w:t>↑</w:t>
            </w:r>
          </w:p>
        </w:tc>
      </w:tr>
      <w:tr w:rsidR="00954A79" w:rsidRPr="003E1719" w14:paraId="67393D83" w14:textId="77777777" w:rsidTr="00954A79">
        <w:trPr>
          <w:gridAfter w:val="1"/>
          <w:wAfter w:w="240" w:type="dxa"/>
          <w:jc w:val="center"/>
        </w:trPr>
        <w:tc>
          <w:tcPr>
            <w:tcW w:w="3345" w:type="dxa"/>
          </w:tcPr>
          <w:p w14:paraId="675ED6A5" w14:textId="27694942"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Dronedaronas, 400 mg </w:t>
            </w:r>
            <w:r w:rsidR="006906FA">
              <w:rPr>
                <w:rFonts w:eastAsia="Times New Roman"/>
                <w:i w:val="0"/>
                <w:color w:val="auto"/>
                <w:szCs w:val="22"/>
                <w:lang w:val="lt-LT"/>
              </w:rPr>
              <w:t>DKP</w:t>
            </w:r>
          </w:p>
        </w:tc>
        <w:tc>
          <w:tcPr>
            <w:tcW w:w="2904" w:type="dxa"/>
          </w:tcPr>
          <w:p w14:paraId="3C5D541B"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Duomenų nėra</w:t>
            </w:r>
          </w:p>
        </w:tc>
        <w:tc>
          <w:tcPr>
            <w:tcW w:w="2734" w:type="dxa"/>
          </w:tcPr>
          <w:p w14:paraId="63705351"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1,4 karto </w:t>
            </w:r>
            <w:r w:rsidRPr="003E1719">
              <w:rPr>
                <w:i w:val="0"/>
                <w:color w:val="auto"/>
                <w:szCs w:val="22"/>
                <w:lang w:val="lt-LT"/>
              </w:rPr>
              <w:t>↑</w:t>
            </w:r>
          </w:p>
        </w:tc>
      </w:tr>
      <w:tr w:rsidR="00954A79" w:rsidRPr="003E1719" w14:paraId="27CDC991" w14:textId="77777777" w:rsidTr="00954A79">
        <w:trPr>
          <w:gridAfter w:val="1"/>
          <w:wAfter w:w="240" w:type="dxa"/>
          <w:jc w:val="center"/>
        </w:trPr>
        <w:tc>
          <w:tcPr>
            <w:tcW w:w="3345" w:type="dxa"/>
          </w:tcPr>
          <w:p w14:paraId="19F9CACB" w14:textId="0D2C3BB3"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Intrakonazolas, 200 mg, </w:t>
            </w:r>
            <w:r w:rsidR="006906FA">
              <w:rPr>
                <w:rFonts w:eastAsia="Times New Roman"/>
                <w:i w:val="0"/>
                <w:color w:val="auto"/>
                <w:szCs w:val="22"/>
                <w:lang w:val="lt-LT"/>
              </w:rPr>
              <w:t>VKP</w:t>
            </w:r>
            <w:r w:rsidRPr="003E1719">
              <w:rPr>
                <w:rFonts w:eastAsia="Times New Roman"/>
                <w:i w:val="0"/>
                <w:color w:val="auto"/>
                <w:szCs w:val="22"/>
                <w:lang w:val="lt-LT"/>
              </w:rPr>
              <w:t>, 5 dienas</w:t>
            </w:r>
          </w:p>
        </w:tc>
        <w:tc>
          <w:tcPr>
            <w:tcW w:w="2904" w:type="dxa"/>
          </w:tcPr>
          <w:p w14:paraId="1EE59F6C" w14:textId="77777777" w:rsidR="00954A79" w:rsidRPr="003E1719" w:rsidRDefault="00FF5AD7" w:rsidP="00FF5AD7">
            <w:pPr>
              <w:widowControl w:val="0"/>
              <w:tabs>
                <w:tab w:val="left" w:pos="0"/>
              </w:tabs>
              <w:snapToGrid w:val="0"/>
              <w:spacing w:after="0" w:line="240" w:lineRule="auto"/>
              <w:ind w:left="425" w:hanging="425"/>
              <w:jc w:val="center"/>
              <w:rPr>
                <w:rFonts w:ascii="Times New Roman" w:eastAsia="Times New Roman" w:hAnsi="Times New Roman" w:cs="Times New Roman"/>
              </w:rPr>
            </w:pPr>
            <w:r w:rsidRPr="003E1719">
              <w:rPr>
                <w:rFonts w:ascii="Times New Roman" w:eastAsia="Times New Roman" w:hAnsi="Times New Roman" w:cs="Times New Roman"/>
              </w:rPr>
              <w:t>10 mg, viena dozė</w:t>
            </w:r>
          </w:p>
        </w:tc>
        <w:tc>
          <w:tcPr>
            <w:tcW w:w="2734" w:type="dxa"/>
          </w:tcPr>
          <w:p w14:paraId="6A21A542"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 xml:space="preserve">1,4 karto </w:t>
            </w:r>
            <w:r w:rsidRPr="003E1719">
              <w:rPr>
                <w:i w:val="0"/>
                <w:color w:val="auto"/>
                <w:szCs w:val="22"/>
                <w:lang w:val="lt-LT"/>
              </w:rPr>
              <w:t>↑</w:t>
            </w:r>
            <w:r w:rsidRPr="003E1719">
              <w:rPr>
                <w:i w:val="0"/>
                <w:color w:val="auto"/>
                <w:szCs w:val="22"/>
                <w:vertAlign w:val="superscript"/>
                <w:lang w:val="lt-LT"/>
              </w:rPr>
              <w:t>**</w:t>
            </w:r>
          </w:p>
        </w:tc>
      </w:tr>
      <w:tr w:rsidR="00954A79" w:rsidRPr="003E1719" w14:paraId="7982750E" w14:textId="77777777" w:rsidTr="00954A79">
        <w:trPr>
          <w:gridAfter w:val="1"/>
          <w:wAfter w:w="240" w:type="dxa"/>
          <w:jc w:val="center"/>
        </w:trPr>
        <w:tc>
          <w:tcPr>
            <w:tcW w:w="3345" w:type="dxa"/>
          </w:tcPr>
          <w:p w14:paraId="1CBA8B6E" w14:textId="74FB09E1"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Ezetimibas, 10 mg </w:t>
            </w:r>
            <w:r w:rsidR="006906FA">
              <w:rPr>
                <w:rFonts w:eastAsia="Times New Roman"/>
                <w:i w:val="0"/>
                <w:color w:val="auto"/>
                <w:szCs w:val="22"/>
                <w:lang w:val="lt-LT"/>
              </w:rPr>
              <w:t>VKP</w:t>
            </w:r>
            <w:r w:rsidRPr="003E1719">
              <w:rPr>
                <w:rFonts w:eastAsia="Times New Roman"/>
                <w:i w:val="0"/>
                <w:color w:val="auto"/>
                <w:szCs w:val="22"/>
                <w:lang w:val="lt-LT"/>
              </w:rPr>
              <w:t>, 14 dienų</w:t>
            </w:r>
          </w:p>
        </w:tc>
        <w:tc>
          <w:tcPr>
            <w:tcW w:w="2904" w:type="dxa"/>
          </w:tcPr>
          <w:p w14:paraId="3B83C6F0"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10 mg OD, 14 dienų</w:t>
            </w:r>
          </w:p>
        </w:tc>
        <w:tc>
          <w:tcPr>
            <w:tcW w:w="2734" w:type="dxa"/>
          </w:tcPr>
          <w:p w14:paraId="4973C612"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i w:val="0"/>
                <w:color w:val="auto"/>
                <w:szCs w:val="22"/>
                <w:vertAlign w:val="superscript"/>
                <w:lang w:val="lt-LT"/>
              </w:rPr>
              <w:t>**</w:t>
            </w:r>
            <w:r w:rsidRPr="003E1719">
              <w:rPr>
                <w:i w:val="0"/>
                <w:color w:val="auto"/>
                <w:szCs w:val="22"/>
                <w:lang w:eastAsia="zh-CN"/>
              </w:rPr>
              <w:t xml:space="preserve">1,2 karto </w:t>
            </w:r>
            <w:r w:rsidRPr="003E1719">
              <w:rPr>
                <w:i w:val="0"/>
                <w:color w:val="auto"/>
                <w:szCs w:val="22"/>
                <w:lang w:val="lt-LT"/>
              </w:rPr>
              <w:t>↑</w:t>
            </w:r>
          </w:p>
        </w:tc>
      </w:tr>
      <w:tr w:rsidR="00954A79" w:rsidRPr="003E1719" w14:paraId="2F77E1E0" w14:textId="77777777" w:rsidTr="00954A79">
        <w:trPr>
          <w:gridAfter w:val="1"/>
          <w:wAfter w:w="240" w:type="dxa"/>
          <w:jc w:val="center"/>
        </w:trPr>
        <w:tc>
          <w:tcPr>
            <w:tcW w:w="8983" w:type="dxa"/>
            <w:gridSpan w:val="3"/>
          </w:tcPr>
          <w:p w14:paraId="1CD19618" w14:textId="77777777" w:rsidR="00954A79" w:rsidRPr="003E1719" w:rsidRDefault="00954A79" w:rsidP="00954A79">
            <w:pPr>
              <w:widowControl w:val="0"/>
              <w:tabs>
                <w:tab w:val="left" w:pos="567"/>
              </w:tabs>
              <w:snapToGrid w:val="0"/>
              <w:spacing w:after="0" w:line="240" w:lineRule="auto"/>
              <w:rPr>
                <w:rFonts w:ascii="Times New Roman" w:hAnsi="Times New Roman" w:cs="Times New Roman"/>
                <w:b/>
              </w:rPr>
            </w:pPr>
            <w:r w:rsidRPr="003E1719">
              <w:rPr>
                <w:rFonts w:ascii="Times New Roman" w:eastAsia="Times New Roman" w:hAnsi="Times New Roman" w:cs="Times New Roman"/>
                <w:b/>
              </w:rPr>
              <w:t>Rozuvastatino AUC sumažėjimas</w:t>
            </w:r>
          </w:p>
        </w:tc>
      </w:tr>
      <w:tr w:rsidR="00954A79" w:rsidRPr="003E1719" w14:paraId="45F573CE" w14:textId="77777777" w:rsidTr="00954A79">
        <w:trPr>
          <w:gridAfter w:val="1"/>
          <w:wAfter w:w="240" w:type="dxa"/>
          <w:jc w:val="center"/>
        </w:trPr>
        <w:tc>
          <w:tcPr>
            <w:tcW w:w="3345" w:type="dxa"/>
          </w:tcPr>
          <w:p w14:paraId="252108F9" w14:textId="77777777" w:rsidR="00954A79" w:rsidRPr="003E1719" w:rsidRDefault="00954A79" w:rsidP="00954A79">
            <w:pPr>
              <w:pStyle w:val="Pagrindinistekstas"/>
              <w:widowControl w:val="0"/>
              <w:tabs>
                <w:tab w:val="left" w:pos="142"/>
              </w:tabs>
              <w:autoSpaceDE w:val="0"/>
              <w:autoSpaceDN w:val="0"/>
              <w:spacing w:before="1"/>
              <w:rPr>
                <w:b/>
                <w:i w:val="0"/>
                <w:color w:val="auto"/>
                <w:szCs w:val="22"/>
                <w:lang w:val="lt-LT"/>
              </w:rPr>
            </w:pPr>
            <w:r w:rsidRPr="003E1719">
              <w:rPr>
                <w:rFonts w:eastAsia="Times New Roman"/>
                <w:b/>
                <w:i w:val="0"/>
                <w:color w:val="auto"/>
                <w:szCs w:val="22"/>
                <w:lang w:val="lt-LT"/>
              </w:rPr>
              <w:t>Sąveikaujančio vaistinio preparato dozavimas</w:t>
            </w:r>
          </w:p>
        </w:tc>
        <w:tc>
          <w:tcPr>
            <w:tcW w:w="2904" w:type="dxa"/>
          </w:tcPr>
          <w:p w14:paraId="7F61ED94" w14:textId="77777777" w:rsidR="00954A79" w:rsidRPr="003E1719" w:rsidRDefault="00954A79" w:rsidP="00954A79">
            <w:pPr>
              <w:widowControl w:val="0"/>
              <w:tabs>
                <w:tab w:val="left" w:pos="567"/>
              </w:tabs>
              <w:snapToGrid w:val="0"/>
              <w:spacing w:after="0" w:line="240" w:lineRule="auto"/>
              <w:ind w:left="425" w:hanging="425"/>
              <w:jc w:val="center"/>
              <w:rPr>
                <w:rFonts w:ascii="Times New Roman" w:eastAsia="Times New Roman" w:hAnsi="Times New Roman" w:cs="Times New Roman"/>
                <w:b/>
              </w:rPr>
            </w:pPr>
            <w:r w:rsidRPr="003E1719">
              <w:rPr>
                <w:rFonts w:ascii="Times New Roman" w:eastAsia="Times New Roman" w:hAnsi="Times New Roman" w:cs="Times New Roman"/>
                <w:b/>
              </w:rPr>
              <w:t>Rozuvastatino dozavimas</w:t>
            </w:r>
          </w:p>
          <w:p w14:paraId="6AE43EA6" w14:textId="77777777" w:rsidR="00954A79" w:rsidRPr="003E1719" w:rsidRDefault="00954A79" w:rsidP="00954A79">
            <w:pPr>
              <w:pStyle w:val="Pagrindinistekstas"/>
              <w:widowControl w:val="0"/>
              <w:tabs>
                <w:tab w:val="left" w:pos="142"/>
              </w:tabs>
              <w:autoSpaceDE w:val="0"/>
              <w:autoSpaceDN w:val="0"/>
              <w:spacing w:before="1"/>
              <w:jc w:val="center"/>
              <w:rPr>
                <w:b/>
                <w:i w:val="0"/>
                <w:color w:val="auto"/>
                <w:szCs w:val="22"/>
                <w:lang w:val="lt-LT"/>
              </w:rPr>
            </w:pPr>
          </w:p>
        </w:tc>
        <w:tc>
          <w:tcPr>
            <w:tcW w:w="2734" w:type="dxa"/>
          </w:tcPr>
          <w:p w14:paraId="5144581F" w14:textId="77777777" w:rsidR="00954A79" w:rsidRPr="003E1719" w:rsidRDefault="00954A79" w:rsidP="00FF5AD7">
            <w:pPr>
              <w:pStyle w:val="Pagrindinistekstas"/>
              <w:widowControl w:val="0"/>
              <w:tabs>
                <w:tab w:val="left" w:pos="142"/>
              </w:tabs>
              <w:autoSpaceDE w:val="0"/>
              <w:autoSpaceDN w:val="0"/>
              <w:spacing w:before="1"/>
              <w:jc w:val="center"/>
              <w:rPr>
                <w:b/>
                <w:i w:val="0"/>
                <w:color w:val="auto"/>
                <w:szCs w:val="22"/>
                <w:vertAlign w:val="superscript"/>
                <w:lang w:val="lt-LT"/>
              </w:rPr>
            </w:pPr>
            <w:r w:rsidRPr="003E1719">
              <w:rPr>
                <w:rFonts w:eastAsia="Times New Roman"/>
                <w:b/>
                <w:i w:val="0"/>
                <w:color w:val="auto"/>
                <w:szCs w:val="22"/>
                <w:lang w:val="lt-LT"/>
              </w:rPr>
              <w:t>Rozuvastatino AUC pokytis</w:t>
            </w:r>
            <w:r w:rsidRPr="003E1719">
              <w:rPr>
                <w:b/>
                <w:bCs/>
                <w:i w:val="0"/>
                <w:color w:val="auto"/>
                <w:szCs w:val="22"/>
                <w:lang w:val="lt-LT"/>
              </w:rPr>
              <w:t>*</w:t>
            </w:r>
          </w:p>
        </w:tc>
      </w:tr>
      <w:tr w:rsidR="00954A79" w:rsidRPr="003E1719" w14:paraId="3D43DC8F" w14:textId="77777777" w:rsidTr="00954A79">
        <w:trPr>
          <w:gridAfter w:val="1"/>
          <w:wAfter w:w="240" w:type="dxa"/>
          <w:jc w:val="center"/>
        </w:trPr>
        <w:tc>
          <w:tcPr>
            <w:tcW w:w="3345" w:type="dxa"/>
          </w:tcPr>
          <w:p w14:paraId="746877CE" w14:textId="5DB7045B"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 xml:space="preserve">Eritromicinas, 500 mg </w:t>
            </w:r>
            <w:r w:rsidR="006906FA">
              <w:rPr>
                <w:rFonts w:eastAsia="Times New Roman"/>
                <w:i w:val="0"/>
                <w:color w:val="auto"/>
                <w:szCs w:val="22"/>
                <w:lang w:val="lt-LT"/>
              </w:rPr>
              <w:t>KKP</w:t>
            </w:r>
            <w:r w:rsidRPr="003E1719">
              <w:rPr>
                <w:rFonts w:eastAsia="Times New Roman"/>
                <w:i w:val="0"/>
                <w:color w:val="auto"/>
                <w:szCs w:val="22"/>
                <w:lang w:val="lt-LT"/>
              </w:rPr>
              <w:t>, 7 dienas</w:t>
            </w:r>
          </w:p>
        </w:tc>
        <w:tc>
          <w:tcPr>
            <w:tcW w:w="2904" w:type="dxa"/>
          </w:tcPr>
          <w:p w14:paraId="66C90F19"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80 mg, viena dozė</w:t>
            </w:r>
          </w:p>
        </w:tc>
        <w:tc>
          <w:tcPr>
            <w:tcW w:w="2734" w:type="dxa"/>
          </w:tcPr>
          <w:p w14:paraId="4A551643"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i w:val="0"/>
                <w:color w:val="auto"/>
                <w:szCs w:val="22"/>
                <w:lang w:val="lt-LT"/>
              </w:rPr>
              <w:t>20% ↓</w:t>
            </w:r>
          </w:p>
        </w:tc>
      </w:tr>
      <w:tr w:rsidR="00954A79" w:rsidRPr="003E1719" w14:paraId="30671F52" w14:textId="77777777" w:rsidTr="00954A79">
        <w:trPr>
          <w:gridAfter w:val="1"/>
          <w:wAfter w:w="240" w:type="dxa"/>
          <w:jc w:val="center"/>
        </w:trPr>
        <w:tc>
          <w:tcPr>
            <w:tcW w:w="3345" w:type="dxa"/>
          </w:tcPr>
          <w:p w14:paraId="6F713A14" w14:textId="512F0E92" w:rsidR="00954A79" w:rsidRPr="003E1719" w:rsidRDefault="00954A79" w:rsidP="00954A79">
            <w:pPr>
              <w:pStyle w:val="Pagrindinistekstas"/>
              <w:widowControl w:val="0"/>
              <w:tabs>
                <w:tab w:val="left" w:pos="142"/>
              </w:tabs>
              <w:autoSpaceDE w:val="0"/>
              <w:autoSpaceDN w:val="0"/>
              <w:spacing w:before="1"/>
              <w:rPr>
                <w:i w:val="0"/>
                <w:color w:val="auto"/>
                <w:szCs w:val="22"/>
                <w:lang w:val="lt-LT"/>
              </w:rPr>
            </w:pPr>
            <w:r w:rsidRPr="003E1719">
              <w:rPr>
                <w:rFonts w:eastAsia="Times New Roman"/>
                <w:i w:val="0"/>
                <w:color w:val="auto"/>
                <w:szCs w:val="22"/>
                <w:lang w:val="lt-LT"/>
              </w:rPr>
              <w:t>Baikalinas, 50 mg T</w:t>
            </w:r>
            <w:r w:rsidR="006906FA">
              <w:rPr>
                <w:rFonts w:eastAsia="Times New Roman"/>
                <w:i w:val="0"/>
                <w:color w:val="auto"/>
                <w:szCs w:val="22"/>
                <w:lang w:val="lt-LT"/>
              </w:rPr>
              <w:t>KP</w:t>
            </w:r>
            <w:r w:rsidRPr="003E1719">
              <w:rPr>
                <w:rFonts w:eastAsia="Times New Roman"/>
                <w:i w:val="0"/>
                <w:color w:val="auto"/>
                <w:szCs w:val="22"/>
                <w:lang w:val="lt-LT"/>
              </w:rPr>
              <w:t>, 14 dienų</w:t>
            </w:r>
          </w:p>
        </w:tc>
        <w:tc>
          <w:tcPr>
            <w:tcW w:w="2904" w:type="dxa"/>
          </w:tcPr>
          <w:p w14:paraId="65CE1330"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rFonts w:eastAsia="Times New Roman"/>
                <w:i w:val="0"/>
                <w:color w:val="auto"/>
                <w:szCs w:val="22"/>
              </w:rPr>
              <w:t>20 mg, viena dozė</w:t>
            </w:r>
          </w:p>
        </w:tc>
        <w:tc>
          <w:tcPr>
            <w:tcW w:w="2734" w:type="dxa"/>
          </w:tcPr>
          <w:p w14:paraId="2DC31771" w14:textId="77777777" w:rsidR="00954A79" w:rsidRPr="003E1719" w:rsidRDefault="00954A79" w:rsidP="00954A79">
            <w:pPr>
              <w:pStyle w:val="Pagrindinistekstas"/>
              <w:widowControl w:val="0"/>
              <w:tabs>
                <w:tab w:val="left" w:pos="142"/>
              </w:tabs>
              <w:autoSpaceDE w:val="0"/>
              <w:autoSpaceDN w:val="0"/>
              <w:spacing w:before="1"/>
              <w:jc w:val="center"/>
              <w:rPr>
                <w:i w:val="0"/>
                <w:color w:val="auto"/>
                <w:szCs w:val="22"/>
                <w:lang w:val="lt-LT"/>
              </w:rPr>
            </w:pPr>
            <w:r w:rsidRPr="003E1719">
              <w:rPr>
                <w:i w:val="0"/>
                <w:color w:val="auto"/>
                <w:szCs w:val="22"/>
                <w:lang w:val="lt-LT"/>
              </w:rPr>
              <w:t>47% ↓</w:t>
            </w:r>
          </w:p>
        </w:tc>
      </w:tr>
      <w:tr w:rsidR="00954A79" w:rsidRPr="003E1719" w14:paraId="22D769FB" w14:textId="77777777" w:rsidTr="00FF5A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28" w:type="dxa"/>
            <w:gridSpan w:val="4"/>
            <w:tcBorders>
              <w:top w:val="single" w:sz="8" w:space="0" w:color="auto"/>
              <w:left w:val="nil"/>
              <w:bottom w:val="single" w:sz="4" w:space="0" w:color="auto"/>
              <w:right w:val="nil"/>
            </w:tcBorders>
            <w:hideMark/>
          </w:tcPr>
          <w:p w14:paraId="7F295B63" w14:textId="77777777" w:rsidR="00EC0BD2" w:rsidRPr="003E1719" w:rsidRDefault="00EC0BD2" w:rsidP="00FF5AD7">
            <w:pPr>
              <w:widowControl w:val="0"/>
              <w:tabs>
                <w:tab w:val="left" w:pos="567"/>
              </w:tabs>
              <w:snapToGrid w:val="0"/>
              <w:spacing w:after="0" w:line="240" w:lineRule="auto"/>
              <w:rPr>
                <w:rFonts w:ascii="Times New Roman" w:eastAsia="Times New Roman" w:hAnsi="Times New Roman" w:cs="Times New Roman"/>
              </w:rPr>
            </w:pPr>
          </w:p>
          <w:p w14:paraId="70A3D38E" w14:textId="77777777" w:rsidR="00954A79" w:rsidRPr="003E1719" w:rsidRDefault="00954A79" w:rsidP="00FF5AD7">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Duomenys, pateikti kaip x kartų pokytis, rodo paprastąjį vartojant kartu ir taikant rozuvastatino monoterapiją nustatyto rodmens santykį. Duomenys, pateikti kaip procentinis pokytis, rodo procentinį (%) skirtumą nuo rodmens taikant rozuvastatino monoterapiją.</w:t>
            </w:r>
          </w:p>
          <w:p w14:paraId="57F7F2AF" w14:textId="77777777" w:rsidR="00954A79" w:rsidRPr="003E1719" w:rsidRDefault="00954A79" w:rsidP="00FF5AD7">
            <w:pPr>
              <w:widowControl w:val="0"/>
              <w:tabs>
                <w:tab w:val="left" w:pos="567"/>
              </w:tabs>
              <w:snapToGrid w:val="0"/>
              <w:spacing w:after="0" w:line="240" w:lineRule="auto"/>
              <w:rPr>
                <w:rFonts w:ascii="Times New Roman" w:eastAsia="Times New Roman" w:hAnsi="Times New Roman" w:cs="Times New Roman"/>
                <w:lang w:eastAsia="zh-CN"/>
              </w:rPr>
            </w:pPr>
            <w:r w:rsidRPr="003E1719">
              <w:rPr>
                <w:rFonts w:ascii="Times New Roman" w:eastAsia="Times New Roman" w:hAnsi="Times New Roman" w:cs="Times New Roman"/>
              </w:rPr>
              <w:t>Padidėjimas nurodytas kaip „↑“, pokyčio nebuvimas kaip „</w:t>
            </w:r>
            <w:r w:rsidRPr="003E1719">
              <w:rPr>
                <w:rFonts w:ascii="Times New Roman" w:eastAsia="Times New Roman" w:hAnsi="Times New Roman" w:cs="Times New Roman"/>
              </w:rPr>
              <w:sym w:font="Symbol" w:char="F0AB"/>
            </w:r>
            <w:r w:rsidRPr="003E1719">
              <w:rPr>
                <w:rFonts w:ascii="Times New Roman" w:eastAsia="Times New Roman" w:hAnsi="Times New Roman" w:cs="Times New Roman"/>
              </w:rPr>
              <w:t>“, sumažėjimas kaip „↓“.</w:t>
            </w:r>
          </w:p>
          <w:p w14:paraId="5E260667" w14:textId="77777777" w:rsidR="00954A79" w:rsidRPr="003E1719" w:rsidRDefault="00954A79" w:rsidP="00FF5AD7">
            <w:pPr>
              <w:widowControl w:val="0"/>
              <w:tabs>
                <w:tab w:val="left" w:pos="567"/>
              </w:tabs>
              <w:snapToGri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Buvo atlikta keletas sąveikos tyrimų su skirtingomis rozuvastatino dozėmis. Lentelėje pateiktas reikšmingiausias santykis.</w:t>
            </w:r>
          </w:p>
          <w:p w14:paraId="73D08DA8" w14:textId="2B20AA98" w:rsidR="00954A79" w:rsidRPr="003E1719" w:rsidRDefault="00954A79" w:rsidP="00FF5AD7">
            <w:pPr>
              <w:widowControl w:val="0"/>
              <w:tabs>
                <w:tab w:val="left" w:pos="567"/>
              </w:tabs>
              <w:snapToGrid w:val="0"/>
              <w:spacing w:after="0" w:line="240" w:lineRule="auto"/>
              <w:rPr>
                <w:rFonts w:ascii="Times New Roman" w:eastAsia="Times New Roman" w:hAnsi="Times New Roman" w:cs="Times New Roman"/>
                <w:lang w:eastAsia="zh-CN"/>
              </w:rPr>
            </w:pPr>
            <w:r w:rsidRPr="003E1719">
              <w:rPr>
                <w:rFonts w:ascii="Times New Roman" w:eastAsia="Times New Roman" w:hAnsi="Times New Roman" w:cs="Times New Roman"/>
              </w:rPr>
              <w:t xml:space="preserve">AUC – plotas po koncentracijos kreive; </w:t>
            </w:r>
            <w:r w:rsidR="006906FA">
              <w:rPr>
                <w:rFonts w:ascii="Times New Roman" w:eastAsia="Times New Roman" w:hAnsi="Times New Roman" w:cs="Times New Roman"/>
              </w:rPr>
              <w:t>VKP</w:t>
            </w:r>
            <w:r w:rsidRPr="003E1719">
              <w:rPr>
                <w:rFonts w:ascii="Times New Roman" w:eastAsia="Times New Roman" w:hAnsi="Times New Roman" w:cs="Times New Roman"/>
              </w:rPr>
              <w:t xml:space="preserve"> –</w:t>
            </w:r>
            <w:r w:rsidR="006906FA">
              <w:rPr>
                <w:rFonts w:ascii="Times New Roman" w:eastAsia="Times New Roman" w:hAnsi="Times New Roman" w:cs="Times New Roman"/>
              </w:rPr>
              <w:t xml:space="preserve"> vieną </w:t>
            </w:r>
            <w:r w:rsidRPr="003E1719">
              <w:rPr>
                <w:rFonts w:ascii="Times New Roman" w:eastAsia="Times New Roman" w:hAnsi="Times New Roman" w:cs="Times New Roman"/>
              </w:rPr>
              <w:t>kartą per parą; D</w:t>
            </w:r>
            <w:r w:rsidR="006906FA">
              <w:rPr>
                <w:rFonts w:ascii="Times New Roman" w:eastAsia="Times New Roman" w:hAnsi="Times New Roman" w:cs="Times New Roman"/>
              </w:rPr>
              <w:t>KP</w:t>
            </w:r>
            <w:r w:rsidRPr="003E1719">
              <w:rPr>
                <w:rFonts w:ascii="Times New Roman" w:eastAsia="Times New Roman" w:hAnsi="Times New Roman" w:cs="Times New Roman"/>
              </w:rPr>
              <w:t xml:space="preserve"> – du kartus per parą; T</w:t>
            </w:r>
            <w:r w:rsidR="006906FA">
              <w:rPr>
                <w:rFonts w:ascii="Times New Roman" w:eastAsia="Times New Roman" w:hAnsi="Times New Roman" w:cs="Times New Roman"/>
              </w:rPr>
              <w:t>KP</w:t>
            </w:r>
            <w:r w:rsidRPr="003E1719">
              <w:rPr>
                <w:rFonts w:ascii="Times New Roman" w:eastAsia="Times New Roman" w:hAnsi="Times New Roman" w:cs="Times New Roman"/>
              </w:rPr>
              <w:t xml:space="preserve"> – tris kartus per parą; </w:t>
            </w:r>
            <w:r w:rsidR="006906FA">
              <w:rPr>
                <w:rFonts w:ascii="Times New Roman" w:eastAsia="Times New Roman" w:hAnsi="Times New Roman" w:cs="Times New Roman"/>
              </w:rPr>
              <w:t>KKP</w:t>
            </w:r>
            <w:r w:rsidRPr="003E1719">
              <w:rPr>
                <w:rFonts w:ascii="Times New Roman" w:eastAsia="Times New Roman" w:hAnsi="Times New Roman" w:cs="Times New Roman"/>
              </w:rPr>
              <w:t xml:space="preserve"> – keturis kartus per parą</w:t>
            </w:r>
          </w:p>
        </w:tc>
      </w:tr>
    </w:tbl>
    <w:p w14:paraId="3D099714" w14:textId="77777777" w:rsidR="00954A79" w:rsidRPr="003E1719" w:rsidRDefault="00954A79" w:rsidP="00954A79">
      <w:pPr>
        <w:widowControl w:val="0"/>
        <w:autoSpaceDE w:val="0"/>
        <w:autoSpaceDN w:val="0"/>
        <w:adjustRightInd w:val="0"/>
        <w:spacing w:after="0" w:line="240" w:lineRule="auto"/>
        <w:jc w:val="both"/>
        <w:rPr>
          <w:rFonts w:ascii="Times New Roman" w:eastAsia="SimSun" w:hAnsi="Times New Roman" w:cs="Times New Roman"/>
          <w:lang w:eastAsia="en-GB"/>
        </w:rPr>
      </w:pPr>
    </w:p>
    <w:p w14:paraId="33F5AC63" w14:textId="12BF203C" w:rsidR="00954A79" w:rsidRPr="003E1719" w:rsidRDefault="00954A79" w:rsidP="00F621AA">
      <w:pPr>
        <w:widowControl w:val="0"/>
        <w:autoSpaceDE w:val="0"/>
        <w:autoSpaceDN w:val="0"/>
        <w:adjustRightInd w:val="0"/>
        <w:spacing w:after="0" w:line="240" w:lineRule="auto"/>
        <w:rPr>
          <w:rFonts w:ascii="Times New Roman" w:eastAsia="Times New Roman" w:hAnsi="Times New Roman" w:cs="Times New Roman"/>
          <w:lang w:eastAsia="lt-LT"/>
        </w:rPr>
      </w:pPr>
      <w:r w:rsidRPr="003E1719">
        <w:rPr>
          <w:rFonts w:ascii="Times New Roman" w:eastAsia="Times New Roman" w:hAnsi="Times New Roman" w:cs="Times New Roman"/>
          <w:lang w:eastAsia="lt-LT"/>
        </w:rPr>
        <w:t xml:space="preserve">Šie vaistiniai preparatai ar jų deriniai, vartoti kartu, neturėjo kliniškai reikšmingos įtakos rozuvastatino </w:t>
      </w:r>
      <w:r w:rsidRPr="00F621AA">
        <w:rPr>
          <w:rFonts w:ascii="Times New Roman" w:eastAsia="Times New Roman" w:hAnsi="Times New Roman" w:cs="Times New Roman"/>
          <w:lang w:eastAsia="lt-LT"/>
        </w:rPr>
        <w:t xml:space="preserve">AUC: aleglitazaro </w:t>
      </w:r>
      <w:r w:rsidR="00F621AA" w:rsidRPr="00F621AA">
        <w:rPr>
          <w:rFonts w:ascii="Times New Roman" w:eastAsia="Times New Roman" w:hAnsi="Times New Roman" w:cs="Times New Roman"/>
          <w:lang w:eastAsia="lt-LT"/>
        </w:rPr>
        <w:t xml:space="preserve">0,3 mg </w:t>
      </w:r>
      <w:r w:rsidRPr="00F621AA">
        <w:rPr>
          <w:rFonts w:ascii="Times New Roman" w:eastAsia="Times New Roman" w:hAnsi="Times New Roman" w:cs="Times New Roman"/>
          <w:lang w:eastAsia="lt-LT"/>
        </w:rPr>
        <w:t xml:space="preserve">7 dienas, fenofibrato </w:t>
      </w:r>
      <w:r w:rsidR="00F621AA" w:rsidRPr="00F621AA">
        <w:rPr>
          <w:rFonts w:ascii="Times New Roman" w:eastAsia="Times New Roman" w:hAnsi="Times New Roman" w:cs="Times New Roman"/>
          <w:lang w:eastAsia="lt-LT"/>
        </w:rPr>
        <w:t xml:space="preserve">po 67 mg </w:t>
      </w:r>
      <w:r w:rsidR="004E6A27">
        <w:rPr>
          <w:rFonts w:ascii="Times New Roman" w:eastAsia="Times New Roman" w:hAnsi="Times New Roman" w:cs="Times New Roman"/>
          <w:lang w:eastAsia="lt-LT"/>
        </w:rPr>
        <w:t>TKP</w:t>
      </w:r>
      <w:r w:rsidRPr="00F621AA">
        <w:rPr>
          <w:rFonts w:ascii="Times New Roman" w:eastAsia="Times New Roman" w:hAnsi="Times New Roman" w:cs="Times New Roman"/>
          <w:lang w:eastAsia="lt-LT"/>
        </w:rPr>
        <w:t xml:space="preserve"> 7 dienas, flukonazolo </w:t>
      </w:r>
      <w:r w:rsidR="00F621AA" w:rsidRPr="00F621AA">
        <w:rPr>
          <w:rFonts w:ascii="Times New Roman" w:eastAsia="Times New Roman" w:hAnsi="Times New Roman" w:cs="Times New Roman"/>
          <w:lang w:eastAsia="lt-LT"/>
        </w:rPr>
        <w:t xml:space="preserve">200 mg </w:t>
      </w:r>
      <w:r w:rsidR="004E6A27">
        <w:rPr>
          <w:rFonts w:ascii="Times New Roman" w:eastAsia="Times New Roman" w:hAnsi="Times New Roman" w:cs="Times New Roman"/>
          <w:lang w:eastAsia="lt-LT"/>
        </w:rPr>
        <w:t>VKP</w:t>
      </w:r>
      <w:r w:rsidRPr="00F621AA">
        <w:rPr>
          <w:rFonts w:ascii="Times New Roman" w:eastAsia="Times New Roman" w:hAnsi="Times New Roman" w:cs="Times New Roman"/>
          <w:lang w:eastAsia="lt-LT"/>
        </w:rPr>
        <w:t xml:space="preserve"> 11 dienų, fosamprenaviro </w:t>
      </w:r>
      <w:r w:rsidR="00F621AA" w:rsidRPr="00F621AA">
        <w:rPr>
          <w:rFonts w:ascii="Times New Roman" w:eastAsia="Times New Roman" w:hAnsi="Times New Roman" w:cs="Times New Roman"/>
          <w:lang w:eastAsia="lt-LT"/>
        </w:rPr>
        <w:t>po 700 mg</w:t>
      </w:r>
      <w:r w:rsidR="00F621AA" w:rsidRPr="00F621AA">
        <w:rPr>
          <w:rFonts w:ascii="Times New Roman" w:hAnsi="Times New Roman" w:cs="Times New Roman"/>
        </w:rPr>
        <w:t xml:space="preserve"> </w:t>
      </w:r>
      <w:r w:rsidRPr="00F621AA">
        <w:rPr>
          <w:rFonts w:ascii="Times New Roman" w:eastAsia="Times New Roman" w:hAnsi="Times New Roman" w:cs="Times New Roman"/>
          <w:lang w:eastAsia="lt-LT"/>
        </w:rPr>
        <w:t xml:space="preserve">/ 100 mg ritonaviro </w:t>
      </w:r>
      <w:r w:rsidR="004E6A27">
        <w:rPr>
          <w:rFonts w:ascii="Times New Roman" w:eastAsia="Times New Roman" w:hAnsi="Times New Roman" w:cs="Times New Roman"/>
          <w:lang w:eastAsia="lt-LT"/>
        </w:rPr>
        <w:t>DKP</w:t>
      </w:r>
      <w:r w:rsidRPr="00F621AA">
        <w:rPr>
          <w:rFonts w:ascii="Times New Roman" w:eastAsia="Times New Roman" w:hAnsi="Times New Roman" w:cs="Times New Roman"/>
          <w:lang w:eastAsia="lt-LT"/>
        </w:rPr>
        <w:t xml:space="preserve"> 8 dienas, ketokonazolo </w:t>
      </w:r>
      <w:r w:rsidR="00F621AA" w:rsidRPr="00F621AA">
        <w:rPr>
          <w:rFonts w:ascii="Times New Roman" w:eastAsia="Times New Roman" w:hAnsi="Times New Roman" w:cs="Times New Roman"/>
          <w:lang w:eastAsia="lt-LT"/>
        </w:rPr>
        <w:t xml:space="preserve">po 200 mg </w:t>
      </w:r>
      <w:r w:rsidR="004E6A27">
        <w:rPr>
          <w:rFonts w:ascii="Times New Roman" w:eastAsia="Times New Roman" w:hAnsi="Times New Roman" w:cs="Times New Roman"/>
          <w:lang w:eastAsia="lt-LT"/>
        </w:rPr>
        <w:t>DKP</w:t>
      </w:r>
      <w:r w:rsidRPr="00F621AA">
        <w:rPr>
          <w:rFonts w:ascii="Times New Roman" w:eastAsia="Times New Roman" w:hAnsi="Times New Roman" w:cs="Times New Roman"/>
          <w:lang w:eastAsia="lt-LT"/>
        </w:rPr>
        <w:t xml:space="preserve"> 7 dienas, rifampino </w:t>
      </w:r>
      <w:r w:rsidR="00F621AA" w:rsidRPr="00F621AA">
        <w:rPr>
          <w:rFonts w:ascii="Times New Roman" w:eastAsia="Times New Roman" w:hAnsi="Times New Roman" w:cs="Times New Roman"/>
          <w:lang w:eastAsia="lt-LT"/>
        </w:rPr>
        <w:t xml:space="preserve">450 mg </w:t>
      </w:r>
      <w:r w:rsidR="004E6A27">
        <w:rPr>
          <w:rFonts w:ascii="Times New Roman" w:eastAsia="Times New Roman" w:hAnsi="Times New Roman" w:cs="Times New Roman"/>
          <w:lang w:eastAsia="lt-LT"/>
        </w:rPr>
        <w:t>VKP</w:t>
      </w:r>
      <w:r w:rsidRPr="00F621AA">
        <w:rPr>
          <w:rFonts w:ascii="Times New Roman" w:eastAsia="Times New Roman" w:hAnsi="Times New Roman" w:cs="Times New Roman"/>
          <w:lang w:eastAsia="lt-LT"/>
        </w:rPr>
        <w:t xml:space="preserve"> 7 dienas ir silimarino </w:t>
      </w:r>
      <w:r w:rsidR="00F621AA" w:rsidRPr="00F621AA">
        <w:rPr>
          <w:rFonts w:ascii="Times New Roman" w:eastAsia="Times New Roman" w:hAnsi="Times New Roman" w:cs="Times New Roman"/>
          <w:lang w:eastAsia="lt-LT"/>
        </w:rPr>
        <w:t xml:space="preserve">po 140 mg </w:t>
      </w:r>
      <w:r w:rsidRPr="00F621AA">
        <w:rPr>
          <w:rFonts w:ascii="Times New Roman" w:eastAsia="Times New Roman" w:hAnsi="Times New Roman" w:cs="Times New Roman"/>
          <w:lang w:eastAsia="lt-LT"/>
        </w:rPr>
        <w:t>T</w:t>
      </w:r>
      <w:r w:rsidR="004E6A27">
        <w:rPr>
          <w:rFonts w:ascii="Times New Roman" w:eastAsia="Times New Roman" w:hAnsi="Times New Roman" w:cs="Times New Roman"/>
          <w:lang w:eastAsia="lt-LT"/>
        </w:rPr>
        <w:t>KP</w:t>
      </w:r>
      <w:r w:rsidRPr="00F621AA">
        <w:rPr>
          <w:rFonts w:ascii="Times New Roman" w:eastAsia="Times New Roman" w:hAnsi="Times New Roman" w:cs="Times New Roman"/>
          <w:lang w:eastAsia="lt-LT"/>
        </w:rPr>
        <w:t xml:space="preserve"> 5 dienas.</w:t>
      </w:r>
    </w:p>
    <w:p w14:paraId="72E32ECC" w14:textId="77777777" w:rsidR="00FF5AD7" w:rsidRPr="003E1719" w:rsidRDefault="00FF5AD7" w:rsidP="000D7B89">
      <w:pPr>
        <w:widowControl w:val="0"/>
        <w:tabs>
          <w:tab w:val="left" w:pos="567"/>
        </w:tabs>
        <w:snapToGrid w:val="0"/>
        <w:spacing w:after="0" w:line="240" w:lineRule="auto"/>
        <w:rPr>
          <w:rFonts w:ascii="Times New Roman" w:eastAsia="Times New Roman" w:hAnsi="Times New Roman" w:cs="Times New Roman"/>
          <w:i/>
        </w:rPr>
      </w:pPr>
    </w:p>
    <w:p w14:paraId="10874A57" w14:textId="77777777" w:rsidR="00FF5AD7" w:rsidRPr="008B4659" w:rsidRDefault="000D7B89" w:rsidP="000D7B89">
      <w:pPr>
        <w:widowControl w:val="0"/>
        <w:tabs>
          <w:tab w:val="left" w:pos="567"/>
        </w:tabs>
        <w:snapToGrid w:val="0"/>
        <w:spacing w:after="0" w:line="240" w:lineRule="auto"/>
        <w:rPr>
          <w:rFonts w:ascii="Times New Roman" w:eastAsia="Times New Roman" w:hAnsi="Times New Roman" w:cs="Times New Roman"/>
          <w:u w:val="single"/>
        </w:rPr>
      </w:pPr>
      <w:r w:rsidRPr="008B4659">
        <w:rPr>
          <w:rFonts w:ascii="Times New Roman" w:eastAsia="Times New Roman" w:hAnsi="Times New Roman" w:cs="Times New Roman"/>
          <w:u w:val="single"/>
        </w:rPr>
        <w:t xml:space="preserve">Vaikų populiacija </w:t>
      </w:r>
    </w:p>
    <w:p w14:paraId="313B9365" w14:textId="77777777" w:rsidR="000D7B89" w:rsidRPr="003E1719" w:rsidRDefault="000D7B89" w:rsidP="000D7B89">
      <w:pPr>
        <w:widowControl w:val="0"/>
        <w:tabs>
          <w:tab w:val="left" w:pos="567"/>
        </w:tabs>
        <w:snapToGrid w:val="0"/>
        <w:spacing w:after="0" w:line="240" w:lineRule="auto"/>
        <w:rPr>
          <w:rFonts w:ascii="Times New Roman" w:eastAsia="Times New Roman" w:hAnsi="Times New Roman" w:cs="Times New Roman"/>
          <w:color w:val="000000"/>
        </w:rPr>
      </w:pPr>
      <w:r w:rsidRPr="003E1719">
        <w:rPr>
          <w:rFonts w:ascii="Times New Roman" w:eastAsia="Times New Roman" w:hAnsi="Times New Roman" w:cs="Times New Roman"/>
          <w:snapToGrid w:val="0"/>
        </w:rPr>
        <w:t>Sąveikos tyrimai atlikti tik suaugusiesiems</w:t>
      </w:r>
      <w:r w:rsidRPr="003E1719">
        <w:rPr>
          <w:rFonts w:ascii="Times New Roman" w:eastAsia="Times New Roman" w:hAnsi="Times New Roman" w:cs="Times New Roman"/>
          <w:color w:val="000000"/>
        </w:rPr>
        <w:t>. Sąveikos apimtis vaikų populiacijai nėra žinoma.</w:t>
      </w:r>
    </w:p>
    <w:p w14:paraId="55924E79"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8D96E6B"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4.6</w:t>
      </w:r>
      <w:r w:rsidRPr="003E1719">
        <w:rPr>
          <w:rFonts w:ascii="Times New Roman" w:eastAsia="Times New Roman" w:hAnsi="Times New Roman" w:cs="Times New Roman"/>
          <w:b/>
          <w:lang w:eastAsia="sl-SI"/>
        </w:rPr>
        <w:tab/>
        <w:t>Vaisingumas, nėštumo ir žindymo laikotarpis</w:t>
      </w:r>
    </w:p>
    <w:p w14:paraId="786DDF6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A1F6448" w14:textId="77777777" w:rsidR="000D7B89" w:rsidRPr="003E1719" w:rsidRDefault="00AF3800" w:rsidP="000D7B8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lang w:eastAsia="sl-SI"/>
        </w:rPr>
        <w:t>Rosuvastatin/Ezetimibe Teva</w:t>
      </w:r>
      <w:r w:rsidR="000D7B89" w:rsidRPr="003E1719">
        <w:rPr>
          <w:rFonts w:ascii="Times New Roman" w:eastAsia="Times New Roman" w:hAnsi="Times New Roman" w:cs="Times New Roman"/>
          <w:lang w:eastAsia="sl-SI"/>
        </w:rPr>
        <w:t xml:space="preserve"> </w:t>
      </w:r>
      <w:r w:rsidR="000D7B89" w:rsidRPr="003E1719">
        <w:rPr>
          <w:rFonts w:ascii="Times New Roman" w:eastAsia="Times New Roman" w:hAnsi="Times New Roman" w:cs="Times New Roman"/>
          <w:color w:val="000000"/>
        </w:rPr>
        <w:t>nėštumo ir žindymo laikotarpiu vartoti draudžiama (žr. 4.3 skyrių).</w:t>
      </w:r>
    </w:p>
    <w:p w14:paraId="1156E21F" w14:textId="77777777" w:rsidR="00974C37" w:rsidRPr="003E1719" w:rsidRDefault="00974C37" w:rsidP="00974C37">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Vaisingos moterys turi naudoti veiksmingą kontracepcijos metodą.</w:t>
      </w:r>
    </w:p>
    <w:p w14:paraId="4D2D6912" w14:textId="77777777" w:rsidR="000D7B89" w:rsidRPr="003E1719" w:rsidRDefault="000D7B89" w:rsidP="000D7B89">
      <w:pPr>
        <w:widowControl w:val="0"/>
        <w:spacing w:after="0" w:line="240" w:lineRule="auto"/>
        <w:rPr>
          <w:rFonts w:ascii="Times New Roman" w:eastAsia="Times New Roman" w:hAnsi="Times New Roman" w:cs="Times New Roman"/>
          <w:i/>
          <w:lang w:eastAsia="sl-SI"/>
        </w:rPr>
      </w:pPr>
    </w:p>
    <w:p w14:paraId="6224BF03"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Nėštumas</w:t>
      </w:r>
    </w:p>
    <w:p w14:paraId="36C0D060" w14:textId="77777777" w:rsidR="00EC0BD2" w:rsidRPr="003E1719" w:rsidRDefault="00EC0BD2" w:rsidP="000D7B89">
      <w:pPr>
        <w:widowControl w:val="0"/>
        <w:tabs>
          <w:tab w:val="left" w:pos="567"/>
        </w:tabs>
        <w:spacing w:after="0" w:line="240" w:lineRule="auto"/>
        <w:rPr>
          <w:rFonts w:ascii="Times New Roman" w:eastAsia="Times New Roman" w:hAnsi="Times New Roman" w:cs="Times New Roman"/>
          <w:i/>
          <w:snapToGrid w:val="0"/>
        </w:rPr>
      </w:pPr>
    </w:p>
    <w:p w14:paraId="1E06B723" w14:textId="77777777" w:rsidR="00974C37" w:rsidRPr="003E1719" w:rsidRDefault="00974C37" w:rsidP="000D7B89">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Rozuvastatinas</w:t>
      </w:r>
    </w:p>
    <w:p w14:paraId="02AC7F67" w14:textId="77777777" w:rsidR="000D7B89" w:rsidRPr="003E1719" w:rsidRDefault="00974C37"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Kadangi c</w:t>
      </w:r>
      <w:r w:rsidR="000D7B89" w:rsidRPr="003E1719">
        <w:rPr>
          <w:rFonts w:ascii="Times New Roman" w:eastAsia="Times New Roman" w:hAnsi="Times New Roman" w:cs="Times New Roman"/>
          <w:snapToGrid w:val="0"/>
        </w:rPr>
        <w:t xml:space="preserve">holesterolis ir kitos cholesterolio biosintezės metu gaminamos medžiagos yra būtinos vaisiaus vystymuisi, galima </w:t>
      </w:r>
      <w:r w:rsidRPr="003E1719">
        <w:rPr>
          <w:rFonts w:ascii="Times New Roman" w:eastAsia="Times New Roman" w:hAnsi="Times New Roman" w:cs="Times New Roman"/>
          <w:snapToGrid w:val="0"/>
        </w:rPr>
        <w:t xml:space="preserve">rizika dėl </w:t>
      </w:r>
      <w:r w:rsidR="000D7B89" w:rsidRPr="003E1719">
        <w:rPr>
          <w:rFonts w:ascii="Times New Roman" w:eastAsia="Times New Roman" w:hAnsi="Times New Roman" w:cs="Times New Roman"/>
          <w:snapToGrid w:val="0"/>
        </w:rPr>
        <w:t>HMG-KoA reduktazės slopinim</w:t>
      </w:r>
      <w:r w:rsidRPr="003E1719">
        <w:rPr>
          <w:rFonts w:ascii="Times New Roman" w:eastAsia="Times New Roman" w:hAnsi="Times New Roman" w:cs="Times New Roman"/>
          <w:snapToGrid w:val="0"/>
        </w:rPr>
        <w:t>o</w:t>
      </w:r>
      <w:r w:rsidR="000D7B89" w:rsidRPr="003E1719">
        <w:rPr>
          <w:rFonts w:ascii="Times New Roman" w:eastAsia="Times New Roman" w:hAnsi="Times New Roman" w:cs="Times New Roman"/>
          <w:snapToGrid w:val="0"/>
        </w:rPr>
        <w:t xml:space="preserve"> viršija gydymo nėštumo metu naudą. Tyrimų su gyvūnais metu gauta nedaug duomenų apie toksinį poveikį reprodukcijai (žr. 5.3 skyrių). Jeigu pacientė pastojo vartodama </w:t>
      </w:r>
      <w:r w:rsidR="00AF3800">
        <w:rPr>
          <w:rFonts w:ascii="Times New Roman" w:eastAsia="Times New Roman" w:hAnsi="Times New Roman" w:cs="Times New Roman"/>
          <w:lang w:eastAsia="sl-SI"/>
        </w:rPr>
        <w:t>Rosuvastatin/Ezetimibe Teva</w:t>
      </w:r>
      <w:r w:rsidR="000D7B89" w:rsidRPr="003E1719">
        <w:rPr>
          <w:rFonts w:ascii="Times New Roman" w:eastAsia="Times New Roman" w:hAnsi="Times New Roman" w:cs="Times New Roman"/>
          <w:snapToGrid w:val="0"/>
        </w:rPr>
        <w:t>, gydymą reikia nedelsiant nutraukti.</w:t>
      </w:r>
    </w:p>
    <w:p w14:paraId="2EA0430C" w14:textId="77777777" w:rsidR="00EC0BD2" w:rsidRPr="003E1719" w:rsidRDefault="00EC0BD2" w:rsidP="000D7B89">
      <w:pPr>
        <w:widowControl w:val="0"/>
        <w:spacing w:after="0" w:line="240" w:lineRule="auto"/>
        <w:jc w:val="both"/>
        <w:rPr>
          <w:rFonts w:ascii="Times New Roman" w:eastAsia="Times New Roman" w:hAnsi="Times New Roman" w:cs="Times New Roman"/>
          <w:i/>
          <w:lang w:eastAsia="sl-SI"/>
        </w:rPr>
      </w:pPr>
    </w:p>
    <w:p w14:paraId="5538F8C7" w14:textId="77777777" w:rsidR="000D7B89" w:rsidRPr="003E1719" w:rsidRDefault="00FB10D2" w:rsidP="000D7B89">
      <w:pPr>
        <w:widowControl w:val="0"/>
        <w:spacing w:after="0" w:line="240" w:lineRule="auto"/>
        <w:jc w:val="both"/>
        <w:rPr>
          <w:rFonts w:ascii="Times New Roman" w:eastAsia="Times New Roman" w:hAnsi="Times New Roman" w:cs="Times New Roman"/>
          <w:i/>
          <w:lang w:eastAsia="sl-SI"/>
        </w:rPr>
      </w:pPr>
      <w:r w:rsidRPr="003E1719">
        <w:rPr>
          <w:rFonts w:ascii="Times New Roman" w:eastAsia="Times New Roman" w:hAnsi="Times New Roman" w:cs="Times New Roman"/>
          <w:i/>
          <w:lang w:eastAsia="sl-SI"/>
        </w:rPr>
        <w:t>Ezetimibas</w:t>
      </w:r>
    </w:p>
    <w:p w14:paraId="05ACDDD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Klinikinių duomenų apie ezetimibo vartojimą nėštumo metu nėra. Tyrimai su gyvūnais tiesioginio ar netiesioginio kenksmingo ezetimibo monoterapijos poveikio vaikingumo eigai</w:t>
      </w:r>
      <w:r w:rsidRPr="003E1719">
        <w:rPr>
          <w:rFonts w:ascii="Times New Roman" w:eastAsia="Times New Roman" w:hAnsi="Times New Roman" w:cs="Times New Roman"/>
          <w:b/>
          <w:lang w:eastAsia="sl-SI"/>
        </w:rPr>
        <w:t xml:space="preserve">, </w:t>
      </w:r>
      <w:r w:rsidR="00FB10D2" w:rsidRPr="003E1719">
        <w:rPr>
          <w:rFonts w:ascii="Times New Roman" w:eastAsia="Times New Roman" w:hAnsi="Times New Roman" w:cs="Times New Roman"/>
          <w:lang w:eastAsia="sl-SI"/>
        </w:rPr>
        <w:t>embriono i</w:t>
      </w:r>
      <w:r w:rsidRPr="003E1719">
        <w:rPr>
          <w:rFonts w:ascii="Times New Roman" w:eastAsia="Times New Roman" w:hAnsi="Times New Roman" w:cs="Times New Roman"/>
          <w:lang w:eastAsia="sl-SI"/>
        </w:rPr>
        <w:t>r vaisiaus vystymuisi, atsivedimui ar postnataliniam vystymuisi neparodė (žr. 5.3 skyrių).</w:t>
      </w:r>
    </w:p>
    <w:p w14:paraId="53C711AA" w14:textId="77777777" w:rsidR="000D7B89" w:rsidRPr="003E1719" w:rsidRDefault="000D7B89" w:rsidP="000D7B89">
      <w:pPr>
        <w:widowControl w:val="0"/>
        <w:spacing w:after="0" w:line="240" w:lineRule="auto"/>
        <w:jc w:val="both"/>
        <w:rPr>
          <w:rFonts w:ascii="Times New Roman" w:eastAsia="Times New Roman" w:hAnsi="Times New Roman" w:cs="Times New Roman"/>
          <w:lang w:eastAsia="sl-SI"/>
        </w:rPr>
      </w:pPr>
    </w:p>
    <w:p w14:paraId="16FD8612"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Žindymas</w:t>
      </w:r>
    </w:p>
    <w:p w14:paraId="170D15D1" w14:textId="77777777" w:rsidR="00FB10D2" w:rsidRPr="003E1719" w:rsidRDefault="00FB10D2" w:rsidP="00FB10D2">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Rozuvastatinas</w:t>
      </w:r>
    </w:p>
    <w:p w14:paraId="6C0AAC05" w14:textId="77777777" w:rsidR="000D7B89" w:rsidRPr="003E1719" w:rsidRDefault="000D7B89" w:rsidP="000D7B89">
      <w:pPr>
        <w:widowControl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Rozuvastatinas išsiskiria į žiurkių</w:t>
      </w:r>
      <w:r w:rsidR="00F621AA">
        <w:rPr>
          <w:rFonts w:ascii="Times New Roman" w:eastAsia="Times New Roman" w:hAnsi="Times New Roman" w:cs="Times New Roman"/>
        </w:rPr>
        <w:t xml:space="preserve"> patelių</w:t>
      </w:r>
      <w:r w:rsidRPr="003E1719">
        <w:rPr>
          <w:rFonts w:ascii="Times New Roman" w:eastAsia="Times New Roman" w:hAnsi="Times New Roman" w:cs="Times New Roman"/>
        </w:rPr>
        <w:t xml:space="preserve"> pieną. </w:t>
      </w:r>
      <w:r w:rsidRPr="003E1719">
        <w:rPr>
          <w:rFonts w:ascii="Times New Roman" w:eastAsia="SimSun" w:hAnsi="Times New Roman" w:cs="Times New Roman"/>
          <w:color w:val="000000"/>
        </w:rPr>
        <w:t xml:space="preserve">Duomenų apie išsikyrimą į moters pieną nėra </w:t>
      </w:r>
      <w:r w:rsidRPr="003E1719">
        <w:rPr>
          <w:rFonts w:ascii="Times New Roman" w:eastAsia="Times New Roman" w:hAnsi="Times New Roman" w:cs="Times New Roman"/>
        </w:rPr>
        <w:t>(žr. 4.3 skyrių).</w:t>
      </w:r>
    </w:p>
    <w:p w14:paraId="70762563" w14:textId="77777777" w:rsidR="00F621AA" w:rsidRDefault="00F621AA" w:rsidP="00FB10D2">
      <w:pPr>
        <w:widowControl w:val="0"/>
        <w:spacing w:after="0" w:line="240" w:lineRule="auto"/>
        <w:jc w:val="both"/>
        <w:rPr>
          <w:rFonts w:ascii="Times New Roman" w:eastAsia="Times New Roman" w:hAnsi="Times New Roman" w:cs="Times New Roman"/>
          <w:i/>
          <w:lang w:eastAsia="sl-SI"/>
        </w:rPr>
      </w:pPr>
    </w:p>
    <w:p w14:paraId="7F85449E" w14:textId="77777777" w:rsidR="00FB10D2" w:rsidRPr="003E1719" w:rsidRDefault="00FB10D2" w:rsidP="00FB10D2">
      <w:pPr>
        <w:widowControl w:val="0"/>
        <w:spacing w:after="0" w:line="240" w:lineRule="auto"/>
        <w:jc w:val="both"/>
        <w:rPr>
          <w:rFonts w:ascii="Times New Roman" w:eastAsia="Times New Roman" w:hAnsi="Times New Roman" w:cs="Times New Roman"/>
          <w:i/>
          <w:lang w:eastAsia="sl-SI"/>
        </w:rPr>
      </w:pPr>
      <w:r w:rsidRPr="003E1719">
        <w:rPr>
          <w:rFonts w:ascii="Times New Roman" w:eastAsia="Times New Roman" w:hAnsi="Times New Roman" w:cs="Times New Roman"/>
          <w:i/>
          <w:lang w:eastAsia="sl-SI"/>
        </w:rPr>
        <w:t>Ezetimibas</w:t>
      </w:r>
    </w:p>
    <w:p w14:paraId="36A652C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Tyrimų su žiurkėmis metu nustatyta, kad ezetimibo išsiskiria į patelių pieną. Ar ezetimibo patenka į moters pieną, nežinoma.</w:t>
      </w:r>
    </w:p>
    <w:p w14:paraId="25C1FC4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DF8DA4F"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Vaisingumas</w:t>
      </w:r>
    </w:p>
    <w:p w14:paraId="6EDBD559"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Klinikinių tyrimų duomenų apie ezetimibo </w:t>
      </w:r>
      <w:r w:rsidR="00FB10D2" w:rsidRPr="003E1719">
        <w:rPr>
          <w:rFonts w:ascii="Times New Roman" w:eastAsia="Times New Roman" w:hAnsi="Times New Roman" w:cs="Times New Roman"/>
          <w:lang w:eastAsia="sl-SI"/>
        </w:rPr>
        <w:t xml:space="preserve">arba rozuvastatino </w:t>
      </w:r>
      <w:r w:rsidRPr="003E1719">
        <w:rPr>
          <w:rFonts w:ascii="Times New Roman" w:eastAsia="Times New Roman" w:hAnsi="Times New Roman" w:cs="Times New Roman"/>
          <w:lang w:eastAsia="sl-SI"/>
        </w:rPr>
        <w:t>poveikį žmonių vaisingumui nėra. Ezetimibas žiurkių patinų ir patelių vaisingumo neveikė, didesnės rozuvastatino dozės sukėlė toksinį poveikį beždžionių ir šunų sėklidėms (žr. 5.3 skyrių).</w:t>
      </w:r>
    </w:p>
    <w:p w14:paraId="0294B09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D46809F"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4.7</w:t>
      </w:r>
      <w:r w:rsidRPr="003E1719">
        <w:rPr>
          <w:rFonts w:ascii="Times New Roman" w:eastAsia="Times New Roman" w:hAnsi="Times New Roman" w:cs="Times New Roman"/>
          <w:b/>
          <w:lang w:eastAsia="sl-SI"/>
        </w:rPr>
        <w:tab/>
        <w:t>Poveikis gebėjimui vairuoti ir valdyti mechanizmus</w:t>
      </w:r>
    </w:p>
    <w:p w14:paraId="34C1145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E36A133" w14:textId="77777777" w:rsidR="000D7B89" w:rsidRPr="003E1719" w:rsidRDefault="00AF3800" w:rsidP="000D7B8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Rosuvastatin/Ezetimibe Teva</w:t>
      </w:r>
      <w:r w:rsidR="00FB10D2" w:rsidRPr="003E1719">
        <w:rPr>
          <w:rFonts w:ascii="Times New Roman" w:eastAsia="Times New Roman" w:hAnsi="Times New Roman" w:cs="Times New Roman"/>
          <w:lang w:eastAsia="sl-SI"/>
        </w:rPr>
        <w:t xml:space="preserve"> </w:t>
      </w:r>
      <w:r w:rsidR="000D7B89" w:rsidRPr="003E1719">
        <w:rPr>
          <w:rFonts w:ascii="Times New Roman" w:eastAsia="Times New Roman" w:hAnsi="Times New Roman" w:cs="Times New Roman"/>
          <w:lang w:eastAsia="sl-SI"/>
        </w:rPr>
        <w:t>gebėjim</w:t>
      </w:r>
      <w:r w:rsidR="00FB10D2" w:rsidRPr="003E1719">
        <w:rPr>
          <w:rFonts w:ascii="Times New Roman" w:eastAsia="Times New Roman" w:hAnsi="Times New Roman" w:cs="Times New Roman"/>
          <w:lang w:eastAsia="sl-SI"/>
        </w:rPr>
        <w:t>o</w:t>
      </w:r>
      <w:r w:rsidR="000D7B89" w:rsidRPr="003E1719">
        <w:rPr>
          <w:rFonts w:ascii="Times New Roman" w:eastAsia="Times New Roman" w:hAnsi="Times New Roman" w:cs="Times New Roman"/>
          <w:lang w:eastAsia="sl-SI"/>
        </w:rPr>
        <w:t xml:space="preserve"> vairuoti ir valdyti mechanizmus </w:t>
      </w:r>
      <w:r w:rsidR="00FB10D2" w:rsidRPr="003E1719">
        <w:rPr>
          <w:rFonts w:ascii="Times New Roman" w:eastAsia="Times New Roman" w:hAnsi="Times New Roman" w:cs="Times New Roman"/>
          <w:lang w:eastAsia="sl-SI"/>
        </w:rPr>
        <w:t xml:space="preserve">neveikia arba poveikis nereikšmingas. Rozuvastatino ir (arba) ezetimibo poveikio gebėjimui vairuoti ir valdyti mechanizmus </w:t>
      </w:r>
      <w:r w:rsidR="000D7B89" w:rsidRPr="003E1719">
        <w:rPr>
          <w:rFonts w:ascii="Times New Roman" w:eastAsia="Times New Roman" w:hAnsi="Times New Roman" w:cs="Times New Roman"/>
          <w:lang w:eastAsia="sl-SI"/>
        </w:rPr>
        <w:t>tyrimų neatlikta. Vis dėlto, vairuojant ir valdant mechanizmus reikia turėti omenyje, kad buvo pranešta apie svaigulio atvejus</w:t>
      </w:r>
      <w:r w:rsidR="00FB10D2" w:rsidRPr="003E1719">
        <w:rPr>
          <w:rFonts w:ascii="Times New Roman" w:eastAsia="Times New Roman" w:hAnsi="Times New Roman" w:cs="Times New Roman"/>
          <w:lang w:eastAsia="sl-SI"/>
        </w:rPr>
        <w:t>, galinčius atsirasti gydymo metu</w:t>
      </w:r>
      <w:r w:rsidR="000D7B89" w:rsidRPr="003E1719">
        <w:rPr>
          <w:rFonts w:ascii="Times New Roman" w:eastAsia="Times New Roman" w:hAnsi="Times New Roman" w:cs="Times New Roman"/>
          <w:lang w:eastAsia="sl-SI"/>
        </w:rPr>
        <w:t>.</w:t>
      </w:r>
    </w:p>
    <w:p w14:paraId="40D31FE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E7CD7C8"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4.8</w:t>
      </w:r>
      <w:r w:rsidRPr="003E1719">
        <w:rPr>
          <w:rFonts w:ascii="Times New Roman" w:eastAsia="Times New Roman" w:hAnsi="Times New Roman" w:cs="Times New Roman"/>
          <w:b/>
          <w:lang w:eastAsia="sl-SI"/>
        </w:rPr>
        <w:tab/>
        <w:t>Nepageidaujamas poveikis</w:t>
      </w:r>
    </w:p>
    <w:p w14:paraId="166F0A3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CE6E16D"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iCs/>
          <w:u w:val="single"/>
        </w:rPr>
      </w:pPr>
      <w:r w:rsidRPr="003E1719">
        <w:rPr>
          <w:rFonts w:ascii="Times New Roman" w:eastAsia="Times New Roman" w:hAnsi="Times New Roman" w:cs="Times New Roman"/>
          <w:iCs/>
          <w:u w:val="single"/>
        </w:rPr>
        <w:t>Saugumo duomenų santrauka</w:t>
      </w:r>
    </w:p>
    <w:p w14:paraId="0062F475" w14:textId="494457DE"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Vartojant rozuvastatin</w:t>
      </w:r>
      <w:r w:rsidR="004E6A27">
        <w:rPr>
          <w:rFonts w:ascii="Times New Roman" w:eastAsia="Times New Roman" w:hAnsi="Times New Roman" w:cs="Times New Roman"/>
        </w:rPr>
        <w:t>o</w:t>
      </w:r>
      <w:r w:rsidRPr="003E1719">
        <w:rPr>
          <w:rFonts w:ascii="Times New Roman" w:eastAsia="Times New Roman" w:hAnsi="Times New Roman" w:cs="Times New Roman"/>
        </w:rPr>
        <w:t xml:space="preserve"> pasireiškiančios nepageidaujamos reakcijos paprastai būna lengvos ir laikinos. Kontroliuojamų klinikinių tyrimų metu gydymą dėl nepageidaujamų reakcijų nutraukė mažiau kaip 4</w:t>
      </w:r>
      <w:r w:rsidR="00FB10D2" w:rsidRPr="003E1719">
        <w:rPr>
          <w:rFonts w:ascii="Times New Roman" w:eastAsia="Times New Roman" w:hAnsi="Times New Roman" w:cs="Times New Roman"/>
        </w:rPr>
        <w:t> </w:t>
      </w:r>
      <w:r w:rsidRPr="003E1719">
        <w:rPr>
          <w:rFonts w:ascii="Times New Roman" w:eastAsia="Times New Roman" w:hAnsi="Times New Roman" w:cs="Times New Roman"/>
        </w:rPr>
        <w:t>% rozuvastatinu gydytų pacientų.</w:t>
      </w:r>
    </w:p>
    <w:p w14:paraId="6F48E885"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5B0D231D" w14:textId="77777777" w:rsidR="00085791" w:rsidRPr="003E1719" w:rsidRDefault="00085791"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Iki 112 savaičių trukusių klinikinių tyrimų metu 2396 pacientai vartojo 10 mg tik ezetimibo per parą, 11308 – kartu su statinu arba 185 pacientai kartu su fenofibratu. Nepageidaujamos reakcijos dažniausiai buvo lengvos ir laikinos. Bendras ezetimibo ir placebo nepageidaujamo poveikio dažnis buvo panašus. Taip pat ir ezitimibo bei placebo vartojimo nutraukimo dažnis dėl nepageidaujamo poveikio buvo panašus.</w:t>
      </w:r>
    </w:p>
    <w:p w14:paraId="2208EDDF" w14:textId="77777777" w:rsidR="00085791" w:rsidRPr="003E1719" w:rsidRDefault="00085791" w:rsidP="000D7B89">
      <w:pPr>
        <w:widowControl w:val="0"/>
        <w:tabs>
          <w:tab w:val="left" w:pos="567"/>
        </w:tabs>
        <w:spacing w:after="0" w:line="240" w:lineRule="auto"/>
        <w:rPr>
          <w:rFonts w:ascii="Times New Roman" w:eastAsia="Times New Roman" w:hAnsi="Times New Roman" w:cs="Times New Roman"/>
        </w:rPr>
      </w:pPr>
    </w:p>
    <w:p w14:paraId="4B9A51C9" w14:textId="5DEBB0B8" w:rsidR="00085791" w:rsidRPr="003E1719" w:rsidRDefault="00085791"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Remiantis turimais duomenimi, klinikinių tyrimų metu rozuvastatino ir ezetimibo derin</w:t>
      </w:r>
      <w:r w:rsidR="004E6A27">
        <w:rPr>
          <w:rFonts w:ascii="Times New Roman" w:eastAsia="Times New Roman" w:hAnsi="Times New Roman" w:cs="Times New Roman"/>
        </w:rPr>
        <w:t>io</w:t>
      </w:r>
      <w:r w:rsidR="001E2BF3" w:rsidRPr="003E1719">
        <w:rPr>
          <w:rFonts w:ascii="Times New Roman" w:eastAsia="Times New Roman" w:hAnsi="Times New Roman" w:cs="Times New Roman"/>
        </w:rPr>
        <w:t xml:space="preserve"> vartojo 1200 pacientų</w:t>
      </w:r>
      <w:r w:rsidRPr="003E1719">
        <w:rPr>
          <w:rFonts w:ascii="Times New Roman" w:eastAsia="Times New Roman" w:hAnsi="Times New Roman" w:cs="Times New Roman"/>
        </w:rPr>
        <w:t>. Paskelbtoje literatūroje pranešama, kad dažniausiai hipercholesterolemija sergantiems pacientams, gydomiems rozuvastatino ir ezetimibo deriniu, nepageidaujami reiškiniai yra kepenų transaminazių aktyvumo padidėjimas, virškinimo</w:t>
      </w:r>
      <w:r w:rsidR="001E2BF3" w:rsidRPr="003E1719">
        <w:rPr>
          <w:rFonts w:ascii="Times New Roman" w:eastAsia="Times New Roman" w:hAnsi="Times New Roman" w:cs="Times New Roman"/>
        </w:rPr>
        <w:t xml:space="preserve"> trakto sutrikimai ir raumenų skausmas. Tai yra žinomas šių veikliųjų medžiagų nepageidaujamas poveikis. Tačiau,</w:t>
      </w:r>
      <w:r w:rsidR="000A2458">
        <w:rPr>
          <w:rFonts w:ascii="Times New Roman" w:eastAsia="Times New Roman" w:hAnsi="Times New Roman" w:cs="Times New Roman"/>
        </w:rPr>
        <w:t xml:space="preserve"> </w:t>
      </w:r>
      <w:r w:rsidR="001E2BF3" w:rsidRPr="003E1719">
        <w:rPr>
          <w:rFonts w:ascii="Times New Roman" w:eastAsia="Times New Roman" w:hAnsi="Times New Roman" w:cs="Times New Roman"/>
        </w:rPr>
        <w:t>atsižvelgiant į nepageidaujamą poveikį, negalima atmesti farmakodinaminės rozuvastatino ir ezetimibo sąveikos, (žr. 5.2 skyrių).</w:t>
      </w:r>
    </w:p>
    <w:p w14:paraId="7A407AAF" w14:textId="77777777" w:rsidR="001E2BF3" w:rsidRPr="003E1719" w:rsidRDefault="001E2BF3" w:rsidP="000D7B89">
      <w:pPr>
        <w:widowControl w:val="0"/>
        <w:tabs>
          <w:tab w:val="left" w:pos="567"/>
        </w:tabs>
        <w:spacing w:after="0" w:line="240" w:lineRule="auto"/>
        <w:rPr>
          <w:rFonts w:ascii="Times New Roman" w:eastAsia="Times New Roman" w:hAnsi="Times New Roman" w:cs="Times New Roman"/>
          <w:iCs/>
          <w:u w:val="single"/>
        </w:rPr>
      </w:pPr>
    </w:p>
    <w:p w14:paraId="16AF96A5" w14:textId="77777777" w:rsidR="000D7B89" w:rsidRPr="003E1719" w:rsidRDefault="000D7B89" w:rsidP="001E2BF3">
      <w:pPr>
        <w:widowControl w:val="0"/>
        <w:tabs>
          <w:tab w:val="left" w:pos="567"/>
        </w:tabs>
        <w:spacing w:after="0" w:line="240" w:lineRule="auto"/>
        <w:rPr>
          <w:rFonts w:ascii="Times New Roman" w:eastAsia="Times New Roman" w:hAnsi="Times New Roman" w:cs="Times New Roman"/>
          <w:iCs/>
          <w:u w:val="single"/>
        </w:rPr>
      </w:pPr>
      <w:r w:rsidRPr="003E1719">
        <w:rPr>
          <w:rFonts w:ascii="Times New Roman" w:eastAsia="Times New Roman" w:hAnsi="Times New Roman" w:cs="Times New Roman"/>
          <w:iCs/>
          <w:u w:val="single"/>
        </w:rPr>
        <w:t>Nepageidaujamų reakcijų santrauka lentelėje</w:t>
      </w:r>
    </w:p>
    <w:p w14:paraId="6932F036" w14:textId="77777777" w:rsidR="001E2BF3" w:rsidRPr="003E1719" w:rsidRDefault="001E2BF3" w:rsidP="001E2BF3">
      <w:pPr>
        <w:spacing w:after="0" w:line="240" w:lineRule="auto"/>
        <w:rPr>
          <w:rFonts w:ascii="Times New Roman" w:hAnsi="Times New Roman" w:cs="Times New Roman"/>
        </w:rPr>
      </w:pPr>
    </w:p>
    <w:p w14:paraId="62363144" w14:textId="77777777" w:rsidR="001E2BF3" w:rsidRPr="003E1719" w:rsidRDefault="001E2BF3" w:rsidP="001E2BF3">
      <w:pPr>
        <w:spacing w:after="0" w:line="240" w:lineRule="auto"/>
        <w:rPr>
          <w:rFonts w:ascii="Times New Roman" w:hAnsi="Times New Roman" w:cs="Times New Roman"/>
        </w:rPr>
      </w:pPr>
      <w:r w:rsidRPr="003E1719">
        <w:rPr>
          <w:rFonts w:ascii="Times New Roman" w:hAnsi="Times New Roman"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40CDBE3"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0C5C79AC"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2 len</w:t>
      </w:r>
      <w:r w:rsidR="001E2BF3" w:rsidRPr="003E1719">
        <w:rPr>
          <w:rFonts w:ascii="Times New Roman" w:eastAsia="Times New Roman" w:hAnsi="Times New Roman" w:cs="Times New Roman"/>
          <w:b/>
          <w:lang w:eastAsia="sl-SI"/>
        </w:rPr>
        <w:t>telė. Nepageidaujamos reakcijos</w:t>
      </w:r>
    </w:p>
    <w:p w14:paraId="52B465AB" w14:textId="77777777" w:rsidR="001E2BF3" w:rsidRPr="003E1719" w:rsidRDefault="001E2BF3" w:rsidP="000D7B89">
      <w:pPr>
        <w:widowControl w:val="0"/>
        <w:spacing w:after="0" w:line="240" w:lineRule="auto"/>
        <w:rPr>
          <w:rFonts w:ascii="Times New Roman" w:eastAsia="Times New Roman" w:hAnsi="Times New Roman" w:cs="Times New Roman"/>
          <w:b/>
          <w:lang w:eastAsia="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418"/>
        <w:gridCol w:w="1559"/>
        <w:gridCol w:w="1559"/>
        <w:gridCol w:w="1531"/>
        <w:gridCol w:w="1559"/>
      </w:tblGrid>
      <w:tr w:rsidR="001E2BF3" w:rsidRPr="003E1719" w14:paraId="5D07265C" w14:textId="77777777" w:rsidTr="00665E57">
        <w:trPr>
          <w:trHeight w:val="144"/>
        </w:trPr>
        <w:tc>
          <w:tcPr>
            <w:tcW w:w="1588" w:type="dxa"/>
          </w:tcPr>
          <w:p w14:paraId="6DAD3513" w14:textId="77777777" w:rsidR="001E2BF3" w:rsidRPr="003E1719" w:rsidRDefault="001E2BF3" w:rsidP="001E2BF3">
            <w:pPr>
              <w:widowControl w:val="0"/>
              <w:tabs>
                <w:tab w:val="left" w:pos="567"/>
              </w:tabs>
              <w:spacing w:after="0" w:line="240" w:lineRule="auto"/>
              <w:rPr>
                <w:rFonts w:ascii="Times New Roman" w:hAnsi="Times New Roman" w:cs="Times New Roman"/>
                <w:b/>
              </w:rPr>
            </w:pPr>
            <w:r w:rsidRPr="003E1719">
              <w:rPr>
                <w:rFonts w:ascii="Times New Roman" w:eastAsia="Times New Roman" w:hAnsi="Times New Roman" w:cs="Times New Roman"/>
                <w:b/>
              </w:rPr>
              <w:t>MedDRA organų sistemų klasė</w:t>
            </w:r>
          </w:p>
        </w:tc>
        <w:tc>
          <w:tcPr>
            <w:tcW w:w="1418" w:type="dxa"/>
          </w:tcPr>
          <w:p w14:paraId="28D9FF95" w14:textId="77777777" w:rsidR="001E2BF3" w:rsidRPr="003E1719" w:rsidRDefault="001E2BF3" w:rsidP="001E2BF3">
            <w:pPr>
              <w:keepNext/>
              <w:widowControl w:val="0"/>
              <w:autoSpaceDE w:val="0"/>
              <w:autoSpaceDN w:val="0"/>
              <w:ind w:left="97" w:hanging="23"/>
              <w:rPr>
                <w:rFonts w:ascii="Times New Roman" w:hAnsi="Times New Roman" w:cs="Times New Roman"/>
                <w:b/>
              </w:rPr>
            </w:pPr>
            <w:r w:rsidRPr="003E1719">
              <w:rPr>
                <w:rFonts w:ascii="Times New Roman" w:hAnsi="Times New Roman" w:cs="Times New Roman"/>
                <w:b/>
              </w:rPr>
              <w:t>Dažni</w:t>
            </w:r>
          </w:p>
        </w:tc>
        <w:tc>
          <w:tcPr>
            <w:tcW w:w="1559" w:type="dxa"/>
          </w:tcPr>
          <w:p w14:paraId="4E2EBD56" w14:textId="77777777" w:rsidR="001E2BF3" w:rsidRPr="003E1719" w:rsidRDefault="001E2BF3" w:rsidP="001E2BF3">
            <w:pPr>
              <w:keepNext/>
              <w:widowControl w:val="0"/>
              <w:autoSpaceDE w:val="0"/>
              <w:autoSpaceDN w:val="0"/>
              <w:ind w:left="34" w:hanging="23"/>
              <w:rPr>
                <w:rFonts w:ascii="Times New Roman" w:hAnsi="Times New Roman" w:cs="Times New Roman"/>
                <w:b/>
              </w:rPr>
            </w:pPr>
            <w:r w:rsidRPr="003E1719">
              <w:rPr>
                <w:rFonts w:ascii="Times New Roman" w:hAnsi="Times New Roman" w:cs="Times New Roman"/>
                <w:b/>
              </w:rPr>
              <w:t>Nedažni</w:t>
            </w:r>
          </w:p>
        </w:tc>
        <w:tc>
          <w:tcPr>
            <w:tcW w:w="1559" w:type="dxa"/>
          </w:tcPr>
          <w:p w14:paraId="72226DA5" w14:textId="77777777" w:rsidR="001E2BF3" w:rsidRPr="003E1719" w:rsidRDefault="001E2BF3" w:rsidP="001E2BF3">
            <w:pPr>
              <w:keepNext/>
              <w:widowControl w:val="0"/>
              <w:autoSpaceDE w:val="0"/>
              <w:autoSpaceDN w:val="0"/>
              <w:ind w:left="33"/>
              <w:rPr>
                <w:rFonts w:ascii="Times New Roman" w:hAnsi="Times New Roman" w:cs="Times New Roman"/>
                <w:b/>
              </w:rPr>
            </w:pPr>
            <w:r w:rsidRPr="003E1719">
              <w:rPr>
                <w:rFonts w:ascii="Times New Roman" w:hAnsi="Times New Roman" w:cs="Times New Roman"/>
                <w:b/>
              </w:rPr>
              <w:t>Reti</w:t>
            </w:r>
          </w:p>
        </w:tc>
        <w:tc>
          <w:tcPr>
            <w:tcW w:w="1531" w:type="dxa"/>
          </w:tcPr>
          <w:p w14:paraId="2DD5583E" w14:textId="77777777" w:rsidR="001E2BF3" w:rsidRPr="003E1719" w:rsidRDefault="001E2BF3" w:rsidP="00C7524D">
            <w:pPr>
              <w:keepNext/>
              <w:widowControl w:val="0"/>
              <w:tabs>
                <w:tab w:val="left" w:pos="142"/>
              </w:tabs>
              <w:autoSpaceDE w:val="0"/>
              <w:autoSpaceDN w:val="0"/>
              <w:ind w:left="142" w:hanging="23"/>
              <w:rPr>
                <w:rFonts w:ascii="Times New Roman" w:hAnsi="Times New Roman" w:cs="Times New Roman"/>
                <w:b/>
              </w:rPr>
            </w:pPr>
            <w:r w:rsidRPr="003E1719">
              <w:rPr>
                <w:rFonts w:ascii="Times New Roman" w:hAnsi="Times New Roman" w:cs="Times New Roman"/>
                <w:b/>
              </w:rPr>
              <w:t>Labai reti</w:t>
            </w:r>
          </w:p>
        </w:tc>
        <w:tc>
          <w:tcPr>
            <w:tcW w:w="1559" w:type="dxa"/>
          </w:tcPr>
          <w:p w14:paraId="6CA6FB64" w14:textId="77777777" w:rsidR="001E2BF3" w:rsidRPr="003E1719" w:rsidRDefault="001E2BF3" w:rsidP="00C7524D">
            <w:pPr>
              <w:keepNext/>
              <w:widowControl w:val="0"/>
              <w:tabs>
                <w:tab w:val="left" w:pos="459"/>
              </w:tabs>
              <w:autoSpaceDE w:val="0"/>
              <w:autoSpaceDN w:val="0"/>
              <w:ind w:left="34"/>
              <w:rPr>
                <w:rFonts w:ascii="Times New Roman" w:hAnsi="Times New Roman" w:cs="Times New Roman"/>
                <w:b/>
              </w:rPr>
            </w:pPr>
            <w:r w:rsidRPr="003E1719">
              <w:rPr>
                <w:rFonts w:ascii="Times New Roman" w:hAnsi="Times New Roman" w:cs="Times New Roman"/>
                <w:b/>
              </w:rPr>
              <w:t>Dažnis nežinomas</w:t>
            </w:r>
          </w:p>
        </w:tc>
      </w:tr>
      <w:tr w:rsidR="001E2BF3" w:rsidRPr="003E1719" w14:paraId="62B41EB2" w14:textId="77777777" w:rsidTr="00665E57">
        <w:trPr>
          <w:trHeight w:val="144"/>
        </w:trPr>
        <w:tc>
          <w:tcPr>
            <w:tcW w:w="1588" w:type="dxa"/>
          </w:tcPr>
          <w:p w14:paraId="76577B26"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snapToGrid w:val="0"/>
              </w:rPr>
              <w:t>Kraujo ir limfinės sistemos sutrikimai</w:t>
            </w:r>
          </w:p>
        </w:tc>
        <w:tc>
          <w:tcPr>
            <w:tcW w:w="1418" w:type="dxa"/>
          </w:tcPr>
          <w:p w14:paraId="151C57F2"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7B668B32" w14:textId="77777777" w:rsidR="001E2BF3" w:rsidRPr="003E1719" w:rsidRDefault="001E2BF3" w:rsidP="00C7524D">
            <w:pPr>
              <w:widowControl w:val="0"/>
              <w:autoSpaceDE w:val="0"/>
              <w:autoSpaceDN w:val="0"/>
              <w:ind w:left="34" w:hanging="23"/>
              <w:rPr>
                <w:rFonts w:ascii="Times New Roman" w:hAnsi="Times New Roman" w:cs="Times New Roman"/>
              </w:rPr>
            </w:pPr>
          </w:p>
        </w:tc>
        <w:tc>
          <w:tcPr>
            <w:tcW w:w="1559" w:type="dxa"/>
          </w:tcPr>
          <w:p w14:paraId="27F6E46B" w14:textId="77777777" w:rsidR="001E2BF3" w:rsidRPr="003E1719" w:rsidRDefault="009D4411" w:rsidP="00665E57">
            <w:pPr>
              <w:widowControl w:val="0"/>
              <w:autoSpaceDE w:val="0"/>
              <w:autoSpaceDN w:val="0"/>
              <w:ind w:hanging="106"/>
              <w:rPr>
                <w:rFonts w:ascii="Times New Roman" w:hAnsi="Times New Roman" w:cs="Times New Roman"/>
              </w:rPr>
            </w:pPr>
            <w:r w:rsidRPr="003E1719">
              <w:rPr>
                <w:rFonts w:ascii="Times New Roman" w:eastAsia="Times New Roman" w:hAnsi="Times New Roman" w:cs="Times New Roman"/>
              </w:rPr>
              <w:t>Trombocito</w:t>
            </w:r>
            <w:r w:rsidR="00665E57" w:rsidRPr="003E1719">
              <w:rPr>
                <w:rFonts w:ascii="Times New Roman" w:eastAsia="Times New Roman" w:hAnsi="Times New Roman" w:cs="Times New Roman"/>
              </w:rPr>
              <w:t>-</w:t>
            </w:r>
            <w:r w:rsidRPr="003E1719">
              <w:rPr>
                <w:rFonts w:ascii="Times New Roman" w:eastAsia="Times New Roman" w:hAnsi="Times New Roman" w:cs="Times New Roman"/>
              </w:rPr>
              <w:t>penija</w:t>
            </w:r>
            <w:r w:rsidR="001E2BF3" w:rsidRPr="003E1719">
              <w:rPr>
                <w:rFonts w:ascii="Times New Roman" w:hAnsi="Times New Roman" w:cs="Times New Roman"/>
                <w:vertAlign w:val="superscript"/>
              </w:rPr>
              <w:t>2</w:t>
            </w:r>
          </w:p>
        </w:tc>
        <w:tc>
          <w:tcPr>
            <w:tcW w:w="1531" w:type="dxa"/>
          </w:tcPr>
          <w:p w14:paraId="45A59C09"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7D5FE3D3" w14:textId="77777777" w:rsidR="001E2BF3" w:rsidRPr="003E1719" w:rsidRDefault="001E2BF3" w:rsidP="00C7524D">
            <w:pPr>
              <w:widowControl w:val="0"/>
              <w:tabs>
                <w:tab w:val="left" w:pos="459"/>
              </w:tabs>
              <w:autoSpaceDE w:val="0"/>
              <w:autoSpaceDN w:val="0"/>
              <w:ind w:left="34"/>
              <w:rPr>
                <w:rFonts w:ascii="Times New Roman" w:hAnsi="Times New Roman" w:cs="Times New Roman"/>
              </w:rPr>
            </w:pPr>
          </w:p>
        </w:tc>
      </w:tr>
      <w:tr w:rsidR="001E2BF3" w:rsidRPr="003E1719" w14:paraId="1A45E253" w14:textId="77777777" w:rsidTr="00665E57">
        <w:trPr>
          <w:trHeight w:val="144"/>
        </w:trPr>
        <w:tc>
          <w:tcPr>
            <w:tcW w:w="1588" w:type="dxa"/>
          </w:tcPr>
          <w:p w14:paraId="330A750C"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rPr>
              <w:t>Imuninės sistemos sutrikimai</w:t>
            </w:r>
          </w:p>
        </w:tc>
        <w:tc>
          <w:tcPr>
            <w:tcW w:w="1418" w:type="dxa"/>
          </w:tcPr>
          <w:p w14:paraId="333913CB"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2FB922B2" w14:textId="77777777" w:rsidR="001E2BF3" w:rsidRPr="003E1719" w:rsidRDefault="001E2BF3" w:rsidP="00C7524D">
            <w:pPr>
              <w:widowControl w:val="0"/>
              <w:autoSpaceDE w:val="0"/>
              <w:autoSpaceDN w:val="0"/>
              <w:ind w:left="34" w:hanging="23"/>
              <w:rPr>
                <w:rFonts w:ascii="Times New Roman" w:hAnsi="Times New Roman" w:cs="Times New Roman"/>
              </w:rPr>
            </w:pPr>
          </w:p>
        </w:tc>
        <w:tc>
          <w:tcPr>
            <w:tcW w:w="1559" w:type="dxa"/>
          </w:tcPr>
          <w:p w14:paraId="6C74D93C" w14:textId="77777777" w:rsidR="001E2BF3" w:rsidRPr="003E1719" w:rsidRDefault="009D4411" w:rsidP="00C7524D">
            <w:pPr>
              <w:widowControl w:val="0"/>
              <w:autoSpaceDE w:val="0"/>
              <w:autoSpaceDN w:val="0"/>
              <w:ind w:left="33"/>
              <w:rPr>
                <w:rFonts w:ascii="Times New Roman" w:hAnsi="Times New Roman" w:cs="Times New Roman"/>
              </w:rPr>
            </w:pPr>
            <w:r w:rsidRPr="003E1719">
              <w:rPr>
                <w:rFonts w:ascii="Times New Roman" w:eastAsia="Times New Roman" w:hAnsi="Times New Roman" w:cs="Times New Roman"/>
              </w:rPr>
              <w:t>Padidėjusio jautrumo reakcijos, įskaitant angioneurozinę edemą</w:t>
            </w:r>
            <w:r w:rsidRPr="003E1719">
              <w:rPr>
                <w:rFonts w:ascii="Times New Roman" w:hAnsi="Times New Roman" w:cs="Times New Roman"/>
                <w:vertAlign w:val="superscript"/>
              </w:rPr>
              <w:t xml:space="preserve"> </w:t>
            </w:r>
            <w:r w:rsidR="001E2BF3" w:rsidRPr="003E1719">
              <w:rPr>
                <w:rFonts w:ascii="Times New Roman" w:hAnsi="Times New Roman" w:cs="Times New Roman"/>
                <w:vertAlign w:val="superscript"/>
              </w:rPr>
              <w:t>2</w:t>
            </w:r>
          </w:p>
        </w:tc>
        <w:tc>
          <w:tcPr>
            <w:tcW w:w="1531" w:type="dxa"/>
          </w:tcPr>
          <w:p w14:paraId="59BEB314"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03E8EFD8" w14:textId="77777777" w:rsidR="001E2BF3" w:rsidRPr="003E1719" w:rsidRDefault="001E2BF3" w:rsidP="00C7524D">
            <w:pPr>
              <w:widowControl w:val="0"/>
              <w:tabs>
                <w:tab w:val="left" w:pos="459"/>
              </w:tabs>
              <w:autoSpaceDE w:val="0"/>
              <w:autoSpaceDN w:val="0"/>
              <w:ind w:left="34"/>
              <w:rPr>
                <w:rFonts w:ascii="Times New Roman" w:hAnsi="Times New Roman" w:cs="Times New Roman"/>
              </w:rPr>
            </w:pPr>
          </w:p>
        </w:tc>
      </w:tr>
      <w:tr w:rsidR="001E2BF3" w:rsidRPr="003E1719" w14:paraId="0B2DFEF4" w14:textId="77777777" w:rsidTr="00665E57">
        <w:trPr>
          <w:trHeight w:val="144"/>
        </w:trPr>
        <w:tc>
          <w:tcPr>
            <w:tcW w:w="1588" w:type="dxa"/>
          </w:tcPr>
          <w:p w14:paraId="06084E1E"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snapToGrid w:val="0"/>
              </w:rPr>
              <w:t>Endokrininiai sutrikimai</w:t>
            </w:r>
          </w:p>
        </w:tc>
        <w:tc>
          <w:tcPr>
            <w:tcW w:w="1418" w:type="dxa"/>
          </w:tcPr>
          <w:p w14:paraId="07A97EB6" w14:textId="77777777" w:rsidR="001E2BF3" w:rsidRPr="003E1719" w:rsidRDefault="009D4411" w:rsidP="00665E57">
            <w:pPr>
              <w:widowControl w:val="0"/>
              <w:autoSpaceDE w:val="0"/>
              <w:autoSpaceDN w:val="0"/>
              <w:rPr>
                <w:rFonts w:ascii="Times New Roman" w:hAnsi="Times New Roman" w:cs="Times New Roman"/>
              </w:rPr>
            </w:pPr>
            <w:r w:rsidRPr="003E1719">
              <w:rPr>
                <w:rFonts w:ascii="Times New Roman" w:eastAsia="Times New Roman" w:hAnsi="Times New Roman" w:cs="Times New Roman"/>
              </w:rPr>
              <w:t>Cukrinis diabetas</w:t>
            </w:r>
            <w:r w:rsidRPr="003E1719">
              <w:rPr>
                <w:rFonts w:ascii="Times New Roman" w:eastAsia="Times New Roman" w:hAnsi="Times New Roman" w:cs="Times New Roman"/>
                <w:vertAlign w:val="superscript"/>
                <w:lang w:eastAsia="sl-SI"/>
              </w:rPr>
              <w:t>1</w:t>
            </w:r>
            <w:r w:rsidR="001E2BF3" w:rsidRPr="003E1719">
              <w:rPr>
                <w:rFonts w:ascii="Times New Roman" w:hAnsi="Times New Roman" w:cs="Times New Roman"/>
                <w:vertAlign w:val="superscript"/>
              </w:rPr>
              <w:t>,2</w:t>
            </w:r>
          </w:p>
        </w:tc>
        <w:tc>
          <w:tcPr>
            <w:tcW w:w="1559" w:type="dxa"/>
          </w:tcPr>
          <w:p w14:paraId="0C6ECD3C" w14:textId="77777777" w:rsidR="001E2BF3" w:rsidRPr="003E1719" w:rsidRDefault="001E2BF3" w:rsidP="00C7524D">
            <w:pPr>
              <w:widowControl w:val="0"/>
              <w:autoSpaceDE w:val="0"/>
              <w:autoSpaceDN w:val="0"/>
              <w:ind w:left="34" w:hanging="23"/>
              <w:rPr>
                <w:rFonts w:ascii="Times New Roman" w:hAnsi="Times New Roman" w:cs="Times New Roman"/>
              </w:rPr>
            </w:pPr>
          </w:p>
        </w:tc>
        <w:tc>
          <w:tcPr>
            <w:tcW w:w="1559" w:type="dxa"/>
          </w:tcPr>
          <w:p w14:paraId="11C4245B"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2CB37B52"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7C8EBE78" w14:textId="77777777" w:rsidR="001E2BF3" w:rsidRPr="003E1719" w:rsidRDefault="001E2BF3" w:rsidP="00C7524D">
            <w:pPr>
              <w:widowControl w:val="0"/>
              <w:tabs>
                <w:tab w:val="left" w:pos="459"/>
              </w:tabs>
              <w:autoSpaceDE w:val="0"/>
              <w:autoSpaceDN w:val="0"/>
              <w:ind w:left="34"/>
              <w:rPr>
                <w:rFonts w:ascii="Times New Roman" w:hAnsi="Times New Roman" w:cs="Times New Roman"/>
              </w:rPr>
            </w:pPr>
          </w:p>
        </w:tc>
      </w:tr>
      <w:tr w:rsidR="001E2BF3" w:rsidRPr="003E1719" w14:paraId="3C923000" w14:textId="77777777" w:rsidTr="00665E57">
        <w:trPr>
          <w:trHeight w:val="144"/>
        </w:trPr>
        <w:tc>
          <w:tcPr>
            <w:tcW w:w="1588" w:type="dxa"/>
          </w:tcPr>
          <w:p w14:paraId="7E9A85C4"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rPr>
              <w:t>Metabolizmo ir mitybos sutrikimai</w:t>
            </w:r>
          </w:p>
        </w:tc>
        <w:tc>
          <w:tcPr>
            <w:tcW w:w="1418" w:type="dxa"/>
          </w:tcPr>
          <w:p w14:paraId="090ABA13"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7B9126C4" w14:textId="77777777" w:rsidR="001E2BF3" w:rsidRPr="003E1719" w:rsidRDefault="009D4411" w:rsidP="00665E57">
            <w:pPr>
              <w:widowControl w:val="0"/>
              <w:autoSpaceDE w:val="0"/>
              <w:autoSpaceDN w:val="0"/>
              <w:ind w:left="34" w:hanging="23"/>
              <w:rPr>
                <w:rFonts w:ascii="Times New Roman" w:hAnsi="Times New Roman" w:cs="Times New Roman"/>
              </w:rPr>
            </w:pPr>
            <w:r w:rsidRPr="003E1719">
              <w:rPr>
                <w:rFonts w:ascii="Times New Roman" w:eastAsia="Times New Roman" w:hAnsi="Times New Roman" w:cs="Times New Roman"/>
                <w:lang w:eastAsia="sl-SI"/>
              </w:rPr>
              <w:t>Sumažėjęs apetitas</w:t>
            </w:r>
            <w:r w:rsidR="001E2BF3" w:rsidRPr="003E1719">
              <w:rPr>
                <w:rFonts w:ascii="Times New Roman" w:hAnsi="Times New Roman" w:cs="Times New Roman"/>
                <w:vertAlign w:val="superscript"/>
              </w:rPr>
              <w:t>3</w:t>
            </w:r>
          </w:p>
        </w:tc>
        <w:tc>
          <w:tcPr>
            <w:tcW w:w="1559" w:type="dxa"/>
          </w:tcPr>
          <w:p w14:paraId="0A89326E"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4C6057F0"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271A71F3" w14:textId="77777777" w:rsidR="001E2BF3" w:rsidRPr="003E1719" w:rsidRDefault="001E2BF3" w:rsidP="00C7524D">
            <w:pPr>
              <w:widowControl w:val="0"/>
              <w:tabs>
                <w:tab w:val="left" w:pos="459"/>
              </w:tabs>
              <w:autoSpaceDE w:val="0"/>
              <w:autoSpaceDN w:val="0"/>
              <w:ind w:left="34"/>
              <w:rPr>
                <w:rFonts w:ascii="Times New Roman" w:hAnsi="Times New Roman" w:cs="Times New Roman"/>
              </w:rPr>
            </w:pPr>
          </w:p>
        </w:tc>
      </w:tr>
      <w:tr w:rsidR="001E2BF3" w:rsidRPr="003E1719" w14:paraId="3CE886DB" w14:textId="77777777" w:rsidTr="00665E57">
        <w:trPr>
          <w:trHeight w:val="144"/>
        </w:trPr>
        <w:tc>
          <w:tcPr>
            <w:tcW w:w="1588" w:type="dxa"/>
          </w:tcPr>
          <w:p w14:paraId="4F4836BB"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snapToGrid w:val="0"/>
              </w:rPr>
              <w:t>Psichikos sutrikimai</w:t>
            </w:r>
          </w:p>
        </w:tc>
        <w:tc>
          <w:tcPr>
            <w:tcW w:w="1418" w:type="dxa"/>
          </w:tcPr>
          <w:p w14:paraId="20688FC2"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665FC790" w14:textId="77777777" w:rsidR="001E2BF3" w:rsidRPr="003E1719" w:rsidRDefault="001E2BF3" w:rsidP="00C7524D">
            <w:pPr>
              <w:widowControl w:val="0"/>
              <w:autoSpaceDE w:val="0"/>
              <w:autoSpaceDN w:val="0"/>
              <w:ind w:left="34" w:hanging="23"/>
              <w:rPr>
                <w:rFonts w:ascii="Times New Roman" w:hAnsi="Times New Roman" w:cs="Times New Roman"/>
              </w:rPr>
            </w:pPr>
          </w:p>
        </w:tc>
        <w:tc>
          <w:tcPr>
            <w:tcW w:w="1559" w:type="dxa"/>
          </w:tcPr>
          <w:p w14:paraId="0377C119"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24379122"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02C78FE9" w14:textId="77777777" w:rsidR="001E2BF3" w:rsidRPr="003E1719" w:rsidRDefault="009D4411" w:rsidP="00C7524D">
            <w:pPr>
              <w:widowControl w:val="0"/>
              <w:tabs>
                <w:tab w:val="left" w:pos="459"/>
              </w:tabs>
              <w:autoSpaceDE w:val="0"/>
              <w:autoSpaceDN w:val="0"/>
              <w:ind w:left="34"/>
              <w:rPr>
                <w:rFonts w:ascii="Times New Roman" w:hAnsi="Times New Roman" w:cs="Times New Roman"/>
              </w:rPr>
            </w:pPr>
            <w:r w:rsidRPr="003E1719">
              <w:rPr>
                <w:rFonts w:ascii="Times New Roman" w:eastAsia="Times New Roman" w:hAnsi="Times New Roman" w:cs="Times New Roman"/>
                <w:lang w:eastAsia="sl-SI"/>
              </w:rPr>
              <w:t>Depresija</w:t>
            </w:r>
            <w:r w:rsidRPr="003E1719">
              <w:rPr>
                <w:rFonts w:ascii="Times New Roman" w:hAnsi="Times New Roman" w:cs="Times New Roman"/>
              </w:rPr>
              <w:t xml:space="preserve"> </w:t>
            </w:r>
            <w:r w:rsidR="001E2BF3" w:rsidRPr="003E1719">
              <w:rPr>
                <w:rFonts w:ascii="Times New Roman" w:hAnsi="Times New Roman" w:cs="Times New Roman"/>
                <w:vertAlign w:val="superscript"/>
              </w:rPr>
              <w:t>2,5</w:t>
            </w:r>
          </w:p>
        </w:tc>
      </w:tr>
      <w:tr w:rsidR="001E2BF3" w:rsidRPr="003E1719" w14:paraId="4B8B57C3" w14:textId="77777777" w:rsidTr="00665E57">
        <w:trPr>
          <w:trHeight w:val="144"/>
        </w:trPr>
        <w:tc>
          <w:tcPr>
            <w:tcW w:w="1588" w:type="dxa"/>
          </w:tcPr>
          <w:p w14:paraId="3F8A55A7"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snapToGrid w:val="0"/>
              </w:rPr>
              <w:t>Nervų sistemos sutrikimai</w:t>
            </w:r>
          </w:p>
        </w:tc>
        <w:tc>
          <w:tcPr>
            <w:tcW w:w="1418" w:type="dxa"/>
          </w:tcPr>
          <w:p w14:paraId="3904CD32" w14:textId="77777777" w:rsidR="001E2BF3" w:rsidRPr="003E1719" w:rsidRDefault="009D4411" w:rsidP="00665E57">
            <w:pPr>
              <w:widowControl w:val="0"/>
              <w:autoSpaceDE w:val="0"/>
              <w:autoSpaceDN w:val="0"/>
              <w:ind w:left="-113"/>
              <w:rPr>
                <w:rFonts w:ascii="Times New Roman" w:hAnsi="Times New Roman" w:cs="Times New Roman"/>
              </w:rPr>
            </w:pPr>
            <w:r w:rsidRPr="003E1719">
              <w:rPr>
                <w:rFonts w:ascii="Times New Roman" w:eastAsia="Times New Roman" w:hAnsi="Times New Roman" w:cs="Times New Roman"/>
                <w:lang w:eastAsia="sl-SI"/>
              </w:rPr>
              <w:t>Galvos skausmas</w:t>
            </w:r>
            <w:r w:rsidR="001E2BF3" w:rsidRPr="003E1719">
              <w:rPr>
                <w:rFonts w:ascii="Times New Roman" w:hAnsi="Times New Roman" w:cs="Times New Roman"/>
                <w:vertAlign w:val="superscript"/>
              </w:rPr>
              <w:t>2,4</w:t>
            </w:r>
            <w:r w:rsidR="001E2BF3" w:rsidRPr="003E1719">
              <w:rPr>
                <w:rFonts w:ascii="Times New Roman" w:hAnsi="Times New Roman" w:cs="Times New Roman"/>
              </w:rPr>
              <w:t xml:space="preserve"> </w:t>
            </w:r>
            <w:r w:rsidRPr="003E1719">
              <w:rPr>
                <w:rFonts w:ascii="Times New Roman" w:eastAsia="Times New Roman" w:hAnsi="Times New Roman" w:cs="Times New Roman"/>
                <w:lang w:eastAsia="sl-SI"/>
              </w:rPr>
              <w:t>Svaigulys</w:t>
            </w:r>
            <w:r w:rsidRPr="003E1719">
              <w:rPr>
                <w:rFonts w:ascii="Times New Roman" w:hAnsi="Times New Roman" w:cs="Times New Roman"/>
                <w:vertAlign w:val="superscript"/>
              </w:rPr>
              <w:t xml:space="preserve"> </w:t>
            </w:r>
            <w:r w:rsidR="001E2BF3" w:rsidRPr="003E1719">
              <w:rPr>
                <w:rFonts w:ascii="Times New Roman" w:hAnsi="Times New Roman" w:cs="Times New Roman"/>
                <w:vertAlign w:val="superscript"/>
              </w:rPr>
              <w:t>2</w:t>
            </w:r>
          </w:p>
        </w:tc>
        <w:tc>
          <w:tcPr>
            <w:tcW w:w="1559" w:type="dxa"/>
          </w:tcPr>
          <w:p w14:paraId="0840D5BA" w14:textId="77777777" w:rsidR="001E2BF3" w:rsidRPr="003E1719" w:rsidRDefault="009D4411" w:rsidP="00C7524D">
            <w:pPr>
              <w:widowControl w:val="0"/>
              <w:autoSpaceDE w:val="0"/>
              <w:autoSpaceDN w:val="0"/>
              <w:ind w:left="34" w:hanging="23"/>
              <w:rPr>
                <w:rFonts w:ascii="Times New Roman" w:hAnsi="Times New Roman" w:cs="Times New Roman"/>
              </w:rPr>
            </w:pPr>
            <w:r w:rsidRPr="003E1719">
              <w:rPr>
                <w:rFonts w:ascii="Times New Roman" w:eastAsia="Times New Roman" w:hAnsi="Times New Roman" w:cs="Times New Roman"/>
                <w:lang w:eastAsia="sl-SI"/>
              </w:rPr>
              <w:t>Parestezija</w:t>
            </w:r>
            <w:r w:rsidR="001E2BF3" w:rsidRPr="003E1719">
              <w:rPr>
                <w:rFonts w:ascii="Times New Roman" w:hAnsi="Times New Roman" w:cs="Times New Roman"/>
                <w:vertAlign w:val="superscript"/>
              </w:rPr>
              <w:t>4</w:t>
            </w:r>
          </w:p>
        </w:tc>
        <w:tc>
          <w:tcPr>
            <w:tcW w:w="1559" w:type="dxa"/>
          </w:tcPr>
          <w:p w14:paraId="3A53FCE3"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431972C5" w14:textId="77777777" w:rsidR="001E2BF3" w:rsidRPr="003E1719" w:rsidRDefault="009D4411" w:rsidP="00665E57">
            <w:pPr>
              <w:widowControl w:val="0"/>
              <w:autoSpaceDE w:val="0"/>
              <w:autoSpaceDN w:val="0"/>
              <w:ind w:left="34" w:hanging="23"/>
              <w:rPr>
                <w:rFonts w:ascii="Times New Roman" w:hAnsi="Times New Roman" w:cs="Times New Roman"/>
              </w:rPr>
            </w:pPr>
            <w:r w:rsidRPr="003E1719">
              <w:rPr>
                <w:rFonts w:ascii="Times New Roman" w:eastAsia="Times New Roman" w:hAnsi="Times New Roman" w:cs="Times New Roman"/>
                <w:lang w:eastAsia="sl-SI"/>
              </w:rPr>
              <w:t>Polineuro</w:t>
            </w:r>
            <w:r w:rsidR="00665E57" w:rsidRPr="003E1719">
              <w:rPr>
                <w:rFonts w:ascii="Times New Roman" w:eastAsia="Times New Roman" w:hAnsi="Times New Roman" w:cs="Times New Roman"/>
                <w:lang w:eastAsia="sl-SI"/>
              </w:rPr>
              <w:t>-</w:t>
            </w:r>
            <w:r w:rsidRPr="003E1719">
              <w:rPr>
                <w:rFonts w:ascii="Times New Roman" w:eastAsia="Times New Roman" w:hAnsi="Times New Roman" w:cs="Times New Roman"/>
                <w:lang w:eastAsia="sl-SI"/>
              </w:rPr>
              <w:t>patija</w:t>
            </w:r>
            <w:r w:rsidR="00665E57" w:rsidRPr="003E1719">
              <w:rPr>
                <w:rFonts w:ascii="Times New Roman" w:eastAsia="Times New Roman" w:hAnsi="Times New Roman" w:cs="Times New Roman"/>
                <w:lang w:eastAsia="sl-SI"/>
              </w:rPr>
              <w:t xml:space="preserve"> </w:t>
            </w:r>
            <w:r w:rsidRPr="003E1719">
              <w:rPr>
                <w:rFonts w:ascii="Times New Roman" w:eastAsia="Times New Roman" w:hAnsi="Times New Roman" w:cs="Times New Roman"/>
                <w:lang w:eastAsia="sl-SI"/>
              </w:rPr>
              <w:t>Atminties netekimas</w:t>
            </w:r>
            <w:r w:rsidR="001E2BF3" w:rsidRPr="003E1719">
              <w:rPr>
                <w:rFonts w:ascii="Times New Roman" w:hAnsi="Times New Roman" w:cs="Times New Roman"/>
                <w:vertAlign w:val="superscript"/>
              </w:rPr>
              <w:t>2</w:t>
            </w:r>
          </w:p>
        </w:tc>
        <w:tc>
          <w:tcPr>
            <w:tcW w:w="1559" w:type="dxa"/>
          </w:tcPr>
          <w:p w14:paraId="4254D565" w14:textId="26B613B1" w:rsidR="001E2BF3" w:rsidRPr="003E1719" w:rsidRDefault="009D4411" w:rsidP="00C7524D">
            <w:pPr>
              <w:widowControl w:val="0"/>
              <w:tabs>
                <w:tab w:val="left" w:pos="459"/>
              </w:tabs>
              <w:autoSpaceDE w:val="0"/>
              <w:autoSpaceDN w:val="0"/>
              <w:ind w:left="34"/>
              <w:rPr>
                <w:rFonts w:ascii="Times New Roman" w:hAnsi="Times New Roman" w:cs="Times New Roman"/>
              </w:rPr>
            </w:pPr>
            <w:r w:rsidRPr="003E1719">
              <w:rPr>
                <w:rFonts w:ascii="Times New Roman" w:eastAsia="Times New Roman" w:hAnsi="Times New Roman" w:cs="Times New Roman"/>
              </w:rPr>
              <w:t>Periferinė neuropatija</w:t>
            </w:r>
            <w:r w:rsidRPr="003E1719">
              <w:rPr>
                <w:rFonts w:ascii="Times New Roman" w:hAnsi="Times New Roman" w:cs="Times New Roman"/>
                <w:vertAlign w:val="superscript"/>
              </w:rPr>
              <w:t xml:space="preserve"> </w:t>
            </w:r>
            <w:r w:rsidR="001E2BF3" w:rsidRPr="003E1719">
              <w:rPr>
                <w:rFonts w:ascii="Times New Roman" w:hAnsi="Times New Roman" w:cs="Times New Roman"/>
                <w:vertAlign w:val="superscript"/>
              </w:rPr>
              <w:t>2</w:t>
            </w:r>
            <w:r w:rsidR="001E2BF3" w:rsidRPr="003E1719">
              <w:rPr>
                <w:rFonts w:ascii="Times New Roman" w:hAnsi="Times New Roman" w:cs="Times New Roman"/>
              </w:rPr>
              <w:t xml:space="preserve"> </w:t>
            </w:r>
            <w:r w:rsidRPr="003E1719">
              <w:rPr>
                <w:rFonts w:ascii="Times New Roman" w:eastAsia="Times New Roman" w:hAnsi="Times New Roman" w:cs="Times New Roman"/>
              </w:rPr>
              <w:t>Miego sutrikimai (įskaitant nemigą ir košmariškus sapnus)</w:t>
            </w:r>
            <w:r w:rsidRPr="003E1719">
              <w:rPr>
                <w:rFonts w:ascii="Times New Roman" w:hAnsi="Times New Roman" w:cs="Times New Roman"/>
                <w:vertAlign w:val="superscript"/>
              </w:rPr>
              <w:t xml:space="preserve"> </w:t>
            </w:r>
            <w:r w:rsidR="001E2BF3" w:rsidRPr="003E1719">
              <w:rPr>
                <w:rFonts w:ascii="Times New Roman" w:hAnsi="Times New Roman" w:cs="Times New Roman"/>
                <w:vertAlign w:val="superscript"/>
              </w:rPr>
              <w:t>2</w:t>
            </w:r>
            <w:r w:rsidR="00D3763F">
              <w:rPr>
                <w:rFonts w:ascii="Times New Roman" w:hAnsi="Times New Roman" w:cs="Times New Roman"/>
              </w:rPr>
              <w:t>, sunkoji miastenija.</w:t>
            </w:r>
          </w:p>
        </w:tc>
      </w:tr>
      <w:tr w:rsidR="00D3763F" w:rsidRPr="003E1719" w14:paraId="6C58401F" w14:textId="77777777" w:rsidTr="00665E57">
        <w:trPr>
          <w:trHeight w:val="144"/>
        </w:trPr>
        <w:tc>
          <w:tcPr>
            <w:tcW w:w="1588" w:type="dxa"/>
          </w:tcPr>
          <w:p w14:paraId="62FCB3FC" w14:textId="0E7B04CC" w:rsidR="00D3763F" w:rsidRPr="003E1719" w:rsidRDefault="00D3763F" w:rsidP="00C7524D">
            <w:pPr>
              <w:widowControl w:val="0"/>
              <w:autoSpaceDE w:val="0"/>
              <w:autoSpaceDN w:val="0"/>
              <w:ind w:hanging="23"/>
              <w:rPr>
                <w:rFonts w:ascii="Times New Roman" w:eastAsia="Times New Roman" w:hAnsi="Times New Roman" w:cs="Times New Roman"/>
                <w:snapToGrid w:val="0"/>
              </w:rPr>
            </w:pPr>
            <w:r>
              <w:rPr>
                <w:rFonts w:ascii="Times New Roman" w:eastAsia="Times New Roman" w:hAnsi="Times New Roman" w:cs="Times New Roman"/>
                <w:snapToGrid w:val="0"/>
              </w:rPr>
              <w:t>Akių sutrikimai</w:t>
            </w:r>
          </w:p>
        </w:tc>
        <w:tc>
          <w:tcPr>
            <w:tcW w:w="1418" w:type="dxa"/>
          </w:tcPr>
          <w:p w14:paraId="1391C80E" w14:textId="77777777" w:rsidR="00D3763F" w:rsidRPr="003E1719" w:rsidRDefault="00D3763F" w:rsidP="00665E57">
            <w:pPr>
              <w:widowControl w:val="0"/>
              <w:autoSpaceDE w:val="0"/>
              <w:autoSpaceDN w:val="0"/>
              <w:ind w:left="-113"/>
              <w:rPr>
                <w:rFonts w:ascii="Times New Roman" w:eastAsia="Times New Roman" w:hAnsi="Times New Roman" w:cs="Times New Roman"/>
                <w:lang w:eastAsia="sl-SI"/>
              </w:rPr>
            </w:pPr>
          </w:p>
        </w:tc>
        <w:tc>
          <w:tcPr>
            <w:tcW w:w="1559" w:type="dxa"/>
          </w:tcPr>
          <w:p w14:paraId="5AB47E14" w14:textId="77777777" w:rsidR="00D3763F" w:rsidRPr="003E1719" w:rsidRDefault="00D3763F" w:rsidP="00C7524D">
            <w:pPr>
              <w:widowControl w:val="0"/>
              <w:autoSpaceDE w:val="0"/>
              <w:autoSpaceDN w:val="0"/>
              <w:ind w:left="34" w:hanging="23"/>
              <w:rPr>
                <w:rFonts w:ascii="Times New Roman" w:eastAsia="Times New Roman" w:hAnsi="Times New Roman" w:cs="Times New Roman"/>
                <w:lang w:eastAsia="sl-SI"/>
              </w:rPr>
            </w:pPr>
          </w:p>
        </w:tc>
        <w:tc>
          <w:tcPr>
            <w:tcW w:w="1559" w:type="dxa"/>
          </w:tcPr>
          <w:p w14:paraId="5955998F" w14:textId="77777777" w:rsidR="00D3763F" w:rsidRPr="003E1719" w:rsidRDefault="00D3763F" w:rsidP="00C7524D">
            <w:pPr>
              <w:widowControl w:val="0"/>
              <w:autoSpaceDE w:val="0"/>
              <w:autoSpaceDN w:val="0"/>
              <w:ind w:left="33"/>
              <w:rPr>
                <w:rFonts w:ascii="Times New Roman" w:hAnsi="Times New Roman" w:cs="Times New Roman"/>
              </w:rPr>
            </w:pPr>
          </w:p>
        </w:tc>
        <w:tc>
          <w:tcPr>
            <w:tcW w:w="1531" w:type="dxa"/>
          </w:tcPr>
          <w:p w14:paraId="43F0EA0D" w14:textId="77777777" w:rsidR="00D3763F" w:rsidRPr="003E1719" w:rsidRDefault="00D3763F" w:rsidP="00665E57">
            <w:pPr>
              <w:widowControl w:val="0"/>
              <w:autoSpaceDE w:val="0"/>
              <w:autoSpaceDN w:val="0"/>
              <w:ind w:left="34" w:hanging="23"/>
              <w:rPr>
                <w:rFonts w:ascii="Times New Roman" w:eastAsia="Times New Roman" w:hAnsi="Times New Roman" w:cs="Times New Roman"/>
                <w:lang w:eastAsia="sl-SI"/>
              </w:rPr>
            </w:pPr>
          </w:p>
        </w:tc>
        <w:tc>
          <w:tcPr>
            <w:tcW w:w="1559" w:type="dxa"/>
          </w:tcPr>
          <w:p w14:paraId="0C4FCC2B" w14:textId="36129E22" w:rsidR="00D3763F" w:rsidRPr="003E1719" w:rsidRDefault="00660588" w:rsidP="00C7524D">
            <w:pPr>
              <w:widowControl w:val="0"/>
              <w:tabs>
                <w:tab w:val="left" w:pos="459"/>
              </w:tabs>
              <w:autoSpaceDE w:val="0"/>
              <w:autoSpaceDN w:val="0"/>
              <w:ind w:left="34"/>
              <w:rPr>
                <w:rFonts w:ascii="Times New Roman" w:eastAsia="Times New Roman" w:hAnsi="Times New Roman" w:cs="Times New Roman"/>
              </w:rPr>
            </w:pPr>
            <w:r>
              <w:rPr>
                <w:rFonts w:ascii="Times New Roman" w:eastAsia="Times New Roman" w:hAnsi="Times New Roman" w:cs="Times New Roman"/>
              </w:rPr>
              <w:t>Akių miastenija.</w:t>
            </w:r>
          </w:p>
        </w:tc>
      </w:tr>
      <w:tr w:rsidR="001E2BF3" w:rsidRPr="003E1719" w14:paraId="0684CE7D" w14:textId="77777777" w:rsidTr="00665E57">
        <w:trPr>
          <w:trHeight w:val="144"/>
        </w:trPr>
        <w:tc>
          <w:tcPr>
            <w:tcW w:w="1588" w:type="dxa"/>
          </w:tcPr>
          <w:p w14:paraId="3BB2A609"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lang w:eastAsia="sl-SI"/>
              </w:rPr>
              <w:t>Kraujagyslių sutrikimai</w:t>
            </w:r>
          </w:p>
        </w:tc>
        <w:tc>
          <w:tcPr>
            <w:tcW w:w="1418" w:type="dxa"/>
          </w:tcPr>
          <w:p w14:paraId="4F988B13"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2A1C2FA5" w14:textId="77777777" w:rsidR="001E2BF3" w:rsidRPr="003E1719" w:rsidRDefault="009D4411" w:rsidP="00665E57">
            <w:pPr>
              <w:widowControl w:val="0"/>
              <w:autoSpaceDE w:val="0"/>
              <w:autoSpaceDN w:val="0"/>
              <w:ind w:left="34" w:hanging="23"/>
              <w:rPr>
                <w:rFonts w:ascii="Times New Roman" w:hAnsi="Times New Roman" w:cs="Times New Roman"/>
              </w:rPr>
            </w:pPr>
            <w:r w:rsidRPr="003E1719">
              <w:rPr>
                <w:rFonts w:ascii="Times New Roman" w:eastAsia="Times New Roman" w:hAnsi="Times New Roman" w:cs="Times New Roman"/>
                <w:lang w:eastAsia="sl-SI"/>
              </w:rPr>
              <w:t>Paraudimas su karščio pojūčiu</w:t>
            </w:r>
            <w:r w:rsidRPr="003E1719">
              <w:rPr>
                <w:rFonts w:ascii="Times New Roman" w:eastAsia="Times New Roman" w:hAnsi="Times New Roman" w:cs="Times New Roman"/>
                <w:vertAlign w:val="superscript"/>
                <w:lang w:eastAsia="sl-SI"/>
              </w:rPr>
              <w:t>3</w:t>
            </w:r>
            <w:r w:rsidRPr="003E1719">
              <w:rPr>
                <w:rFonts w:ascii="Times New Roman" w:eastAsia="Times New Roman" w:hAnsi="Times New Roman" w:cs="Times New Roman"/>
                <w:lang w:eastAsia="sl-SI"/>
              </w:rPr>
              <w:t xml:space="preserve"> </w:t>
            </w:r>
            <w:r w:rsidR="00665E57" w:rsidRPr="003E1719">
              <w:rPr>
                <w:rFonts w:ascii="Times New Roman" w:eastAsia="Times New Roman" w:hAnsi="Times New Roman" w:cs="Times New Roman"/>
                <w:lang w:eastAsia="sl-SI"/>
              </w:rPr>
              <w:t>H</w:t>
            </w:r>
            <w:r w:rsidRPr="003E1719">
              <w:rPr>
                <w:rFonts w:ascii="Times New Roman" w:eastAsia="Times New Roman" w:hAnsi="Times New Roman" w:cs="Times New Roman"/>
                <w:lang w:eastAsia="sl-SI"/>
              </w:rPr>
              <w:t>ipertenzija</w:t>
            </w:r>
            <w:r w:rsidR="001E2BF3" w:rsidRPr="003E1719">
              <w:rPr>
                <w:rFonts w:ascii="Times New Roman" w:hAnsi="Times New Roman" w:cs="Times New Roman"/>
                <w:vertAlign w:val="superscript"/>
              </w:rPr>
              <w:t>3</w:t>
            </w:r>
          </w:p>
        </w:tc>
        <w:tc>
          <w:tcPr>
            <w:tcW w:w="1559" w:type="dxa"/>
          </w:tcPr>
          <w:p w14:paraId="165C9B52"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79BF4C1D"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3AD7DEA2" w14:textId="77777777" w:rsidR="001E2BF3" w:rsidRPr="003E1719" w:rsidRDefault="001E2BF3" w:rsidP="00C7524D">
            <w:pPr>
              <w:widowControl w:val="0"/>
              <w:tabs>
                <w:tab w:val="left" w:pos="459"/>
              </w:tabs>
              <w:autoSpaceDE w:val="0"/>
              <w:autoSpaceDN w:val="0"/>
              <w:ind w:left="34"/>
              <w:rPr>
                <w:rFonts w:ascii="Times New Roman" w:hAnsi="Times New Roman" w:cs="Times New Roman"/>
              </w:rPr>
            </w:pPr>
          </w:p>
        </w:tc>
      </w:tr>
      <w:tr w:rsidR="001E2BF3" w:rsidRPr="003E1719" w14:paraId="0C0358EE" w14:textId="77777777" w:rsidTr="00665E57">
        <w:trPr>
          <w:trHeight w:val="144"/>
        </w:trPr>
        <w:tc>
          <w:tcPr>
            <w:tcW w:w="1588" w:type="dxa"/>
          </w:tcPr>
          <w:p w14:paraId="2FF23886"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rPr>
              <w:t>Kvėpavimo sistemos, krūtinės ląstos ir tarpuplaučio sutrikimai</w:t>
            </w:r>
          </w:p>
        </w:tc>
        <w:tc>
          <w:tcPr>
            <w:tcW w:w="1418" w:type="dxa"/>
          </w:tcPr>
          <w:p w14:paraId="7A6F3F79"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18E2FA26" w14:textId="77777777" w:rsidR="001E2BF3" w:rsidRPr="003E1719" w:rsidRDefault="009D4411" w:rsidP="009D4411">
            <w:pPr>
              <w:widowControl w:val="0"/>
              <w:autoSpaceDE w:val="0"/>
              <w:autoSpaceDN w:val="0"/>
              <w:ind w:left="34" w:hanging="23"/>
              <w:rPr>
                <w:rFonts w:ascii="Times New Roman" w:hAnsi="Times New Roman" w:cs="Times New Roman"/>
              </w:rPr>
            </w:pPr>
            <w:r w:rsidRPr="003E1719">
              <w:rPr>
                <w:rFonts w:ascii="Times New Roman" w:hAnsi="Times New Roman" w:cs="Times New Roman"/>
              </w:rPr>
              <w:t>Kosulys</w:t>
            </w:r>
            <w:r w:rsidR="001E2BF3" w:rsidRPr="003E1719">
              <w:rPr>
                <w:rFonts w:ascii="Times New Roman" w:hAnsi="Times New Roman" w:cs="Times New Roman"/>
                <w:vertAlign w:val="superscript"/>
              </w:rPr>
              <w:t>3</w:t>
            </w:r>
          </w:p>
        </w:tc>
        <w:tc>
          <w:tcPr>
            <w:tcW w:w="1559" w:type="dxa"/>
          </w:tcPr>
          <w:p w14:paraId="56A33A94"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4F0B1123"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769D4F97" w14:textId="77777777" w:rsidR="001E2BF3" w:rsidRPr="003E1719" w:rsidRDefault="001E2BF3" w:rsidP="009D4411">
            <w:pPr>
              <w:widowControl w:val="0"/>
              <w:tabs>
                <w:tab w:val="left" w:pos="459"/>
              </w:tabs>
              <w:autoSpaceDE w:val="0"/>
              <w:autoSpaceDN w:val="0"/>
              <w:ind w:left="34"/>
              <w:rPr>
                <w:rFonts w:ascii="Times New Roman" w:hAnsi="Times New Roman" w:cs="Times New Roman"/>
              </w:rPr>
            </w:pPr>
            <w:r w:rsidRPr="003E1719">
              <w:rPr>
                <w:rFonts w:ascii="Times New Roman" w:hAnsi="Times New Roman" w:cs="Times New Roman"/>
              </w:rPr>
              <w:t>D</w:t>
            </w:r>
            <w:r w:rsidR="009D4411" w:rsidRPr="003E1719">
              <w:rPr>
                <w:rFonts w:ascii="Times New Roman" w:hAnsi="Times New Roman" w:cs="Times New Roman"/>
              </w:rPr>
              <w:t>usulys</w:t>
            </w:r>
            <w:r w:rsidRPr="003E1719">
              <w:rPr>
                <w:rFonts w:ascii="Times New Roman" w:hAnsi="Times New Roman" w:cs="Times New Roman"/>
                <w:vertAlign w:val="superscript"/>
              </w:rPr>
              <w:t>2,5</w:t>
            </w:r>
          </w:p>
        </w:tc>
      </w:tr>
      <w:tr w:rsidR="001E2BF3" w:rsidRPr="003E1719" w14:paraId="1C41C903" w14:textId="77777777" w:rsidTr="00665E57">
        <w:trPr>
          <w:trHeight w:val="144"/>
        </w:trPr>
        <w:tc>
          <w:tcPr>
            <w:tcW w:w="1588" w:type="dxa"/>
          </w:tcPr>
          <w:p w14:paraId="77776CB6"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snapToGrid w:val="0"/>
              </w:rPr>
              <w:t>Virškinimo trakto sutrikimai</w:t>
            </w:r>
          </w:p>
        </w:tc>
        <w:tc>
          <w:tcPr>
            <w:tcW w:w="1418" w:type="dxa"/>
          </w:tcPr>
          <w:p w14:paraId="3B92828B" w14:textId="77777777" w:rsidR="00665E57" w:rsidRPr="003E1719" w:rsidRDefault="009D4411" w:rsidP="00665E57">
            <w:pPr>
              <w:widowControl w:val="0"/>
              <w:autoSpaceDE w:val="0"/>
              <w:autoSpaceDN w:val="0"/>
              <w:spacing w:after="0"/>
              <w:ind w:left="-113"/>
              <w:rPr>
                <w:rFonts w:ascii="Times New Roman" w:hAnsi="Times New Roman" w:cs="Times New Roman"/>
                <w:vertAlign w:val="superscript"/>
              </w:rPr>
            </w:pPr>
            <w:r w:rsidRPr="003E1719">
              <w:rPr>
                <w:rFonts w:ascii="Times New Roman" w:hAnsi="Times New Roman" w:cs="Times New Roman"/>
              </w:rPr>
              <w:t>Vidurių užkietėjimas</w:t>
            </w:r>
            <w:r w:rsidR="001E2BF3" w:rsidRPr="003E1719">
              <w:rPr>
                <w:rFonts w:ascii="Times New Roman" w:hAnsi="Times New Roman" w:cs="Times New Roman"/>
                <w:vertAlign w:val="superscript"/>
              </w:rPr>
              <w:t>2</w:t>
            </w:r>
          </w:p>
          <w:p w14:paraId="7EA6F538" w14:textId="77777777" w:rsidR="001E2BF3" w:rsidRPr="003E1719" w:rsidRDefault="00B23565" w:rsidP="00665E57">
            <w:pPr>
              <w:widowControl w:val="0"/>
              <w:autoSpaceDE w:val="0"/>
              <w:autoSpaceDN w:val="0"/>
              <w:spacing w:after="0"/>
              <w:ind w:left="-113"/>
              <w:rPr>
                <w:rFonts w:ascii="Times New Roman" w:hAnsi="Times New Roman" w:cs="Times New Roman"/>
              </w:rPr>
            </w:pPr>
            <w:r w:rsidRPr="003E1719">
              <w:rPr>
                <w:rFonts w:ascii="Times New Roman" w:hAnsi="Times New Roman" w:cs="Times New Roman"/>
              </w:rPr>
              <w:t>Pykinimas</w:t>
            </w:r>
            <w:r w:rsidR="001E2BF3" w:rsidRPr="003E1719">
              <w:rPr>
                <w:rFonts w:ascii="Times New Roman" w:hAnsi="Times New Roman" w:cs="Times New Roman"/>
                <w:vertAlign w:val="superscript"/>
              </w:rPr>
              <w:t>2</w:t>
            </w:r>
            <w:r w:rsidR="001E2BF3" w:rsidRPr="003E1719">
              <w:rPr>
                <w:rFonts w:ascii="Times New Roman" w:hAnsi="Times New Roman" w:cs="Times New Roman"/>
              </w:rPr>
              <w:t xml:space="preserve"> </w:t>
            </w:r>
            <w:r w:rsidRPr="003E1719">
              <w:rPr>
                <w:rFonts w:ascii="Times New Roman" w:hAnsi="Times New Roman" w:cs="Times New Roman"/>
              </w:rPr>
              <w:t>Pilvo skausmas</w:t>
            </w:r>
            <w:r w:rsidR="001E2BF3" w:rsidRPr="003E1719">
              <w:rPr>
                <w:rFonts w:ascii="Times New Roman" w:hAnsi="Times New Roman" w:cs="Times New Roman"/>
                <w:vertAlign w:val="superscript"/>
              </w:rPr>
              <w:t>2,3</w:t>
            </w:r>
            <w:r w:rsidR="00665E57" w:rsidRPr="003E1719">
              <w:rPr>
                <w:rFonts w:ascii="Times New Roman" w:hAnsi="Times New Roman" w:cs="Times New Roman"/>
              </w:rPr>
              <w:t xml:space="preserve"> </w:t>
            </w:r>
            <w:r w:rsidRPr="003E1719">
              <w:rPr>
                <w:rFonts w:ascii="Times New Roman" w:hAnsi="Times New Roman" w:cs="Times New Roman"/>
              </w:rPr>
              <w:t>Viduriavimas</w:t>
            </w:r>
            <w:r w:rsidR="001E2BF3" w:rsidRPr="003E1719">
              <w:rPr>
                <w:rFonts w:ascii="Times New Roman" w:hAnsi="Times New Roman" w:cs="Times New Roman"/>
                <w:vertAlign w:val="superscript"/>
              </w:rPr>
              <w:t>3</w:t>
            </w:r>
            <w:r w:rsidRPr="003E1719">
              <w:rPr>
                <w:rFonts w:ascii="Times New Roman" w:hAnsi="Times New Roman" w:cs="Times New Roman"/>
              </w:rPr>
              <w:t xml:space="preserve"> Pilvo pūtimas</w:t>
            </w:r>
            <w:r w:rsidR="001E2BF3" w:rsidRPr="003E1719">
              <w:rPr>
                <w:rFonts w:ascii="Times New Roman" w:hAnsi="Times New Roman" w:cs="Times New Roman"/>
                <w:vertAlign w:val="superscript"/>
              </w:rPr>
              <w:t>3</w:t>
            </w:r>
          </w:p>
        </w:tc>
        <w:tc>
          <w:tcPr>
            <w:tcW w:w="1559" w:type="dxa"/>
          </w:tcPr>
          <w:p w14:paraId="661A66AB" w14:textId="77777777" w:rsidR="001E2BF3" w:rsidRPr="003E1719" w:rsidRDefault="001E2BF3" w:rsidP="00B23565">
            <w:pPr>
              <w:widowControl w:val="0"/>
              <w:autoSpaceDE w:val="0"/>
              <w:autoSpaceDN w:val="0"/>
              <w:ind w:left="34" w:hanging="23"/>
              <w:rPr>
                <w:rFonts w:ascii="Times New Roman" w:hAnsi="Times New Roman" w:cs="Times New Roman"/>
              </w:rPr>
            </w:pPr>
            <w:r w:rsidRPr="003E1719">
              <w:rPr>
                <w:rFonts w:ascii="Times New Roman" w:hAnsi="Times New Roman" w:cs="Times New Roman"/>
              </w:rPr>
              <w:t>D</w:t>
            </w:r>
            <w:r w:rsidR="00B23565" w:rsidRPr="003E1719">
              <w:rPr>
                <w:rFonts w:ascii="Times New Roman" w:hAnsi="Times New Roman" w:cs="Times New Roman"/>
              </w:rPr>
              <w:t>i</w:t>
            </w:r>
            <w:r w:rsidRPr="003E1719">
              <w:rPr>
                <w:rFonts w:ascii="Times New Roman" w:hAnsi="Times New Roman" w:cs="Times New Roman"/>
              </w:rPr>
              <w:t>spepsi</w:t>
            </w:r>
            <w:r w:rsidR="00B23565" w:rsidRPr="003E1719">
              <w:rPr>
                <w:rFonts w:ascii="Times New Roman" w:hAnsi="Times New Roman" w:cs="Times New Roman"/>
              </w:rPr>
              <w:t>j</w:t>
            </w:r>
            <w:r w:rsidRPr="003E1719">
              <w:rPr>
                <w:rFonts w:ascii="Times New Roman" w:hAnsi="Times New Roman" w:cs="Times New Roman"/>
              </w:rPr>
              <w:t>a</w:t>
            </w:r>
            <w:r w:rsidRPr="003E1719">
              <w:rPr>
                <w:rFonts w:ascii="Times New Roman" w:hAnsi="Times New Roman" w:cs="Times New Roman"/>
                <w:vertAlign w:val="superscript"/>
              </w:rPr>
              <w:t>3</w:t>
            </w:r>
            <w:r w:rsidRPr="003E1719">
              <w:rPr>
                <w:rFonts w:ascii="Times New Roman" w:hAnsi="Times New Roman" w:cs="Times New Roman"/>
              </w:rPr>
              <w:t xml:space="preserve"> G</w:t>
            </w:r>
            <w:r w:rsidR="00B23565" w:rsidRPr="003E1719">
              <w:rPr>
                <w:rFonts w:ascii="Times New Roman" w:hAnsi="Times New Roman" w:cs="Times New Roman"/>
              </w:rPr>
              <w:t>astro-</w:t>
            </w:r>
            <w:r w:rsidRPr="003E1719">
              <w:rPr>
                <w:rFonts w:ascii="Times New Roman" w:hAnsi="Times New Roman" w:cs="Times New Roman"/>
              </w:rPr>
              <w:t>e</w:t>
            </w:r>
            <w:r w:rsidR="00B23565" w:rsidRPr="003E1719">
              <w:rPr>
                <w:rFonts w:ascii="Times New Roman" w:hAnsi="Times New Roman" w:cs="Times New Roman"/>
              </w:rPr>
              <w:t>zofaginio reflukso liga</w:t>
            </w:r>
            <w:r w:rsidRPr="003E1719">
              <w:rPr>
                <w:rFonts w:ascii="Times New Roman" w:hAnsi="Times New Roman" w:cs="Times New Roman"/>
                <w:vertAlign w:val="superscript"/>
              </w:rPr>
              <w:t>3</w:t>
            </w:r>
            <w:r w:rsidR="00665E57" w:rsidRPr="003E1719">
              <w:rPr>
                <w:rFonts w:ascii="Times New Roman" w:hAnsi="Times New Roman" w:cs="Times New Roman"/>
              </w:rPr>
              <w:t xml:space="preserve"> </w:t>
            </w:r>
            <w:r w:rsidR="00B23565" w:rsidRPr="003E1719">
              <w:rPr>
                <w:rFonts w:ascii="Times New Roman" w:hAnsi="Times New Roman" w:cs="Times New Roman"/>
              </w:rPr>
              <w:t>Burnos džiuvimas</w:t>
            </w:r>
            <w:r w:rsidRPr="003E1719">
              <w:rPr>
                <w:rFonts w:ascii="Times New Roman" w:hAnsi="Times New Roman" w:cs="Times New Roman"/>
                <w:vertAlign w:val="superscript"/>
              </w:rPr>
              <w:t>4</w:t>
            </w:r>
            <w:r w:rsidRPr="003E1719">
              <w:rPr>
                <w:rFonts w:ascii="Times New Roman" w:hAnsi="Times New Roman" w:cs="Times New Roman"/>
              </w:rPr>
              <w:t xml:space="preserve"> G</w:t>
            </w:r>
            <w:r w:rsidR="00B23565" w:rsidRPr="003E1719">
              <w:rPr>
                <w:rFonts w:ascii="Times New Roman" w:hAnsi="Times New Roman" w:cs="Times New Roman"/>
              </w:rPr>
              <w:t>astrita</w:t>
            </w:r>
            <w:r w:rsidRPr="003E1719">
              <w:rPr>
                <w:rFonts w:ascii="Times New Roman" w:hAnsi="Times New Roman" w:cs="Times New Roman"/>
              </w:rPr>
              <w:t>s</w:t>
            </w:r>
          </w:p>
        </w:tc>
        <w:tc>
          <w:tcPr>
            <w:tcW w:w="1559" w:type="dxa"/>
          </w:tcPr>
          <w:p w14:paraId="1DE19BBE" w14:textId="77777777" w:rsidR="001E2BF3" w:rsidRPr="003E1719" w:rsidRDefault="001E2BF3" w:rsidP="00B23565">
            <w:pPr>
              <w:widowControl w:val="0"/>
              <w:autoSpaceDE w:val="0"/>
              <w:autoSpaceDN w:val="0"/>
              <w:ind w:left="33"/>
              <w:rPr>
                <w:rFonts w:ascii="Times New Roman" w:hAnsi="Times New Roman" w:cs="Times New Roman"/>
              </w:rPr>
            </w:pPr>
            <w:r w:rsidRPr="003E1719">
              <w:rPr>
                <w:rFonts w:ascii="Times New Roman" w:hAnsi="Times New Roman" w:cs="Times New Roman"/>
              </w:rPr>
              <w:t>Pan</w:t>
            </w:r>
            <w:r w:rsidR="00B23565" w:rsidRPr="003E1719">
              <w:rPr>
                <w:rFonts w:ascii="Times New Roman" w:hAnsi="Times New Roman" w:cs="Times New Roman"/>
              </w:rPr>
              <w:t>kreatita</w:t>
            </w:r>
            <w:r w:rsidRPr="003E1719">
              <w:rPr>
                <w:rFonts w:ascii="Times New Roman" w:hAnsi="Times New Roman" w:cs="Times New Roman"/>
              </w:rPr>
              <w:t>s</w:t>
            </w:r>
            <w:r w:rsidRPr="003E1719">
              <w:rPr>
                <w:rFonts w:ascii="Times New Roman" w:hAnsi="Times New Roman" w:cs="Times New Roman"/>
                <w:vertAlign w:val="superscript"/>
              </w:rPr>
              <w:t>2</w:t>
            </w:r>
          </w:p>
        </w:tc>
        <w:tc>
          <w:tcPr>
            <w:tcW w:w="1531" w:type="dxa"/>
          </w:tcPr>
          <w:p w14:paraId="732097E5"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44701E28" w14:textId="77777777" w:rsidR="001E2BF3" w:rsidRPr="003E1719" w:rsidRDefault="001E2BF3" w:rsidP="00C7524D">
            <w:pPr>
              <w:widowControl w:val="0"/>
              <w:tabs>
                <w:tab w:val="left" w:pos="459"/>
              </w:tabs>
              <w:autoSpaceDE w:val="0"/>
              <w:autoSpaceDN w:val="0"/>
              <w:ind w:left="34"/>
              <w:rPr>
                <w:rFonts w:ascii="Times New Roman" w:hAnsi="Times New Roman" w:cs="Times New Roman"/>
                <w:strike/>
              </w:rPr>
            </w:pPr>
          </w:p>
        </w:tc>
      </w:tr>
      <w:tr w:rsidR="001E2BF3" w:rsidRPr="003E1719" w14:paraId="6C8C712B" w14:textId="77777777" w:rsidTr="00665E57">
        <w:trPr>
          <w:trHeight w:val="144"/>
        </w:trPr>
        <w:tc>
          <w:tcPr>
            <w:tcW w:w="1588" w:type="dxa"/>
          </w:tcPr>
          <w:p w14:paraId="22C941D2"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snapToGrid w:val="0"/>
                <w:color w:val="333333"/>
              </w:rPr>
              <w:t>Kepenų, tulžies pūslės ir latakų sutrikimai</w:t>
            </w:r>
          </w:p>
        </w:tc>
        <w:tc>
          <w:tcPr>
            <w:tcW w:w="1418" w:type="dxa"/>
          </w:tcPr>
          <w:p w14:paraId="1DEEE4F1"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70D1A83F" w14:textId="77777777" w:rsidR="001E2BF3" w:rsidRPr="003E1719" w:rsidRDefault="001E2BF3" w:rsidP="00C7524D">
            <w:pPr>
              <w:widowControl w:val="0"/>
              <w:autoSpaceDE w:val="0"/>
              <w:autoSpaceDN w:val="0"/>
              <w:ind w:left="34" w:hanging="23"/>
              <w:rPr>
                <w:rFonts w:ascii="Times New Roman" w:hAnsi="Times New Roman" w:cs="Times New Roman"/>
              </w:rPr>
            </w:pPr>
          </w:p>
        </w:tc>
        <w:tc>
          <w:tcPr>
            <w:tcW w:w="1559" w:type="dxa"/>
          </w:tcPr>
          <w:p w14:paraId="363069A8" w14:textId="77777777" w:rsidR="001E2BF3" w:rsidRPr="003E1719" w:rsidRDefault="00B23565" w:rsidP="00B23565">
            <w:pPr>
              <w:widowControl w:val="0"/>
              <w:autoSpaceDE w:val="0"/>
              <w:autoSpaceDN w:val="0"/>
              <w:ind w:left="33"/>
              <w:rPr>
                <w:rFonts w:ascii="Times New Roman" w:hAnsi="Times New Roman" w:cs="Times New Roman"/>
              </w:rPr>
            </w:pPr>
            <w:r w:rsidRPr="003E1719">
              <w:rPr>
                <w:rFonts w:ascii="Times New Roman" w:hAnsi="Times New Roman" w:cs="Times New Roman"/>
              </w:rPr>
              <w:t>Padidėjęs kepenų transaminazių aktyvumas</w:t>
            </w:r>
            <w:r w:rsidR="001E2BF3" w:rsidRPr="003E1719">
              <w:rPr>
                <w:rFonts w:ascii="Times New Roman" w:hAnsi="Times New Roman" w:cs="Times New Roman"/>
                <w:vertAlign w:val="superscript"/>
              </w:rPr>
              <w:t>2</w:t>
            </w:r>
          </w:p>
        </w:tc>
        <w:tc>
          <w:tcPr>
            <w:tcW w:w="1531" w:type="dxa"/>
          </w:tcPr>
          <w:p w14:paraId="7A5213BD" w14:textId="77777777" w:rsidR="001E2BF3" w:rsidRPr="003E1719" w:rsidRDefault="00B23565" w:rsidP="00B23565">
            <w:pPr>
              <w:widowControl w:val="0"/>
              <w:tabs>
                <w:tab w:val="left" w:pos="142"/>
              </w:tabs>
              <w:autoSpaceDE w:val="0"/>
              <w:autoSpaceDN w:val="0"/>
              <w:ind w:left="142" w:hanging="23"/>
              <w:rPr>
                <w:rFonts w:ascii="Times New Roman" w:hAnsi="Times New Roman" w:cs="Times New Roman"/>
              </w:rPr>
            </w:pPr>
            <w:r w:rsidRPr="003E1719">
              <w:rPr>
                <w:rFonts w:ascii="Times New Roman" w:hAnsi="Times New Roman" w:cs="Times New Roman"/>
              </w:rPr>
              <w:t>Gelta</w:t>
            </w:r>
            <w:r w:rsidR="001E2BF3" w:rsidRPr="003E1719">
              <w:rPr>
                <w:rFonts w:ascii="Times New Roman" w:hAnsi="Times New Roman" w:cs="Times New Roman"/>
                <w:vertAlign w:val="superscript"/>
              </w:rPr>
              <w:t>2</w:t>
            </w:r>
            <w:r w:rsidR="001E2BF3" w:rsidRPr="003E1719">
              <w:rPr>
                <w:rFonts w:ascii="Times New Roman" w:hAnsi="Times New Roman" w:cs="Times New Roman"/>
              </w:rPr>
              <w:t xml:space="preserve"> H</w:t>
            </w:r>
            <w:r w:rsidRPr="003E1719">
              <w:rPr>
                <w:rFonts w:ascii="Times New Roman" w:hAnsi="Times New Roman" w:cs="Times New Roman"/>
              </w:rPr>
              <w:t>epatita</w:t>
            </w:r>
            <w:r w:rsidR="001E2BF3" w:rsidRPr="003E1719">
              <w:rPr>
                <w:rFonts w:ascii="Times New Roman" w:hAnsi="Times New Roman" w:cs="Times New Roman"/>
              </w:rPr>
              <w:t>s</w:t>
            </w:r>
            <w:r w:rsidR="001E2BF3" w:rsidRPr="003E1719">
              <w:rPr>
                <w:rFonts w:ascii="Times New Roman" w:hAnsi="Times New Roman" w:cs="Times New Roman"/>
                <w:vertAlign w:val="superscript"/>
              </w:rPr>
              <w:t>2</w:t>
            </w:r>
          </w:p>
        </w:tc>
        <w:tc>
          <w:tcPr>
            <w:tcW w:w="1559" w:type="dxa"/>
          </w:tcPr>
          <w:p w14:paraId="39CC4554" w14:textId="77777777" w:rsidR="001E2BF3" w:rsidRPr="003E1719" w:rsidRDefault="00B23565" w:rsidP="00B23565">
            <w:pPr>
              <w:widowControl w:val="0"/>
              <w:tabs>
                <w:tab w:val="left" w:pos="459"/>
              </w:tabs>
              <w:autoSpaceDE w:val="0"/>
              <w:autoSpaceDN w:val="0"/>
              <w:ind w:left="34"/>
              <w:rPr>
                <w:rFonts w:ascii="Times New Roman" w:hAnsi="Times New Roman" w:cs="Times New Roman"/>
              </w:rPr>
            </w:pPr>
            <w:r w:rsidRPr="003E1719">
              <w:rPr>
                <w:rFonts w:ascii="Times New Roman" w:hAnsi="Times New Roman" w:cs="Times New Roman"/>
              </w:rPr>
              <w:t>Tulžies pūslės akmenligė</w:t>
            </w:r>
            <w:r w:rsidR="001E2BF3" w:rsidRPr="003E1719">
              <w:rPr>
                <w:rFonts w:ascii="Times New Roman" w:hAnsi="Times New Roman" w:cs="Times New Roman"/>
                <w:vertAlign w:val="superscript"/>
              </w:rPr>
              <w:t>5</w:t>
            </w:r>
            <w:r w:rsidR="001E2BF3" w:rsidRPr="003E1719">
              <w:rPr>
                <w:rFonts w:ascii="Times New Roman" w:hAnsi="Times New Roman" w:cs="Times New Roman"/>
              </w:rPr>
              <w:t xml:space="preserve"> </w:t>
            </w:r>
            <w:r w:rsidRPr="003E1719">
              <w:rPr>
                <w:rFonts w:ascii="Times New Roman" w:hAnsi="Times New Roman" w:cs="Times New Roman"/>
              </w:rPr>
              <w:t>Tulžies pūslės uždegimas</w:t>
            </w:r>
            <w:r w:rsidR="001E2BF3" w:rsidRPr="003E1719">
              <w:rPr>
                <w:rFonts w:ascii="Times New Roman" w:hAnsi="Times New Roman" w:cs="Times New Roman"/>
                <w:vertAlign w:val="superscript"/>
              </w:rPr>
              <w:t>5</w:t>
            </w:r>
          </w:p>
        </w:tc>
      </w:tr>
      <w:tr w:rsidR="001E2BF3" w:rsidRPr="003E1719" w14:paraId="19747D4C" w14:textId="77777777" w:rsidTr="00665E57">
        <w:trPr>
          <w:trHeight w:val="144"/>
        </w:trPr>
        <w:tc>
          <w:tcPr>
            <w:tcW w:w="1588" w:type="dxa"/>
          </w:tcPr>
          <w:p w14:paraId="62DE6DAA"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snapToGrid w:val="0"/>
              </w:rPr>
              <w:t>Odos ir poodinio audinio sutrikimai</w:t>
            </w:r>
          </w:p>
        </w:tc>
        <w:tc>
          <w:tcPr>
            <w:tcW w:w="1418" w:type="dxa"/>
          </w:tcPr>
          <w:p w14:paraId="0A21F418"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539DEE52" w14:textId="10D7DB52" w:rsidR="001E2BF3" w:rsidRPr="003E1719" w:rsidRDefault="00B23565" w:rsidP="00B23565">
            <w:pPr>
              <w:widowControl w:val="0"/>
              <w:autoSpaceDE w:val="0"/>
              <w:autoSpaceDN w:val="0"/>
              <w:ind w:left="34" w:hanging="23"/>
              <w:rPr>
                <w:rFonts w:ascii="Times New Roman" w:hAnsi="Times New Roman" w:cs="Times New Roman"/>
              </w:rPr>
            </w:pPr>
            <w:r w:rsidRPr="003E1719">
              <w:rPr>
                <w:rFonts w:ascii="Times New Roman" w:hAnsi="Times New Roman" w:cs="Times New Roman"/>
              </w:rPr>
              <w:t>Niež</w:t>
            </w:r>
            <w:r w:rsidR="004E6A27">
              <w:rPr>
                <w:rFonts w:ascii="Times New Roman" w:hAnsi="Times New Roman" w:cs="Times New Roman"/>
              </w:rPr>
              <w:t>ėjima</w:t>
            </w:r>
            <w:r w:rsidRPr="003E1719">
              <w:rPr>
                <w:rFonts w:ascii="Times New Roman" w:hAnsi="Times New Roman" w:cs="Times New Roman"/>
              </w:rPr>
              <w:t>s</w:t>
            </w:r>
            <w:r w:rsidR="001E2BF3" w:rsidRPr="003E1719">
              <w:rPr>
                <w:rFonts w:ascii="Times New Roman" w:hAnsi="Times New Roman" w:cs="Times New Roman"/>
                <w:vertAlign w:val="superscript"/>
              </w:rPr>
              <w:t>2,4</w:t>
            </w:r>
            <w:r w:rsidR="001E2BF3" w:rsidRPr="003E1719">
              <w:rPr>
                <w:rFonts w:ascii="Times New Roman" w:hAnsi="Times New Roman" w:cs="Times New Roman"/>
              </w:rPr>
              <w:t xml:space="preserve">, </w:t>
            </w:r>
            <w:r w:rsidR="004E6A27">
              <w:rPr>
                <w:rFonts w:ascii="Times New Roman" w:hAnsi="Times New Roman" w:cs="Times New Roman"/>
              </w:rPr>
              <w:t>Išb</w:t>
            </w:r>
            <w:r w:rsidRPr="003E1719">
              <w:rPr>
                <w:rFonts w:ascii="Times New Roman" w:hAnsi="Times New Roman" w:cs="Times New Roman"/>
              </w:rPr>
              <w:t>ėrimas</w:t>
            </w:r>
            <w:r w:rsidR="001E2BF3" w:rsidRPr="003E1719">
              <w:rPr>
                <w:rFonts w:ascii="Times New Roman" w:hAnsi="Times New Roman" w:cs="Times New Roman"/>
                <w:vertAlign w:val="superscript"/>
              </w:rPr>
              <w:t>2,4</w:t>
            </w:r>
            <w:r w:rsidR="001E2BF3" w:rsidRPr="003E1719">
              <w:rPr>
                <w:rFonts w:ascii="Times New Roman" w:hAnsi="Times New Roman" w:cs="Times New Roman"/>
              </w:rPr>
              <w:t xml:space="preserve">, </w:t>
            </w:r>
            <w:r w:rsidRPr="003E1719">
              <w:rPr>
                <w:rFonts w:ascii="Times New Roman" w:hAnsi="Times New Roman" w:cs="Times New Roman"/>
              </w:rPr>
              <w:t>Dilgėlinė</w:t>
            </w:r>
            <w:r w:rsidR="001E2BF3" w:rsidRPr="003E1719">
              <w:rPr>
                <w:rFonts w:ascii="Times New Roman" w:hAnsi="Times New Roman" w:cs="Times New Roman"/>
                <w:vertAlign w:val="superscript"/>
              </w:rPr>
              <w:t>2,4</w:t>
            </w:r>
          </w:p>
        </w:tc>
        <w:tc>
          <w:tcPr>
            <w:tcW w:w="1559" w:type="dxa"/>
          </w:tcPr>
          <w:p w14:paraId="6CCCA311"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0198B6DF"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5AAC2782" w14:textId="77777777" w:rsidR="001E2BF3" w:rsidRPr="003E1719" w:rsidRDefault="001E2BF3" w:rsidP="00B23565">
            <w:pPr>
              <w:widowControl w:val="0"/>
              <w:tabs>
                <w:tab w:val="left" w:pos="459"/>
              </w:tabs>
              <w:autoSpaceDE w:val="0"/>
              <w:autoSpaceDN w:val="0"/>
              <w:ind w:left="34"/>
              <w:rPr>
                <w:rFonts w:ascii="Times New Roman" w:hAnsi="Times New Roman" w:cs="Times New Roman"/>
              </w:rPr>
            </w:pPr>
            <w:r w:rsidRPr="003E1719">
              <w:rPr>
                <w:rFonts w:ascii="Times New Roman" w:hAnsi="Times New Roman" w:cs="Times New Roman"/>
                <w:i/>
              </w:rPr>
              <w:t>Stevens-Johnson</w:t>
            </w:r>
            <w:r w:rsidRPr="003E1719">
              <w:rPr>
                <w:rFonts w:ascii="Times New Roman" w:hAnsi="Times New Roman" w:cs="Times New Roman"/>
              </w:rPr>
              <w:t xml:space="preserve"> s</w:t>
            </w:r>
            <w:r w:rsidR="00B23565" w:rsidRPr="003E1719">
              <w:rPr>
                <w:rFonts w:ascii="Times New Roman" w:hAnsi="Times New Roman" w:cs="Times New Roman"/>
              </w:rPr>
              <w:t>indromas</w:t>
            </w:r>
            <w:r w:rsidRPr="003E1719">
              <w:rPr>
                <w:rFonts w:ascii="Times New Roman" w:hAnsi="Times New Roman" w:cs="Times New Roman"/>
                <w:vertAlign w:val="superscript"/>
              </w:rPr>
              <w:t>2</w:t>
            </w:r>
            <w:r w:rsidRPr="003E1719">
              <w:rPr>
                <w:rFonts w:ascii="Times New Roman" w:hAnsi="Times New Roman" w:cs="Times New Roman"/>
              </w:rPr>
              <w:t xml:space="preserve"> </w:t>
            </w:r>
            <w:r w:rsidR="00B23565" w:rsidRPr="003E1719">
              <w:rPr>
                <w:rFonts w:ascii="Times New Roman" w:hAnsi="Times New Roman" w:cs="Times New Roman"/>
              </w:rPr>
              <w:t>Daugiaformė eritema</w:t>
            </w:r>
            <w:r w:rsidRPr="003E1719">
              <w:rPr>
                <w:rFonts w:ascii="Times New Roman" w:hAnsi="Times New Roman" w:cs="Times New Roman"/>
                <w:vertAlign w:val="superscript"/>
              </w:rPr>
              <w:t>5</w:t>
            </w:r>
            <w:r w:rsidRPr="003E1719">
              <w:rPr>
                <w:rFonts w:ascii="Times New Roman" w:hAnsi="Times New Roman" w:cs="Times New Roman"/>
              </w:rPr>
              <w:t xml:space="preserve"> </w:t>
            </w:r>
            <w:r w:rsidR="00B23565" w:rsidRPr="003E1719">
              <w:rPr>
                <w:rFonts w:ascii="Times New Roman" w:hAnsi="Times New Roman" w:cs="Times New Roman"/>
              </w:rPr>
              <w:t xml:space="preserve">Hiperergijos vaistams sindromas </w:t>
            </w:r>
            <w:r w:rsidRPr="003E1719">
              <w:rPr>
                <w:rFonts w:ascii="Times New Roman" w:hAnsi="Times New Roman" w:cs="Times New Roman"/>
              </w:rPr>
              <w:t>(</w:t>
            </w:r>
            <w:r w:rsidR="000A2458">
              <w:rPr>
                <w:rFonts w:ascii="Times New Roman" w:hAnsi="Times New Roman" w:cs="Times New Roman"/>
              </w:rPr>
              <w:t>r</w:t>
            </w:r>
            <w:r w:rsidR="00B23565" w:rsidRPr="003E1719">
              <w:rPr>
                <w:rFonts w:ascii="Times New Roman" w:hAnsi="Times New Roman" w:cs="Times New Roman"/>
              </w:rPr>
              <w:t>eakcija į vaistinį preparatą su eozinofilija ir sisteminiais simptomais (</w:t>
            </w:r>
            <w:r w:rsidRPr="003E1719">
              <w:rPr>
                <w:rFonts w:ascii="Times New Roman" w:hAnsi="Times New Roman" w:cs="Times New Roman"/>
                <w:i/>
              </w:rPr>
              <w:t>DRESS</w:t>
            </w:r>
            <w:r w:rsidRPr="003E1719">
              <w:rPr>
                <w:rFonts w:ascii="Times New Roman" w:hAnsi="Times New Roman" w:cs="Times New Roman"/>
              </w:rPr>
              <w:t>)</w:t>
            </w:r>
            <w:r w:rsidRPr="003E1719">
              <w:rPr>
                <w:rFonts w:ascii="Times New Roman" w:hAnsi="Times New Roman" w:cs="Times New Roman"/>
                <w:vertAlign w:val="superscript"/>
              </w:rPr>
              <w:t>2</w:t>
            </w:r>
          </w:p>
        </w:tc>
      </w:tr>
      <w:tr w:rsidR="001E2BF3" w:rsidRPr="003E1719" w14:paraId="5BAC8704" w14:textId="77777777" w:rsidTr="00665E57">
        <w:trPr>
          <w:trHeight w:val="2590"/>
        </w:trPr>
        <w:tc>
          <w:tcPr>
            <w:tcW w:w="1588" w:type="dxa"/>
          </w:tcPr>
          <w:p w14:paraId="24F78E19"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NewRomanPSMT" w:hAnsi="Times New Roman" w:cs="Times New Roman"/>
                <w:snapToGrid w:val="0"/>
              </w:rPr>
              <w:t>Raumenų, kaulų ir jungiamojo audinio sutrikimai</w:t>
            </w:r>
          </w:p>
        </w:tc>
        <w:tc>
          <w:tcPr>
            <w:tcW w:w="1418" w:type="dxa"/>
          </w:tcPr>
          <w:p w14:paraId="4813257B" w14:textId="77777777" w:rsidR="001E2BF3" w:rsidRPr="003E1719" w:rsidRDefault="00B23565" w:rsidP="00B23565">
            <w:pPr>
              <w:widowControl w:val="0"/>
              <w:autoSpaceDE w:val="0"/>
              <w:autoSpaceDN w:val="0"/>
              <w:ind w:left="97" w:hanging="23"/>
              <w:rPr>
                <w:rFonts w:ascii="Times New Roman" w:hAnsi="Times New Roman" w:cs="Times New Roman"/>
              </w:rPr>
            </w:pPr>
            <w:r w:rsidRPr="003E1719">
              <w:rPr>
                <w:rFonts w:ascii="Times New Roman" w:hAnsi="Times New Roman" w:cs="Times New Roman"/>
              </w:rPr>
              <w:t>Raumenų skausmas</w:t>
            </w:r>
            <w:r w:rsidR="001E2BF3" w:rsidRPr="003E1719">
              <w:rPr>
                <w:rFonts w:ascii="Times New Roman" w:hAnsi="Times New Roman" w:cs="Times New Roman"/>
                <w:vertAlign w:val="superscript"/>
              </w:rPr>
              <w:t>2,4</w:t>
            </w:r>
          </w:p>
        </w:tc>
        <w:tc>
          <w:tcPr>
            <w:tcW w:w="1559" w:type="dxa"/>
          </w:tcPr>
          <w:p w14:paraId="2191B5B4" w14:textId="77777777" w:rsidR="001E2BF3" w:rsidRPr="003E1719" w:rsidRDefault="00B23565" w:rsidP="00C378E9">
            <w:pPr>
              <w:widowControl w:val="0"/>
              <w:autoSpaceDE w:val="0"/>
              <w:autoSpaceDN w:val="0"/>
              <w:ind w:left="34" w:hanging="23"/>
              <w:rPr>
                <w:rFonts w:ascii="Times New Roman" w:hAnsi="Times New Roman" w:cs="Times New Roman"/>
              </w:rPr>
            </w:pPr>
            <w:r w:rsidRPr="003E1719">
              <w:rPr>
                <w:rFonts w:ascii="Times New Roman" w:hAnsi="Times New Roman" w:cs="Times New Roman"/>
              </w:rPr>
              <w:t>Sąnarių skausmas</w:t>
            </w:r>
            <w:r w:rsidR="001E2BF3" w:rsidRPr="003E1719">
              <w:rPr>
                <w:rFonts w:ascii="Times New Roman" w:hAnsi="Times New Roman" w:cs="Times New Roman"/>
                <w:vertAlign w:val="superscript"/>
              </w:rPr>
              <w:t>3</w:t>
            </w:r>
            <w:r w:rsidR="001E2BF3" w:rsidRPr="003E1719">
              <w:rPr>
                <w:rFonts w:ascii="Times New Roman" w:hAnsi="Times New Roman" w:cs="Times New Roman"/>
              </w:rPr>
              <w:t xml:space="preserve"> </w:t>
            </w:r>
            <w:r w:rsidRPr="003E1719">
              <w:rPr>
                <w:rFonts w:ascii="Times New Roman" w:hAnsi="Times New Roman" w:cs="Times New Roman"/>
              </w:rPr>
              <w:t>Raumenų spazmai</w:t>
            </w:r>
            <w:r w:rsidR="001E2BF3" w:rsidRPr="003E1719">
              <w:rPr>
                <w:rFonts w:ascii="Times New Roman" w:hAnsi="Times New Roman" w:cs="Times New Roman"/>
                <w:vertAlign w:val="superscript"/>
              </w:rPr>
              <w:t>3</w:t>
            </w:r>
            <w:r w:rsidR="001E2BF3" w:rsidRPr="003E1719">
              <w:rPr>
                <w:rFonts w:ascii="Times New Roman" w:hAnsi="Times New Roman" w:cs="Times New Roman"/>
              </w:rPr>
              <w:t xml:space="preserve"> </w:t>
            </w:r>
            <w:r w:rsidR="00C378E9" w:rsidRPr="003E1719">
              <w:rPr>
                <w:rFonts w:ascii="Times New Roman" w:hAnsi="Times New Roman" w:cs="Times New Roman"/>
              </w:rPr>
              <w:t>Kaklo</w:t>
            </w:r>
            <w:r w:rsidRPr="003E1719">
              <w:rPr>
                <w:rFonts w:ascii="Times New Roman" w:hAnsi="Times New Roman" w:cs="Times New Roman"/>
              </w:rPr>
              <w:t xml:space="preserve"> skausmas</w:t>
            </w:r>
            <w:r w:rsidR="001E2BF3" w:rsidRPr="003E1719">
              <w:rPr>
                <w:rFonts w:ascii="Times New Roman" w:hAnsi="Times New Roman" w:cs="Times New Roman"/>
                <w:vertAlign w:val="superscript"/>
              </w:rPr>
              <w:t>3</w:t>
            </w:r>
            <w:r w:rsidR="001E2BF3" w:rsidRPr="003E1719">
              <w:rPr>
                <w:rFonts w:ascii="Times New Roman" w:hAnsi="Times New Roman" w:cs="Times New Roman"/>
              </w:rPr>
              <w:t xml:space="preserve"> </w:t>
            </w:r>
            <w:r w:rsidR="00C378E9" w:rsidRPr="003E1719">
              <w:rPr>
                <w:rFonts w:ascii="Times New Roman" w:hAnsi="Times New Roman" w:cs="Times New Roman"/>
              </w:rPr>
              <w:t>Nugaros skausmas</w:t>
            </w:r>
            <w:r w:rsidR="001E2BF3" w:rsidRPr="003E1719">
              <w:rPr>
                <w:rFonts w:ascii="Times New Roman" w:hAnsi="Times New Roman" w:cs="Times New Roman"/>
                <w:vertAlign w:val="superscript"/>
              </w:rPr>
              <w:t>4</w:t>
            </w:r>
            <w:r w:rsidR="001E2BF3" w:rsidRPr="003E1719">
              <w:rPr>
                <w:rFonts w:ascii="Times New Roman" w:hAnsi="Times New Roman" w:cs="Times New Roman"/>
              </w:rPr>
              <w:t xml:space="preserve"> </w:t>
            </w:r>
            <w:r w:rsidRPr="003E1719">
              <w:rPr>
                <w:rFonts w:ascii="Times New Roman" w:hAnsi="Times New Roman" w:cs="Times New Roman"/>
              </w:rPr>
              <w:t>Raumenų silpnumas</w:t>
            </w:r>
            <w:r w:rsidR="001E2BF3" w:rsidRPr="003E1719">
              <w:rPr>
                <w:rFonts w:ascii="Times New Roman" w:hAnsi="Times New Roman" w:cs="Times New Roman"/>
                <w:vertAlign w:val="superscript"/>
              </w:rPr>
              <w:t>4</w:t>
            </w:r>
            <w:r w:rsidR="001E2BF3" w:rsidRPr="003E1719">
              <w:rPr>
                <w:rFonts w:ascii="Times New Roman" w:hAnsi="Times New Roman" w:cs="Times New Roman"/>
              </w:rPr>
              <w:t xml:space="preserve"> </w:t>
            </w:r>
            <w:r w:rsidR="00C378E9" w:rsidRPr="003E1719">
              <w:rPr>
                <w:rFonts w:ascii="Times New Roman" w:hAnsi="Times New Roman" w:cs="Times New Roman"/>
              </w:rPr>
              <w:t>Galūnių skausmas</w:t>
            </w:r>
            <w:r w:rsidR="001E2BF3" w:rsidRPr="003E1719">
              <w:rPr>
                <w:rFonts w:ascii="Times New Roman" w:hAnsi="Times New Roman" w:cs="Times New Roman"/>
                <w:vertAlign w:val="superscript"/>
              </w:rPr>
              <w:t>4</w:t>
            </w:r>
          </w:p>
        </w:tc>
        <w:tc>
          <w:tcPr>
            <w:tcW w:w="1559" w:type="dxa"/>
          </w:tcPr>
          <w:p w14:paraId="6DF481F2" w14:textId="2607E5AD" w:rsidR="001E2BF3" w:rsidRPr="003E1719" w:rsidRDefault="001E2BF3" w:rsidP="00665E57">
            <w:pPr>
              <w:widowControl w:val="0"/>
              <w:autoSpaceDE w:val="0"/>
              <w:autoSpaceDN w:val="0"/>
              <w:ind w:left="33"/>
              <w:rPr>
                <w:rFonts w:ascii="Times New Roman" w:hAnsi="Times New Roman" w:cs="Times New Roman"/>
              </w:rPr>
            </w:pPr>
            <w:r w:rsidRPr="003E1719">
              <w:rPr>
                <w:rFonts w:ascii="Times New Roman" w:hAnsi="Times New Roman" w:cs="Times New Roman"/>
              </w:rPr>
              <w:t>M</w:t>
            </w:r>
            <w:r w:rsidR="00B23565" w:rsidRPr="003E1719">
              <w:rPr>
                <w:rFonts w:ascii="Times New Roman" w:hAnsi="Times New Roman" w:cs="Times New Roman"/>
              </w:rPr>
              <w:t>i</w:t>
            </w:r>
            <w:r w:rsidRPr="003E1719">
              <w:rPr>
                <w:rFonts w:ascii="Times New Roman" w:hAnsi="Times New Roman" w:cs="Times New Roman"/>
              </w:rPr>
              <w:t>opat</w:t>
            </w:r>
            <w:r w:rsidR="00B23565" w:rsidRPr="003E1719">
              <w:rPr>
                <w:rFonts w:ascii="Times New Roman" w:hAnsi="Times New Roman" w:cs="Times New Roman"/>
              </w:rPr>
              <w:t>ija</w:t>
            </w:r>
            <w:r w:rsidR="00C378E9" w:rsidRPr="003E1719">
              <w:rPr>
                <w:rFonts w:ascii="Times New Roman" w:hAnsi="Times New Roman" w:cs="Times New Roman"/>
              </w:rPr>
              <w:t xml:space="preserve"> </w:t>
            </w:r>
            <w:r w:rsidRPr="003E1719">
              <w:rPr>
                <w:rFonts w:ascii="Times New Roman" w:hAnsi="Times New Roman" w:cs="Times New Roman"/>
              </w:rPr>
              <w:t>(</w:t>
            </w:r>
            <w:r w:rsidR="00B23565" w:rsidRPr="003E1719">
              <w:rPr>
                <w:rFonts w:ascii="Times New Roman" w:hAnsi="Times New Roman" w:cs="Times New Roman"/>
              </w:rPr>
              <w:t>įskaitant miozitą</w:t>
            </w:r>
            <w:r w:rsidRPr="003E1719">
              <w:rPr>
                <w:rFonts w:ascii="Times New Roman" w:hAnsi="Times New Roman" w:cs="Times New Roman"/>
              </w:rPr>
              <w:t>)</w:t>
            </w:r>
            <w:r w:rsidRPr="003E1719">
              <w:rPr>
                <w:rFonts w:ascii="Times New Roman" w:hAnsi="Times New Roman" w:cs="Times New Roman"/>
                <w:vertAlign w:val="superscript"/>
              </w:rPr>
              <w:t>2</w:t>
            </w:r>
            <w:r w:rsidRPr="003E1719">
              <w:rPr>
                <w:rFonts w:ascii="Times New Roman" w:hAnsi="Times New Roman" w:cs="Times New Roman"/>
              </w:rPr>
              <w:t xml:space="preserve"> R</w:t>
            </w:r>
            <w:r w:rsidR="00B23565" w:rsidRPr="003E1719">
              <w:rPr>
                <w:rFonts w:ascii="Times New Roman" w:hAnsi="Times New Roman" w:cs="Times New Roman"/>
              </w:rPr>
              <w:t>abdomi</w:t>
            </w:r>
            <w:r w:rsidRPr="003E1719">
              <w:rPr>
                <w:rFonts w:ascii="Times New Roman" w:hAnsi="Times New Roman" w:cs="Times New Roman"/>
              </w:rPr>
              <w:t>ol</w:t>
            </w:r>
            <w:r w:rsidR="00B23565" w:rsidRPr="003E1719">
              <w:rPr>
                <w:rFonts w:ascii="Times New Roman" w:hAnsi="Times New Roman" w:cs="Times New Roman"/>
              </w:rPr>
              <w:t>izė</w:t>
            </w:r>
            <w:r w:rsidRPr="003E1719">
              <w:rPr>
                <w:rFonts w:ascii="Times New Roman" w:hAnsi="Times New Roman" w:cs="Times New Roman"/>
                <w:vertAlign w:val="superscript"/>
              </w:rPr>
              <w:t>2</w:t>
            </w:r>
            <w:r w:rsidR="00CC4468">
              <w:rPr>
                <w:rFonts w:ascii="Times New Roman" w:hAnsi="Times New Roman" w:cs="Times New Roman"/>
              </w:rPr>
              <w:t>Į</w:t>
            </w:r>
            <w:r w:rsidR="00B23565" w:rsidRPr="003E1719">
              <w:rPr>
                <w:rFonts w:ascii="Times New Roman" w:hAnsi="Times New Roman" w:cs="Times New Roman"/>
              </w:rPr>
              <w:t xml:space="preserve"> vilklig</w:t>
            </w:r>
            <w:r w:rsidR="00CC4468">
              <w:rPr>
                <w:rFonts w:ascii="Times New Roman" w:hAnsi="Times New Roman" w:cs="Times New Roman"/>
              </w:rPr>
              <w:t>ę</w:t>
            </w:r>
            <w:r w:rsidR="00B23565" w:rsidRPr="003E1719">
              <w:rPr>
                <w:rFonts w:ascii="Times New Roman" w:hAnsi="Times New Roman" w:cs="Times New Roman"/>
              </w:rPr>
              <w:t xml:space="preserve"> panašus sindromas</w:t>
            </w:r>
            <w:r w:rsidRPr="003E1719">
              <w:rPr>
                <w:rFonts w:ascii="Times New Roman" w:hAnsi="Times New Roman" w:cs="Times New Roman"/>
                <w:vertAlign w:val="superscript"/>
              </w:rPr>
              <w:t>2</w:t>
            </w:r>
            <w:r w:rsidR="00665E57" w:rsidRPr="003E1719">
              <w:rPr>
                <w:rFonts w:ascii="Times New Roman" w:hAnsi="Times New Roman" w:cs="Times New Roman"/>
              </w:rPr>
              <w:t xml:space="preserve"> </w:t>
            </w:r>
            <w:r w:rsidR="00B23565" w:rsidRPr="003E1719">
              <w:rPr>
                <w:rFonts w:ascii="Times New Roman" w:hAnsi="Times New Roman" w:cs="Times New Roman"/>
              </w:rPr>
              <w:t>Raumens plyšimas</w:t>
            </w:r>
            <w:r w:rsidRPr="003E1719">
              <w:rPr>
                <w:rFonts w:ascii="Times New Roman" w:hAnsi="Times New Roman" w:cs="Times New Roman"/>
                <w:vertAlign w:val="superscript"/>
              </w:rPr>
              <w:t>2</w:t>
            </w:r>
            <w:r w:rsidRPr="003E1719">
              <w:rPr>
                <w:rFonts w:ascii="Times New Roman" w:hAnsi="Times New Roman" w:cs="Times New Roman"/>
              </w:rPr>
              <w:t xml:space="preserve"> </w:t>
            </w:r>
          </w:p>
        </w:tc>
        <w:tc>
          <w:tcPr>
            <w:tcW w:w="1531" w:type="dxa"/>
          </w:tcPr>
          <w:p w14:paraId="582A0CA9"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strike/>
              </w:rPr>
            </w:pPr>
          </w:p>
        </w:tc>
        <w:tc>
          <w:tcPr>
            <w:tcW w:w="1559" w:type="dxa"/>
          </w:tcPr>
          <w:p w14:paraId="60349106" w14:textId="77777777" w:rsidR="001E2BF3" w:rsidRPr="003E1719" w:rsidRDefault="00ED48DF" w:rsidP="00ED48DF">
            <w:pPr>
              <w:widowControl w:val="0"/>
              <w:tabs>
                <w:tab w:val="left" w:pos="459"/>
              </w:tabs>
              <w:autoSpaceDE w:val="0"/>
              <w:autoSpaceDN w:val="0"/>
              <w:ind w:left="34"/>
              <w:rPr>
                <w:rFonts w:ascii="Times New Roman" w:hAnsi="Times New Roman" w:cs="Times New Roman"/>
                <w:vertAlign w:val="superscript"/>
              </w:rPr>
            </w:pPr>
            <w:r w:rsidRPr="003E1719">
              <w:rPr>
                <w:rFonts w:ascii="Times New Roman" w:hAnsi="Times New Roman" w:cs="Times New Roman"/>
              </w:rPr>
              <w:t>Sausgyslės pažeidimas, kartais komplikuotas plyšimu</w:t>
            </w:r>
            <w:r w:rsidR="001E2BF3" w:rsidRPr="003E1719">
              <w:rPr>
                <w:rFonts w:ascii="Times New Roman" w:hAnsi="Times New Roman" w:cs="Times New Roman"/>
                <w:vertAlign w:val="superscript"/>
              </w:rPr>
              <w:t>2</w:t>
            </w:r>
            <w:r w:rsidR="00665E57" w:rsidRPr="003E1719">
              <w:rPr>
                <w:rFonts w:ascii="Times New Roman" w:hAnsi="Times New Roman" w:cs="Times New Roman"/>
              </w:rPr>
              <w:t xml:space="preserve">     </w:t>
            </w:r>
            <w:r w:rsidR="001E2BF3" w:rsidRPr="003E1719">
              <w:rPr>
                <w:rFonts w:ascii="Times New Roman" w:hAnsi="Times New Roman" w:cs="Times New Roman"/>
              </w:rPr>
              <w:t xml:space="preserve"> </w:t>
            </w:r>
            <w:r w:rsidRPr="003E1719">
              <w:rPr>
                <w:rFonts w:ascii="Times New Roman" w:eastAsia="Times New Roman" w:hAnsi="Times New Roman" w:cs="Times New Roman"/>
              </w:rPr>
              <w:t>Su imunine sistema susijusi nekrozinė miopatija</w:t>
            </w:r>
            <w:r w:rsidR="001E2BF3" w:rsidRPr="003E1719">
              <w:rPr>
                <w:rFonts w:ascii="Times New Roman" w:hAnsi="Times New Roman" w:cs="Times New Roman"/>
                <w:vertAlign w:val="superscript"/>
              </w:rPr>
              <w:t>2</w:t>
            </w:r>
            <w:r w:rsidR="001E2BF3" w:rsidRPr="003E1719">
              <w:rPr>
                <w:rFonts w:ascii="Times New Roman" w:hAnsi="Times New Roman" w:cs="Times New Roman"/>
              </w:rPr>
              <w:t xml:space="preserve"> </w:t>
            </w:r>
          </w:p>
        </w:tc>
      </w:tr>
      <w:tr w:rsidR="001E2BF3" w:rsidRPr="003E1719" w14:paraId="227BEE01" w14:textId="77777777" w:rsidTr="00665E57">
        <w:trPr>
          <w:trHeight w:val="144"/>
        </w:trPr>
        <w:tc>
          <w:tcPr>
            <w:tcW w:w="1588" w:type="dxa"/>
          </w:tcPr>
          <w:p w14:paraId="04C49D9E"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NewRomanPSMT" w:hAnsi="Times New Roman" w:cs="Times New Roman"/>
                <w:snapToGrid w:val="0"/>
              </w:rPr>
              <w:t>Inkstų ir šlapimo takų sutrikimai</w:t>
            </w:r>
          </w:p>
        </w:tc>
        <w:tc>
          <w:tcPr>
            <w:tcW w:w="1418" w:type="dxa"/>
          </w:tcPr>
          <w:p w14:paraId="05DF5EDD"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6546FB0E" w14:textId="77777777" w:rsidR="001E2BF3" w:rsidRPr="003E1719" w:rsidRDefault="001E2BF3" w:rsidP="00C7524D">
            <w:pPr>
              <w:widowControl w:val="0"/>
              <w:autoSpaceDE w:val="0"/>
              <w:autoSpaceDN w:val="0"/>
              <w:ind w:left="34" w:hanging="23"/>
              <w:rPr>
                <w:rFonts w:ascii="Times New Roman" w:hAnsi="Times New Roman" w:cs="Times New Roman"/>
              </w:rPr>
            </w:pPr>
          </w:p>
        </w:tc>
        <w:tc>
          <w:tcPr>
            <w:tcW w:w="1559" w:type="dxa"/>
          </w:tcPr>
          <w:p w14:paraId="6F1A3FD2"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5D0F3F2B"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r w:rsidRPr="003E1719">
              <w:rPr>
                <w:rFonts w:ascii="Times New Roman" w:hAnsi="Times New Roman" w:cs="Times New Roman"/>
              </w:rPr>
              <w:t>Hematuri</w:t>
            </w:r>
            <w:r w:rsidR="00ED48DF" w:rsidRPr="003E1719">
              <w:rPr>
                <w:rFonts w:ascii="Times New Roman" w:hAnsi="Times New Roman" w:cs="Times New Roman"/>
              </w:rPr>
              <w:t>j</w:t>
            </w:r>
            <w:r w:rsidRPr="003E1719">
              <w:rPr>
                <w:rFonts w:ascii="Times New Roman" w:hAnsi="Times New Roman" w:cs="Times New Roman"/>
              </w:rPr>
              <w:t>a</w:t>
            </w:r>
            <w:r w:rsidRPr="003E1719">
              <w:rPr>
                <w:rFonts w:ascii="Times New Roman" w:hAnsi="Times New Roman" w:cs="Times New Roman"/>
                <w:vertAlign w:val="superscript"/>
              </w:rPr>
              <w:t>2</w:t>
            </w:r>
          </w:p>
        </w:tc>
        <w:tc>
          <w:tcPr>
            <w:tcW w:w="1559" w:type="dxa"/>
          </w:tcPr>
          <w:p w14:paraId="2CF73368" w14:textId="77777777" w:rsidR="001E2BF3" w:rsidRPr="003E1719" w:rsidRDefault="001E2BF3" w:rsidP="00C7524D">
            <w:pPr>
              <w:widowControl w:val="0"/>
              <w:tabs>
                <w:tab w:val="left" w:pos="459"/>
              </w:tabs>
              <w:autoSpaceDE w:val="0"/>
              <w:autoSpaceDN w:val="0"/>
              <w:ind w:left="34"/>
              <w:rPr>
                <w:rFonts w:ascii="Times New Roman" w:hAnsi="Times New Roman" w:cs="Times New Roman"/>
              </w:rPr>
            </w:pPr>
          </w:p>
        </w:tc>
      </w:tr>
      <w:tr w:rsidR="001E2BF3" w:rsidRPr="003E1719" w14:paraId="16EA53CC" w14:textId="77777777" w:rsidTr="00665E57">
        <w:trPr>
          <w:trHeight w:val="144"/>
        </w:trPr>
        <w:tc>
          <w:tcPr>
            <w:tcW w:w="1588" w:type="dxa"/>
          </w:tcPr>
          <w:p w14:paraId="0766724F"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NewRomanPSMT" w:hAnsi="Times New Roman" w:cs="Times New Roman"/>
                <w:snapToGrid w:val="0"/>
              </w:rPr>
              <w:t>Lytinės sistemos ir krūties sutrikimai</w:t>
            </w:r>
          </w:p>
        </w:tc>
        <w:tc>
          <w:tcPr>
            <w:tcW w:w="1418" w:type="dxa"/>
          </w:tcPr>
          <w:p w14:paraId="003C014B" w14:textId="77777777" w:rsidR="001E2BF3" w:rsidRPr="003E1719" w:rsidRDefault="001E2BF3" w:rsidP="00C7524D">
            <w:pPr>
              <w:widowControl w:val="0"/>
              <w:autoSpaceDE w:val="0"/>
              <w:autoSpaceDN w:val="0"/>
              <w:ind w:left="97" w:hanging="23"/>
              <w:rPr>
                <w:rFonts w:ascii="Times New Roman" w:hAnsi="Times New Roman" w:cs="Times New Roman"/>
              </w:rPr>
            </w:pPr>
          </w:p>
        </w:tc>
        <w:tc>
          <w:tcPr>
            <w:tcW w:w="1559" w:type="dxa"/>
          </w:tcPr>
          <w:p w14:paraId="190A3D64" w14:textId="77777777" w:rsidR="001E2BF3" w:rsidRPr="003E1719" w:rsidRDefault="001E2BF3" w:rsidP="00C7524D">
            <w:pPr>
              <w:widowControl w:val="0"/>
              <w:autoSpaceDE w:val="0"/>
              <w:autoSpaceDN w:val="0"/>
              <w:ind w:left="34" w:hanging="23"/>
              <w:rPr>
                <w:rFonts w:ascii="Times New Roman" w:hAnsi="Times New Roman" w:cs="Times New Roman"/>
              </w:rPr>
            </w:pPr>
          </w:p>
        </w:tc>
        <w:tc>
          <w:tcPr>
            <w:tcW w:w="1559" w:type="dxa"/>
          </w:tcPr>
          <w:p w14:paraId="38E1E013"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4C5E0A55" w14:textId="77777777" w:rsidR="001E2BF3" w:rsidRPr="003E1719" w:rsidRDefault="001E2BF3" w:rsidP="00665E57">
            <w:pPr>
              <w:widowControl w:val="0"/>
              <w:tabs>
                <w:tab w:val="left" w:pos="142"/>
              </w:tabs>
              <w:autoSpaceDE w:val="0"/>
              <w:autoSpaceDN w:val="0"/>
              <w:ind w:left="142" w:hanging="249"/>
              <w:rPr>
                <w:rFonts w:ascii="Times New Roman" w:hAnsi="Times New Roman" w:cs="Times New Roman"/>
              </w:rPr>
            </w:pPr>
            <w:r w:rsidRPr="003E1719">
              <w:rPr>
                <w:rFonts w:ascii="Times New Roman" w:hAnsi="Times New Roman" w:cs="Times New Roman"/>
              </w:rPr>
              <w:t>G</w:t>
            </w:r>
            <w:r w:rsidR="00ED48DF" w:rsidRPr="003E1719">
              <w:rPr>
                <w:rFonts w:ascii="Times New Roman" w:hAnsi="Times New Roman" w:cs="Times New Roman"/>
              </w:rPr>
              <w:t>inek</w:t>
            </w:r>
            <w:r w:rsidRPr="003E1719">
              <w:rPr>
                <w:rFonts w:ascii="Times New Roman" w:hAnsi="Times New Roman" w:cs="Times New Roman"/>
              </w:rPr>
              <w:t>omasti</w:t>
            </w:r>
            <w:r w:rsidR="00ED48DF" w:rsidRPr="003E1719">
              <w:rPr>
                <w:rFonts w:ascii="Times New Roman" w:hAnsi="Times New Roman" w:cs="Times New Roman"/>
              </w:rPr>
              <w:t>j</w:t>
            </w:r>
            <w:r w:rsidRPr="003E1719">
              <w:rPr>
                <w:rFonts w:ascii="Times New Roman" w:hAnsi="Times New Roman" w:cs="Times New Roman"/>
              </w:rPr>
              <w:t>a</w:t>
            </w:r>
            <w:r w:rsidRPr="003E1719">
              <w:rPr>
                <w:rFonts w:ascii="Times New Roman" w:hAnsi="Times New Roman" w:cs="Times New Roman"/>
                <w:vertAlign w:val="superscript"/>
              </w:rPr>
              <w:t>2</w:t>
            </w:r>
          </w:p>
        </w:tc>
        <w:tc>
          <w:tcPr>
            <w:tcW w:w="1559" w:type="dxa"/>
          </w:tcPr>
          <w:p w14:paraId="4EBF2B3B" w14:textId="77777777" w:rsidR="001E2BF3" w:rsidRPr="003E1719" w:rsidRDefault="001E2BF3" w:rsidP="00C7524D">
            <w:pPr>
              <w:widowControl w:val="0"/>
              <w:tabs>
                <w:tab w:val="left" w:pos="459"/>
              </w:tabs>
              <w:autoSpaceDE w:val="0"/>
              <w:autoSpaceDN w:val="0"/>
              <w:ind w:left="34"/>
              <w:rPr>
                <w:rFonts w:ascii="Times New Roman" w:hAnsi="Times New Roman" w:cs="Times New Roman"/>
              </w:rPr>
            </w:pPr>
          </w:p>
        </w:tc>
      </w:tr>
      <w:tr w:rsidR="001E2BF3" w:rsidRPr="003E1719" w14:paraId="2ACF1C89" w14:textId="77777777" w:rsidTr="00665E57">
        <w:trPr>
          <w:trHeight w:val="144"/>
        </w:trPr>
        <w:tc>
          <w:tcPr>
            <w:tcW w:w="1588" w:type="dxa"/>
          </w:tcPr>
          <w:p w14:paraId="369D7906"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Calibri" w:hAnsi="Times New Roman" w:cs="Times New Roman"/>
                <w:snapToGrid w:val="0"/>
              </w:rPr>
              <w:t>Bendrieji sutrikimai ir vartojimo vietos pažeidimai</w:t>
            </w:r>
          </w:p>
        </w:tc>
        <w:tc>
          <w:tcPr>
            <w:tcW w:w="1418" w:type="dxa"/>
          </w:tcPr>
          <w:p w14:paraId="5238B2B2" w14:textId="77777777" w:rsidR="001E2BF3" w:rsidRPr="003E1719" w:rsidRDefault="001E2BF3" w:rsidP="00665E57">
            <w:pPr>
              <w:widowControl w:val="0"/>
              <w:autoSpaceDE w:val="0"/>
              <w:autoSpaceDN w:val="0"/>
              <w:ind w:left="97" w:hanging="23"/>
              <w:rPr>
                <w:rFonts w:ascii="Times New Roman" w:hAnsi="Times New Roman" w:cs="Times New Roman"/>
              </w:rPr>
            </w:pPr>
            <w:r w:rsidRPr="003E1719">
              <w:rPr>
                <w:rFonts w:ascii="Times New Roman" w:hAnsi="Times New Roman" w:cs="Times New Roman"/>
              </w:rPr>
              <w:t>Asteni</w:t>
            </w:r>
            <w:r w:rsidR="00ED48DF" w:rsidRPr="003E1719">
              <w:rPr>
                <w:rFonts w:ascii="Times New Roman" w:hAnsi="Times New Roman" w:cs="Times New Roman"/>
              </w:rPr>
              <w:t>j</w:t>
            </w:r>
            <w:r w:rsidRPr="003E1719">
              <w:rPr>
                <w:rFonts w:ascii="Times New Roman" w:hAnsi="Times New Roman" w:cs="Times New Roman"/>
              </w:rPr>
              <w:t>a</w:t>
            </w:r>
            <w:r w:rsidRPr="003E1719">
              <w:rPr>
                <w:rFonts w:ascii="Times New Roman" w:hAnsi="Times New Roman" w:cs="Times New Roman"/>
                <w:vertAlign w:val="superscript"/>
              </w:rPr>
              <w:t>2</w:t>
            </w:r>
            <w:r w:rsidRPr="003E1719">
              <w:rPr>
                <w:rFonts w:ascii="Times New Roman" w:hAnsi="Times New Roman" w:cs="Times New Roman"/>
              </w:rPr>
              <w:t xml:space="preserve"> </w:t>
            </w:r>
            <w:r w:rsidR="00ED48DF" w:rsidRPr="003E1719">
              <w:rPr>
                <w:rFonts w:ascii="Times New Roman" w:hAnsi="Times New Roman" w:cs="Times New Roman"/>
              </w:rPr>
              <w:t>Nuovargis</w:t>
            </w:r>
            <w:r w:rsidRPr="003E1719">
              <w:rPr>
                <w:rFonts w:ascii="Times New Roman" w:hAnsi="Times New Roman" w:cs="Times New Roman"/>
                <w:vertAlign w:val="superscript"/>
              </w:rPr>
              <w:t>3</w:t>
            </w:r>
          </w:p>
        </w:tc>
        <w:tc>
          <w:tcPr>
            <w:tcW w:w="1559" w:type="dxa"/>
          </w:tcPr>
          <w:p w14:paraId="642C367F" w14:textId="77777777" w:rsidR="001E2BF3" w:rsidRPr="003E1719" w:rsidRDefault="00ED48DF" w:rsidP="00ED48DF">
            <w:pPr>
              <w:widowControl w:val="0"/>
              <w:autoSpaceDE w:val="0"/>
              <w:autoSpaceDN w:val="0"/>
              <w:ind w:left="34" w:hanging="23"/>
              <w:rPr>
                <w:rFonts w:ascii="Times New Roman" w:hAnsi="Times New Roman" w:cs="Times New Roman"/>
              </w:rPr>
            </w:pPr>
            <w:r w:rsidRPr="003E1719">
              <w:rPr>
                <w:rFonts w:ascii="Times New Roman" w:hAnsi="Times New Roman" w:cs="Times New Roman"/>
              </w:rPr>
              <w:t>Krūtinės skausmas</w:t>
            </w:r>
            <w:r w:rsidR="001E2BF3" w:rsidRPr="003E1719">
              <w:rPr>
                <w:rFonts w:ascii="Times New Roman" w:hAnsi="Times New Roman" w:cs="Times New Roman"/>
                <w:vertAlign w:val="superscript"/>
              </w:rPr>
              <w:t>3</w:t>
            </w:r>
            <w:r w:rsidR="001E2BF3" w:rsidRPr="003E1719">
              <w:rPr>
                <w:rFonts w:ascii="Times New Roman" w:hAnsi="Times New Roman" w:cs="Times New Roman"/>
              </w:rPr>
              <w:t xml:space="preserve"> </w:t>
            </w:r>
            <w:r w:rsidRPr="003E1719">
              <w:rPr>
                <w:rFonts w:ascii="Times New Roman" w:hAnsi="Times New Roman" w:cs="Times New Roman"/>
              </w:rPr>
              <w:t>Skausmas</w:t>
            </w:r>
            <w:r w:rsidR="001E2BF3" w:rsidRPr="003E1719">
              <w:rPr>
                <w:rFonts w:ascii="Times New Roman" w:hAnsi="Times New Roman" w:cs="Times New Roman"/>
                <w:vertAlign w:val="superscript"/>
              </w:rPr>
              <w:t>3</w:t>
            </w:r>
            <w:r w:rsidR="001E2BF3" w:rsidRPr="003E1719">
              <w:rPr>
                <w:rFonts w:ascii="Times New Roman" w:hAnsi="Times New Roman" w:cs="Times New Roman"/>
              </w:rPr>
              <w:t xml:space="preserve"> </w:t>
            </w:r>
            <w:r w:rsidRPr="003E1719">
              <w:rPr>
                <w:rFonts w:ascii="Times New Roman" w:hAnsi="Times New Roman" w:cs="Times New Roman"/>
              </w:rPr>
              <w:t>Periferinė edem</w:t>
            </w:r>
            <w:r w:rsidR="001E2BF3" w:rsidRPr="003E1719">
              <w:rPr>
                <w:rFonts w:ascii="Times New Roman" w:hAnsi="Times New Roman" w:cs="Times New Roman"/>
              </w:rPr>
              <w:t>a</w:t>
            </w:r>
            <w:r w:rsidR="001E2BF3" w:rsidRPr="003E1719">
              <w:rPr>
                <w:rFonts w:ascii="Times New Roman" w:hAnsi="Times New Roman" w:cs="Times New Roman"/>
                <w:vertAlign w:val="superscript"/>
              </w:rPr>
              <w:t>4</w:t>
            </w:r>
          </w:p>
        </w:tc>
        <w:tc>
          <w:tcPr>
            <w:tcW w:w="1559" w:type="dxa"/>
          </w:tcPr>
          <w:p w14:paraId="0F338C31"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4795F669"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5F1B0657" w14:textId="77777777" w:rsidR="001E2BF3" w:rsidRPr="003E1719" w:rsidRDefault="001E2BF3" w:rsidP="00C7524D">
            <w:pPr>
              <w:widowControl w:val="0"/>
              <w:tabs>
                <w:tab w:val="left" w:pos="459"/>
              </w:tabs>
              <w:autoSpaceDE w:val="0"/>
              <w:autoSpaceDN w:val="0"/>
              <w:ind w:left="34"/>
              <w:rPr>
                <w:rFonts w:ascii="Times New Roman" w:hAnsi="Times New Roman" w:cs="Times New Roman"/>
                <w:strike/>
              </w:rPr>
            </w:pPr>
          </w:p>
        </w:tc>
      </w:tr>
      <w:tr w:rsidR="001E2BF3" w:rsidRPr="003E1719" w14:paraId="235EC261" w14:textId="77777777" w:rsidTr="00665E57">
        <w:trPr>
          <w:trHeight w:val="144"/>
        </w:trPr>
        <w:tc>
          <w:tcPr>
            <w:tcW w:w="1588" w:type="dxa"/>
          </w:tcPr>
          <w:p w14:paraId="668680F2" w14:textId="77777777" w:rsidR="001E2BF3" w:rsidRPr="003E1719" w:rsidRDefault="009D4411" w:rsidP="00C7524D">
            <w:pPr>
              <w:widowControl w:val="0"/>
              <w:autoSpaceDE w:val="0"/>
              <w:autoSpaceDN w:val="0"/>
              <w:ind w:hanging="23"/>
              <w:rPr>
                <w:rFonts w:ascii="Times New Roman" w:hAnsi="Times New Roman" w:cs="Times New Roman"/>
                <w:b/>
              </w:rPr>
            </w:pPr>
            <w:r w:rsidRPr="003E1719">
              <w:rPr>
                <w:rFonts w:ascii="Times New Roman" w:eastAsia="Times New Roman" w:hAnsi="Times New Roman" w:cs="Times New Roman"/>
              </w:rPr>
              <w:t>Tyrimai</w:t>
            </w:r>
          </w:p>
        </w:tc>
        <w:tc>
          <w:tcPr>
            <w:tcW w:w="1418" w:type="dxa"/>
          </w:tcPr>
          <w:p w14:paraId="510DA133" w14:textId="37A39ACE" w:rsidR="001E2BF3" w:rsidRPr="003E1719" w:rsidRDefault="00ED48DF" w:rsidP="00ED48DF">
            <w:pPr>
              <w:widowControl w:val="0"/>
              <w:autoSpaceDE w:val="0"/>
              <w:autoSpaceDN w:val="0"/>
              <w:ind w:left="97" w:hanging="23"/>
              <w:rPr>
                <w:rFonts w:ascii="Times New Roman" w:hAnsi="Times New Roman" w:cs="Times New Roman"/>
              </w:rPr>
            </w:pPr>
            <w:r w:rsidRPr="003E1719">
              <w:rPr>
                <w:rFonts w:ascii="Times New Roman" w:hAnsi="Times New Roman" w:cs="Times New Roman"/>
              </w:rPr>
              <w:t xml:space="preserve">Padidėjęs </w:t>
            </w:r>
            <w:r w:rsidR="001E2BF3" w:rsidRPr="003E1719">
              <w:rPr>
                <w:rFonts w:ascii="Times New Roman" w:hAnsi="Times New Roman" w:cs="Times New Roman"/>
              </w:rPr>
              <w:t xml:space="preserve">ALT </w:t>
            </w:r>
            <w:r w:rsidR="00CC4468">
              <w:rPr>
                <w:rFonts w:ascii="Times New Roman" w:hAnsi="Times New Roman" w:cs="Times New Roman"/>
              </w:rPr>
              <w:t xml:space="preserve">(alaninaminotransferazės) </w:t>
            </w:r>
            <w:r w:rsidRPr="003E1719">
              <w:rPr>
                <w:rFonts w:ascii="Times New Roman" w:hAnsi="Times New Roman" w:cs="Times New Roman"/>
              </w:rPr>
              <w:t>ir/arba</w:t>
            </w:r>
            <w:r w:rsidR="001E2BF3" w:rsidRPr="003E1719">
              <w:rPr>
                <w:rFonts w:ascii="Times New Roman" w:hAnsi="Times New Roman" w:cs="Times New Roman"/>
              </w:rPr>
              <w:t xml:space="preserve"> AST </w:t>
            </w:r>
            <w:r w:rsidR="00CC4468">
              <w:rPr>
                <w:rFonts w:ascii="Times New Roman" w:hAnsi="Times New Roman" w:cs="Times New Roman"/>
              </w:rPr>
              <w:t xml:space="preserve">(aspartataminotransferazės) </w:t>
            </w:r>
            <w:r w:rsidRPr="003E1719">
              <w:rPr>
                <w:rFonts w:ascii="Times New Roman" w:hAnsi="Times New Roman" w:cs="Times New Roman"/>
              </w:rPr>
              <w:t>aktyvumas</w:t>
            </w:r>
            <w:r w:rsidR="001E2BF3" w:rsidRPr="003E1719">
              <w:rPr>
                <w:rFonts w:ascii="Times New Roman" w:hAnsi="Times New Roman" w:cs="Times New Roman"/>
                <w:vertAlign w:val="superscript"/>
              </w:rPr>
              <w:t>4</w:t>
            </w:r>
          </w:p>
        </w:tc>
        <w:tc>
          <w:tcPr>
            <w:tcW w:w="1559" w:type="dxa"/>
          </w:tcPr>
          <w:p w14:paraId="12EE00D7" w14:textId="77777777" w:rsidR="001E2BF3" w:rsidRPr="003E1719" w:rsidRDefault="00ED48DF" w:rsidP="00ED48DF">
            <w:pPr>
              <w:widowControl w:val="0"/>
              <w:autoSpaceDE w:val="0"/>
              <w:autoSpaceDN w:val="0"/>
              <w:ind w:left="34" w:hanging="23"/>
              <w:rPr>
                <w:rFonts w:ascii="Times New Roman" w:hAnsi="Times New Roman" w:cs="Times New Roman"/>
              </w:rPr>
            </w:pPr>
            <w:r w:rsidRPr="003E1719">
              <w:rPr>
                <w:rFonts w:ascii="Times New Roman" w:hAnsi="Times New Roman" w:cs="Times New Roman"/>
              </w:rPr>
              <w:t>Padidėjęs KK</w:t>
            </w:r>
            <w:r w:rsidR="001E2BF3" w:rsidRPr="003E1719">
              <w:rPr>
                <w:rFonts w:ascii="Times New Roman" w:hAnsi="Times New Roman" w:cs="Times New Roman"/>
                <w:vertAlign w:val="superscript"/>
              </w:rPr>
              <w:t>3</w:t>
            </w:r>
            <w:r w:rsidR="001E2BF3" w:rsidRPr="003E1719">
              <w:rPr>
                <w:rFonts w:ascii="Times New Roman" w:hAnsi="Times New Roman" w:cs="Times New Roman"/>
              </w:rPr>
              <w:t xml:space="preserve">, </w:t>
            </w:r>
            <w:r w:rsidRPr="003E1719">
              <w:rPr>
                <w:rFonts w:ascii="Times New Roman" w:hAnsi="Times New Roman" w:cs="Times New Roman"/>
              </w:rPr>
              <w:t>g</w:t>
            </w:r>
            <w:r w:rsidR="001E2BF3" w:rsidRPr="003E1719">
              <w:rPr>
                <w:rFonts w:ascii="Times New Roman" w:hAnsi="Times New Roman" w:cs="Times New Roman"/>
              </w:rPr>
              <w:t>amma-gl</w:t>
            </w:r>
            <w:r w:rsidRPr="003E1719">
              <w:rPr>
                <w:rFonts w:ascii="Times New Roman" w:hAnsi="Times New Roman" w:cs="Times New Roman"/>
              </w:rPr>
              <w:t>i</w:t>
            </w:r>
            <w:r w:rsidR="001E2BF3" w:rsidRPr="003E1719">
              <w:rPr>
                <w:rFonts w:ascii="Times New Roman" w:hAnsi="Times New Roman" w:cs="Times New Roman"/>
              </w:rPr>
              <w:t>u</w:t>
            </w:r>
            <w:r w:rsidRPr="003E1719">
              <w:rPr>
                <w:rFonts w:ascii="Times New Roman" w:hAnsi="Times New Roman" w:cs="Times New Roman"/>
              </w:rPr>
              <w:t>tamil-transferazės</w:t>
            </w:r>
            <w:r w:rsidR="001E2BF3" w:rsidRPr="003E1719">
              <w:rPr>
                <w:rFonts w:ascii="Times New Roman" w:hAnsi="Times New Roman" w:cs="Times New Roman"/>
                <w:vertAlign w:val="superscript"/>
              </w:rPr>
              <w:t>3</w:t>
            </w:r>
            <w:r w:rsidRPr="003E1719">
              <w:rPr>
                <w:rFonts w:ascii="Times New Roman" w:hAnsi="Times New Roman" w:cs="Times New Roman"/>
                <w:vertAlign w:val="superscript"/>
              </w:rPr>
              <w:t xml:space="preserve"> </w:t>
            </w:r>
            <w:r w:rsidRPr="003E1719">
              <w:rPr>
                <w:rFonts w:ascii="Times New Roman" w:hAnsi="Times New Roman" w:cs="Times New Roman"/>
              </w:rPr>
              <w:t>kiekis kraujyje</w:t>
            </w:r>
            <w:r w:rsidR="001E2BF3" w:rsidRPr="003E1719">
              <w:rPr>
                <w:rFonts w:ascii="Times New Roman" w:hAnsi="Times New Roman" w:cs="Times New Roman"/>
              </w:rPr>
              <w:t xml:space="preserve">, </w:t>
            </w:r>
            <w:r w:rsidRPr="003E1719">
              <w:rPr>
                <w:rFonts w:ascii="Times New Roman" w:hAnsi="Times New Roman" w:cs="Times New Roman"/>
              </w:rPr>
              <w:t>pakitę kepenų funkcijos tyrimų rezultatai</w:t>
            </w:r>
            <w:r w:rsidR="001E2BF3" w:rsidRPr="003E1719">
              <w:rPr>
                <w:rFonts w:ascii="Times New Roman" w:hAnsi="Times New Roman" w:cs="Times New Roman"/>
                <w:vertAlign w:val="superscript"/>
              </w:rPr>
              <w:t>3</w:t>
            </w:r>
          </w:p>
        </w:tc>
        <w:tc>
          <w:tcPr>
            <w:tcW w:w="1559" w:type="dxa"/>
          </w:tcPr>
          <w:p w14:paraId="4FA2ED61" w14:textId="77777777" w:rsidR="001E2BF3" w:rsidRPr="003E1719" w:rsidRDefault="001E2BF3" w:rsidP="00C7524D">
            <w:pPr>
              <w:widowControl w:val="0"/>
              <w:autoSpaceDE w:val="0"/>
              <w:autoSpaceDN w:val="0"/>
              <w:ind w:left="33"/>
              <w:rPr>
                <w:rFonts w:ascii="Times New Roman" w:hAnsi="Times New Roman" w:cs="Times New Roman"/>
              </w:rPr>
            </w:pPr>
          </w:p>
        </w:tc>
        <w:tc>
          <w:tcPr>
            <w:tcW w:w="1531" w:type="dxa"/>
          </w:tcPr>
          <w:p w14:paraId="387981B3" w14:textId="77777777" w:rsidR="001E2BF3" w:rsidRPr="003E1719" w:rsidRDefault="001E2BF3" w:rsidP="00C7524D">
            <w:pPr>
              <w:widowControl w:val="0"/>
              <w:tabs>
                <w:tab w:val="left" w:pos="142"/>
              </w:tabs>
              <w:autoSpaceDE w:val="0"/>
              <w:autoSpaceDN w:val="0"/>
              <w:ind w:left="142" w:hanging="23"/>
              <w:rPr>
                <w:rFonts w:ascii="Times New Roman" w:hAnsi="Times New Roman" w:cs="Times New Roman"/>
              </w:rPr>
            </w:pPr>
          </w:p>
        </w:tc>
        <w:tc>
          <w:tcPr>
            <w:tcW w:w="1559" w:type="dxa"/>
          </w:tcPr>
          <w:p w14:paraId="2871733D" w14:textId="77777777" w:rsidR="001E2BF3" w:rsidRPr="003E1719" w:rsidRDefault="001E2BF3" w:rsidP="00C7524D">
            <w:pPr>
              <w:widowControl w:val="0"/>
              <w:tabs>
                <w:tab w:val="left" w:pos="459"/>
              </w:tabs>
              <w:autoSpaceDE w:val="0"/>
              <w:autoSpaceDN w:val="0"/>
              <w:ind w:left="34"/>
              <w:rPr>
                <w:rFonts w:ascii="Times New Roman" w:hAnsi="Times New Roman" w:cs="Times New Roman"/>
              </w:rPr>
            </w:pPr>
          </w:p>
        </w:tc>
      </w:tr>
    </w:tbl>
    <w:p w14:paraId="0553C734" w14:textId="77777777" w:rsidR="00ED48DF" w:rsidRPr="003E1719" w:rsidRDefault="00ED48DF" w:rsidP="00B009C1">
      <w:pPr>
        <w:widowControl w:val="0"/>
        <w:tabs>
          <w:tab w:val="left" w:pos="567"/>
        </w:tabs>
        <w:spacing w:after="0" w:line="240" w:lineRule="auto"/>
        <w:rPr>
          <w:rFonts w:ascii="Times New Roman" w:eastAsia="Times New Roman" w:hAnsi="Times New Roman" w:cs="Times New Roman"/>
          <w:snapToGrid w:val="0"/>
          <w:kern w:val="28"/>
        </w:rPr>
      </w:pPr>
      <w:r w:rsidRPr="003E1719">
        <w:rPr>
          <w:rFonts w:ascii="Times New Roman" w:eastAsia="Times New Roman" w:hAnsi="Times New Roman" w:cs="Times New Roman"/>
          <w:vertAlign w:val="superscript"/>
          <w:lang w:eastAsia="sl-SI"/>
        </w:rPr>
        <w:t xml:space="preserve">1 </w:t>
      </w:r>
      <w:r w:rsidRPr="003E1719">
        <w:rPr>
          <w:rFonts w:ascii="Times New Roman" w:eastAsia="Times New Roman" w:hAnsi="Times New Roman" w:cs="Times New Roman"/>
          <w:snapToGrid w:val="0"/>
          <w:kern w:val="28"/>
        </w:rPr>
        <w:t xml:space="preserve">Dažnumas priklausys nuo to, ar yra rizikos veiksnių (gliukozės kiekis kraujyje nevalgius </w:t>
      </w:r>
      <w:r w:rsidRPr="003E1719">
        <w:rPr>
          <w:rFonts w:ascii="Times New Roman" w:eastAsia="Times New Roman" w:hAnsi="Times New Roman" w:cs="Times New Roman"/>
          <w:snapToGrid w:val="0"/>
        </w:rPr>
        <w:t>≥5,6 mmol/l, KMI &gt;30 kg/m</w:t>
      </w:r>
      <w:r w:rsidRPr="003E1719">
        <w:rPr>
          <w:rFonts w:ascii="Times New Roman" w:eastAsia="Times New Roman" w:hAnsi="Times New Roman" w:cs="Times New Roman"/>
          <w:snapToGrid w:val="0"/>
          <w:vertAlign w:val="superscript"/>
        </w:rPr>
        <w:t>2</w:t>
      </w:r>
      <w:r w:rsidRPr="003E1719">
        <w:rPr>
          <w:rFonts w:ascii="Times New Roman" w:eastAsia="Times New Roman" w:hAnsi="Times New Roman" w:cs="Times New Roman"/>
          <w:snapToGrid w:val="0"/>
        </w:rPr>
        <w:t>, padidėjęs trigliceridų kiekis, buvusi hipertenzija).</w:t>
      </w:r>
    </w:p>
    <w:p w14:paraId="7A0DBFB3" w14:textId="4FD3B416" w:rsidR="00665E57" w:rsidRPr="003E1719" w:rsidRDefault="00665E57" w:rsidP="00B009C1">
      <w:pPr>
        <w:spacing w:after="0" w:line="240" w:lineRule="auto"/>
        <w:rPr>
          <w:rFonts w:ascii="Times New Roman" w:hAnsi="Times New Roman" w:cs="Times New Roman"/>
        </w:rPr>
      </w:pPr>
      <w:r w:rsidRPr="003E1719">
        <w:rPr>
          <w:rFonts w:ascii="Times New Roman" w:hAnsi="Times New Roman" w:cs="Times New Roman"/>
          <w:vertAlign w:val="superscript"/>
        </w:rPr>
        <w:t>2</w:t>
      </w:r>
      <w:r w:rsidRPr="003E1719">
        <w:rPr>
          <w:rFonts w:ascii="Times New Roman" w:hAnsi="Times New Roman" w:cs="Times New Roman"/>
        </w:rPr>
        <w:t xml:space="preserve"> Rozuvastatino nepageidaujamo poveikio duomenys </w:t>
      </w:r>
      <w:r w:rsidR="00B009C1" w:rsidRPr="003E1719">
        <w:rPr>
          <w:rFonts w:ascii="Times New Roman" w:hAnsi="Times New Roman" w:cs="Times New Roman"/>
        </w:rPr>
        <w:t>pagrįsti</w:t>
      </w:r>
      <w:r w:rsidRPr="003E1719">
        <w:rPr>
          <w:rFonts w:ascii="Times New Roman" w:hAnsi="Times New Roman" w:cs="Times New Roman"/>
        </w:rPr>
        <w:t xml:space="preserve"> klinikini</w:t>
      </w:r>
      <w:r w:rsidR="00B009C1" w:rsidRPr="003E1719">
        <w:rPr>
          <w:rFonts w:ascii="Times New Roman" w:hAnsi="Times New Roman" w:cs="Times New Roman"/>
        </w:rPr>
        <w:t xml:space="preserve">ais </w:t>
      </w:r>
      <w:r w:rsidRPr="003E1719">
        <w:rPr>
          <w:rFonts w:ascii="Times New Roman" w:hAnsi="Times New Roman" w:cs="Times New Roman"/>
        </w:rPr>
        <w:t>tyrim</w:t>
      </w:r>
      <w:r w:rsidR="00B009C1" w:rsidRPr="003E1719">
        <w:rPr>
          <w:rFonts w:ascii="Times New Roman" w:hAnsi="Times New Roman" w:cs="Times New Roman"/>
        </w:rPr>
        <w:t>ais</w:t>
      </w:r>
      <w:r w:rsidRPr="003E1719">
        <w:rPr>
          <w:rFonts w:ascii="Times New Roman" w:hAnsi="Times New Roman" w:cs="Times New Roman"/>
        </w:rPr>
        <w:t xml:space="preserve"> metu ir </w:t>
      </w:r>
      <w:r w:rsidR="00B009C1" w:rsidRPr="003E1719">
        <w:rPr>
          <w:rFonts w:ascii="Times New Roman" w:hAnsi="Times New Roman" w:cs="Times New Roman"/>
        </w:rPr>
        <w:t xml:space="preserve">didele </w:t>
      </w:r>
      <w:r w:rsidR="00CC4468">
        <w:rPr>
          <w:rFonts w:ascii="Times New Roman" w:hAnsi="Times New Roman" w:cs="Times New Roman"/>
        </w:rPr>
        <w:t>poregistracinio laikotarpio patirtimi.</w:t>
      </w:r>
    </w:p>
    <w:p w14:paraId="7C801D80" w14:textId="77777777" w:rsidR="00665E57" w:rsidRPr="003E1719" w:rsidRDefault="00665E57" w:rsidP="00B009C1">
      <w:pPr>
        <w:spacing w:after="0" w:line="240" w:lineRule="auto"/>
        <w:rPr>
          <w:rFonts w:ascii="Times New Roman" w:hAnsi="Times New Roman" w:cs="Times New Roman"/>
        </w:rPr>
      </w:pPr>
      <w:r w:rsidRPr="003E1719">
        <w:rPr>
          <w:rFonts w:ascii="Times New Roman" w:hAnsi="Times New Roman" w:cs="Times New Roman"/>
          <w:vertAlign w:val="superscript"/>
        </w:rPr>
        <w:t>3</w:t>
      </w:r>
      <w:r w:rsidRPr="003E1719">
        <w:rPr>
          <w:rFonts w:ascii="Times New Roman" w:hAnsi="Times New Roman" w:cs="Times New Roman"/>
        </w:rPr>
        <w:t xml:space="preserve"> </w:t>
      </w:r>
      <w:r w:rsidR="00B009C1" w:rsidRPr="003E1719">
        <w:rPr>
          <w:rFonts w:ascii="Times New Roman" w:hAnsi="Times New Roman" w:cs="Times New Roman"/>
        </w:rPr>
        <w:t>Monoterapija ezetimibu</w:t>
      </w:r>
      <w:r w:rsidRPr="003E1719">
        <w:rPr>
          <w:rFonts w:ascii="Times New Roman" w:hAnsi="Times New Roman" w:cs="Times New Roman"/>
        </w:rPr>
        <w:t xml:space="preserve">. </w:t>
      </w:r>
      <w:r w:rsidR="00B009C1" w:rsidRPr="003E1719">
        <w:rPr>
          <w:rFonts w:ascii="Times New Roman" w:hAnsi="Times New Roman" w:cs="Times New Roman"/>
        </w:rPr>
        <w:t xml:space="preserve">Nepageidaujamas poveikis stebėtas ezetimibu gydytiems pacientams </w:t>
      </w:r>
      <w:r w:rsidRPr="003E1719">
        <w:rPr>
          <w:rFonts w:ascii="Times New Roman" w:hAnsi="Times New Roman" w:cs="Times New Roman"/>
        </w:rPr>
        <w:t xml:space="preserve">(N=2396) </w:t>
      </w:r>
      <w:r w:rsidR="00B009C1" w:rsidRPr="003E1719">
        <w:rPr>
          <w:rFonts w:ascii="Times New Roman" w:hAnsi="Times New Roman" w:cs="Times New Roman"/>
        </w:rPr>
        <w:t>ir dažniau nei vartojusiems placebą</w:t>
      </w:r>
      <w:r w:rsidRPr="003E1719">
        <w:rPr>
          <w:rFonts w:ascii="Times New Roman" w:hAnsi="Times New Roman" w:cs="Times New Roman"/>
        </w:rPr>
        <w:t xml:space="preserve"> (N=1159)</w:t>
      </w:r>
    </w:p>
    <w:p w14:paraId="59F8B1DB" w14:textId="1802E362" w:rsidR="00665E57" w:rsidRPr="003E1719" w:rsidRDefault="00665E57" w:rsidP="00B009C1">
      <w:pPr>
        <w:spacing w:after="0" w:line="240" w:lineRule="auto"/>
        <w:rPr>
          <w:rFonts w:ascii="Times New Roman" w:hAnsi="Times New Roman" w:cs="Times New Roman"/>
        </w:rPr>
      </w:pPr>
      <w:r w:rsidRPr="003E1719">
        <w:rPr>
          <w:rFonts w:ascii="Times New Roman" w:hAnsi="Times New Roman" w:cs="Times New Roman"/>
          <w:vertAlign w:val="superscript"/>
        </w:rPr>
        <w:t>4</w:t>
      </w:r>
      <w:r w:rsidRPr="003E1719">
        <w:rPr>
          <w:rFonts w:ascii="Times New Roman" w:hAnsi="Times New Roman" w:cs="Times New Roman"/>
        </w:rPr>
        <w:t xml:space="preserve"> Ezetimib</w:t>
      </w:r>
      <w:r w:rsidR="00B009C1" w:rsidRPr="003E1719">
        <w:rPr>
          <w:rFonts w:ascii="Times New Roman" w:hAnsi="Times New Roman" w:cs="Times New Roman"/>
        </w:rPr>
        <w:t>o vartojimas kartu su statinu. Nepageidaujamos reakcijos stebėtos pacientams, gydytiems ezetinibo ir statino deriniu</w:t>
      </w:r>
      <w:r w:rsidRPr="003E1719">
        <w:rPr>
          <w:rFonts w:ascii="Times New Roman" w:hAnsi="Times New Roman" w:cs="Times New Roman"/>
        </w:rPr>
        <w:t xml:space="preserve"> (N</w:t>
      </w:r>
      <w:r w:rsidR="00CC4468">
        <w:rPr>
          <w:rFonts w:ascii="Times New Roman" w:hAnsi="Times New Roman" w:cs="Times New Roman"/>
        </w:rPr>
        <w:t> </w:t>
      </w:r>
      <w:r w:rsidRPr="003E1719">
        <w:rPr>
          <w:rFonts w:ascii="Times New Roman" w:hAnsi="Times New Roman" w:cs="Times New Roman"/>
        </w:rPr>
        <w:t>=</w:t>
      </w:r>
      <w:r w:rsidR="00CC4468">
        <w:rPr>
          <w:rFonts w:ascii="Times New Roman" w:hAnsi="Times New Roman" w:cs="Times New Roman"/>
        </w:rPr>
        <w:t> </w:t>
      </w:r>
      <w:r w:rsidRPr="003E1719">
        <w:rPr>
          <w:rFonts w:ascii="Times New Roman" w:hAnsi="Times New Roman" w:cs="Times New Roman"/>
        </w:rPr>
        <w:t xml:space="preserve">11308) </w:t>
      </w:r>
      <w:r w:rsidR="00B009C1" w:rsidRPr="003E1719">
        <w:rPr>
          <w:rFonts w:ascii="Times New Roman" w:hAnsi="Times New Roman" w:cs="Times New Roman"/>
        </w:rPr>
        <w:t>ir pasitaikė dažniau, nei vartojusiems vien statin</w:t>
      </w:r>
      <w:r w:rsidR="00CC4468">
        <w:rPr>
          <w:rFonts w:ascii="Times New Roman" w:hAnsi="Times New Roman" w:cs="Times New Roman"/>
        </w:rPr>
        <w:t>o</w:t>
      </w:r>
      <w:r w:rsidRPr="003E1719">
        <w:rPr>
          <w:rFonts w:ascii="Times New Roman" w:hAnsi="Times New Roman" w:cs="Times New Roman"/>
        </w:rPr>
        <w:t xml:space="preserve"> (N</w:t>
      </w:r>
      <w:r w:rsidR="00CC4468">
        <w:rPr>
          <w:rFonts w:ascii="Times New Roman" w:hAnsi="Times New Roman" w:cs="Times New Roman"/>
        </w:rPr>
        <w:t> </w:t>
      </w:r>
      <w:r w:rsidRPr="003E1719">
        <w:rPr>
          <w:rFonts w:ascii="Times New Roman" w:hAnsi="Times New Roman" w:cs="Times New Roman"/>
        </w:rPr>
        <w:t>=</w:t>
      </w:r>
      <w:r w:rsidR="00CC4468">
        <w:rPr>
          <w:rFonts w:ascii="Times New Roman" w:hAnsi="Times New Roman" w:cs="Times New Roman"/>
        </w:rPr>
        <w:t> </w:t>
      </w:r>
      <w:r w:rsidRPr="003E1719">
        <w:rPr>
          <w:rFonts w:ascii="Times New Roman" w:hAnsi="Times New Roman" w:cs="Times New Roman"/>
        </w:rPr>
        <w:t>9361).</w:t>
      </w:r>
    </w:p>
    <w:p w14:paraId="34CC103A" w14:textId="41D9EFA8" w:rsidR="00665E57" w:rsidRPr="003E1719" w:rsidRDefault="00665E57" w:rsidP="00B009C1">
      <w:pPr>
        <w:spacing w:after="0" w:line="240" w:lineRule="auto"/>
        <w:rPr>
          <w:rFonts w:ascii="Times New Roman" w:hAnsi="Times New Roman" w:cs="Times New Roman"/>
        </w:rPr>
      </w:pPr>
      <w:r w:rsidRPr="003E1719">
        <w:rPr>
          <w:rFonts w:ascii="Times New Roman" w:hAnsi="Times New Roman" w:cs="Times New Roman"/>
          <w:vertAlign w:val="superscript"/>
        </w:rPr>
        <w:t>5</w:t>
      </w:r>
      <w:r w:rsidRPr="003E1719">
        <w:rPr>
          <w:rFonts w:ascii="Times New Roman" w:hAnsi="Times New Roman" w:cs="Times New Roman"/>
        </w:rPr>
        <w:t xml:space="preserve"> </w:t>
      </w:r>
      <w:r w:rsidR="00B009C1" w:rsidRPr="003E1719">
        <w:rPr>
          <w:rFonts w:ascii="Times New Roman" w:hAnsi="Times New Roman" w:cs="Times New Roman"/>
        </w:rPr>
        <w:t>Papildomos ezetimibo sukeltos nepageidaujamos reakcijos, pranešimai po pateikimo į rinką (vartojant su ar be statino). Kadangi šis nepageidaujamas poveikis nustatytas pagal spontaniniu pranešimus, j</w:t>
      </w:r>
      <w:r w:rsidR="00CC4468">
        <w:rPr>
          <w:rFonts w:ascii="Times New Roman" w:hAnsi="Times New Roman" w:cs="Times New Roman"/>
        </w:rPr>
        <w:t>ų</w:t>
      </w:r>
      <w:r w:rsidR="00B009C1" w:rsidRPr="003E1719">
        <w:rPr>
          <w:rFonts w:ascii="Times New Roman" w:hAnsi="Times New Roman" w:cs="Times New Roman"/>
        </w:rPr>
        <w:t xml:space="preserve"> tikrasis dažnis nežinomas ir negali būti apskaičiuotas</w:t>
      </w:r>
      <w:r w:rsidRPr="003E1719">
        <w:rPr>
          <w:rFonts w:ascii="Times New Roman" w:hAnsi="Times New Roman" w:cs="Times New Roman"/>
        </w:rPr>
        <w:t>.</w:t>
      </w:r>
    </w:p>
    <w:p w14:paraId="1397499B" w14:textId="77777777" w:rsidR="00ED48DF" w:rsidRPr="003E1719" w:rsidRDefault="00ED48DF" w:rsidP="00ED48DF">
      <w:pPr>
        <w:widowControl w:val="0"/>
        <w:tabs>
          <w:tab w:val="left" w:pos="567"/>
        </w:tabs>
        <w:spacing w:after="0" w:line="240" w:lineRule="auto"/>
        <w:rPr>
          <w:rFonts w:ascii="Times New Roman" w:eastAsia="Times New Roman" w:hAnsi="Times New Roman" w:cs="Times New Roman"/>
          <w:snapToGrid w:val="0"/>
        </w:rPr>
      </w:pPr>
    </w:p>
    <w:p w14:paraId="2DEF6C31" w14:textId="0804AB17" w:rsidR="00B009C1" w:rsidRPr="003E1719" w:rsidRDefault="00B009C1" w:rsidP="00ED48DF">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Buvo pranešta apie šias nepageidaujamas reakcijas vartojant kai kuriu</w:t>
      </w:r>
      <w:r w:rsidR="00CC4468">
        <w:rPr>
          <w:rFonts w:ascii="Times New Roman" w:eastAsia="Times New Roman" w:hAnsi="Times New Roman" w:cs="Times New Roman"/>
          <w:i/>
          <w:snapToGrid w:val="0"/>
        </w:rPr>
        <w:t>ų</w:t>
      </w:r>
      <w:r w:rsidRPr="003E1719">
        <w:rPr>
          <w:rFonts w:ascii="Times New Roman" w:eastAsia="Times New Roman" w:hAnsi="Times New Roman" w:cs="Times New Roman"/>
          <w:i/>
          <w:snapToGrid w:val="0"/>
        </w:rPr>
        <w:t xml:space="preserve"> statin</w:t>
      </w:r>
      <w:r w:rsidR="00CC4468">
        <w:rPr>
          <w:rFonts w:ascii="Times New Roman" w:eastAsia="Times New Roman" w:hAnsi="Times New Roman" w:cs="Times New Roman"/>
          <w:i/>
          <w:snapToGrid w:val="0"/>
        </w:rPr>
        <w:t>ų</w:t>
      </w:r>
    </w:p>
    <w:p w14:paraId="55166612" w14:textId="77777777" w:rsidR="00B009C1" w:rsidRPr="003E1719" w:rsidRDefault="00301188" w:rsidP="000A2458">
      <w:pPr>
        <w:pStyle w:val="Sraopastraipa"/>
        <w:widowControl w:val="0"/>
        <w:numPr>
          <w:ilvl w:val="0"/>
          <w:numId w:val="20"/>
        </w:numPr>
        <w:tabs>
          <w:tab w:val="left" w:pos="567"/>
        </w:tabs>
        <w:ind w:left="567" w:hanging="567"/>
        <w:rPr>
          <w:snapToGrid w:val="0"/>
          <w:sz w:val="22"/>
          <w:szCs w:val="22"/>
        </w:rPr>
      </w:pPr>
      <w:r w:rsidRPr="003E1719">
        <w:rPr>
          <w:snapToGrid w:val="0"/>
          <w:sz w:val="22"/>
          <w:szCs w:val="22"/>
        </w:rPr>
        <w:t>Lytinės funkcijos sutrikimas</w:t>
      </w:r>
    </w:p>
    <w:p w14:paraId="5756AB50" w14:textId="77777777" w:rsidR="00301188" w:rsidRPr="003E1719" w:rsidRDefault="00301188" w:rsidP="000A2458">
      <w:pPr>
        <w:pStyle w:val="Sraopastraipa"/>
        <w:widowControl w:val="0"/>
        <w:numPr>
          <w:ilvl w:val="0"/>
          <w:numId w:val="20"/>
        </w:numPr>
        <w:tabs>
          <w:tab w:val="left" w:pos="567"/>
        </w:tabs>
        <w:ind w:left="567" w:hanging="567"/>
        <w:rPr>
          <w:snapToGrid w:val="0"/>
          <w:sz w:val="22"/>
          <w:szCs w:val="22"/>
        </w:rPr>
      </w:pPr>
      <w:r w:rsidRPr="003E1719">
        <w:rPr>
          <w:snapToGrid w:val="0"/>
          <w:sz w:val="22"/>
          <w:szCs w:val="22"/>
        </w:rPr>
        <w:t>Išskirtiniai intersticinės plaučių ligos atvejai, ypač gydant ilgai (žr. 4.4 skyrių).</w:t>
      </w:r>
    </w:p>
    <w:p w14:paraId="32F6EFAF" w14:textId="77777777" w:rsidR="000A2458" w:rsidRDefault="000A2458" w:rsidP="000A2458">
      <w:pPr>
        <w:spacing w:after="0" w:line="240" w:lineRule="auto"/>
        <w:rPr>
          <w:rFonts w:ascii="Times New Roman" w:eastAsia="Times New Roman" w:hAnsi="Times New Roman" w:cs="Times New Roman"/>
          <w:snapToGrid w:val="0"/>
        </w:rPr>
      </w:pPr>
    </w:p>
    <w:p w14:paraId="4655DB53" w14:textId="77777777" w:rsidR="001E2BF3" w:rsidRPr="003E1719" w:rsidRDefault="00ED48DF" w:rsidP="000A2458">
      <w:pPr>
        <w:spacing w:after="0" w:line="240" w:lineRule="auto"/>
        <w:rPr>
          <w:rFonts w:ascii="Times New Roman" w:hAnsi="Times New Roman" w:cs="Times New Roman"/>
        </w:rPr>
      </w:pPr>
      <w:r w:rsidRPr="003E1719">
        <w:rPr>
          <w:rFonts w:ascii="Times New Roman" w:eastAsia="Times New Roman" w:hAnsi="Times New Roman" w:cs="Times New Roman"/>
          <w:snapToGrid w:val="0"/>
        </w:rPr>
        <w:t>Kaip ir vartojant kitokių HMG-KoA reduktazės inhibitorių, yra nepageidaujamų reakcijų dažnio priklausomybės nuo dozės tendencija.</w:t>
      </w:r>
    </w:p>
    <w:p w14:paraId="66CBD551" w14:textId="77777777" w:rsidR="000A2458" w:rsidRDefault="000A2458" w:rsidP="000D7B89">
      <w:pPr>
        <w:widowControl w:val="0"/>
        <w:tabs>
          <w:tab w:val="left" w:pos="567"/>
        </w:tabs>
        <w:spacing w:after="0" w:line="240" w:lineRule="auto"/>
        <w:rPr>
          <w:rFonts w:ascii="Times New Roman" w:eastAsia="Times New Roman" w:hAnsi="Times New Roman" w:cs="Times New Roman"/>
          <w:i/>
          <w:snapToGrid w:val="0"/>
        </w:rPr>
      </w:pPr>
    </w:p>
    <w:p w14:paraId="34C38049"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i/>
          <w:snapToGrid w:val="0"/>
        </w:rPr>
        <w:t>Poveikis inkstams</w:t>
      </w:r>
      <w:r w:rsidRPr="003E1719">
        <w:rPr>
          <w:rFonts w:ascii="Times New Roman" w:eastAsia="Times New Roman" w:hAnsi="Times New Roman" w:cs="Times New Roman"/>
          <w:snapToGrid w:val="0"/>
        </w:rPr>
        <w:t>. Rozuvastatinu gydytiems pacientams juostelės mėginiu buvo nustatyta proteinurija, kuri dažniausiai buvo kanalėlių kilmės. Mažiau kaip 1</w:t>
      </w:r>
      <w:r w:rsidR="00301188" w:rsidRPr="003E1719">
        <w:rPr>
          <w:rFonts w:ascii="Times New Roman" w:eastAsia="Times New Roman" w:hAnsi="Times New Roman" w:cs="Times New Roman"/>
          <w:snapToGrid w:val="0"/>
        </w:rPr>
        <w:t> </w:t>
      </w:r>
      <w:r w:rsidRPr="003E1719">
        <w:rPr>
          <w:rFonts w:ascii="Times New Roman" w:eastAsia="Times New Roman" w:hAnsi="Times New Roman" w:cs="Times New Roman"/>
          <w:snapToGrid w:val="0"/>
        </w:rPr>
        <w:t>% pacientų, gydytų 10 mg arba 20 mg doze, ir maždaug 3</w:t>
      </w:r>
      <w:r w:rsidR="00301188" w:rsidRPr="003E1719">
        <w:rPr>
          <w:rFonts w:ascii="Times New Roman" w:eastAsia="Times New Roman" w:hAnsi="Times New Roman" w:cs="Times New Roman"/>
          <w:snapToGrid w:val="0"/>
        </w:rPr>
        <w:t> </w:t>
      </w:r>
      <w:r w:rsidRPr="003E1719">
        <w:rPr>
          <w:rFonts w:ascii="Times New Roman" w:eastAsia="Times New Roman" w:hAnsi="Times New Roman" w:cs="Times New Roman"/>
          <w:snapToGrid w:val="0"/>
        </w:rPr>
        <w:t>% pacientų, gydytų 40 mg doze, tam tikru metu baltymo šlapime rodmuo pakito nuo „nėra“ arba „pėdsakai“ iki „++“ ar daugiau. Vartojant 20 mg dozę, pastebėtas nedidelis pokytis nuo „nėra“ arba „pėdsakai“ iki „+“. Dažniausiai proteinurija sumažėja arba išnyksta savaime tęsiant gydymą. Peržiūrėjus klinikinių tyrimų duomenis ir po vaistinio preparato pateikimo į rinką gautus duomenis, priežastinio ryšio tarp proteinurijos ir ūminės ar progresuojančios inkstų ligos nenustatyta.</w:t>
      </w:r>
    </w:p>
    <w:p w14:paraId="4B1D2DA9"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Rozuvastatinu gydytiems pacientams buvo hematurijos atvejų. Klinikinių tyrimų duomenys rodo, kad ji pasireiškia retai.</w:t>
      </w:r>
    </w:p>
    <w:p w14:paraId="396D8EA0"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i/>
          <w:iCs/>
        </w:rPr>
      </w:pPr>
    </w:p>
    <w:p w14:paraId="3B056EFC" w14:textId="2B5FAF4C"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i/>
          <w:snapToGrid w:val="0"/>
        </w:rPr>
        <w:t xml:space="preserve">Poveikis skeleto raumenims. </w:t>
      </w:r>
      <w:r w:rsidRPr="003E1719">
        <w:rPr>
          <w:rFonts w:ascii="Times New Roman" w:eastAsia="Times New Roman" w:hAnsi="Times New Roman" w:cs="Times New Roman"/>
          <w:snapToGrid w:val="0"/>
        </w:rPr>
        <w:t>Pranešta apie rozuvastatinu gydytiems pacientams pasireiškusį poveikį skeleto raumenims, pvz., mialgiją, miopatiją (įskaitant miozitą) ir retais atvejais rabdomiolizę su ūminiu inkstų nepakankamumu arba be jo vartojant vis</w:t>
      </w:r>
      <w:r w:rsidR="00CC4468">
        <w:rPr>
          <w:rFonts w:ascii="Times New Roman" w:eastAsia="Times New Roman" w:hAnsi="Times New Roman" w:cs="Times New Roman"/>
          <w:snapToGrid w:val="0"/>
        </w:rPr>
        <w:t>ų</w:t>
      </w:r>
      <w:r w:rsidRPr="003E1719">
        <w:rPr>
          <w:rFonts w:ascii="Times New Roman" w:eastAsia="Times New Roman" w:hAnsi="Times New Roman" w:cs="Times New Roman"/>
          <w:snapToGrid w:val="0"/>
        </w:rPr>
        <w:t xml:space="preserve"> doz</w:t>
      </w:r>
      <w:r w:rsidR="00CC4468">
        <w:rPr>
          <w:rFonts w:ascii="Times New Roman" w:eastAsia="Times New Roman" w:hAnsi="Times New Roman" w:cs="Times New Roman"/>
          <w:snapToGrid w:val="0"/>
        </w:rPr>
        <w:t>ių</w:t>
      </w:r>
      <w:r w:rsidRPr="003E1719">
        <w:rPr>
          <w:rFonts w:ascii="Times New Roman" w:eastAsia="Times New Roman" w:hAnsi="Times New Roman" w:cs="Times New Roman"/>
          <w:snapToGrid w:val="0"/>
        </w:rPr>
        <w:t xml:space="preserve"> ir ypač didesnę kaip 20 mg dozę.</w:t>
      </w:r>
    </w:p>
    <w:p w14:paraId="5A7F91BC"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iCs/>
        </w:rPr>
      </w:pPr>
    </w:p>
    <w:p w14:paraId="6B06D17B"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Rozuvastatinu gydytiems pacientams pastebėtas nuo dozės priklausomas KK aktyvumo padidėjimas. Dažniausiai šis suaktyvėjimas buvo lengvas, besimptomis ir laikinas. Jeigu pasireiškia KK aktyvumo padidėjimas (&gt;</w:t>
      </w:r>
      <w:r w:rsidR="00301188" w:rsidRPr="003E1719">
        <w:rPr>
          <w:rFonts w:ascii="Times New Roman" w:eastAsia="Times New Roman" w:hAnsi="Times New Roman" w:cs="Times New Roman"/>
          <w:snapToGrid w:val="0"/>
        </w:rPr>
        <w:t> </w:t>
      </w:r>
      <w:r w:rsidRPr="003E1719">
        <w:rPr>
          <w:rFonts w:ascii="Times New Roman" w:eastAsia="Times New Roman" w:hAnsi="Times New Roman" w:cs="Times New Roman"/>
          <w:snapToGrid w:val="0"/>
        </w:rPr>
        <w:t>5</w:t>
      </w:r>
      <w:r w:rsidR="00301188" w:rsidRPr="003E1719">
        <w:rPr>
          <w:rFonts w:ascii="Times New Roman" w:eastAsia="Times New Roman" w:hAnsi="Times New Roman" w:cs="Times New Roman"/>
          <w:snapToGrid w:val="0"/>
        </w:rPr>
        <w:t> </w:t>
      </w:r>
      <w:r w:rsidRPr="003E1719">
        <w:rPr>
          <w:rFonts w:ascii="Times New Roman" w:eastAsia="Times New Roman" w:hAnsi="Times New Roman" w:cs="Times New Roman"/>
          <w:snapToGrid w:val="0"/>
        </w:rPr>
        <w:t xml:space="preserve"> kartus viršijama VNR), gydymą reikia nutraukti (žr. 4.4 skyrių).</w:t>
      </w:r>
    </w:p>
    <w:p w14:paraId="7F9F4302" w14:textId="77777777" w:rsidR="00301188" w:rsidRPr="003E1719" w:rsidRDefault="00301188" w:rsidP="000D7B89">
      <w:pPr>
        <w:widowControl w:val="0"/>
        <w:tabs>
          <w:tab w:val="left" w:pos="567"/>
        </w:tabs>
        <w:spacing w:after="0" w:line="240" w:lineRule="auto"/>
        <w:rPr>
          <w:rFonts w:ascii="Times New Roman" w:eastAsia="Times New Roman" w:hAnsi="Times New Roman" w:cs="Times New Roman"/>
          <w:i/>
          <w:snapToGrid w:val="0"/>
        </w:rPr>
      </w:pPr>
    </w:p>
    <w:p w14:paraId="1BDA9026"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i/>
          <w:snapToGrid w:val="0"/>
        </w:rPr>
        <w:t xml:space="preserve">Poveikis kepenims. </w:t>
      </w:r>
      <w:r w:rsidRPr="003E1719">
        <w:rPr>
          <w:rFonts w:ascii="Times New Roman" w:eastAsia="Times New Roman" w:hAnsi="Times New Roman" w:cs="Times New Roman"/>
          <w:snapToGrid w:val="0"/>
        </w:rPr>
        <w:t>Nedidelei daliai rozuvastatinu, kaip ir kitokiais HMG-KoA reduktazės inhibitoriais, gydytų pacientų pastebėtas nuo dozės priklausomas transaminazių suaktyvėjimas. Dauguma atvejų šis suaktyvėjimas buvo lengvas, besimptomis ir laikinas.</w:t>
      </w:r>
    </w:p>
    <w:p w14:paraId="2AD8D55A"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iCs/>
          <w:highlight w:val="yellow"/>
          <w:u w:val="single"/>
        </w:rPr>
      </w:pPr>
    </w:p>
    <w:p w14:paraId="5B7DA57A" w14:textId="77777777" w:rsidR="000D7B89" w:rsidRPr="003E1719" w:rsidRDefault="00301188" w:rsidP="000D7B89">
      <w:pPr>
        <w:widowControl w:val="0"/>
        <w:tabs>
          <w:tab w:val="left" w:pos="567"/>
        </w:tabs>
        <w:spacing w:after="0" w:line="240" w:lineRule="auto"/>
        <w:rPr>
          <w:rFonts w:ascii="Times New Roman" w:eastAsia="Times New Roman" w:hAnsi="Times New Roman" w:cs="Times New Roman"/>
          <w:bCs/>
          <w:i/>
          <w:iCs/>
          <w:snapToGrid w:val="0"/>
          <w:lang w:eastAsia="lt-LT"/>
        </w:rPr>
      </w:pPr>
      <w:r w:rsidRPr="003E1719">
        <w:rPr>
          <w:rFonts w:ascii="Times New Roman" w:eastAsia="Times New Roman" w:hAnsi="Times New Roman" w:cs="Times New Roman"/>
          <w:i/>
          <w:snapToGrid w:val="0"/>
        </w:rPr>
        <w:t>Labo</w:t>
      </w:r>
      <w:r w:rsidR="000D7B89" w:rsidRPr="003E1719">
        <w:rPr>
          <w:rFonts w:ascii="Times New Roman" w:eastAsia="Times New Roman" w:hAnsi="Times New Roman" w:cs="Times New Roman"/>
          <w:bCs/>
          <w:i/>
          <w:iCs/>
          <w:snapToGrid w:val="0"/>
          <w:lang w:eastAsia="lt-LT"/>
        </w:rPr>
        <w:t>ratoriniai rod</w:t>
      </w:r>
      <w:r w:rsidR="000D7B89" w:rsidRPr="003E1719">
        <w:rPr>
          <w:rFonts w:ascii="Times New Roman" w:eastAsia="Times New Roman" w:hAnsi="Times New Roman" w:cs="Times New Roman"/>
          <w:i/>
          <w:snapToGrid w:val="0"/>
          <w:lang w:eastAsia="lt-LT"/>
        </w:rPr>
        <w:t>menys</w:t>
      </w:r>
    </w:p>
    <w:p w14:paraId="7E42139B" w14:textId="2ABDC6E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lt-LT"/>
        </w:rPr>
      </w:pPr>
      <w:r w:rsidRPr="003E1719">
        <w:rPr>
          <w:rFonts w:ascii="Times New Roman" w:eastAsia="Times New Roman" w:hAnsi="Times New Roman" w:cs="Times New Roman"/>
          <w:snapToGrid w:val="0"/>
          <w:lang w:eastAsia="lt-LT"/>
        </w:rPr>
        <w:t xml:space="preserve">Kontroliuojamų klinikinių monoterapijos tyrimų metu kliniškai svarbaus serumo transaminazių aktyvumo padidėjimo (ALT ir (arba) AST </w:t>
      </w:r>
      <w:r w:rsidRPr="003E1719">
        <w:rPr>
          <w:rFonts w:ascii="Times New Roman" w:eastAsia="Times New Roman" w:hAnsi="Times New Roman" w:cs="Times New Roman"/>
          <w:snapToGrid w:val="0"/>
          <w:lang w:eastAsia="lt-LT"/>
        </w:rPr>
        <w:sym w:font="Symbol" w:char="F0B3"/>
      </w:r>
      <w:r w:rsidRPr="003E1719">
        <w:rPr>
          <w:rFonts w:ascii="Times New Roman" w:eastAsia="Times New Roman" w:hAnsi="Times New Roman" w:cs="Times New Roman"/>
          <w:snapToGrid w:val="0"/>
          <w:lang w:eastAsia="lt-LT"/>
        </w:rPr>
        <w:t xml:space="preserve"> 3 kartus viršijo VNR, padidėjimas nuoseklus) dažnis </w:t>
      </w:r>
      <w:r w:rsidRPr="003E1719">
        <w:rPr>
          <w:rFonts w:ascii="Times New Roman" w:eastAsia="Times New Roman" w:hAnsi="Times New Roman" w:cs="Times New Roman"/>
          <w:snapToGrid w:val="0"/>
          <w:lang w:eastAsia="sl-SI"/>
        </w:rPr>
        <w:t>ezetimib</w:t>
      </w:r>
      <w:r w:rsidR="00CC4468">
        <w:rPr>
          <w:rFonts w:ascii="Times New Roman" w:eastAsia="Times New Roman" w:hAnsi="Times New Roman" w:cs="Times New Roman"/>
          <w:snapToGrid w:val="0"/>
          <w:lang w:eastAsia="sl-SI"/>
        </w:rPr>
        <w:t>o</w:t>
      </w:r>
      <w:r w:rsidRPr="003E1719">
        <w:rPr>
          <w:rFonts w:ascii="Times New Roman" w:eastAsia="Times New Roman" w:hAnsi="Times New Roman" w:cs="Times New Roman"/>
          <w:snapToGrid w:val="0"/>
          <w:lang w:eastAsia="lt-LT"/>
        </w:rPr>
        <w:t xml:space="preserve"> (0,5 %) ir placeb</w:t>
      </w:r>
      <w:r w:rsidR="00CC4468">
        <w:rPr>
          <w:rFonts w:ascii="Times New Roman" w:eastAsia="Times New Roman" w:hAnsi="Times New Roman" w:cs="Times New Roman"/>
          <w:snapToGrid w:val="0"/>
          <w:lang w:eastAsia="lt-LT"/>
        </w:rPr>
        <w:t>o</w:t>
      </w:r>
      <w:r w:rsidRPr="003E1719">
        <w:rPr>
          <w:rFonts w:ascii="Times New Roman" w:eastAsia="Times New Roman" w:hAnsi="Times New Roman" w:cs="Times New Roman"/>
          <w:snapToGrid w:val="0"/>
          <w:lang w:eastAsia="lt-LT"/>
        </w:rPr>
        <w:t xml:space="preserve"> (0,3 %) vartojusiems pacientams buvo panašus. Tyrimų, kai buvo vartojami keli vaistiniai preparatai, metu šių reiškinių dažnis buvo toks: 1,3 % </w:t>
      </w:r>
      <w:r w:rsidRPr="003E1719">
        <w:rPr>
          <w:rFonts w:ascii="Times New Roman" w:eastAsia="Times New Roman" w:hAnsi="Times New Roman" w:cs="Times New Roman"/>
          <w:snapToGrid w:val="0"/>
          <w:lang w:eastAsia="sl-SI"/>
        </w:rPr>
        <w:t>ezetimibo</w:t>
      </w:r>
      <w:r w:rsidRPr="003E1719">
        <w:rPr>
          <w:rFonts w:ascii="Times New Roman" w:eastAsia="Times New Roman" w:hAnsi="Times New Roman" w:cs="Times New Roman"/>
          <w:snapToGrid w:val="0"/>
          <w:lang w:eastAsia="lt-LT"/>
        </w:rPr>
        <w:t xml:space="preserve"> vartojant su statinu ir 0,4 % vartojant vien statin</w:t>
      </w:r>
      <w:r w:rsidR="00CC4468">
        <w:rPr>
          <w:rFonts w:ascii="Times New Roman" w:eastAsia="Times New Roman" w:hAnsi="Times New Roman" w:cs="Times New Roman"/>
          <w:snapToGrid w:val="0"/>
          <w:lang w:eastAsia="lt-LT"/>
        </w:rPr>
        <w:t>o</w:t>
      </w:r>
      <w:r w:rsidRPr="003E1719">
        <w:rPr>
          <w:rFonts w:ascii="Times New Roman" w:eastAsia="Times New Roman" w:hAnsi="Times New Roman" w:cs="Times New Roman"/>
          <w:snapToGrid w:val="0"/>
          <w:lang w:eastAsia="lt-LT"/>
        </w:rPr>
        <w:t>. Šis padidėjimas paprastai buvo besimptomis, nebuvo susijęs su cholestaze, rodmenys sunormalėjo nutraukus gydymą ar jį tęsiant (žr. 4.4 skyrių).</w:t>
      </w:r>
    </w:p>
    <w:p w14:paraId="47F71CCA"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lt-LT"/>
        </w:rPr>
      </w:pPr>
    </w:p>
    <w:p w14:paraId="6E185868" w14:textId="24B10F9E"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lt-LT"/>
        </w:rPr>
      </w:pPr>
      <w:r w:rsidRPr="003E1719">
        <w:rPr>
          <w:rFonts w:ascii="Times New Roman" w:eastAsia="Times New Roman" w:hAnsi="Times New Roman" w:cs="Times New Roman"/>
          <w:snapToGrid w:val="0"/>
          <w:lang w:eastAsia="lt-LT"/>
        </w:rPr>
        <w:t xml:space="preserve">Klinikiniuose tyrimuose KFK aktyvumo padidėjimas, daugiau kaip 10 </w:t>
      </w:r>
      <w:r w:rsidR="00301188" w:rsidRPr="003E1719">
        <w:rPr>
          <w:rFonts w:ascii="Times New Roman" w:eastAsia="Times New Roman" w:hAnsi="Times New Roman" w:cs="Times New Roman"/>
          <w:snapToGrid w:val="0"/>
          <w:lang w:eastAsia="lt-LT"/>
        </w:rPr>
        <w:t xml:space="preserve">kartų </w:t>
      </w:r>
      <w:r w:rsidRPr="003E1719">
        <w:rPr>
          <w:rFonts w:ascii="Times New Roman" w:eastAsia="Times New Roman" w:hAnsi="Times New Roman" w:cs="Times New Roman"/>
          <w:snapToGrid w:val="0"/>
          <w:lang w:eastAsia="lt-LT"/>
        </w:rPr>
        <w:t>viršijantis VNR, pasireiškė 4 iš 1674 pacientų (0,2 %), vartojusių vien ezetimib</w:t>
      </w:r>
      <w:r w:rsidR="00326CA2">
        <w:rPr>
          <w:rFonts w:ascii="Times New Roman" w:eastAsia="Times New Roman" w:hAnsi="Times New Roman" w:cs="Times New Roman"/>
          <w:snapToGrid w:val="0"/>
          <w:lang w:eastAsia="lt-LT"/>
        </w:rPr>
        <w:t>o</w:t>
      </w:r>
      <w:r w:rsidRPr="003E1719">
        <w:rPr>
          <w:rFonts w:ascii="Times New Roman" w:eastAsia="Times New Roman" w:hAnsi="Times New Roman" w:cs="Times New Roman"/>
          <w:snapToGrid w:val="0"/>
          <w:lang w:eastAsia="lt-LT"/>
        </w:rPr>
        <w:t xml:space="preserve">, palyginti su 1 iš 786 pacientų (0,1 %), vartojusių placebą, ir 1 iš 917 pacientų (0,1 %), vartojusių </w:t>
      </w:r>
      <w:r w:rsidRPr="003E1719">
        <w:rPr>
          <w:rFonts w:ascii="Times New Roman" w:eastAsia="Times New Roman" w:hAnsi="Times New Roman" w:cs="Times New Roman"/>
          <w:snapToGrid w:val="0"/>
          <w:lang w:eastAsia="sl-SI"/>
        </w:rPr>
        <w:t>ezetimib</w:t>
      </w:r>
      <w:r w:rsidR="00326CA2">
        <w:rPr>
          <w:rFonts w:ascii="Times New Roman" w:eastAsia="Times New Roman" w:hAnsi="Times New Roman" w:cs="Times New Roman"/>
          <w:snapToGrid w:val="0"/>
          <w:lang w:eastAsia="sl-SI"/>
        </w:rPr>
        <w:t>o</w:t>
      </w:r>
      <w:r w:rsidRPr="003E1719">
        <w:rPr>
          <w:rFonts w:ascii="Times New Roman" w:eastAsia="Times New Roman" w:hAnsi="Times New Roman" w:cs="Times New Roman"/>
          <w:snapToGrid w:val="0"/>
          <w:lang w:eastAsia="lt-LT"/>
        </w:rPr>
        <w:t xml:space="preserve"> ir statin</w:t>
      </w:r>
      <w:r w:rsidR="00326CA2">
        <w:rPr>
          <w:rFonts w:ascii="Times New Roman" w:eastAsia="Times New Roman" w:hAnsi="Times New Roman" w:cs="Times New Roman"/>
          <w:snapToGrid w:val="0"/>
          <w:lang w:eastAsia="lt-LT"/>
        </w:rPr>
        <w:t>o</w:t>
      </w:r>
      <w:r w:rsidRPr="003E1719">
        <w:rPr>
          <w:rFonts w:ascii="Times New Roman" w:eastAsia="Times New Roman" w:hAnsi="Times New Roman" w:cs="Times New Roman"/>
          <w:snapToGrid w:val="0"/>
          <w:lang w:eastAsia="lt-LT"/>
        </w:rPr>
        <w:t>, palyginti su 4 iš 929 pacientų (0,4 %), vartojusių vieną statin</w:t>
      </w:r>
      <w:r w:rsidR="00326CA2">
        <w:rPr>
          <w:rFonts w:ascii="Times New Roman" w:eastAsia="Times New Roman" w:hAnsi="Times New Roman" w:cs="Times New Roman"/>
          <w:snapToGrid w:val="0"/>
          <w:lang w:eastAsia="lt-LT"/>
        </w:rPr>
        <w:t>o</w:t>
      </w:r>
      <w:r w:rsidRPr="003E1719">
        <w:rPr>
          <w:rFonts w:ascii="Times New Roman" w:eastAsia="Times New Roman" w:hAnsi="Times New Roman" w:cs="Times New Roman"/>
          <w:snapToGrid w:val="0"/>
          <w:lang w:eastAsia="lt-LT"/>
        </w:rPr>
        <w:t>. Miopatija arba rabdomiolizė, susijusi su</w:t>
      </w:r>
      <w:r w:rsidRPr="003E1719">
        <w:rPr>
          <w:rFonts w:ascii="Times New Roman" w:eastAsia="Times New Roman" w:hAnsi="Times New Roman" w:cs="Times New Roman"/>
          <w:snapToGrid w:val="0"/>
          <w:lang w:eastAsia="sl-SI"/>
        </w:rPr>
        <w:t xml:space="preserve"> ezetimibu</w:t>
      </w:r>
      <w:r w:rsidRPr="003E1719">
        <w:rPr>
          <w:rFonts w:ascii="Times New Roman" w:eastAsia="Times New Roman" w:hAnsi="Times New Roman" w:cs="Times New Roman"/>
          <w:snapToGrid w:val="0"/>
          <w:lang w:eastAsia="lt-LT"/>
        </w:rPr>
        <w:t>, nepasireiškė dažniau negu aktualiose kontrolinėse grupėse (placebo arba vien statino) (žr. 4.4 skyrių).</w:t>
      </w:r>
    </w:p>
    <w:p w14:paraId="3704849E"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43607E89"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iCs/>
          <w:u w:val="single"/>
        </w:rPr>
      </w:pPr>
      <w:r w:rsidRPr="003E1719">
        <w:rPr>
          <w:rFonts w:ascii="Times New Roman" w:eastAsia="Times New Roman" w:hAnsi="Times New Roman" w:cs="Times New Roman"/>
          <w:iCs/>
          <w:u w:val="single"/>
        </w:rPr>
        <w:t>Vaikų populiacija</w:t>
      </w:r>
    </w:p>
    <w:p w14:paraId="67E31F24" w14:textId="77777777" w:rsidR="00BA759E" w:rsidRPr="003E1719" w:rsidRDefault="00AF3800" w:rsidP="0039300C">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Cs/>
        </w:rPr>
        <w:t>Rosuvastatin/Ezetimibe Teva</w:t>
      </w:r>
      <w:r w:rsidR="0039300C" w:rsidRPr="003E1719">
        <w:rPr>
          <w:rFonts w:ascii="Times New Roman" w:eastAsia="Times New Roman" w:hAnsi="Times New Roman" w:cs="Times New Roman"/>
          <w:iCs/>
        </w:rPr>
        <w:t xml:space="preserve"> </w:t>
      </w:r>
      <w:r w:rsidR="0039300C" w:rsidRPr="003E1719">
        <w:rPr>
          <w:rFonts w:ascii="Times New Roman" w:eastAsia="Times New Roman" w:hAnsi="Times New Roman" w:cs="Times New Roman"/>
          <w:lang w:eastAsia="sl-SI"/>
        </w:rPr>
        <w:t>saugumas ir veiksmingumas</w:t>
      </w:r>
      <w:r w:rsidR="00BA759E" w:rsidRPr="003E1719">
        <w:rPr>
          <w:rFonts w:ascii="Times New Roman" w:eastAsia="Times New Roman" w:hAnsi="Times New Roman" w:cs="Times New Roman"/>
          <w:lang w:eastAsia="sl-SI"/>
        </w:rPr>
        <w:t xml:space="preserve"> vaikams iki 18 metų </w:t>
      </w:r>
      <w:r w:rsidR="000A2458">
        <w:rPr>
          <w:rFonts w:ascii="Times New Roman" w:eastAsia="Times New Roman" w:hAnsi="Times New Roman" w:cs="Times New Roman"/>
          <w:lang w:eastAsia="sl-SI"/>
        </w:rPr>
        <w:t xml:space="preserve">dar </w:t>
      </w:r>
      <w:r w:rsidR="00BA759E" w:rsidRPr="003E1719">
        <w:rPr>
          <w:rFonts w:ascii="Times New Roman" w:eastAsia="Times New Roman" w:hAnsi="Times New Roman" w:cs="Times New Roman"/>
          <w:lang w:eastAsia="sl-SI"/>
        </w:rPr>
        <w:t>neištirti (žr. 5.1 skyrių).</w:t>
      </w:r>
    </w:p>
    <w:p w14:paraId="0F2E8BF6" w14:textId="77777777" w:rsidR="00301188" w:rsidRPr="003E1719" w:rsidRDefault="00301188" w:rsidP="000D7B89">
      <w:pPr>
        <w:widowControl w:val="0"/>
        <w:tabs>
          <w:tab w:val="left" w:pos="567"/>
        </w:tabs>
        <w:spacing w:after="0" w:line="240" w:lineRule="auto"/>
        <w:rPr>
          <w:rFonts w:ascii="Times New Roman" w:eastAsia="Times New Roman" w:hAnsi="Times New Roman" w:cs="Times New Roman"/>
          <w:snapToGrid w:val="0"/>
        </w:rPr>
      </w:pPr>
    </w:p>
    <w:p w14:paraId="07BC14B8" w14:textId="77777777" w:rsidR="00301188" w:rsidRPr="003E1719" w:rsidRDefault="00301188" w:rsidP="0039300C">
      <w:pPr>
        <w:widowControl w:val="0"/>
        <w:tabs>
          <w:tab w:val="left" w:pos="567"/>
        </w:tabs>
        <w:spacing w:after="0" w:line="240" w:lineRule="auto"/>
        <w:rPr>
          <w:rFonts w:ascii="Times New Roman" w:eastAsia="Times New Roman" w:hAnsi="Times New Roman" w:cs="Times New Roman"/>
          <w:i/>
          <w:snapToGrid w:val="0"/>
        </w:rPr>
      </w:pPr>
      <w:r w:rsidRPr="003E1719">
        <w:rPr>
          <w:rFonts w:ascii="Times New Roman" w:eastAsia="Times New Roman" w:hAnsi="Times New Roman" w:cs="Times New Roman"/>
          <w:i/>
          <w:snapToGrid w:val="0"/>
        </w:rPr>
        <w:t>Rozuvastatinas</w:t>
      </w:r>
    </w:p>
    <w:p w14:paraId="55737ABC"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52 savaičių </w:t>
      </w:r>
      <w:r w:rsidR="00BA759E" w:rsidRPr="003E1719">
        <w:rPr>
          <w:rFonts w:ascii="Times New Roman" w:eastAsia="Times New Roman" w:hAnsi="Times New Roman" w:cs="Times New Roman"/>
          <w:snapToGrid w:val="0"/>
        </w:rPr>
        <w:t xml:space="preserve">trukmės </w:t>
      </w:r>
      <w:r w:rsidRPr="003E1719">
        <w:rPr>
          <w:rFonts w:ascii="Times New Roman" w:eastAsia="Times New Roman" w:hAnsi="Times New Roman" w:cs="Times New Roman"/>
          <w:snapToGrid w:val="0"/>
        </w:rPr>
        <w:t>klinikinio tyrimo, kuriame dalyvavo vai</w:t>
      </w:r>
      <w:r w:rsidR="00BA759E" w:rsidRPr="003E1719">
        <w:rPr>
          <w:rFonts w:ascii="Times New Roman" w:eastAsia="Times New Roman" w:hAnsi="Times New Roman" w:cs="Times New Roman"/>
          <w:snapToGrid w:val="0"/>
        </w:rPr>
        <w:t xml:space="preserve">kai ir paaugliai, metu palyginti su suaugusiais dažniau </w:t>
      </w:r>
      <w:r w:rsidRPr="003E1719">
        <w:rPr>
          <w:rFonts w:ascii="Times New Roman" w:eastAsia="Times New Roman" w:hAnsi="Times New Roman" w:cs="Times New Roman"/>
          <w:snapToGrid w:val="0"/>
        </w:rPr>
        <w:t>pas</w:t>
      </w:r>
      <w:r w:rsidR="00BA759E" w:rsidRPr="003E1719">
        <w:rPr>
          <w:rFonts w:ascii="Times New Roman" w:eastAsia="Times New Roman" w:hAnsi="Times New Roman" w:cs="Times New Roman"/>
          <w:snapToGrid w:val="0"/>
        </w:rPr>
        <w:t xml:space="preserve">ireiškė KK aktyvumo padidėjimas </w:t>
      </w:r>
      <w:r w:rsidRPr="003E1719">
        <w:rPr>
          <w:rFonts w:ascii="Times New Roman" w:eastAsia="Times New Roman" w:hAnsi="Times New Roman" w:cs="Times New Roman"/>
          <w:snapToGrid w:val="0"/>
        </w:rPr>
        <w:t>&gt; </w:t>
      </w:r>
      <w:r w:rsidR="00BA759E" w:rsidRPr="003E1719">
        <w:rPr>
          <w:rFonts w:ascii="Times New Roman" w:eastAsia="Times New Roman" w:hAnsi="Times New Roman" w:cs="Times New Roman"/>
          <w:snapToGrid w:val="0"/>
        </w:rPr>
        <w:t>10 kartų viršijantis VNR</w:t>
      </w:r>
      <w:r w:rsidRPr="003E1719">
        <w:rPr>
          <w:rFonts w:ascii="Times New Roman" w:eastAsia="Times New Roman" w:hAnsi="Times New Roman" w:cs="Times New Roman"/>
          <w:snapToGrid w:val="0"/>
        </w:rPr>
        <w:t xml:space="preserve"> ir atsirado raumenų simptomų po mankštos arba didesnio f</w:t>
      </w:r>
      <w:r w:rsidR="00BA759E" w:rsidRPr="003E1719">
        <w:rPr>
          <w:rFonts w:ascii="Times New Roman" w:eastAsia="Times New Roman" w:hAnsi="Times New Roman" w:cs="Times New Roman"/>
          <w:snapToGrid w:val="0"/>
        </w:rPr>
        <w:t>izinio aktyvumo</w:t>
      </w:r>
      <w:r w:rsidRPr="003E1719">
        <w:rPr>
          <w:rFonts w:ascii="Times New Roman" w:eastAsia="Times New Roman" w:hAnsi="Times New Roman" w:cs="Times New Roman"/>
          <w:snapToGrid w:val="0"/>
        </w:rPr>
        <w:t>. Kitais atžvilgiais rozuvastatino saugumo savybės vaikams ir paaugliams buvo panašios į nustatytas suaugusiesiems.</w:t>
      </w:r>
    </w:p>
    <w:p w14:paraId="4A38585C" w14:textId="77777777" w:rsidR="00BA759E" w:rsidRPr="003E1719" w:rsidRDefault="00BA759E" w:rsidP="000D7B89">
      <w:pPr>
        <w:widowControl w:val="0"/>
        <w:tabs>
          <w:tab w:val="left" w:pos="567"/>
        </w:tabs>
        <w:spacing w:after="0" w:line="240" w:lineRule="auto"/>
        <w:rPr>
          <w:rFonts w:ascii="Times New Roman" w:eastAsia="Times New Roman" w:hAnsi="Times New Roman" w:cs="Times New Roman"/>
          <w:i/>
          <w:iCs/>
        </w:rPr>
      </w:pPr>
    </w:p>
    <w:p w14:paraId="6EA2A7FF" w14:textId="77777777" w:rsidR="000D7B89" w:rsidRPr="003E1719" w:rsidRDefault="00BA759E" w:rsidP="000D7B89">
      <w:pPr>
        <w:widowControl w:val="0"/>
        <w:tabs>
          <w:tab w:val="left" w:pos="567"/>
        </w:tabs>
        <w:spacing w:after="0" w:line="240" w:lineRule="auto"/>
        <w:rPr>
          <w:rFonts w:ascii="Times New Roman" w:eastAsia="Times New Roman" w:hAnsi="Times New Roman" w:cs="Times New Roman"/>
          <w:i/>
          <w:iCs/>
        </w:rPr>
      </w:pPr>
      <w:r w:rsidRPr="003E1719">
        <w:rPr>
          <w:rFonts w:ascii="Times New Roman" w:eastAsia="Times New Roman" w:hAnsi="Times New Roman" w:cs="Times New Roman"/>
          <w:i/>
          <w:iCs/>
        </w:rPr>
        <w:t>Ezetimibas</w:t>
      </w:r>
    </w:p>
    <w:p w14:paraId="7113D506" w14:textId="77777777" w:rsidR="00BA759E" w:rsidRPr="003E1719" w:rsidRDefault="00BA759E" w:rsidP="000D7B89">
      <w:pPr>
        <w:widowControl w:val="0"/>
        <w:tabs>
          <w:tab w:val="left" w:pos="0"/>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Vaikai (6-17 metų)</w:t>
      </w:r>
    </w:p>
    <w:p w14:paraId="20E03CE5" w14:textId="37B0E0C3" w:rsidR="000D7B89" w:rsidRPr="003E1719" w:rsidRDefault="000D7B89" w:rsidP="000D7B89">
      <w:pPr>
        <w:widowControl w:val="0"/>
        <w:tabs>
          <w:tab w:val="left" w:pos="0"/>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 xml:space="preserve">Klinikiniame tyrime, kuriame dalyvavo heterozigotine šeimine ar nešeimine hipercholesterolemija sirgę vaikai </w:t>
      </w:r>
      <w:r w:rsidR="00BA759E" w:rsidRPr="003E1719">
        <w:rPr>
          <w:rFonts w:ascii="Times New Roman" w:eastAsia="Times New Roman" w:hAnsi="Times New Roman" w:cs="Times New Roman"/>
          <w:snapToGrid w:val="0"/>
          <w:lang w:eastAsia="sl-SI"/>
        </w:rPr>
        <w:t>(6</w:t>
      </w:r>
      <w:r w:rsidR="00BA759E" w:rsidRPr="003E1719">
        <w:rPr>
          <w:rFonts w:ascii="Times New Roman" w:eastAsia="Times New Roman" w:hAnsi="Times New Roman" w:cs="Times New Roman"/>
          <w:snapToGrid w:val="0"/>
          <w:lang w:eastAsia="sl-SI"/>
        </w:rPr>
        <w:noBreakHyphen/>
        <w:t xml:space="preserve">10 metų) </w:t>
      </w:r>
      <w:r w:rsidRPr="003E1719">
        <w:rPr>
          <w:rFonts w:ascii="Times New Roman" w:eastAsia="Times New Roman" w:hAnsi="Times New Roman" w:cs="Times New Roman"/>
          <w:snapToGrid w:val="0"/>
          <w:lang w:eastAsia="sl-SI"/>
        </w:rPr>
        <w:t>(n</w:t>
      </w:r>
      <w:r w:rsidR="00326CA2">
        <w:rPr>
          <w:rFonts w:ascii="Times New Roman" w:eastAsia="Times New Roman" w:hAnsi="Times New Roman" w:cs="Times New Roman"/>
          <w:snapToGrid w:val="0"/>
          <w:lang w:eastAsia="sl-SI"/>
        </w:rPr>
        <w:t> </w:t>
      </w:r>
      <w:r w:rsidRPr="003E1719">
        <w:rPr>
          <w:rFonts w:ascii="Times New Roman" w:eastAsia="Times New Roman" w:hAnsi="Times New Roman" w:cs="Times New Roman"/>
          <w:snapToGrid w:val="0"/>
          <w:lang w:eastAsia="sl-SI"/>
        </w:rPr>
        <w:t>= 138), ALT ir (arba) AST aktyvumo padidėjimas (3 ar daugi</w:t>
      </w:r>
      <w:r w:rsidR="00794437" w:rsidRPr="003E1719">
        <w:rPr>
          <w:rFonts w:ascii="Times New Roman" w:eastAsia="Times New Roman" w:hAnsi="Times New Roman" w:cs="Times New Roman"/>
          <w:snapToGrid w:val="0"/>
          <w:lang w:eastAsia="sl-SI"/>
        </w:rPr>
        <w:t>au kartų viršintis VNR, nuosekl</w:t>
      </w:r>
      <w:r w:rsidRPr="003E1719">
        <w:rPr>
          <w:rFonts w:ascii="Times New Roman" w:eastAsia="Times New Roman" w:hAnsi="Times New Roman" w:cs="Times New Roman"/>
          <w:snapToGrid w:val="0"/>
          <w:lang w:eastAsia="sl-SI"/>
        </w:rPr>
        <w:t>us) buvo stebėtas 1,1 </w:t>
      </w:r>
      <w:r w:rsidRPr="003E1719">
        <w:rPr>
          <w:rFonts w:ascii="Times New Roman" w:eastAsia="Times New Roman" w:hAnsi="Times New Roman" w:cs="Times New Roman"/>
          <w:bCs/>
          <w:iCs/>
          <w:snapToGrid w:val="0"/>
          <w:lang w:eastAsia="sl-SI"/>
        </w:rPr>
        <w:t xml:space="preserve">% (1 pacientui) ezetimibu gydytų pacientų, palyginti su 0 % placebo grupėje. KFK aktyvumo padidėjimo </w:t>
      </w:r>
      <w:r w:rsidRPr="003E1719">
        <w:rPr>
          <w:rFonts w:ascii="Times New Roman" w:eastAsia="Times New Roman" w:hAnsi="Times New Roman" w:cs="Times New Roman"/>
          <w:snapToGrid w:val="0"/>
          <w:lang w:eastAsia="sl-SI"/>
        </w:rPr>
        <w:t>(≥ 10 kartų viršijančio VNR) atvejų nebuvo</w:t>
      </w:r>
      <w:r w:rsidRPr="003E1719">
        <w:rPr>
          <w:rFonts w:ascii="Times New Roman" w:eastAsia="Times New Roman" w:hAnsi="Times New Roman" w:cs="Times New Roman"/>
          <w:bCs/>
          <w:iCs/>
          <w:snapToGrid w:val="0"/>
          <w:lang w:eastAsia="sl-SI"/>
        </w:rPr>
        <w:t>. Mi</w:t>
      </w:r>
      <w:r w:rsidRPr="003E1719">
        <w:rPr>
          <w:rFonts w:ascii="Times New Roman" w:eastAsia="Times New Roman" w:hAnsi="Times New Roman" w:cs="Times New Roman"/>
          <w:snapToGrid w:val="0"/>
          <w:lang w:eastAsia="sl-SI"/>
        </w:rPr>
        <w:t>opatijos atvejų nepranešta.</w:t>
      </w:r>
    </w:p>
    <w:p w14:paraId="558CDE74" w14:textId="091480CD" w:rsidR="00BA759E" w:rsidRPr="003E1719" w:rsidRDefault="00BA759E" w:rsidP="00794437">
      <w:pPr>
        <w:widowControl w:val="0"/>
        <w:tabs>
          <w:tab w:val="left" w:pos="0"/>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Kitame tyrime, kuriame dalyvavo pacientai paaugliai (10-17 metų), sergantys heterozigotine šeimine hipercholesterolemija (n</w:t>
      </w:r>
      <w:r w:rsidR="00326CA2">
        <w:rPr>
          <w:rFonts w:ascii="Times New Roman" w:eastAsia="Times New Roman" w:hAnsi="Times New Roman" w:cs="Times New Roman"/>
          <w:snapToGrid w:val="0"/>
          <w:lang w:eastAsia="sl-SI"/>
        </w:rPr>
        <w:t> </w:t>
      </w:r>
      <w:r w:rsidRPr="00212A78">
        <w:rPr>
          <w:rFonts w:ascii="Times New Roman" w:eastAsia="Times New Roman" w:hAnsi="Times New Roman" w:cs="Times New Roman"/>
          <w:snapToGrid w:val="0"/>
          <w:lang w:eastAsia="sl-SI"/>
        </w:rPr>
        <w:t>=</w:t>
      </w:r>
      <w:r w:rsidR="00326CA2" w:rsidRPr="00212A78">
        <w:rPr>
          <w:rFonts w:ascii="Times New Roman" w:eastAsia="Times New Roman" w:hAnsi="Times New Roman" w:cs="Times New Roman"/>
          <w:snapToGrid w:val="0"/>
          <w:lang w:eastAsia="sl-SI"/>
        </w:rPr>
        <w:t> </w:t>
      </w:r>
      <w:r w:rsidRPr="00212A78">
        <w:rPr>
          <w:rFonts w:ascii="Times New Roman" w:eastAsia="Times New Roman" w:hAnsi="Times New Roman" w:cs="Times New Roman"/>
          <w:snapToGrid w:val="0"/>
          <w:lang w:eastAsia="sl-SI"/>
        </w:rPr>
        <w:t>248)</w:t>
      </w:r>
      <w:r w:rsidRPr="003E1719">
        <w:rPr>
          <w:rFonts w:ascii="Times New Roman" w:eastAsia="Times New Roman" w:hAnsi="Times New Roman" w:cs="Times New Roman"/>
          <w:snapToGrid w:val="0"/>
          <w:lang w:eastAsia="sl-SI"/>
        </w:rPr>
        <w:t xml:space="preserve">, </w:t>
      </w:r>
      <w:r w:rsidR="00794437" w:rsidRPr="003E1719">
        <w:rPr>
          <w:rFonts w:ascii="Times New Roman" w:eastAsia="Times New Roman" w:hAnsi="Times New Roman" w:cs="Times New Roman"/>
          <w:snapToGrid w:val="0"/>
          <w:lang w:eastAsia="sl-SI"/>
        </w:rPr>
        <w:t>ALT ir (arba) AST koncentracijos padidėjimas (</w:t>
      </w:r>
      <w:r w:rsidR="00794437" w:rsidRPr="003E1719">
        <w:rPr>
          <w:rFonts w:ascii="Times New Roman" w:hAnsi="Times New Roman" w:cs="Times New Roman"/>
        </w:rPr>
        <w:t>≥3xVNR, nuoseklus) buvo nustatytas 3 </w:t>
      </w:r>
      <w:r w:rsidR="00794437" w:rsidRPr="003E1719">
        <w:rPr>
          <w:rFonts w:ascii="Times New Roman" w:eastAsia="Times New Roman" w:hAnsi="Times New Roman" w:cs="Times New Roman"/>
          <w:bCs/>
          <w:iCs/>
          <w:snapToGrid w:val="0"/>
          <w:lang w:eastAsia="sl-SI"/>
        </w:rPr>
        <w:t>% (4 pacientams) pacientų, gydytų ezetimibu ir simvastatinu, palyginti su 2 </w:t>
      </w:r>
      <w:r w:rsidR="00794437" w:rsidRPr="003E1719">
        <w:rPr>
          <w:rFonts w:ascii="Times New Roman" w:eastAsia="Times New Roman" w:hAnsi="Times New Roman" w:cs="Times New Roman"/>
          <w:snapToGrid w:val="0"/>
          <w:lang w:eastAsia="sl-SI"/>
        </w:rPr>
        <w:t> </w:t>
      </w:r>
      <w:r w:rsidR="00794437" w:rsidRPr="003E1719">
        <w:rPr>
          <w:rFonts w:ascii="Times New Roman" w:eastAsia="Times New Roman" w:hAnsi="Times New Roman" w:cs="Times New Roman"/>
          <w:bCs/>
          <w:iCs/>
          <w:snapToGrid w:val="0"/>
          <w:lang w:eastAsia="sl-SI"/>
        </w:rPr>
        <w:t>%</w:t>
      </w:r>
    </w:p>
    <w:p w14:paraId="183EEA00" w14:textId="77777777" w:rsidR="00794437" w:rsidRPr="003E1719" w:rsidRDefault="00794437"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(2 pacientai), gydytais tik simvastatinu; atitinkamai 2</w:t>
      </w:r>
      <w:r w:rsidRPr="003E1719">
        <w:rPr>
          <w:rFonts w:ascii="Times New Roman" w:eastAsia="Times New Roman" w:hAnsi="Times New Roman" w:cs="Times New Roman"/>
          <w:snapToGrid w:val="0"/>
          <w:lang w:eastAsia="sl-SI"/>
        </w:rPr>
        <w:t> </w:t>
      </w:r>
      <w:r w:rsidRPr="003E1719">
        <w:rPr>
          <w:rFonts w:ascii="Times New Roman" w:eastAsia="Times New Roman" w:hAnsi="Times New Roman" w:cs="Times New Roman"/>
          <w:bCs/>
          <w:iCs/>
          <w:snapToGrid w:val="0"/>
          <w:lang w:eastAsia="sl-SI"/>
        </w:rPr>
        <w:t>% (2 pacientams) ir 0</w:t>
      </w:r>
      <w:r w:rsidRPr="003E1719">
        <w:rPr>
          <w:rFonts w:ascii="Times New Roman" w:eastAsia="Times New Roman" w:hAnsi="Times New Roman" w:cs="Times New Roman"/>
          <w:snapToGrid w:val="0"/>
          <w:lang w:eastAsia="sl-SI"/>
        </w:rPr>
        <w:t> </w:t>
      </w:r>
      <w:r w:rsidRPr="003E1719">
        <w:rPr>
          <w:rFonts w:ascii="Times New Roman" w:eastAsia="Times New Roman" w:hAnsi="Times New Roman" w:cs="Times New Roman"/>
          <w:bCs/>
          <w:iCs/>
          <w:snapToGrid w:val="0"/>
          <w:lang w:eastAsia="sl-SI"/>
        </w:rPr>
        <w:t xml:space="preserve">% padidėjo KFK </w:t>
      </w:r>
      <w:r w:rsidRPr="003E1719">
        <w:rPr>
          <w:rFonts w:ascii="Times New Roman" w:eastAsia="Times New Roman" w:hAnsi="Times New Roman" w:cs="Times New Roman"/>
          <w:snapToGrid w:val="0"/>
          <w:lang w:eastAsia="sl-SI"/>
        </w:rPr>
        <w:t>(≥ 10 kartų viršijo VNR)</w:t>
      </w:r>
      <w:r w:rsidRPr="003E1719">
        <w:rPr>
          <w:rFonts w:ascii="Times New Roman" w:eastAsia="Times New Roman" w:hAnsi="Times New Roman" w:cs="Times New Roman"/>
          <w:bCs/>
          <w:iCs/>
          <w:snapToGrid w:val="0"/>
          <w:lang w:eastAsia="sl-SI"/>
        </w:rPr>
        <w:t xml:space="preserve">. </w:t>
      </w:r>
      <w:r w:rsidRPr="003E1719">
        <w:rPr>
          <w:rFonts w:ascii="Times New Roman" w:eastAsia="Times New Roman" w:hAnsi="Times New Roman" w:cs="Times New Roman"/>
          <w:lang w:eastAsia="sl-SI"/>
        </w:rPr>
        <w:t xml:space="preserve">Apie miopatijos atvejus nepranešta. </w:t>
      </w:r>
    </w:p>
    <w:p w14:paraId="40A3BE05" w14:textId="77777777" w:rsidR="000D7B89" w:rsidRPr="003E1719" w:rsidRDefault="00794437"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Šie tyrimai nebuvo tinkami retų nepageidaujamų reakcijų į vaistus palyginimui.</w:t>
      </w:r>
    </w:p>
    <w:p w14:paraId="64BD8C3F" w14:textId="77777777" w:rsidR="00794437" w:rsidRPr="003E1719" w:rsidRDefault="00794437" w:rsidP="000D7B89">
      <w:pPr>
        <w:widowControl w:val="0"/>
        <w:tabs>
          <w:tab w:val="left" w:pos="567"/>
        </w:tabs>
        <w:autoSpaceDE w:val="0"/>
        <w:autoSpaceDN w:val="0"/>
        <w:adjustRightInd w:val="0"/>
        <w:spacing w:after="0" w:line="240" w:lineRule="auto"/>
        <w:jc w:val="both"/>
        <w:rPr>
          <w:rFonts w:ascii="Times New Roman" w:eastAsia="Times New Roman" w:hAnsi="Times New Roman" w:cs="Times New Roman"/>
          <w:u w:val="single"/>
          <w:lang w:eastAsia="sl-SI"/>
        </w:rPr>
      </w:pPr>
    </w:p>
    <w:p w14:paraId="56BA4333" w14:textId="77777777" w:rsidR="00B16F53" w:rsidRPr="003E1719" w:rsidRDefault="00B16F53" w:rsidP="00B16F53">
      <w:pPr>
        <w:tabs>
          <w:tab w:val="left" w:pos="567"/>
        </w:tabs>
        <w:spacing w:after="0" w:line="260" w:lineRule="exact"/>
        <w:jc w:val="both"/>
        <w:rPr>
          <w:rFonts w:ascii="Times New Roman" w:hAnsi="Times New Roman" w:cs="Times New Roman"/>
          <w:u w:val="single"/>
        </w:rPr>
      </w:pPr>
      <w:r w:rsidRPr="003E1719">
        <w:rPr>
          <w:rFonts w:ascii="Times New Roman" w:hAnsi="Times New Roman" w:cs="Times New Roman"/>
          <w:u w:val="single"/>
        </w:rPr>
        <w:t>Pranešimas apie įtariamas nepageidaujamas reakcijas</w:t>
      </w:r>
    </w:p>
    <w:p w14:paraId="42B0CE19" w14:textId="77777777" w:rsidR="00B16F53" w:rsidRPr="003E1719" w:rsidRDefault="00B16F53" w:rsidP="00B16F53">
      <w:pPr>
        <w:tabs>
          <w:tab w:val="left" w:pos="567"/>
        </w:tabs>
        <w:spacing w:after="0" w:line="260" w:lineRule="exact"/>
        <w:rPr>
          <w:rFonts w:ascii="Times New Roman" w:hAnsi="Times New Roman" w:cs="Times New Roman"/>
        </w:rPr>
      </w:pPr>
      <w:r w:rsidRPr="003E1719">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3E1719">
        <w:rPr>
          <w:rFonts w:ascii="Times New Roman" w:hAnsi="Times New Roman" w:cs="Times New Roman"/>
          <w:color w:val="0000FF"/>
          <w:u w:val="single"/>
        </w:rPr>
        <w:t>https://vapris.vvkt.lt/vvkt-web/public/nrvSpecialist</w:t>
      </w:r>
      <w:r w:rsidRPr="003E1719">
        <w:rPr>
          <w:rFonts w:ascii="Times New Roman" w:hAnsi="Times New Roman" w:cs="Times New Roman"/>
        </w:rPr>
        <w:t xml:space="preserve"> arba užpildę Sveikatos priežiūros ar farmacijos specialisto pranešimo apie įtariamą nepageidaujamą reakciją (ĮNR) formą, kuri skelbiama </w:t>
      </w:r>
      <w:r w:rsidRPr="003E1719">
        <w:rPr>
          <w:rFonts w:ascii="Times New Roman" w:hAnsi="Times New Roman" w:cs="Times New Roman"/>
          <w:color w:val="0000FF"/>
          <w:u w:val="single"/>
        </w:rPr>
        <w:t>https://www.vvkt.lt/index.php?1399030386</w:t>
      </w:r>
      <w:r w:rsidRPr="003E1719">
        <w:rPr>
          <w:rFonts w:ascii="Times New Roman" w:hAnsi="Times New Roman" w:cs="Times New Roman"/>
        </w:rPr>
        <w:t>, ir atsiųsti elektroniniu paštu (adresu NepageidaujamaR@vvkt.lt).</w:t>
      </w:r>
    </w:p>
    <w:p w14:paraId="13DF755E" w14:textId="77777777" w:rsidR="00B16F53" w:rsidRPr="003E1719" w:rsidRDefault="00B16F53" w:rsidP="000D7B89">
      <w:pPr>
        <w:widowControl w:val="0"/>
        <w:spacing w:after="0" w:line="240" w:lineRule="auto"/>
        <w:ind w:left="567" w:hanging="567"/>
        <w:rPr>
          <w:rFonts w:ascii="Times New Roman" w:eastAsia="Times New Roman" w:hAnsi="Times New Roman" w:cs="Times New Roman"/>
          <w:b/>
          <w:lang w:eastAsia="sl-SI"/>
        </w:rPr>
      </w:pPr>
    </w:p>
    <w:p w14:paraId="7EA65A48"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4.9</w:t>
      </w:r>
      <w:r w:rsidRPr="003E1719">
        <w:rPr>
          <w:rFonts w:ascii="Times New Roman" w:eastAsia="Times New Roman" w:hAnsi="Times New Roman" w:cs="Times New Roman"/>
          <w:b/>
          <w:lang w:eastAsia="sl-SI"/>
        </w:rPr>
        <w:tab/>
        <w:t>Perdozavimas</w:t>
      </w:r>
    </w:p>
    <w:p w14:paraId="4EE272C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059B7B9" w14:textId="77777777" w:rsidR="00794437" w:rsidRPr="003E1719" w:rsidRDefault="000D7B89" w:rsidP="000D7B89">
      <w:pPr>
        <w:widowControl w:val="0"/>
        <w:tabs>
          <w:tab w:val="left" w:pos="567"/>
        </w:tabs>
        <w:spacing w:after="0" w:line="240" w:lineRule="auto"/>
        <w:rPr>
          <w:rFonts w:ascii="Times New Roman" w:eastAsia="Times New Roman" w:hAnsi="Times New Roman" w:cs="Times New Roman"/>
          <w:iCs/>
        </w:rPr>
      </w:pPr>
      <w:r w:rsidRPr="003E1719">
        <w:rPr>
          <w:rFonts w:ascii="Times New Roman" w:eastAsia="Times New Roman" w:hAnsi="Times New Roman" w:cs="Times New Roman"/>
          <w:iCs/>
        </w:rPr>
        <w:t xml:space="preserve">Perdozavus </w:t>
      </w:r>
      <w:r w:rsidR="00794437" w:rsidRPr="003E1719">
        <w:rPr>
          <w:rFonts w:ascii="Times New Roman" w:eastAsia="Times New Roman" w:hAnsi="Times New Roman" w:cs="Times New Roman"/>
          <w:iCs/>
        </w:rPr>
        <w:t>rozuvastatiną specifinio gydymo nėra.</w:t>
      </w:r>
    </w:p>
    <w:p w14:paraId="6CEA0AF9" w14:textId="77777777" w:rsidR="00794437" w:rsidRPr="003E1719" w:rsidRDefault="00794437" w:rsidP="000D7B89">
      <w:pPr>
        <w:widowControl w:val="0"/>
        <w:tabs>
          <w:tab w:val="left" w:pos="567"/>
        </w:tabs>
        <w:spacing w:after="0" w:line="240" w:lineRule="auto"/>
        <w:rPr>
          <w:rFonts w:ascii="Times New Roman" w:eastAsia="Times New Roman" w:hAnsi="Times New Roman" w:cs="Times New Roman"/>
          <w:iCs/>
        </w:rPr>
      </w:pPr>
    </w:p>
    <w:p w14:paraId="69B3D955"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Klinikinių tyrimų metu 15 sveikų žmonių gerai toleravo ne daugiau kaip 14 dienų vartotą 50 mg ezetimibo paros dozę, 18 pirmine hipercholesterolemija sirgusių pacientų − ne ilgiau kaip 5 dienas vartotą 40 mg ezetimibo paros dozę. Toksinio poveikio žiurkėms bei pelėms nesukėlė vienkartinė sugirdyta 5 000 mg/kg kūno svorio, o šunims – 3 000 mg/kg kūno svorio ezetimibo dozė.</w:t>
      </w:r>
    </w:p>
    <w:p w14:paraId="33A57ADB" w14:textId="77777777" w:rsidR="000D7B89" w:rsidRPr="003E1719" w:rsidRDefault="000D7B89" w:rsidP="000D7B89">
      <w:pPr>
        <w:widowControl w:val="0"/>
        <w:spacing w:after="0" w:line="240" w:lineRule="auto"/>
        <w:rPr>
          <w:rFonts w:ascii="Times New Roman" w:eastAsia="Times New Roman" w:hAnsi="Times New Roman" w:cs="Times New Roman"/>
          <w:snapToGrid w:val="0"/>
          <w:lang w:eastAsia="sl-SI"/>
        </w:rPr>
      </w:pPr>
    </w:p>
    <w:p w14:paraId="6E66E964" w14:textId="77777777" w:rsidR="000D7B89" w:rsidRPr="003E1719" w:rsidRDefault="000D7B89" w:rsidP="000D7B89">
      <w:pPr>
        <w:widowControl w:val="0"/>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Gauta pranešimų apie kelis ezetimibo perdozavimo atvejus, dažniausiai nepageidaujamų reiškinių neatsirasdavo, o pasireiškę buvo nesunkūs.</w:t>
      </w:r>
    </w:p>
    <w:p w14:paraId="7D148641" w14:textId="77777777" w:rsidR="000D7B89" w:rsidRPr="003E1719" w:rsidRDefault="000D7B89" w:rsidP="000D7B89">
      <w:pPr>
        <w:widowControl w:val="0"/>
        <w:spacing w:after="0" w:line="240" w:lineRule="auto"/>
        <w:rPr>
          <w:rFonts w:ascii="Times New Roman" w:eastAsia="Times New Roman" w:hAnsi="Times New Roman" w:cs="Times New Roman"/>
          <w:snapToGrid w:val="0"/>
          <w:lang w:eastAsia="sl-SI"/>
        </w:rPr>
      </w:pPr>
    </w:p>
    <w:p w14:paraId="176F5F3B" w14:textId="77777777" w:rsidR="00ED3C1E" w:rsidRPr="003E1719" w:rsidRDefault="00ED3C1E" w:rsidP="00ED3C1E">
      <w:pPr>
        <w:widowControl w:val="0"/>
        <w:tabs>
          <w:tab w:val="left" w:pos="567"/>
        </w:tabs>
        <w:spacing w:after="0" w:line="240" w:lineRule="auto"/>
        <w:rPr>
          <w:rFonts w:ascii="Times New Roman" w:eastAsia="Times New Roman" w:hAnsi="Times New Roman" w:cs="Times New Roman"/>
          <w:iCs/>
        </w:rPr>
      </w:pPr>
      <w:r w:rsidRPr="003E1719">
        <w:rPr>
          <w:rFonts w:ascii="Times New Roman" w:eastAsia="Times New Roman" w:hAnsi="Times New Roman" w:cs="Times New Roman"/>
          <w:iCs/>
        </w:rPr>
        <w:t xml:space="preserve">Perdozavus būtina taikyti simptomines ir palaikomąsias priemones. Reikia kontroliuoti kepenų funkcijas ir sekti KK koncentraciją. Mažai tikėtina, kad hemodializė būtų naudinga. </w:t>
      </w:r>
    </w:p>
    <w:p w14:paraId="26A5186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6A5E336" w14:textId="77777777" w:rsidR="00ED3C1E" w:rsidRPr="003E1719" w:rsidRDefault="00ED3C1E" w:rsidP="000D7B89">
      <w:pPr>
        <w:widowControl w:val="0"/>
        <w:spacing w:after="0" w:line="240" w:lineRule="auto"/>
        <w:rPr>
          <w:rFonts w:ascii="Times New Roman" w:eastAsia="Times New Roman" w:hAnsi="Times New Roman" w:cs="Times New Roman"/>
          <w:lang w:eastAsia="sl-SI"/>
        </w:rPr>
      </w:pPr>
    </w:p>
    <w:p w14:paraId="450A6682"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5.</w:t>
      </w:r>
      <w:r w:rsidRPr="003E1719">
        <w:rPr>
          <w:rFonts w:ascii="Times New Roman" w:eastAsia="Times New Roman" w:hAnsi="Times New Roman" w:cs="Times New Roman"/>
          <w:b/>
          <w:lang w:eastAsia="sl-SI"/>
        </w:rPr>
        <w:tab/>
        <w:t>FARMAKOLOGINĖS SAVYBĖS</w:t>
      </w:r>
    </w:p>
    <w:p w14:paraId="3B0B658A"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p>
    <w:p w14:paraId="3F433095"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5.1</w:t>
      </w:r>
      <w:r w:rsidRPr="003E1719">
        <w:rPr>
          <w:rFonts w:ascii="Times New Roman" w:eastAsia="Times New Roman" w:hAnsi="Times New Roman" w:cs="Times New Roman"/>
          <w:b/>
          <w:lang w:eastAsia="sl-SI"/>
        </w:rPr>
        <w:tab/>
        <w:t>Farmakodinaminės savybės</w:t>
      </w:r>
    </w:p>
    <w:p w14:paraId="0FAB889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2A4C9A0" w14:textId="17AB73CE"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Farmakoterapinė grupė − lipidų kiekį modifikuojantys vaistiniai preparatai, </w:t>
      </w:r>
      <w:r w:rsidR="00214B02">
        <w:rPr>
          <w:rFonts w:ascii="Times New Roman" w:eastAsia="Times New Roman" w:hAnsi="Times New Roman" w:cs="Times New Roman"/>
          <w:lang w:eastAsia="sl-SI"/>
        </w:rPr>
        <w:t>skirtingų lipidų kiekį modifikuojančių vaistinių preparatų deriniai</w:t>
      </w:r>
      <w:r w:rsidRPr="003E1719">
        <w:rPr>
          <w:rFonts w:ascii="Times New Roman" w:eastAsia="Times New Roman" w:hAnsi="Times New Roman" w:cs="Times New Roman"/>
          <w:lang w:eastAsia="sl-SI"/>
        </w:rPr>
        <w:t xml:space="preserve">, ATC kodas – </w:t>
      </w:r>
      <w:r w:rsidRPr="003E1719">
        <w:rPr>
          <w:rFonts w:ascii="Times New Roman" w:eastAsia="Times New Roman" w:hAnsi="Times New Roman" w:cs="Times New Roman"/>
          <w:snapToGrid w:val="0"/>
          <w:color w:val="000000"/>
        </w:rPr>
        <w:t>C10BA06</w:t>
      </w:r>
      <w:r w:rsidRPr="003E1719">
        <w:rPr>
          <w:rFonts w:ascii="Times New Roman" w:eastAsia="Times New Roman" w:hAnsi="Times New Roman" w:cs="Times New Roman"/>
          <w:lang w:eastAsia="sl-SI"/>
        </w:rPr>
        <w:t>.</w:t>
      </w:r>
    </w:p>
    <w:p w14:paraId="46D7C9C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F63C7A7" w14:textId="77777777" w:rsidR="000D7B89" w:rsidRPr="008B4659" w:rsidRDefault="000D7B89" w:rsidP="000D7B89">
      <w:pPr>
        <w:widowControl w:val="0"/>
        <w:autoSpaceDE w:val="0"/>
        <w:autoSpaceDN w:val="0"/>
        <w:adjustRightInd w:val="0"/>
        <w:spacing w:after="0" w:line="240" w:lineRule="auto"/>
        <w:rPr>
          <w:rFonts w:ascii="Times New Roman" w:eastAsia="Times New Roman" w:hAnsi="Times New Roman" w:cs="Times New Roman"/>
          <w:i/>
          <w:color w:val="000000"/>
          <w:lang w:eastAsia="sl-SI"/>
        </w:rPr>
      </w:pPr>
      <w:r w:rsidRPr="008B4659">
        <w:rPr>
          <w:rFonts w:ascii="Times New Roman" w:eastAsia="Times New Roman" w:hAnsi="Times New Roman" w:cs="Times New Roman"/>
          <w:i/>
          <w:color w:val="000000"/>
          <w:lang w:eastAsia="sl-SI"/>
        </w:rPr>
        <w:t>Rozuvastatinas</w:t>
      </w:r>
    </w:p>
    <w:p w14:paraId="11EF4A02"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p>
    <w:p w14:paraId="23F6D744" w14:textId="77777777" w:rsidR="000D7B89" w:rsidRPr="008B465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r w:rsidRPr="008B4659">
        <w:rPr>
          <w:rFonts w:ascii="Times New Roman" w:eastAsia="Times New Roman" w:hAnsi="Times New Roman" w:cs="Times New Roman"/>
          <w:color w:val="000000"/>
          <w:u w:val="single"/>
          <w:lang w:eastAsia="sl-SI"/>
        </w:rPr>
        <w:t>Veikimo mechanizmas</w:t>
      </w:r>
    </w:p>
    <w:p w14:paraId="4FAD0972" w14:textId="27866CF2" w:rsidR="00202172"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color w:val="000000"/>
          <w:lang w:eastAsia="sl-SI"/>
        </w:rPr>
        <w:t xml:space="preserve">Rozuvastatinas yra selektyvusis konkurencinis HMG-KoA reduktazės inhibitorius. </w:t>
      </w:r>
      <w:r w:rsidR="00202172" w:rsidRPr="003E1719">
        <w:rPr>
          <w:rFonts w:ascii="Times New Roman" w:eastAsia="Times New Roman" w:hAnsi="Times New Roman" w:cs="Times New Roman"/>
        </w:rPr>
        <w:t>Šis fermentas, nuo kurio aktyvumo priklauso cholesterolio sintezės greitis, 3-hidroksi-3-metilglutaril kofermentą A verčia mevalonatu, cholesterolio pirmtaku. Pagrindinė rozuvastatino veikimo vieta yra kepenys</w:t>
      </w:r>
      <w:r w:rsidR="00214B02">
        <w:rPr>
          <w:rFonts w:ascii="Times New Roman" w:eastAsia="Times New Roman" w:hAnsi="Times New Roman" w:cs="Times New Roman"/>
        </w:rPr>
        <w:t>,</w:t>
      </w:r>
      <w:r w:rsidR="00202172" w:rsidRPr="003E1719">
        <w:rPr>
          <w:rFonts w:ascii="Times New Roman" w:eastAsia="Times New Roman" w:hAnsi="Times New Roman" w:cs="Times New Roman"/>
        </w:rPr>
        <w:t xml:space="preserve"> cholesterolio kiekį mažinančio poveikio organas-taikinys.</w:t>
      </w:r>
    </w:p>
    <w:p w14:paraId="3C5027AA" w14:textId="77777777" w:rsidR="00202172" w:rsidRPr="003E1719" w:rsidRDefault="00202172" w:rsidP="00202172">
      <w:pPr>
        <w:tabs>
          <w:tab w:val="left" w:pos="567"/>
        </w:tabs>
        <w:spacing w:after="0" w:line="240" w:lineRule="auto"/>
        <w:rPr>
          <w:rFonts w:ascii="Times New Roman" w:eastAsia="Times New Roman" w:hAnsi="Times New Roman" w:cs="Times New Roman"/>
        </w:rPr>
      </w:pPr>
    </w:p>
    <w:p w14:paraId="6A0E8902" w14:textId="581FD617" w:rsidR="00202172" w:rsidRPr="003E1719" w:rsidRDefault="00202172" w:rsidP="00202172">
      <w:pPr>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 xml:space="preserve">Rozuvastatinas didina </w:t>
      </w:r>
      <w:r w:rsidR="00214B02">
        <w:rPr>
          <w:rFonts w:ascii="Times New Roman" w:eastAsia="Times New Roman" w:hAnsi="Times New Roman" w:cs="Times New Roman"/>
        </w:rPr>
        <w:t>mažo tankio lipoproteinų (</w:t>
      </w:r>
      <w:r w:rsidRPr="003E1719">
        <w:rPr>
          <w:rFonts w:ascii="Times New Roman" w:eastAsia="Times New Roman" w:hAnsi="Times New Roman" w:cs="Times New Roman"/>
        </w:rPr>
        <w:t>MTL</w:t>
      </w:r>
      <w:r w:rsidR="00214B02">
        <w:rPr>
          <w:rFonts w:ascii="Times New Roman" w:eastAsia="Times New Roman" w:hAnsi="Times New Roman" w:cs="Times New Roman"/>
        </w:rPr>
        <w:t>)</w:t>
      </w:r>
      <w:r w:rsidRPr="003E1719">
        <w:rPr>
          <w:rFonts w:ascii="Times New Roman" w:eastAsia="Times New Roman" w:hAnsi="Times New Roman" w:cs="Times New Roman"/>
        </w:rPr>
        <w:t xml:space="preserve"> receptorių skaičių kepenų ląstelių paviršiuje, todėl didina MTL patekimą į kepenų ląsteles ir katabolizmą. Be to, rozuvastatinas slopina </w:t>
      </w:r>
      <w:r w:rsidR="00214B02">
        <w:rPr>
          <w:rFonts w:ascii="Times New Roman" w:eastAsia="Times New Roman" w:hAnsi="Times New Roman" w:cs="Times New Roman"/>
        </w:rPr>
        <w:t>labai mažo tankio lipoproteinų (</w:t>
      </w:r>
      <w:r w:rsidRPr="003E1719">
        <w:rPr>
          <w:rFonts w:ascii="Times New Roman" w:eastAsia="Times New Roman" w:hAnsi="Times New Roman" w:cs="Times New Roman"/>
        </w:rPr>
        <w:t>LMTL</w:t>
      </w:r>
      <w:r w:rsidR="00214B02">
        <w:rPr>
          <w:rFonts w:ascii="Times New Roman" w:eastAsia="Times New Roman" w:hAnsi="Times New Roman" w:cs="Times New Roman"/>
        </w:rPr>
        <w:t>)</w:t>
      </w:r>
      <w:r w:rsidRPr="003E1719">
        <w:rPr>
          <w:rFonts w:ascii="Times New Roman" w:eastAsia="Times New Roman" w:hAnsi="Times New Roman" w:cs="Times New Roman"/>
        </w:rPr>
        <w:t xml:space="preserve"> sintezę kepenyse, todėl mažina bendrą LMTL ir MTL dalelių skaičių.</w:t>
      </w:r>
    </w:p>
    <w:p w14:paraId="4AAB1347"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200F66CF" w14:textId="77777777" w:rsidR="000D7B89" w:rsidRPr="008B465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r w:rsidRPr="008B4659">
        <w:rPr>
          <w:rFonts w:ascii="Times New Roman" w:eastAsia="Times New Roman" w:hAnsi="Times New Roman" w:cs="Times New Roman"/>
          <w:color w:val="000000"/>
          <w:u w:val="single"/>
          <w:lang w:eastAsia="sl-SI"/>
        </w:rPr>
        <w:t>Farmakodinaminis poveikis</w:t>
      </w:r>
    </w:p>
    <w:p w14:paraId="09E7C8C7" w14:textId="66DD90A6" w:rsidR="000D7B89" w:rsidRPr="003E1719" w:rsidRDefault="000D7B89" w:rsidP="000D7B89">
      <w:pPr>
        <w:widowControl w:val="0"/>
        <w:spacing w:after="0" w:line="240" w:lineRule="auto"/>
        <w:rPr>
          <w:rFonts w:ascii="Times New Roman" w:eastAsia="Times New Roman" w:hAnsi="Times New Roman" w:cs="Times New Roman"/>
          <w:color w:val="000000"/>
        </w:rPr>
      </w:pPr>
      <w:r w:rsidRPr="003E1719">
        <w:rPr>
          <w:rFonts w:ascii="Times New Roman" w:eastAsia="Times New Roman" w:hAnsi="Times New Roman" w:cs="Times New Roman"/>
          <w:color w:val="000000"/>
        </w:rPr>
        <w:t>Rozuvastatinas mažina padidėjusį MTL cholesterolio, bendro cholesterolio ir trigliceridų kiekį bei didina didelio tankio lipoproteinų (DTL) cholesterolio kiekį. Be to,</w:t>
      </w:r>
      <w:r w:rsidR="00202172" w:rsidRPr="003E1719">
        <w:rPr>
          <w:rFonts w:ascii="Times New Roman" w:eastAsia="Times New Roman" w:hAnsi="Times New Roman" w:cs="Times New Roman"/>
          <w:color w:val="000000"/>
        </w:rPr>
        <w:t xml:space="preserve"> rozuvastatinas mažina ApoB, ne</w:t>
      </w:r>
      <w:r w:rsidR="00214B02">
        <w:rPr>
          <w:rFonts w:ascii="Times New Roman" w:eastAsia="Times New Roman" w:hAnsi="Times New Roman" w:cs="Times New Roman"/>
          <w:color w:val="000000"/>
        </w:rPr>
        <w:t xml:space="preserve"> </w:t>
      </w:r>
      <w:r w:rsidRPr="003E1719">
        <w:rPr>
          <w:rFonts w:ascii="Times New Roman" w:eastAsia="Times New Roman" w:hAnsi="Times New Roman" w:cs="Times New Roman"/>
          <w:color w:val="000000"/>
        </w:rPr>
        <w:t xml:space="preserve">didelio tankio lipoproteinų (ne DTL) cholesterolio, LMTL cholesterolio, LMTL trigliceridų kiekį bei didina ApoA-I kiekį (žr. 3 lentelę). </w:t>
      </w:r>
      <w:r w:rsidR="00202172" w:rsidRPr="003E1719">
        <w:rPr>
          <w:rFonts w:ascii="Times New Roman" w:eastAsia="Times New Roman" w:hAnsi="Times New Roman" w:cs="Times New Roman"/>
          <w:color w:val="000000"/>
        </w:rPr>
        <w:t>R</w:t>
      </w:r>
      <w:r w:rsidRPr="003E1719">
        <w:rPr>
          <w:rFonts w:ascii="Times New Roman" w:eastAsia="Times New Roman" w:hAnsi="Times New Roman" w:cs="Times New Roman"/>
          <w:color w:val="000000"/>
        </w:rPr>
        <w:t xml:space="preserve">ozuvastatinas </w:t>
      </w:r>
      <w:r w:rsidR="00202172" w:rsidRPr="003E1719">
        <w:rPr>
          <w:rFonts w:ascii="Times New Roman" w:eastAsia="Times New Roman" w:hAnsi="Times New Roman" w:cs="Times New Roman"/>
          <w:color w:val="000000"/>
        </w:rPr>
        <w:t xml:space="preserve">taip pat </w:t>
      </w:r>
      <w:r w:rsidRPr="003E1719">
        <w:rPr>
          <w:rFonts w:ascii="Times New Roman" w:eastAsia="Times New Roman" w:hAnsi="Times New Roman" w:cs="Times New Roman"/>
          <w:color w:val="000000"/>
        </w:rPr>
        <w:t>mažina MTL cholesterolio ir DTL cholesterolio, bendrojo cholesterolio ir DTL cholesterolio bei ne DTL cholesterolio ir DTL cholesterolio, ApoB ir ApoA-I santykius.</w:t>
      </w:r>
    </w:p>
    <w:p w14:paraId="1C0E28E7" w14:textId="77777777" w:rsidR="000D7B89" w:rsidRPr="003E1719" w:rsidRDefault="000D7B89" w:rsidP="000D7B89">
      <w:pPr>
        <w:widowControl w:val="0"/>
        <w:spacing w:after="0" w:line="240" w:lineRule="auto"/>
        <w:rPr>
          <w:rFonts w:ascii="Times New Roman" w:eastAsia="Times New Roman" w:hAnsi="Times New Roman" w:cs="Times New Roman"/>
          <w:color w:val="000000"/>
        </w:rPr>
      </w:pPr>
    </w:p>
    <w:p w14:paraId="6643D8A4" w14:textId="77777777" w:rsidR="000D7B89" w:rsidRPr="003E1719" w:rsidRDefault="000D7B89" w:rsidP="000D7B89">
      <w:pPr>
        <w:widowControl w:val="0"/>
        <w:spacing w:after="0" w:line="240" w:lineRule="auto"/>
        <w:rPr>
          <w:rFonts w:ascii="Times New Roman" w:eastAsia="Times New Roman" w:hAnsi="Times New Roman" w:cs="Times New Roman"/>
          <w:b/>
          <w:bCs/>
          <w:color w:val="000000"/>
        </w:rPr>
      </w:pPr>
      <w:r w:rsidRPr="003E1719">
        <w:rPr>
          <w:rFonts w:ascii="Times New Roman" w:eastAsia="Times New Roman" w:hAnsi="Times New Roman" w:cs="Times New Roman"/>
          <w:b/>
          <w:bCs/>
          <w:color w:val="000000"/>
        </w:rPr>
        <w:t>3 lentelė. Pacientų, sergančių pirmine hipercholesterolemija (IIa arba IIb tipo) atsakas į dozę (koreguotas vidutinis procentinis pokytis nuo pradinio rodmens)</w:t>
      </w:r>
    </w:p>
    <w:p w14:paraId="53DB0AA8" w14:textId="77777777" w:rsidR="00686710" w:rsidRPr="003E1719" w:rsidRDefault="00686710" w:rsidP="00686710">
      <w:pPr>
        <w:spacing w:line="24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9"/>
        <w:gridCol w:w="712"/>
        <w:gridCol w:w="865"/>
        <w:gridCol w:w="1140"/>
        <w:gridCol w:w="1124"/>
        <w:gridCol w:w="834"/>
        <w:gridCol w:w="1345"/>
        <w:gridCol w:w="917"/>
        <w:gridCol w:w="1137"/>
      </w:tblGrid>
      <w:tr w:rsidR="00686710" w:rsidRPr="003E1719" w14:paraId="5F089825" w14:textId="77777777" w:rsidTr="00C7524D">
        <w:trPr>
          <w:trHeight w:hRule="exact" w:val="269"/>
        </w:trPr>
        <w:tc>
          <w:tcPr>
            <w:tcW w:w="546" w:type="pct"/>
            <w:tcBorders>
              <w:left w:val="single" w:sz="2" w:space="0" w:color="000000"/>
            </w:tcBorders>
            <w:vAlign w:val="center"/>
          </w:tcPr>
          <w:p w14:paraId="1534AB45" w14:textId="77777777" w:rsidR="00686710" w:rsidRPr="003E1719" w:rsidRDefault="00686710" w:rsidP="00686710">
            <w:pPr>
              <w:spacing w:before="1"/>
              <w:jc w:val="center"/>
              <w:rPr>
                <w:rFonts w:ascii="Times New Roman" w:hAnsi="Times New Roman" w:cs="Times New Roman"/>
                <w:b/>
                <w:bCs/>
              </w:rPr>
            </w:pPr>
            <w:r w:rsidRPr="003E1719">
              <w:rPr>
                <w:rFonts w:ascii="Times New Roman" w:hAnsi="Times New Roman" w:cs="Times New Roman"/>
                <w:b/>
                <w:bCs/>
              </w:rPr>
              <w:t>Dozė</w:t>
            </w:r>
          </w:p>
        </w:tc>
        <w:tc>
          <w:tcPr>
            <w:tcW w:w="393" w:type="pct"/>
            <w:vAlign w:val="center"/>
          </w:tcPr>
          <w:p w14:paraId="209B408C" w14:textId="77777777" w:rsidR="00686710" w:rsidRPr="003E1719" w:rsidRDefault="00686710" w:rsidP="00C7524D">
            <w:pPr>
              <w:tabs>
                <w:tab w:val="left" w:pos="142"/>
              </w:tabs>
              <w:spacing w:before="1"/>
              <w:ind w:left="142" w:hanging="23"/>
              <w:jc w:val="center"/>
              <w:rPr>
                <w:rFonts w:ascii="Times New Roman" w:hAnsi="Times New Roman" w:cs="Times New Roman"/>
                <w:b/>
                <w:bCs/>
              </w:rPr>
            </w:pPr>
            <w:r w:rsidRPr="003E1719">
              <w:rPr>
                <w:rFonts w:ascii="Times New Roman" w:hAnsi="Times New Roman" w:cs="Times New Roman"/>
                <w:b/>
                <w:bCs/>
              </w:rPr>
              <w:t>N</w:t>
            </w:r>
          </w:p>
        </w:tc>
        <w:tc>
          <w:tcPr>
            <w:tcW w:w="477" w:type="pct"/>
            <w:vAlign w:val="center"/>
          </w:tcPr>
          <w:p w14:paraId="7F080376" w14:textId="77777777" w:rsidR="00686710" w:rsidRPr="003E1719" w:rsidRDefault="00686710" w:rsidP="00C7524D">
            <w:pPr>
              <w:tabs>
                <w:tab w:val="left" w:pos="142"/>
              </w:tabs>
              <w:spacing w:before="1"/>
              <w:ind w:left="142" w:hanging="23"/>
              <w:jc w:val="center"/>
              <w:rPr>
                <w:rFonts w:ascii="Times New Roman" w:hAnsi="Times New Roman" w:cs="Times New Roman"/>
                <w:b/>
                <w:bCs/>
              </w:rPr>
            </w:pPr>
            <w:r w:rsidRPr="003E1719">
              <w:rPr>
                <w:rFonts w:ascii="Times New Roman" w:eastAsia="Times New Roman" w:hAnsi="Times New Roman" w:cs="Times New Roman"/>
                <w:b/>
                <w:bCs/>
                <w:color w:val="000000"/>
              </w:rPr>
              <w:t>MTL-C</w:t>
            </w:r>
          </w:p>
        </w:tc>
        <w:tc>
          <w:tcPr>
            <w:tcW w:w="629" w:type="pct"/>
            <w:vAlign w:val="center"/>
          </w:tcPr>
          <w:p w14:paraId="7179C671" w14:textId="77777777" w:rsidR="00686710" w:rsidRPr="003E1719" w:rsidRDefault="00686710" w:rsidP="00C7524D">
            <w:pPr>
              <w:tabs>
                <w:tab w:val="left" w:pos="142"/>
              </w:tabs>
              <w:spacing w:before="1"/>
              <w:ind w:left="142" w:hanging="23"/>
              <w:jc w:val="center"/>
              <w:rPr>
                <w:rFonts w:ascii="Times New Roman" w:hAnsi="Times New Roman" w:cs="Times New Roman"/>
                <w:b/>
                <w:bCs/>
              </w:rPr>
            </w:pPr>
            <w:r w:rsidRPr="003E1719">
              <w:rPr>
                <w:rFonts w:ascii="Times New Roman" w:eastAsia="Times New Roman" w:hAnsi="Times New Roman" w:cs="Times New Roman"/>
                <w:b/>
                <w:bCs/>
                <w:color w:val="000000"/>
              </w:rPr>
              <w:t>Bendras C</w:t>
            </w:r>
          </w:p>
        </w:tc>
        <w:tc>
          <w:tcPr>
            <w:tcW w:w="620" w:type="pct"/>
            <w:vAlign w:val="center"/>
          </w:tcPr>
          <w:p w14:paraId="67BED190" w14:textId="77777777" w:rsidR="00686710" w:rsidRPr="003E1719" w:rsidRDefault="00686710" w:rsidP="00C7524D">
            <w:pPr>
              <w:tabs>
                <w:tab w:val="left" w:pos="142"/>
              </w:tabs>
              <w:spacing w:before="1"/>
              <w:ind w:left="142" w:hanging="23"/>
              <w:jc w:val="center"/>
              <w:rPr>
                <w:rFonts w:ascii="Times New Roman" w:hAnsi="Times New Roman" w:cs="Times New Roman"/>
                <w:b/>
                <w:bCs/>
              </w:rPr>
            </w:pPr>
            <w:r w:rsidRPr="003E1719">
              <w:rPr>
                <w:rFonts w:ascii="Times New Roman" w:eastAsia="Times New Roman" w:hAnsi="Times New Roman" w:cs="Times New Roman"/>
                <w:b/>
                <w:bCs/>
                <w:color w:val="000000"/>
              </w:rPr>
              <w:t>DTL-C</w:t>
            </w:r>
          </w:p>
        </w:tc>
        <w:tc>
          <w:tcPr>
            <w:tcW w:w="460" w:type="pct"/>
            <w:vAlign w:val="center"/>
          </w:tcPr>
          <w:p w14:paraId="1E7A6C8A" w14:textId="77777777" w:rsidR="00686710" w:rsidRPr="003E1719" w:rsidRDefault="00686710" w:rsidP="00C7524D">
            <w:pPr>
              <w:tabs>
                <w:tab w:val="left" w:pos="142"/>
              </w:tabs>
              <w:spacing w:before="1"/>
              <w:ind w:left="142" w:hanging="23"/>
              <w:jc w:val="center"/>
              <w:rPr>
                <w:rFonts w:ascii="Times New Roman" w:hAnsi="Times New Roman" w:cs="Times New Roman"/>
                <w:b/>
                <w:bCs/>
              </w:rPr>
            </w:pPr>
            <w:r w:rsidRPr="003E1719">
              <w:rPr>
                <w:rFonts w:ascii="Times New Roman" w:hAnsi="Times New Roman" w:cs="Times New Roman"/>
                <w:b/>
                <w:bCs/>
              </w:rPr>
              <w:t>TG</w:t>
            </w:r>
          </w:p>
        </w:tc>
        <w:tc>
          <w:tcPr>
            <w:tcW w:w="742" w:type="pct"/>
            <w:vAlign w:val="center"/>
          </w:tcPr>
          <w:p w14:paraId="59A29AD6" w14:textId="34957648" w:rsidR="00686710" w:rsidRPr="003E1719" w:rsidRDefault="00BA4804" w:rsidP="00C7524D">
            <w:pPr>
              <w:tabs>
                <w:tab w:val="left" w:pos="142"/>
              </w:tabs>
              <w:spacing w:before="1"/>
              <w:ind w:left="142" w:hanging="23"/>
              <w:jc w:val="center"/>
              <w:rPr>
                <w:rFonts w:ascii="Times New Roman" w:hAnsi="Times New Roman" w:cs="Times New Roman"/>
                <w:b/>
                <w:bCs/>
              </w:rPr>
            </w:pPr>
            <w:r w:rsidRPr="003E1719">
              <w:rPr>
                <w:rFonts w:ascii="Times New Roman" w:eastAsia="Times New Roman" w:hAnsi="Times New Roman" w:cs="Times New Roman"/>
                <w:b/>
                <w:bCs/>
                <w:color w:val="000000"/>
              </w:rPr>
              <w:t>N</w:t>
            </w:r>
            <w:r w:rsidR="00686710" w:rsidRPr="003E1719">
              <w:rPr>
                <w:rFonts w:ascii="Times New Roman" w:eastAsia="Times New Roman" w:hAnsi="Times New Roman" w:cs="Times New Roman"/>
                <w:b/>
                <w:bCs/>
                <w:color w:val="000000"/>
              </w:rPr>
              <w:t>e</w:t>
            </w:r>
            <w:r>
              <w:rPr>
                <w:rFonts w:ascii="Times New Roman" w:eastAsia="Times New Roman" w:hAnsi="Times New Roman" w:cs="Times New Roman"/>
                <w:b/>
                <w:bCs/>
                <w:color w:val="000000"/>
              </w:rPr>
              <w:t xml:space="preserve"> </w:t>
            </w:r>
            <w:r w:rsidR="00686710" w:rsidRPr="003E1719">
              <w:rPr>
                <w:rFonts w:ascii="Times New Roman" w:eastAsia="Times New Roman" w:hAnsi="Times New Roman" w:cs="Times New Roman"/>
                <w:b/>
                <w:bCs/>
                <w:color w:val="000000"/>
              </w:rPr>
              <w:t>DTL-C</w:t>
            </w:r>
          </w:p>
        </w:tc>
        <w:tc>
          <w:tcPr>
            <w:tcW w:w="506" w:type="pct"/>
            <w:vAlign w:val="center"/>
          </w:tcPr>
          <w:p w14:paraId="4E1AE021" w14:textId="77777777" w:rsidR="00686710" w:rsidRPr="003E1719" w:rsidRDefault="00686710" w:rsidP="00C7524D">
            <w:pPr>
              <w:tabs>
                <w:tab w:val="left" w:pos="142"/>
              </w:tabs>
              <w:spacing w:before="1"/>
              <w:ind w:left="142" w:hanging="23"/>
              <w:jc w:val="center"/>
              <w:rPr>
                <w:rFonts w:ascii="Times New Roman" w:hAnsi="Times New Roman" w:cs="Times New Roman"/>
                <w:b/>
                <w:bCs/>
              </w:rPr>
            </w:pPr>
            <w:r w:rsidRPr="003E1719">
              <w:rPr>
                <w:rFonts w:ascii="Times New Roman" w:hAnsi="Times New Roman" w:cs="Times New Roman"/>
                <w:b/>
                <w:bCs/>
              </w:rPr>
              <w:t>ApoB</w:t>
            </w:r>
          </w:p>
        </w:tc>
        <w:tc>
          <w:tcPr>
            <w:tcW w:w="628" w:type="pct"/>
            <w:vAlign w:val="center"/>
          </w:tcPr>
          <w:p w14:paraId="78152A67" w14:textId="77777777" w:rsidR="00686710" w:rsidRPr="003E1719" w:rsidRDefault="00686710" w:rsidP="00C7524D">
            <w:pPr>
              <w:tabs>
                <w:tab w:val="left" w:pos="142"/>
              </w:tabs>
              <w:spacing w:before="1"/>
              <w:ind w:left="142" w:hanging="23"/>
              <w:jc w:val="center"/>
              <w:rPr>
                <w:rFonts w:ascii="Times New Roman" w:hAnsi="Times New Roman" w:cs="Times New Roman"/>
                <w:b/>
                <w:bCs/>
              </w:rPr>
            </w:pPr>
            <w:r w:rsidRPr="003E1719">
              <w:rPr>
                <w:rFonts w:ascii="Times New Roman" w:hAnsi="Times New Roman" w:cs="Times New Roman"/>
                <w:b/>
                <w:bCs/>
              </w:rPr>
              <w:t>ApoA-I</w:t>
            </w:r>
          </w:p>
        </w:tc>
      </w:tr>
      <w:tr w:rsidR="00686710" w:rsidRPr="003E1719" w14:paraId="4ADFA883" w14:textId="77777777" w:rsidTr="00C7524D">
        <w:trPr>
          <w:trHeight w:hRule="exact" w:val="269"/>
        </w:trPr>
        <w:tc>
          <w:tcPr>
            <w:tcW w:w="546" w:type="pct"/>
            <w:tcBorders>
              <w:left w:val="single" w:sz="2" w:space="0" w:color="000000"/>
            </w:tcBorders>
            <w:vAlign w:val="center"/>
          </w:tcPr>
          <w:p w14:paraId="67C19E7A" w14:textId="77777777" w:rsidR="00686710" w:rsidRPr="003E1719" w:rsidRDefault="00686710" w:rsidP="00C7524D">
            <w:pPr>
              <w:spacing w:before="1"/>
              <w:jc w:val="center"/>
              <w:rPr>
                <w:rFonts w:ascii="Times New Roman" w:hAnsi="Times New Roman" w:cs="Times New Roman"/>
              </w:rPr>
            </w:pPr>
            <w:r w:rsidRPr="003E1719">
              <w:rPr>
                <w:rFonts w:ascii="Times New Roman" w:hAnsi="Times New Roman" w:cs="Times New Roman"/>
              </w:rPr>
              <w:t>Placebas</w:t>
            </w:r>
          </w:p>
        </w:tc>
        <w:tc>
          <w:tcPr>
            <w:tcW w:w="393" w:type="pct"/>
            <w:vAlign w:val="center"/>
          </w:tcPr>
          <w:p w14:paraId="09E9A2C3"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13</w:t>
            </w:r>
          </w:p>
        </w:tc>
        <w:tc>
          <w:tcPr>
            <w:tcW w:w="477" w:type="pct"/>
            <w:vAlign w:val="center"/>
          </w:tcPr>
          <w:p w14:paraId="6315D0A7"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-7</w:t>
            </w:r>
          </w:p>
        </w:tc>
        <w:tc>
          <w:tcPr>
            <w:tcW w:w="629" w:type="pct"/>
            <w:vAlign w:val="center"/>
          </w:tcPr>
          <w:p w14:paraId="56F29140"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-5</w:t>
            </w:r>
          </w:p>
        </w:tc>
        <w:tc>
          <w:tcPr>
            <w:tcW w:w="620" w:type="pct"/>
            <w:vAlign w:val="center"/>
          </w:tcPr>
          <w:p w14:paraId="32BB2462"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3</w:t>
            </w:r>
          </w:p>
        </w:tc>
        <w:tc>
          <w:tcPr>
            <w:tcW w:w="460" w:type="pct"/>
            <w:vAlign w:val="center"/>
          </w:tcPr>
          <w:p w14:paraId="506F9F2A"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-3</w:t>
            </w:r>
          </w:p>
        </w:tc>
        <w:tc>
          <w:tcPr>
            <w:tcW w:w="742" w:type="pct"/>
            <w:vAlign w:val="center"/>
          </w:tcPr>
          <w:p w14:paraId="6539E6BF"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-7</w:t>
            </w:r>
          </w:p>
        </w:tc>
        <w:tc>
          <w:tcPr>
            <w:tcW w:w="506" w:type="pct"/>
            <w:vAlign w:val="center"/>
          </w:tcPr>
          <w:p w14:paraId="79561B14"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-3</w:t>
            </w:r>
          </w:p>
        </w:tc>
        <w:tc>
          <w:tcPr>
            <w:tcW w:w="628" w:type="pct"/>
            <w:vAlign w:val="center"/>
          </w:tcPr>
          <w:p w14:paraId="7759CB78"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0</w:t>
            </w:r>
          </w:p>
        </w:tc>
      </w:tr>
      <w:tr w:rsidR="00686710" w:rsidRPr="003E1719" w14:paraId="1D7F99BE" w14:textId="77777777" w:rsidTr="00C7524D">
        <w:trPr>
          <w:trHeight w:hRule="exact" w:val="269"/>
        </w:trPr>
        <w:tc>
          <w:tcPr>
            <w:tcW w:w="546" w:type="pct"/>
            <w:tcBorders>
              <w:left w:val="single" w:sz="2" w:space="0" w:color="000000"/>
            </w:tcBorders>
            <w:vAlign w:val="center"/>
          </w:tcPr>
          <w:p w14:paraId="0150956A" w14:textId="77777777" w:rsidR="00686710" w:rsidRPr="003E1719" w:rsidRDefault="00686710" w:rsidP="00C7524D">
            <w:pPr>
              <w:spacing w:before="1"/>
              <w:jc w:val="center"/>
              <w:rPr>
                <w:rFonts w:ascii="Times New Roman" w:hAnsi="Times New Roman" w:cs="Times New Roman"/>
              </w:rPr>
            </w:pPr>
            <w:r w:rsidRPr="003E1719">
              <w:rPr>
                <w:rFonts w:ascii="Times New Roman" w:hAnsi="Times New Roman" w:cs="Times New Roman"/>
              </w:rPr>
              <w:t>5 mg</w:t>
            </w:r>
          </w:p>
        </w:tc>
        <w:tc>
          <w:tcPr>
            <w:tcW w:w="393" w:type="pct"/>
            <w:vAlign w:val="center"/>
          </w:tcPr>
          <w:p w14:paraId="0B80C599"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17</w:t>
            </w:r>
          </w:p>
        </w:tc>
        <w:tc>
          <w:tcPr>
            <w:tcW w:w="477" w:type="pct"/>
            <w:vAlign w:val="center"/>
          </w:tcPr>
          <w:p w14:paraId="66293A00"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-45</w:t>
            </w:r>
          </w:p>
        </w:tc>
        <w:tc>
          <w:tcPr>
            <w:tcW w:w="629" w:type="pct"/>
            <w:vAlign w:val="center"/>
          </w:tcPr>
          <w:p w14:paraId="56A2F8EA"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-33</w:t>
            </w:r>
          </w:p>
        </w:tc>
        <w:tc>
          <w:tcPr>
            <w:tcW w:w="620" w:type="pct"/>
            <w:vAlign w:val="center"/>
          </w:tcPr>
          <w:p w14:paraId="4534022C"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13</w:t>
            </w:r>
          </w:p>
        </w:tc>
        <w:tc>
          <w:tcPr>
            <w:tcW w:w="460" w:type="pct"/>
            <w:vAlign w:val="center"/>
          </w:tcPr>
          <w:p w14:paraId="774431AA"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-35</w:t>
            </w:r>
          </w:p>
        </w:tc>
        <w:tc>
          <w:tcPr>
            <w:tcW w:w="742" w:type="pct"/>
            <w:vAlign w:val="center"/>
          </w:tcPr>
          <w:p w14:paraId="0E32453D"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-44</w:t>
            </w:r>
          </w:p>
        </w:tc>
        <w:tc>
          <w:tcPr>
            <w:tcW w:w="506" w:type="pct"/>
            <w:vAlign w:val="center"/>
          </w:tcPr>
          <w:p w14:paraId="39970004"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-38</w:t>
            </w:r>
          </w:p>
        </w:tc>
        <w:tc>
          <w:tcPr>
            <w:tcW w:w="628" w:type="pct"/>
            <w:vAlign w:val="center"/>
          </w:tcPr>
          <w:p w14:paraId="70E85E89" w14:textId="77777777" w:rsidR="00686710" w:rsidRPr="003E1719" w:rsidRDefault="00686710" w:rsidP="00C7524D">
            <w:pPr>
              <w:tabs>
                <w:tab w:val="left" w:pos="142"/>
              </w:tabs>
              <w:spacing w:before="1"/>
              <w:ind w:left="142" w:hanging="23"/>
              <w:jc w:val="center"/>
              <w:rPr>
                <w:rFonts w:ascii="Times New Roman" w:hAnsi="Times New Roman" w:cs="Times New Roman"/>
              </w:rPr>
            </w:pPr>
            <w:r w:rsidRPr="003E1719">
              <w:rPr>
                <w:rFonts w:ascii="Times New Roman" w:hAnsi="Times New Roman" w:cs="Times New Roman"/>
              </w:rPr>
              <w:t>4</w:t>
            </w:r>
          </w:p>
        </w:tc>
      </w:tr>
      <w:tr w:rsidR="00686710" w:rsidRPr="003E1719" w14:paraId="3EB0EDDC" w14:textId="77777777" w:rsidTr="00C7524D">
        <w:trPr>
          <w:trHeight w:hRule="exact" w:val="269"/>
        </w:trPr>
        <w:tc>
          <w:tcPr>
            <w:tcW w:w="546" w:type="pct"/>
            <w:tcBorders>
              <w:left w:val="single" w:sz="2" w:space="0" w:color="000000"/>
            </w:tcBorders>
            <w:vAlign w:val="center"/>
          </w:tcPr>
          <w:p w14:paraId="4339DE1F" w14:textId="77777777" w:rsidR="00686710" w:rsidRPr="003E1719" w:rsidRDefault="00686710" w:rsidP="00C7524D">
            <w:pPr>
              <w:spacing w:line="249" w:lineRule="exact"/>
              <w:jc w:val="center"/>
              <w:rPr>
                <w:rFonts w:ascii="Times New Roman" w:hAnsi="Times New Roman" w:cs="Times New Roman"/>
              </w:rPr>
            </w:pPr>
            <w:r w:rsidRPr="003E1719">
              <w:rPr>
                <w:rFonts w:ascii="Times New Roman" w:hAnsi="Times New Roman" w:cs="Times New Roman"/>
              </w:rPr>
              <w:t>10 mg</w:t>
            </w:r>
          </w:p>
        </w:tc>
        <w:tc>
          <w:tcPr>
            <w:tcW w:w="393" w:type="pct"/>
            <w:vAlign w:val="center"/>
          </w:tcPr>
          <w:p w14:paraId="1E0B2BC6"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17</w:t>
            </w:r>
          </w:p>
        </w:tc>
        <w:tc>
          <w:tcPr>
            <w:tcW w:w="477" w:type="pct"/>
            <w:vAlign w:val="center"/>
          </w:tcPr>
          <w:p w14:paraId="2D9AFC9C"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-52</w:t>
            </w:r>
          </w:p>
        </w:tc>
        <w:tc>
          <w:tcPr>
            <w:tcW w:w="629" w:type="pct"/>
            <w:vAlign w:val="center"/>
          </w:tcPr>
          <w:p w14:paraId="2DD9B08F"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-36</w:t>
            </w:r>
          </w:p>
        </w:tc>
        <w:tc>
          <w:tcPr>
            <w:tcW w:w="620" w:type="pct"/>
            <w:vAlign w:val="center"/>
          </w:tcPr>
          <w:p w14:paraId="13572728"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14</w:t>
            </w:r>
          </w:p>
        </w:tc>
        <w:tc>
          <w:tcPr>
            <w:tcW w:w="460" w:type="pct"/>
            <w:vAlign w:val="center"/>
          </w:tcPr>
          <w:p w14:paraId="1185EEC5"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-10</w:t>
            </w:r>
          </w:p>
        </w:tc>
        <w:tc>
          <w:tcPr>
            <w:tcW w:w="742" w:type="pct"/>
            <w:vAlign w:val="center"/>
          </w:tcPr>
          <w:p w14:paraId="5A25A8BF"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-48</w:t>
            </w:r>
          </w:p>
        </w:tc>
        <w:tc>
          <w:tcPr>
            <w:tcW w:w="506" w:type="pct"/>
            <w:vAlign w:val="center"/>
          </w:tcPr>
          <w:p w14:paraId="71C79587"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-42</w:t>
            </w:r>
          </w:p>
        </w:tc>
        <w:tc>
          <w:tcPr>
            <w:tcW w:w="628" w:type="pct"/>
            <w:vAlign w:val="center"/>
          </w:tcPr>
          <w:p w14:paraId="10C05CB3"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4</w:t>
            </w:r>
          </w:p>
        </w:tc>
      </w:tr>
      <w:tr w:rsidR="00686710" w:rsidRPr="003E1719" w14:paraId="7D1F6994" w14:textId="77777777" w:rsidTr="00C7524D">
        <w:trPr>
          <w:trHeight w:hRule="exact" w:val="269"/>
        </w:trPr>
        <w:tc>
          <w:tcPr>
            <w:tcW w:w="546" w:type="pct"/>
            <w:tcBorders>
              <w:left w:val="single" w:sz="2" w:space="0" w:color="000000"/>
            </w:tcBorders>
            <w:vAlign w:val="center"/>
          </w:tcPr>
          <w:p w14:paraId="24A1D88E" w14:textId="77777777" w:rsidR="00686710" w:rsidRPr="003E1719" w:rsidRDefault="00686710" w:rsidP="00C7524D">
            <w:pPr>
              <w:spacing w:line="249" w:lineRule="exact"/>
              <w:jc w:val="center"/>
              <w:rPr>
                <w:rFonts w:ascii="Times New Roman" w:hAnsi="Times New Roman" w:cs="Times New Roman"/>
              </w:rPr>
            </w:pPr>
            <w:r w:rsidRPr="003E1719">
              <w:rPr>
                <w:rFonts w:ascii="Times New Roman" w:hAnsi="Times New Roman" w:cs="Times New Roman"/>
              </w:rPr>
              <w:t>20 mg</w:t>
            </w:r>
          </w:p>
        </w:tc>
        <w:tc>
          <w:tcPr>
            <w:tcW w:w="393" w:type="pct"/>
            <w:vAlign w:val="center"/>
          </w:tcPr>
          <w:p w14:paraId="6FFD8BEF"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17</w:t>
            </w:r>
          </w:p>
        </w:tc>
        <w:tc>
          <w:tcPr>
            <w:tcW w:w="477" w:type="pct"/>
            <w:vAlign w:val="center"/>
          </w:tcPr>
          <w:p w14:paraId="6CEE538C"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-55</w:t>
            </w:r>
          </w:p>
        </w:tc>
        <w:tc>
          <w:tcPr>
            <w:tcW w:w="629" w:type="pct"/>
            <w:vAlign w:val="center"/>
          </w:tcPr>
          <w:p w14:paraId="0E08084A"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-40</w:t>
            </w:r>
          </w:p>
        </w:tc>
        <w:tc>
          <w:tcPr>
            <w:tcW w:w="620" w:type="pct"/>
            <w:vAlign w:val="center"/>
          </w:tcPr>
          <w:p w14:paraId="6532BE0C"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8</w:t>
            </w:r>
          </w:p>
        </w:tc>
        <w:tc>
          <w:tcPr>
            <w:tcW w:w="460" w:type="pct"/>
            <w:vAlign w:val="center"/>
          </w:tcPr>
          <w:p w14:paraId="66B1B0EB"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-23</w:t>
            </w:r>
          </w:p>
        </w:tc>
        <w:tc>
          <w:tcPr>
            <w:tcW w:w="742" w:type="pct"/>
            <w:vAlign w:val="center"/>
          </w:tcPr>
          <w:p w14:paraId="49DD0A0D"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-51</w:t>
            </w:r>
          </w:p>
        </w:tc>
        <w:tc>
          <w:tcPr>
            <w:tcW w:w="506" w:type="pct"/>
            <w:vAlign w:val="center"/>
          </w:tcPr>
          <w:p w14:paraId="3FD77707"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-46</w:t>
            </w:r>
          </w:p>
        </w:tc>
        <w:tc>
          <w:tcPr>
            <w:tcW w:w="628" w:type="pct"/>
            <w:vAlign w:val="center"/>
          </w:tcPr>
          <w:p w14:paraId="47FE2D5F"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5</w:t>
            </w:r>
          </w:p>
        </w:tc>
      </w:tr>
      <w:tr w:rsidR="00686710" w:rsidRPr="003E1719" w14:paraId="484EC130" w14:textId="77777777" w:rsidTr="00C7524D">
        <w:trPr>
          <w:trHeight w:hRule="exact" w:val="269"/>
        </w:trPr>
        <w:tc>
          <w:tcPr>
            <w:tcW w:w="546" w:type="pct"/>
            <w:tcBorders>
              <w:left w:val="single" w:sz="2" w:space="0" w:color="000000"/>
            </w:tcBorders>
            <w:vAlign w:val="center"/>
          </w:tcPr>
          <w:p w14:paraId="39224B53" w14:textId="77777777" w:rsidR="00686710" w:rsidRPr="003E1719" w:rsidRDefault="00686710" w:rsidP="00C7524D">
            <w:pPr>
              <w:spacing w:line="249" w:lineRule="exact"/>
              <w:jc w:val="center"/>
              <w:rPr>
                <w:rFonts w:ascii="Times New Roman" w:hAnsi="Times New Roman" w:cs="Times New Roman"/>
              </w:rPr>
            </w:pPr>
            <w:r w:rsidRPr="003E1719">
              <w:rPr>
                <w:rFonts w:ascii="Times New Roman" w:hAnsi="Times New Roman" w:cs="Times New Roman"/>
              </w:rPr>
              <w:t>40 mg</w:t>
            </w:r>
          </w:p>
        </w:tc>
        <w:tc>
          <w:tcPr>
            <w:tcW w:w="393" w:type="pct"/>
            <w:vAlign w:val="center"/>
          </w:tcPr>
          <w:p w14:paraId="73B09307"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18</w:t>
            </w:r>
          </w:p>
        </w:tc>
        <w:tc>
          <w:tcPr>
            <w:tcW w:w="477" w:type="pct"/>
            <w:vAlign w:val="center"/>
          </w:tcPr>
          <w:p w14:paraId="5805789D"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-63</w:t>
            </w:r>
          </w:p>
        </w:tc>
        <w:tc>
          <w:tcPr>
            <w:tcW w:w="629" w:type="pct"/>
            <w:vAlign w:val="center"/>
          </w:tcPr>
          <w:p w14:paraId="64F10FA7"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-46</w:t>
            </w:r>
          </w:p>
        </w:tc>
        <w:tc>
          <w:tcPr>
            <w:tcW w:w="620" w:type="pct"/>
            <w:vAlign w:val="center"/>
          </w:tcPr>
          <w:p w14:paraId="0EF253BC"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10</w:t>
            </w:r>
          </w:p>
        </w:tc>
        <w:tc>
          <w:tcPr>
            <w:tcW w:w="460" w:type="pct"/>
            <w:vAlign w:val="center"/>
          </w:tcPr>
          <w:p w14:paraId="01831384"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-28</w:t>
            </w:r>
          </w:p>
        </w:tc>
        <w:tc>
          <w:tcPr>
            <w:tcW w:w="742" w:type="pct"/>
            <w:vAlign w:val="center"/>
          </w:tcPr>
          <w:p w14:paraId="1C90559E"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-60</w:t>
            </w:r>
          </w:p>
        </w:tc>
        <w:tc>
          <w:tcPr>
            <w:tcW w:w="506" w:type="pct"/>
            <w:vAlign w:val="center"/>
          </w:tcPr>
          <w:p w14:paraId="68315DBF"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-54</w:t>
            </w:r>
          </w:p>
        </w:tc>
        <w:tc>
          <w:tcPr>
            <w:tcW w:w="628" w:type="pct"/>
            <w:vAlign w:val="center"/>
          </w:tcPr>
          <w:p w14:paraId="48E65B70" w14:textId="77777777" w:rsidR="00686710" w:rsidRPr="003E1719" w:rsidRDefault="00686710" w:rsidP="00C7524D">
            <w:pPr>
              <w:tabs>
                <w:tab w:val="left" w:pos="142"/>
              </w:tabs>
              <w:spacing w:line="249" w:lineRule="exact"/>
              <w:ind w:left="142" w:hanging="23"/>
              <w:jc w:val="center"/>
              <w:rPr>
                <w:rFonts w:ascii="Times New Roman" w:hAnsi="Times New Roman" w:cs="Times New Roman"/>
              </w:rPr>
            </w:pPr>
            <w:r w:rsidRPr="003E1719">
              <w:rPr>
                <w:rFonts w:ascii="Times New Roman" w:hAnsi="Times New Roman" w:cs="Times New Roman"/>
              </w:rPr>
              <w:t>0</w:t>
            </w:r>
          </w:p>
        </w:tc>
      </w:tr>
    </w:tbl>
    <w:p w14:paraId="10561EB0" w14:textId="65193572" w:rsidR="00686710" w:rsidRDefault="00BA4804" w:rsidP="000D7B89">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 – cholesterolis, TG - trigliceridai</w:t>
      </w:r>
    </w:p>
    <w:p w14:paraId="29397BE3" w14:textId="77777777" w:rsidR="00BA4804" w:rsidRPr="003E1719" w:rsidRDefault="00BA4804" w:rsidP="000D7B89">
      <w:pPr>
        <w:widowControl w:val="0"/>
        <w:spacing w:after="0" w:line="240" w:lineRule="auto"/>
        <w:rPr>
          <w:rFonts w:ascii="Times New Roman" w:eastAsia="Times New Roman" w:hAnsi="Times New Roman" w:cs="Times New Roman"/>
          <w:color w:val="000000"/>
        </w:rPr>
      </w:pPr>
    </w:p>
    <w:p w14:paraId="52E40E05" w14:textId="77777777" w:rsidR="000D7B89" w:rsidRPr="003E1719" w:rsidRDefault="000D7B89" w:rsidP="000D7B89">
      <w:pPr>
        <w:widowControl w:val="0"/>
        <w:spacing w:after="0" w:line="240" w:lineRule="auto"/>
        <w:rPr>
          <w:rFonts w:ascii="Times New Roman" w:eastAsia="Times New Roman" w:hAnsi="Times New Roman" w:cs="Times New Roman"/>
          <w:color w:val="000000"/>
        </w:rPr>
      </w:pPr>
      <w:r w:rsidRPr="003E1719">
        <w:rPr>
          <w:rFonts w:ascii="Times New Roman" w:eastAsia="Times New Roman" w:hAnsi="Times New Roman" w:cs="Times New Roman"/>
          <w:color w:val="000000"/>
        </w:rPr>
        <w:t>Gydomasis poveikis pasireiškia per 1 savaitę nuo gydymo pradžios ir 90 % stipriausio atsako pasiekiama per 2 savaites. Stipriausias atsakas paprastai pasiekiamas per 4 savaites ir palaikomas vėliau.</w:t>
      </w:r>
    </w:p>
    <w:p w14:paraId="11FAA59E"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57B06308" w14:textId="77777777" w:rsidR="000D7B89" w:rsidRPr="008B4659" w:rsidRDefault="000D7B89" w:rsidP="000D7B89">
      <w:pPr>
        <w:widowControl w:val="0"/>
        <w:spacing w:after="0" w:line="240" w:lineRule="auto"/>
        <w:rPr>
          <w:rFonts w:ascii="Times New Roman" w:eastAsia="Times New Roman" w:hAnsi="Times New Roman" w:cs="Times New Roman"/>
          <w:i/>
        </w:rPr>
      </w:pPr>
      <w:r w:rsidRPr="008B4659">
        <w:rPr>
          <w:rFonts w:ascii="Times New Roman" w:eastAsia="Times New Roman" w:hAnsi="Times New Roman" w:cs="Times New Roman"/>
          <w:i/>
        </w:rPr>
        <w:t>Ezetimibas</w:t>
      </w:r>
    </w:p>
    <w:p w14:paraId="24D4126F" w14:textId="77777777" w:rsidR="000D7B89" w:rsidRPr="003E1719" w:rsidRDefault="000D7B89" w:rsidP="000D7B89">
      <w:pPr>
        <w:widowControl w:val="0"/>
        <w:spacing w:after="0" w:line="240" w:lineRule="auto"/>
        <w:rPr>
          <w:rFonts w:ascii="Times New Roman" w:eastAsia="Times New Roman" w:hAnsi="Times New Roman" w:cs="Times New Roman"/>
          <w:color w:val="000000"/>
          <w:lang w:eastAsia="sl-SI"/>
        </w:rPr>
      </w:pPr>
    </w:p>
    <w:p w14:paraId="76D3EEB5" w14:textId="77777777" w:rsidR="000D7B89" w:rsidRPr="008B465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r w:rsidRPr="008B4659">
        <w:rPr>
          <w:rFonts w:ascii="Times New Roman" w:eastAsia="Times New Roman" w:hAnsi="Times New Roman" w:cs="Times New Roman"/>
          <w:color w:val="000000"/>
          <w:u w:val="single"/>
          <w:lang w:eastAsia="sl-SI"/>
        </w:rPr>
        <w:t>Veikimo mechanizmas</w:t>
      </w:r>
    </w:p>
    <w:p w14:paraId="3B799369"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Ez</w:t>
      </w:r>
      <w:r w:rsidR="00686710" w:rsidRPr="003E1719">
        <w:rPr>
          <w:rFonts w:ascii="Times New Roman" w:eastAsia="Times New Roman" w:hAnsi="Times New Roman" w:cs="Times New Roman"/>
          <w:snapToGrid w:val="0"/>
          <w:lang w:eastAsia="sl-SI"/>
        </w:rPr>
        <w:t>etimibas</w:t>
      </w:r>
      <w:r w:rsidRPr="003E1719">
        <w:rPr>
          <w:rFonts w:ascii="Times New Roman" w:eastAsia="Times New Roman" w:hAnsi="Times New Roman" w:cs="Times New Roman"/>
          <w:snapToGrid w:val="0"/>
          <w:lang w:eastAsia="sl-SI"/>
        </w:rPr>
        <w:t xml:space="preserve"> yra naujos klasės lipidų kiekį mažinanti medžiaga, selektyviai slopinanti cholesterolio ir susijusių augalinių sterolių absorbciją žarnyne. Ezetimibas veiksmingas pavartotas per burną, jo veikimo mechanizmas skiriasi nuo kitų cholesterolio koncentraciją mažinančių medžiagų (pvz., statinų, tulžies r</w:t>
      </w:r>
      <w:r w:rsidR="00686710" w:rsidRPr="003E1719">
        <w:rPr>
          <w:rFonts w:ascii="Times New Roman" w:eastAsia="Times New Roman" w:hAnsi="Times New Roman" w:cs="Times New Roman"/>
          <w:snapToGrid w:val="0"/>
          <w:lang w:eastAsia="sl-SI"/>
        </w:rPr>
        <w:t>ūgštis surišančių sekvestrantų [</w:t>
      </w:r>
      <w:r w:rsidRPr="003E1719">
        <w:rPr>
          <w:rFonts w:ascii="Times New Roman" w:eastAsia="Times New Roman" w:hAnsi="Times New Roman" w:cs="Times New Roman"/>
          <w:snapToGrid w:val="0"/>
          <w:lang w:eastAsia="sl-SI"/>
        </w:rPr>
        <w:t>dervų</w:t>
      </w:r>
      <w:r w:rsidR="00686710" w:rsidRPr="003E1719">
        <w:rPr>
          <w:rFonts w:ascii="Times New Roman" w:eastAsia="Times New Roman" w:hAnsi="Times New Roman" w:cs="Times New Roman"/>
          <w:snapToGrid w:val="0"/>
          <w:lang w:eastAsia="sl-SI"/>
        </w:rPr>
        <w:t>]</w:t>
      </w:r>
      <w:r w:rsidRPr="003E1719">
        <w:rPr>
          <w:rFonts w:ascii="Times New Roman" w:eastAsia="Times New Roman" w:hAnsi="Times New Roman" w:cs="Times New Roman"/>
          <w:snapToGrid w:val="0"/>
          <w:lang w:eastAsia="sl-SI"/>
        </w:rPr>
        <w:t xml:space="preserve">, fibro rūgšties darinių ir augalų stanolių). Molekulinis ezetimibo taikinys yra sterolių nešiklis </w:t>
      </w:r>
      <w:r w:rsidRPr="003E1719">
        <w:rPr>
          <w:rFonts w:ascii="Times New Roman" w:eastAsia="Times New Roman" w:hAnsi="Times New Roman" w:cs="Times New Roman"/>
          <w:i/>
          <w:snapToGrid w:val="0"/>
          <w:lang w:eastAsia="sl-SI"/>
        </w:rPr>
        <w:t>Niemann-Pick C1-Like 1</w:t>
      </w:r>
      <w:r w:rsidRPr="003E1719">
        <w:rPr>
          <w:rFonts w:ascii="Times New Roman" w:eastAsia="Times New Roman" w:hAnsi="Times New Roman" w:cs="Times New Roman"/>
          <w:snapToGrid w:val="0"/>
          <w:lang w:eastAsia="sl-SI"/>
        </w:rPr>
        <w:t xml:space="preserve"> (NPC1L1), kuris lemia cholesterolio ir fitosterolių absorbciją žarnyne.</w:t>
      </w:r>
    </w:p>
    <w:p w14:paraId="4218EE26"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p>
    <w:p w14:paraId="5174FAD3"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 xml:space="preserve">Ezetimibas kaupiasi ant plonosios žarnos gaurelių ir slopina cholesterolio absorbciją, todėl į kepenis </w:t>
      </w:r>
      <w:r w:rsidR="00686710" w:rsidRPr="003E1719">
        <w:rPr>
          <w:rFonts w:ascii="Times New Roman" w:eastAsia="Times New Roman" w:hAnsi="Times New Roman" w:cs="Times New Roman"/>
          <w:snapToGrid w:val="0"/>
          <w:lang w:eastAsia="sl-SI"/>
        </w:rPr>
        <w:t xml:space="preserve">iš žarnyno </w:t>
      </w:r>
      <w:r w:rsidRPr="003E1719">
        <w:rPr>
          <w:rFonts w:ascii="Times New Roman" w:eastAsia="Times New Roman" w:hAnsi="Times New Roman" w:cs="Times New Roman"/>
          <w:snapToGrid w:val="0"/>
          <w:lang w:eastAsia="sl-SI"/>
        </w:rPr>
        <w:t>patenka mažiau cholesterolio. Statinai slopina cholesterolio sintezę kepenyse. Kartu abu šie mechanizmai užtikrina papildomą cholesterolio kiekio sumažėjimą. 2 savaičių klinikinio tyrimo metu 18 pacientų, kuriems buvo hipercholesterolemija, ezetimibas cholesterolio absorbciją žarnyne sumažino 54 % daugiau negu placebas.</w:t>
      </w:r>
    </w:p>
    <w:p w14:paraId="0FC75463"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6CFD045F" w14:textId="77777777" w:rsidR="000D7B89" w:rsidRPr="008B4659" w:rsidRDefault="000D7B89" w:rsidP="000D7B89">
      <w:pPr>
        <w:widowControl w:val="0"/>
        <w:tabs>
          <w:tab w:val="left" w:pos="567"/>
        </w:tabs>
        <w:spacing w:after="0" w:line="240" w:lineRule="auto"/>
        <w:rPr>
          <w:rFonts w:ascii="Times New Roman" w:eastAsia="Times New Roman" w:hAnsi="Times New Roman" w:cs="Times New Roman"/>
          <w:u w:val="single"/>
        </w:rPr>
      </w:pPr>
      <w:r w:rsidRPr="008B4659">
        <w:rPr>
          <w:rFonts w:ascii="Times New Roman" w:eastAsia="Times New Roman" w:hAnsi="Times New Roman" w:cs="Times New Roman"/>
          <w:u w:val="single"/>
        </w:rPr>
        <w:t>Farmakodinaminis poveikis</w:t>
      </w:r>
    </w:p>
    <w:p w14:paraId="419DA95F"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Buvo atlikta keletas ikiklinikinių tyrimų cholesterolio absorbciją slopinančio ezetimibo poveikio selektyvumui nustatyti. Ezetimibas slopino [</w:t>
      </w:r>
      <w:r w:rsidRPr="003E1719">
        <w:rPr>
          <w:rFonts w:ascii="Times New Roman" w:eastAsia="Times New Roman" w:hAnsi="Times New Roman" w:cs="Times New Roman"/>
          <w:snapToGrid w:val="0"/>
          <w:vertAlign w:val="superscript"/>
          <w:lang w:eastAsia="sl-SI"/>
        </w:rPr>
        <w:t>14</w:t>
      </w:r>
      <w:r w:rsidRPr="003E1719">
        <w:rPr>
          <w:rFonts w:ascii="Times New Roman" w:eastAsia="Times New Roman" w:hAnsi="Times New Roman" w:cs="Times New Roman"/>
          <w:snapToGrid w:val="0"/>
          <w:lang w:eastAsia="sl-SI"/>
        </w:rPr>
        <w:t>C]-cholesterolio absorbciją, bet neveikė trigliceridų, riebalų rūgščių, tulžies rūgščių, progesterono, etinilestradiolio ar riebaluose tirpių vitaminų A ir D absorbcijos.</w:t>
      </w:r>
    </w:p>
    <w:p w14:paraId="58777AE6"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p>
    <w:p w14:paraId="7AB2BE24" w14:textId="4E9D8F5D"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Epidemiologinių tyrimų metu nustatyta, kad sergamumas širdies ir kraujagyslių ligomis bei mirštamumas nuo jų yra tiesiogiai proporcingi bendro-C bei MTL-C ir atvirkščiai proporcingi DTL</w:t>
      </w:r>
      <w:r w:rsidRPr="003E1719">
        <w:rPr>
          <w:rFonts w:ascii="Times New Roman" w:eastAsia="Times New Roman" w:hAnsi="Times New Roman" w:cs="Times New Roman"/>
          <w:snapToGrid w:val="0"/>
          <w:lang w:eastAsia="sl-SI"/>
        </w:rPr>
        <w:noBreakHyphen/>
        <w:t>C kiekiui.</w:t>
      </w:r>
      <w:r w:rsidR="006A6F6F" w:rsidRPr="003E1719">
        <w:rPr>
          <w:rFonts w:ascii="Times New Roman" w:eastAsia="Times New Roman" w:hAnsi="Times New Roman" w:cs="Times New Roman"/>
          <w:snapToGrid w:val="0"/>
          <w:lang w:eastAsia="sl-SI"/>
        </w:rPr>
        <w:t xml:space="preserve"> </w:t>
      </w:r>
      <w:r w:rsidRPr="003E1719">
        <w:rPr>
          <w:rFonts w:ascii="Times New Roman" w:eastAsia="Times New Roman" w:hAnsi="Times New Roman" w:cs="Times New Roman"/>
          <w:snapToGrid w:val="0"/>
          <w:lang w:bidi="bo-CN"/>
        </w:rPr>
        <w:t>Koronarine širdies liga sirgusių ir ūmin</w:t>
      </w:r>
      <w:r w:rsidR="00AA60B5">
        <w:rPr>
          <w:rFonts w:ascii="Times New Roman" w:eastAsia="Times New Roman" w:hAnsi="Times New Roman" w:cs="Times New Roman"/>
          <w:snapToGrid w:val="0"/>
          <w:lang w:bidi="bo-CN"/>
        </w:rPr>
        <w:t>o</w:t>
      </w:r>
      <w:r w:rsidRPr="003E1719">
        <w:rPr>
          <w:rFonts w:ascii="Times New Roman" w:eastAsia="Times New Roman" w:hAnsi="Times New Roman" w:cs="Times New Roman"/>
          <w:snapToGrid w:val="0"/>
          <w:lang w:bidi="bo-CN"/>
        </w:rPr>
        <w:t xml:space="preserve"> </w:t>
      </w:r>
      <w:r w:rsidR="00AA60B5">
        <w:rPr>
          <w:rFonts w:ascii="Times New Roman" w:eastAsia="Times New Roman" w:hAnsi="Times New Roman" w:cs="Times New Roman"/>
          <w:snapToGrid w:val="0"/>
          <w:lang w:bidi="bo-CN"/>
        </w:rPr>
        <w:t>koronarinio sindromo</w:t>
      </w:r>
      <w:r w:rsidR="00AA60B5" w:rsidRPr="003E1719">
        <w:rPr>
          <w:rFonts w:ascii="Times New Roman" w:eastAsia="Times New Roman" w:hAnsi="Times New Roman" w:cs="Times New Roman"/>
          <w:snapToGrid w:val="0"/>
          <w:lang w:bidi="bo-CN"/>
        </w:rPr>
        <w:t xml:space="preserve"> </w:t>
      </w:r>
      <w:r w:rsidRPr="003E1719">
        <w:rPr>
          <w:rFonts w:ascii="Times New Roman" w:eastAsia="Times New Roman" w:hAnsi="Times New Roman" w:cs="Times New Roman"/>
          <w:snapToGrid w:val="0"/>
          <w:lang w:bidi="bo-CN"/>
        </w:rPr>
        <w:t>reiškinį (Ū</w:t>
      </w:r>
      <w:r w:rsidR="00AA60B5">
        <w:rPr>
          <w:rFonts w:ascii="Times New Roman" w:eastAsia="Times New Roman" w:hAnsi="Times New Roman" w:cs="Times New Roman"/>
          <w:snapToGrid w:val="0"/>
          <w:lang w:bidi="bo-CN"/>
        </w:rPr>
        <w:t>KS</w:t>
      </w:r>
      <w:r w:rsidRPr="003E1719">
        <w:rPr>
          <w:rFonts w:ascii="Times New Roman" w:eastAsia="Times New Roman" w:hAnsi="Times New Roman" w:cs="Times New Roman"/>
          <w:snapToGrid w:val="0"/>
          <w:lang w:bidi="bo-CN"/>
        </w:rPr>
        <w:t>R) jau patyrusių</w:t>
      </w:r>
      <w:r w:rsidRPr="003E1719">
        <w:rPr>
          <w:rFonts w:ascii="Times New Roman" w:eastAsia="Times New Roman" w:hAnsi="Times New Roman" w:cs="Times New Roman"/>
          <w:snapToGrid w:val="0"/>
        </w:rPr>
        <w:t xml:space="preserve"> pacientų gydymas</w:t>
      </w:r>
      <w:r w:rsidRPr="003E1719">
        <w:rPr>
          <w:rFonts w:ascii="Times New Roman" w:eastAsia="Times New Roman" w:hAnsi="Times New Roman" w:cs="Times New Roman"/>
          <w:snapToGrid w:val="0"/>
          <w:lang w:eastAsia="sl-SI"/>
        </w:rPr>
        <w:t xml:space="preserve"> ezetimibo </w:t>
      </w:r>
      <w:r w:rsidRPr="003E1719">
        <w:rPr>
          <w:rFonts w:ascii="Times New Roman" w:eastAsia="Times New Roman" w:hAnsi="Times New Roman" w:cs="Times New Roman"/>
          <w:snapToGrid w:val="0"/>
        </w:rPr>
        <w:t>ir statino deriniu yra veiksmingas mažinant</w:t>
      </w:r>
      <w:r w:rsidRPr="003E1719">
        <w:rPr>
          <w:rFonts w:ascii="Times New Roman" w:eastAsia="Times New Roman" w:hAnsi="Times New Roman" w:cs="Times New Roman"/>
          <w:snapToGrid w:val="0"/>
          <w:lang w:eastAsia="sl-SI"/>
        </w:rPr>
        <w:t xml:space="preserve"> kardiovaskulinių </w:t>
      </w:r>
      <w:r w:rsidRPr="003E1719">
        <w:rPr>
          <w:rFonts w:ascii="Times New Roman" w:eastAsia="Times New Roman" w:hAnsi="Times New Roman" w:cs="Times New Roman"/>
          <w:snapToGrid w:val="0"/>
        </w:rPr>
        <w:t>reiškinių riziką</w:t>
      </w:r>
      <w:r w:rsidRPr="003E1719">
        <w:rPr>
          <w:rFonts w:ascii="Times New Roman" w:eastAsia="Times New Roman" w:hAnsi="Times New Roman" w:cs="Times New Roman"/>
          <w:snapToGrid w:val="0"/>
          <w:lang w:eastAsia="sl-SI"/>
        </w:rPr>
        <w:t>.</w:t>
      </w:r>
    </w:p>
    <w:p w14:paraId="36355D3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8451338" w14:textId="77777777" w:rsidR="000D7B89" w:rsidRPr="008B4659" w:rsidRDefault="000D7B89" w:rsidP="000D7B89">
      <w:pPr>
        <w:widowControl w:val="0"/>
        <w:spacing w:after="0" w:line="240" w:lineRule="auto"/>
        <w:rPr>
          <w:rFonts w:ascii="Times New Roman" w:eastAsia="Times New Roman" w:hAnsi="Times New Roman" w:cs="Times New Roman"/>
          <w:i/>
        </w:rPr>
      </w:pPr>
      <w:r w:rsidRPr="008B4659">
        <w:rPr>
          <w:rFonts w:ascii="Times New Roman" w:eastAsia="Times New Roman" w:hAnsi="Times New Roman" w:cs="Times New Roman"/>
          <w:i/>
        </w:rPr>
        <w:t>Rozuvastatinas/Ezetimibas</w:t>
      </w:r>
    </w:p>
    <w:p w14:paraId="4CFF0CD5"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i/>
          <w:color w:val="000000"/>
          <w:u w:val="single"/>
          <w:lang w:eastAsia="sl-SI"/>
        </w:rPr>
      </w:pPr>
    </w:p>
    <w:p w14:paraId="6F9C17C6" w14:textId="77777777" w:rsidR="000D7B89" w:rsidRPr="008B465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r w:rsidRPr="008B4659">
        <w:rPr>
          <w:rFonts w:ascii="Times New Roman" w:eastAsia="Times New Roman" w:hAnsi="Times New Roman" w:cs="Times New Roman"/>
          <w:color w:val="000000"/>
          <w:u w:val="single"/>
          <w:lang w:eastAsia="sl-SI"/>
        </w:rPr>
        <w:t>Klinikinis veiksmingumas</w:t>
      </w:r>
    </w:p>
    <w:p w14:paraId="5249034F" w14:textId="29A24772"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Buvo atliktas 6 savaičių trukmės, atsitiktinių imčių, dvigubai koduotas, paralelinių grupių klinikinis tyrimas, kurio metu vertintas stabilaus gydymo rozuvastatinu papildymo ezetimibo doze </w:t>
      </w:r>
      <w:r w:rsidR="006A6F6F" w:rsidRPr="003E1719">
        <w:rPr>
          <w:rFonts w:ascii="Times New Roman" w:eastAsia="Times New Roman" w:hAnsi="Times New Roman" w:cs="Times New Roman"/>
          <w:color w:val="000000"/>
          <w:lang w:eastAsia="sl-SI"/>
        </w:rPr>
        <w:t xml:space="preserve">(10 mg) </w:t>
      </w:r>
      <w:r w:rsidRPr="003E1719">
        <w:rPr>
          <w:rFonts w:ascii="Times New Roman" w:eastAsia="Times New Roman" w:hAnsi="Times New Roman" w:cs="Times New Roman"/>
          <w:color w:val="000000"/>
          <w:lang w:eastAsia="sl-SI"/>
        </w:rPr>
        <w:t xml:space="preserve">saugumas ir veiksmingumas, palyginti su rozuvastatino dozės didinimu nuo 5 mg iki 10 mg arba nuo 10 mg iki 20 mg (n= 440). Apibendrinti duomenys parodė, kad gydymo stabilia 5 mg ar 10 mg rozuvastatino doze papildymas ezetimibu MTL cholesterolio kiekį sumažino 21 %. </w:t>
      </w:r>
      <w:r w:rsidR="009707B3">
        <w:rPr>
          <w:rFonts w:ascii="Times New Roman" w:eastAsia="Times New Roman" w:hAnsi="Times New Roman" w:cs="Times New Roman"/>
          <w:color w:val="000000"/>
          <w:lang w:eastAsia="sl-SI"/>
        </w:rPr>
        <w:t>Tuo tarpu</w:t>
      </w:r>
      <w:r w:rsidRPr="003E1719">
        <w:rPr>
          <w:rFonts w:ascii="Times New Roman" w:eastAsia="Times New Roman" w:hAnsi="Times New Roman" w:cs="Times New Roman"/>
          <w:color w:val="000000"/>
          <w:lang w:eastAsia="sl-SI"/>
        </w:rPr>
        <w:t xml:space="preserve"> rozuvastatino dozės didinimas iki 10 mg ar 20 mg MTL cholesterolio kiekį sumažino 5,7 % (skirtumas tarp grupių 15,2 %, p &lt; 0,001). Vertinant atskirai, ezetimibas kartu su 5 mg rozuvastatino doze MTL cholesterolio kiekį sumažino labiau nei </w:t>
      </w:r>
      <w:r w:rsidR="009707B3">
        <w:rPr>
          <w:rFonts w:ascii="Times New Roman" w:eastAsia="Times New Roman" w:hAnsi="Times New Roman" w:cs="Times New Roman"/>
          <w:color w:val="000000"/>
          <w:lang w:eastAsia="sl-SI"/>
        </w:rPr>
        <w:t>vien</w:t>
      </w:r>
      <w:r w:rsidRPr="003E1719">
        <w:rPr>
          <w:rFonts w:ascii="Times New Roman" w:eastAsia="Times New Roman" w:hAnsi="Times New Roman" w:cs="Times New Roman"/>
          <w:color w:val="000000"/>
          <w:lang w:eastAsia="sl-SI"/>
        </w:rPr>
        <w:t xml:space="preserve">10 mg rozuvastatino dozė (skirtumas 12,3 %, p &lt; 0,001), o ezetimibas kartu su 10 mg rozuvastatino doze MTL cholesterolio kiekį sumažino labiau nei </w:t>
      </w:r>
      <w:r w:rsidR="009707B3">
        <w:rPr>
          <w:rFonts w:ascii="Times New Roman" w:eastAsia="Times New Roman" w:hAnsi="Times New Roman" w:cs="Times New Roman"/>
          <w:color w:val="000000"/>
          <w:lang w:eastAsia="sl-SI"/>
        </w:rPr>
        <w:t xml:space="preserve">vien </w:t>
      </w:r>
      <w:r w:rsidRPr="003E1719">
        <w:rPr>
          <w:rFonts w:ascii="Times New Roman" w:eastAsia="Times New Roman" w:hAnsi="Times New Roman" w:cs="Times New Roman"/>
          <w:color w:val="000000"/>
          <w:lang w:eastAsia="sl-SI"/>
        </w:rPr>
        <w:t>20 mg rozuvastatino dozė (skirtumas 17,5 %, p &lt; 0,001).</w:t>
      </w:r>
    </w:p>
    <w:p w14:paraId="5610DB9E"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p>
    <w:p w14:paraId="5FC62825" w14:textId="192DE1AD" w:rsidR="006A6F6F"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Buvo atliktas 6 savaičių atsitiktinių imčių tyrimas, siekiant ištirti </w:t>
      </w:r>
      <w:r w:rsidR="006A6F6F" w:rsidRPr="003E1719">
        <w:rPr>
          <w:rFonts w:ascii="Times New Roman" w:eastAsia="Times New Roman" w:hAnsi="Times New Roman" w:cs="Times New Roman"/>
          <w:color w:val="000000"/>
          <w:lang w:eastAsia="sl-SI"/>
        </w:rPr>
        <w:t xml:space="preserve">vien tik </w:t>
      </w:r>
      <w:r w:rsidRPr="003E1719">
        <w:rPr>
          <w:rFonts w:ascii="Times New Roman" w:eastAsia="Times New Roman" w:hAnsi="Times New Roman" w:cs="Times New Roman"/>
          <w:color w:val="000000"/>
          <w:lang w:eastAsia="sl-SI"/>
        </w:rPr>
        <w:t>40 mg rozuvastatino dozės ar</w:t>
      </w:r>
      <w:r w:rsidR="006A6F6F" w:rsidRPr="003E1719">
        <w:rPr>
          <w:rFonts w:ascii="Times New Roman" w:eastAsia="Times New Roman" w:hAnsi="Times New Roman" w:cs="Times New Roman"/>
          <w:color w:val="000000"/>
          <w:lang w:eastAsia="sl-SI"/>
        </w:rPr>
        <w:t>ba</w:t>
      </w:r>
      <w:r w:rsidRPr="003E1719">
        <w:rPr>
          <w:rFonts w:ascii="Times New Roman" w:eastAsia="Times New Roman" w:hAnsi="Times New Roman" w:cs="Times New Roman"/>
          <w:color w:val="000000"/>
          <w:lang w:eastAsia="sl-SI"/>
        </w:rPr>
        <w:t xml:space="preserve"> </w:t>
      </w:r>
      <w:r w:rsidR="006A6F6F" w:rsidRPr="003E1719">
        <w:rPr>
          <w:rFonts w:ascii="Times New Roman" w:eastAsia="Times New Roman" w:hAnsi="Times New Roman" w:cs="Times New Roman"/>
          <w:color w:val="000000"/>
          <w:lang w:eastAsia="sl-SI"/>
        </w:rPr>
        <w:t>kartu vartojant 10 mg ezetimibo</w:t>
      </w:r>
      <w:r w:rsidRPr="003E1719">
        <w:rPr>
          <w:rFonts w:ascii="Times New Roman" w:eastAsia="Times New Roman" w:hAnsi="Times New Roman" w:cs="Times New Roman"/>
          <w:color w:val="000000"/>
          <w:lang w:eastAsia="sl-SI"/>
        </w:rPr>
        <w:t xml:space="preserve"> veiksmingumą ir saugumą pacientams, kuriems yra didelė koronarinės širdies ligos rizika (n= 469). Reikšmingai daugiau labai didelės rizikos pacientų, vartojusių rozuvastatin</w:t>
      </w:r>
      <w:r w:rsidR="009707B3">
        <w:rPr>
          <w:rFonts w:ascii="Times New Roman" w:eastAsia="Times New Roman" w:hAnsi="Times New Roman" w:cs="Times New Roman"/>
          <w:color w:val="000000"/>
          <w:lang w:eastAsia="sl-SI"/>
        </w:rPr>
        <w:t>o</w:t>
      </w:r>
      <w:r w:rsidRPr="003E1719">
        <w:rPr>
          <w:rFonts w:ascii="Times New Roman" w:eastAsia="Times New Roman" w:hAnsi="Times New Roman" w:cs="Times New Roman"/>
          <w:color w:val="000000"/>
          <w:lang w:eastAsia="sl-SI"/>
        </w:rPr>
        <w:t>/ezetimib</w:t>
      </w:r>
      <w:r w:rsidR="009707B3">
        <w:rPr>
          <w:rFonts w:ascii="Times New Roman" w:eastAsia="Times New Roman" w:hAnsi="Times New Roman" w:cs="Times New Roman"/>
          <w:color w:val="000000"/>
          <w:lang w:eastAsia="sl-SI"/>
        </w:rPr>
        <w:t>o</w:t>
      </w:r>
      <w:r w:rsidRPr="003E1719">
        <w:rPr>
          <w:rFonts w:ascii="Times New Roman" w:eastAsia="Times New Roman" w:hAnsi="Times New Roman" w:cs="Times New Roman"/>
          <w:color w:val="000000"/>
          <w:lang w:eastAsia="sl-SI"/>
        </w:rPr>
        <w:t>, palyginti su vartojusiais vien rozuvastatin</w:t>
      </w:r>
      <w:r w:rsidR="009707B3">
        <w:rPr>
          <w:rFonts w:ascii="Times New Roman" w:eastAsia="Times New Roman" w:hAnsi="Times New Roman" w:cs="Times New Roman"/>
          <w:color w:val="000000"/>
          <w:lang w:eastAsia="sl-SI"/>
        </w:rPr>
        <w:t>o</w:t>
      </w:r>
      <w:r w:rsidRPr="003E1719">
        <w:rPr>
          <w:rFonts w:ascii="Times New Roman" w:eastAsia="Times New Roman" w:hAnsi="Times New Roman" w:cs="Times New Roman"/>
          <w:color w:val="000000"/>
          <w:lang w:eastAsia="sl-SI"/>
        </w:rPr>
        <w:t>, pasiekė tikslinį ATP III MTL cholesterolio kiekį (&lt;100 mg/dl, 94,0 %, palyginti su 79,1 %, p &lt; 0,001)</w:t>
      </w:r>
      <w:r w:rsidR="006A6F6F" w:rsidRPr="003E1719">
        <w:rPr>
          <w:rFonts w:ascii="Times New Roman" w:eastAsia="Times New Roman" w:hAnsi="Times New Roman" w:cs="Times New Roman"/>
          <w:color w:val="000000"/>
          <w:lang w:eastAsia="sl-SI"/>
        </w:rPr>
        <w:t>. Rozuvastatino 40 mg dozė buvo veiksminga gerinant aterogeninių lipidų profilį šioje didelės rizikos populiacijoje.</w:t>
      </w:r>
    </w:p>
    <w:p w14:paraId="4FFEF4EC" w14:textId="77777777" w:rsidR="006A6F6F" w:rsidRPr="003E1719" w:rsidRDefault="006A6F6F"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306E7A4" w14:textId="5D90C783" w:rsidR="00C7125F" w:rsidRPr="003E1719" w:rsidRDefault="00C7125F" w:rsidP="00C7125F">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Atsitiktinių imčių, atviro 12 savaičių trukmės tyrimo metu buvo tiriamas MTL sumažėjimo lygis kiekvienoje gydymo grupėje (rozuvastatino 10 mg plius ezitimibo 10 mg, rozuvastatino 20 mg plius ezetimibo 10 mg, simvastatino 40 mg plius ezetimibo 10 mg, simvastatino 80 mg plius ezetimibo 10 mg).</w:t>
      </w:r>
      <w:r w:rsidR="000D7B89" w:rsidRPr="003E1719">
        <w:rPr>
          <w:rFonts w:ascii="Times New Roman" w:eastAsia="Times New Roman" w:hAnsi="Times New Roman" w:cs="Times New Roman"/>
          <w:color w:val="000000"/>
          <w:lang w:eastAsia="sl-SI"/>
        </w:rPr>
        <w:t xml:space="preserve"> </w:t>
      </w:r>
      <w:r w:rsidRPr="003E1719">
        <w:rPr>
          <w:rFonts w:ascii="Times New Roman" w:eastAsia="Times New Roman" w:hAnsi="Times New Roman" w:cs="Times New Roman"/>
          <w:color w:val="000000"/>
          <w:lang w:eastAsia="sl-SI"/>
        </w:rPr>
        <w:t>Vartojant mažų dozių rozuvastatino derini</w:t>
      </w:r>
      <w:r w:rsidR="009707B3">
        <w:rPr>
          <w:rFonts w:ascii="Times New Roman" w:eastAsia="Times New Roman" w:hAnsi="Times New Roman" w:cs="Times New Roman"/>
          <w:color w:val="000000"/>
          <w:lang w:eastAsia="sl-SI"/>
        </w:rPr>
        <w:t>ų</w:t>
      </w:r>
      <w:r w:rsidRPr="003E1719">
        <w:rPr>
          <w:rFonts w:ascii="Times New Roman" w:eastAsia="Times New Roman" w:hAnsi="Times New Roman" w:cs="Times New Roman"/>
          <w:color w:val="000000"/>
          <w:lang w:eastAsia="sl-SI"/>
        </w:rPr>
        <w:t>, sumažėjimas palyginti su pradiniu lygiu buvo 59,7 %, žymiai geresnis už mažos dozės simvastatino derinius – 55,2 % (p</w:t>
      </w:r>
      <w:r w:rsidR="009707B3">
        <w:rPr>
          <w:rFonts w:ascii="Times New Roman" w:eastAsia="Times New Roman" w:hAnsi="Times New Roman" w:cs="Times New Roman"/>
          <w:color w:val="000000"/>
          <w:lang w:eastAsia="sl-SI"/>
        </w:rPr>
        <w:t> </w:t>
      </w:r>
      <w:r w:rsidRPr="003E1719">
        <w:rPr>
          <w:rFonts w:ascii="Times New Roman" w:eastAsia="Times New Roman" w:hAnsi="Times New Roman" w:cs="Times New Roman"/>
          <w:color w:val="000000"/>
          <w:lang w:eastAsia="sl-SI"/>
        </w:rPr>
        <w:t>&lt;</w:t>
      </w:r>
      <w:r w:rsidR="009707B3">
        <w:rPr>
          <w:rFonts w:ascii="Times New Roman" w:eastAsia="Times New Roman" w:hAnsi="Times New Roman" w:cs="Times New Roman"/>
          <w:color w:val="000000"/>
          <w:lang w:eastAsia="sl-SI"/>
        </w:rPr>
        <w:t> </w:t>
      </w:r>
      <w:r w:rsidRPr="003E1719">
        <w:rPr>
          <w:rFonts w:ascii="Times New Roman" w:eastAsia="Times New Roman" w:hAnsi="Times New Roman" w:cs="Times New Roman"/>
          <w:color w:val="000000"/>
          <w:lang w:eastAsia="sl-SI"/>
        </w:rPr>
        <w:t>0,05). Gydymas didelės dozės rozuvastatino deriniu sumažino MTL cholesterolio koncentraciją 63,5 %, palyginti su 57,4 % sumažėjimu vartojant didelės dozės simvastatino derin</w:t>
      </w:r>
      <w:r w:rsidR="009707B3">
        <w:rPr>
          <w:rFonts w:ascii="Times New Roman" w:eastAsia="Times New Roman" w:hAnsi="Times New Roman" w:cs="Times New Roman"/>
          <w:color w:val="000000"/>
          <w:lang w:eastAsia="sl-SI"/>
        </w:rPr>
        <w:t>io</w:t>
      </w:r>
      <w:r w:rsidRPr="003E1719">
        <w:rPr>
          <w:rFonts w:ascii="Times New Roman" w:eastAsia="Times New Roman" w:hAnsi="Times New Roman" w:cs="Times New Roman"/>
          <w:color w:val="000000"/>
          <w:lang w:eastAsia="sl-SI"/>
        </w:rPr>
        <w:t xml:space="preserve"> (p</w:t>
      </w:r>
      <w:r w:rsidR="009707B3">
        <w:rPr>
          <w:rFonts w:ascii="Times New Roman" w:eastAsia="Times New Roman" w:hAnsi="Times New Roman" w:cs="Times New Roman"/>
          <w:color w:val="000000"/>
          <w:lang w:eastAsia="sl-SI"/>
        </w:rPr>
        <w:t> </w:t>
      </w:r>
      <w:r w:rsidRPr="003E1719">
        <w:rPr>
          <w:rFonts w:ascii="Times New Roman" w:eastAsia="Times New Roman" w:hAnsi="Times New Roman" w:cs="Times New Roman"/>
          <w:color w:val="000000"/>
          <w:lang w:eastAsia="sl-SI"/>
        </w:rPr>
        <w:t>&lt;</w:t>
      </w:r>
      <w:r w:rsidR="009707B3">
        <w:rPr>
          <w:rFonts w:ascii="Times New Roman" w:eastAsia="Times New Roman" w:hAnsi="Times New Roman" w:cs="Times New Roman"/>
          <w:color w:val="000000"/>
          <w:lang w:eastAsia="sl-SI"/>
        </w:rPr>
        <w:t> </w:t>
      </w:r>
      <w:r w:rsidRPr="003E1719">
        <w:rPr>
          <w:rFonts w:ascii="Times New Roman" w:eastAsia="Times New Roman" w:hAnsi="Times New Roman" w:cs="Times New Roman"/>
          <w:color w:val="000000"/>
          <w:lang w:eastAsia="sl-SI"/>
        </w:rPr>
        <w:t>0,001).</w:t>
      </w:r>
    </w:p>
    <w:p w14:paraId="3AF13341" w14:textId="77777777" w:rsidR="004A3CA2" w:rsidRPr="003E1719" w:rsidRDefault="004A3CA2" w:rsidP="000D7B89">
      <w:pPr>
        <w:widowControl w:val="0"/>
        <w:autoSpaceDE w:val="0"/>
        <w:autoSpaceDN w:val="0"/>
        <w:adjustRightInd w:val="0"/>
        <w:spacing w:after="0" w:line="240" w:lineRule="auto"/>
        <w:rPr>
          <w:rFonts w:ascii="Times New Roman" w:eastAsia="Times New Roman" w:hAnsi="Times New Roman" w:cs="Times New Roman"/>
          <w:i/>
          <w:color w:val="000000"/>
          <w:u w:val="single"/>
          <w:lang w:eastAsia="sl-SI"/>
        </w:rPr>
      </w:pPr>
    </w:p>
    <w:p w14:paraId="524812B1"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u w:val="single"/>
          <w:lang w:eastAsia="sl-SI"/>
        </w:rPr>
      </w:pPr>
      <w:r w:rsidRPr="003E1719">
        <w:rPr>
          <w:rFonts w:ascii="Times New Roman" w:eastAsia="Times New Roman" w:hAnsi="Times New Roman" w:cs="Times New Roman"/>
          <w:color w:val="000000"/>
          <w:u w:val="single"/>
          <w:lang w:eastAsia="sl-SI"/>
        </w:rPr>
        <w:t>Vaikų populiacija</w:t>
      </w:r>
    </w:p>
    <w:p w14:paraId="3201E51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Europos vaistų agentūra atleido nuo įpareigojimo pateikti </w:t>
      </w:r>
      <w:r w:rsidR="00AF3800">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r w:rsidRPr="003E1719">
        <w:rPr>
          <w:rFonts w:ascii="Times New Roman" w:eastAsia="Times New Roman" w:hAnsi="Times New Roman" w:cs="Times New Roman"/>
          <w:lang w:eastAsia="sl-SI"/>
        </w:rPr>
        <w:t>tyrimų su visais vaikų populiacijos pogrupiais duomenis cholesterolio kiekio padidėjimo indikacijai (vartojimo vaikams informacija pateikiama 4.2 skyriuje).</w:t>
      </w:r>
    </w:p>
    <w:p w14:paraId="0DBFA16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BA04078"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5.2</w:t>
      </w:r>
      <w:r w:rsidRPr="003E1719">
        <w:rPr>
          <w:rFonts w:ascii="Times New Roman" w:eastAsia="Times New Roman" w:hAnsi="Times New Roman" w:cs="Times New Roman"/>
          <w:b/>
          <w:lang w:eastAsia="sl-SI"/>
        </w:rPr>
        <w:tab/>
        <w:t>Farmakokinetinės savybės</w:t>
      </w:r>
    </w:p>
    <w:p w14:paraId="1DD5F0B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380945E" w14:textId="77777777" w:rsidR="004A3CA2" w:rsidRPr="003E1719" w:rsidRDefault="004A3CA2" w:rsidP="000D7B89">
      <w:pPr>
        <w:widowControl w:val="0"/>
        <w:tabs>
          <w:tab w:val="left" w:pos="567"/>
        </w:tabs>
        <w:spacing w:after="0" w:line="240" w:lineRule="auto"/>
        <w:outlineLvl w:val="0"/>
        <w:rPr>
          <w:rFonts w:ascii="Times New Roman" w:eastAsia="Times New Roman" w:hAnsi="Times New Roman" w:cs="Times New Roman"/>
          <w:bCs/>
          <w:i/>
          <w:color w:val="000000"/>
          <w:lang w:eastAsia="sl-SI"/>
        </w:rPr>
      </w:pPr>
      <w:r w:rsidRPr="003E1719">
        <w:rPr>
          <w:rFonts w:ascii="Times New Roman" w:eastAsia="Times New Roman" w:hAnsi="Times New Roman" w:cs="Times New Roman"/>
          <w:bCs/>
          <w:i/>
          <w:color w:val="000000"/>
          <w:lang w:eastAsia="sl-SI"/>
        </w:rPr>
        <w:t>Gydymas rozuvastatino ir ezetimibo deriniu</w:t>
      </w:r>
    </w:p>
    <w:p w14:paraId="66C8A599" w14:textId="1B3076B9" w:rsidR="004A3CA2" w:rsidRPr="003E1719" w:rsidRDefault="004A3CA2" w:rsidP="000D7B89">
      <w:pPr>
        <w:widowControl w:val="0"/>
        <w:tabs>
          <w:tab w:val="left" w:pos="567"/>
        </w:tabs>
        <w:spacing w:after="0" w:line="240" w:lineRule="auto"/>
        <w:outlineLvl w:val="0"/>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Vartojant kartu 10 mg rozuvastatino ir 10 mg ezitimibo hipercholesterolemija sergantiems pacientams, rozuvastatino AUC padidėjo 1,2 karto. Negalima paneigti rozuvastatino ir ezitimibo farmakodinaminės sąveikos</w:t>
      </w:r>
      <w:r w:rsidR="0063178F">
        <w:rPr>
          <w:rFonts w:ascii="Times New Roman" w:eastAsia="Times New Roman" w:hAnsi="Times New Roman" w:cs="Times New Roman"/>
          <w:bCs/>
          <w:color w:val="000000"/>
          <w:lang w:eastAsia="sl-SI"/>
        </w:rPr>
        <w:t xml:space="preserve"> sukeliant</w:t>
      </w:r>
      <w:r w:rsidRPr="003E1719">
        <w:rPr>
          <w:rFonts w:ascii="Times New Roman" w:eastAsia="Times New Roman" w:hAnsi="Times New Roman" w:cs="Times New Roman"/>
          <w:bCs/>
          <w:color w:val="000000"/>
          <w:lang w:eastAsia="sl-SI"/>
        </w:rPr>
        <w:t xml:space="preserve"> nepageidaujamą poveikį.</w:t>
      </w:r>
    </w:p>
    <w:p w14:paraId="3A85DB6A" w14:textId="77777777" w:rsidR="004A3CA2" w:rsidRPr="003E1719" w:rsidRDefault="004A3CA2" w:rsidP="000D7B89">
      <w:pPr>
        <w:widowControl w:val="0"/>
        <w:tabs>
          <w:tab w:val="left" w:pos="567"/>
        </w:tabs>
        <w:spacing w:after="0" w:line="240" w:lineRule="auto"/>
        <w:outlineLvl w:val="0"/>
        <w:rPr>
          <w:rFonts w:ascii="Times New Roman" w:eastAsia="Times New Roman" w:hAnsi="Times New Roman" w:cs="Times New Roman"/>
          <w:bCs/>
          <w:color w:val="000000"/>
          <w:u w:val="single"/>
          <w:lang w:eastAsia="sl-SI"/>
        </w:rPr>
      </w:pPr>
    </w:p>
    <w:p w14:paraId="3C3F3C83" w14:textId="77777777" w:rsidR="000D7B89" w:rsidRPr="008B4659" w:rsidRDefault="000D7B89" w:rsidP="000D7B89">
      <w:pPr>
        <w:widowControl w:val="0"/>
        <w:tabs>
          <w:tab w:val="left" w:pos="567"/>
        </w:tabs>
        <w:spacing w:after="0" w:line="240" w:lineRule="auto"/>
        <w:outlineLvl w:val="0"/>
        <w:rPr>
          <w:rFonts w:ascii="Times New Roman" w:eastAsia="Times New Roman" w:hAnsi="Times New Roman" w:cs="Times New Roman"/>
          <w:bCs/>
          <w:i/>
          <w:color w:val="000000"/>
          <w:lang w:eastAsia="sl-SI"/>
        </w:rPr>
      </w:pPr>
      <w:r w:rsidRPr="008B4659">
        <w:rPr>
          <w:rFonts w:ascii="Times New Roman" w:eastAsia="Times New Roman" w:hAnsi="Times New Roman" w:cs="Times New Roman"/>
          <w:bCs/>
          <w:i/>
          <w:color w:val="000000"/>
          <w:lang w:eastAsia="sl-SI"/>
        </w:rPr>
        <w:t>Rozuvastatinas</w:t>
      </w:r>
    </w:p>
    <w:p w14:paraId="6101409C" w14:textId="77777777" w:rsidR="000D7B89" w:rsidRPr="003E1719" w:rsidRDefault="000D7B89" w:rsidP="000D7B89">
      <w:pPr>
        <w:widowControl w:val="0"/>
        <w:tabs>
          <w:tab w:val="left" w:pos="567"/>
        </w:tabs>
        <w:spacing w:after="0" w:line="240" w:lineRule="auto"/>
        <w:outlineLvl w:val="0"/>
        <w:rPr>
          <w:rFonts w:ascii="Times New Roman" w:eastAsia="Times New Roman" w:hAnsi="Times New Roman" w:cs="Times New Roman"/>
          <w:color w:val="000000"/>
          <w:u w:val="single"/>
          <w:lang w:eastAsia="sl-SI"/>
        </w:rPr>
      </w:pPr>
    </w:p>
    <w:p w14:paraId="08188468" w14:textId="77777777" w:rsidR="000D7B89" w:rsidRPr="003E1719" w:rsidRDefault="000D7B89" w:rsidP="000D7B89">
      <w:pPr>
        <w:widowControl w:val="0"/>
        <w:tabs>
          <w:tab w:val="left" w:pos="567"/>
        </w:tabs>
        <w:spacing w:after="0" w:line="240" w:lineRule="auto"/>
        <w:outlineLvl w:val="0"/>
        <w:rPr>
          <w:rFonts w:ascii="Times New Roman" w:eastAsia="Times New Roman" w:hAnsi="Times New Roman" w:cs="Times New Roman"/>
          <w:color w:val="000000"/>
          <w:u w:val="single"/>
          <w:lang w:eastAsia="sl-SI"/>
        </w:rPr>
      </w:pPr>
      <w:r w:rsidRPr="003E1719">
        <w:rPr>
          <w:rFonts w:ascii="Times New Roman" w:eastAsia="Times New Roman" w:hAnsi="Times New Roman" w:cs="Times New Roman"/>
          <w:color w:val="000000"/>
          <w:u w:val="single"/>
          <w:lang w:eastAsia="sl-SI"/>
        </w:rPr>
        <w:t>Absorbcija</w:t>
      </w:r>
    </w:p>
    <w:p w14:paraId="2F9C3431"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Didžiausia rozuvastatino koncentracija kraujo plazmoje atsiranda praėjus maždaug 5 val. po vaistinio preparato pavartojimo per burną. Absoliutus biologinis prieinamumas yra maždaug 20 %.</w:t>
      </w:r>
    </w:p>
    <w:p w14:paraId="168B0E4D" w14:textId="77777777" w:rsidR="000D7B89" w:rsidRPr="003E1719" w:rsidRDefault="000D7B89" w:rsidP="000D7B89">
      <w:pPr>
        <w:widowControl w:val="0"/>
        <w:spacing w:after="0" w:line="240" w:lineRule="auto"/>
        <w:rPr>
          <w:rFonts w:ascii="Times New Roman" w:eastAsia="Times New Roman" w:hAnsi="Times New Roman" w:cs="Times New Roman"/>
          <w:b/>
          <w:bCs/>
          <w:color w:val="000000"/>
        </w:rPr>
      </w:pPr>
    </w:p>
    <w:p w14:paraId="6FB052EC" w14:textId="77777777" w:rsidR="000D7B89" w:rsidRPr="003E1719" w:rsidRDefault="000D7B89" w:rsidP="000D7B89">
      <w:pPr>
        <w:widowControl w:val="0"/>
        <w:spacing w:after="0" w:line="240" w:lineRule="auto"/>
        <w:rPr>
          <w:rFonts w:ascii="Times New Roman" w:eastAsia="Times New Roman" w:hAnsi="Times New Roman" w:cs="Times New Roman"/>
          <w:color w:val="000000"/>
          <w:u w:val="single"/>
        </w:rPr>
      </w:pPr>
      <w:r w:rsidRPr="003E1719">
        <w:rPr>
          <w:rFonts w:ascii="Times New Roman" w:eastAsia="Times New Roman" w:hAnsi="Times New Roman" w:cs="Times New Roman"/>
          <w:color w:val="000000"/>
          <w:u w:val="single"/>
        </w:rPr>
        <w:t>Pasiskirstymas</w:t>
      </w:r>
    </w:p>
    <w:p w14:paraId="5A6A155A" w14:textId="77777777" w:rsidR="000D7B89" w:rsidRPr="003E1719" w:rsidRDefault="000D7B89" w:rsidP="000D7B89">
      <w:pPr>
        <w:widowControl w:val="0"/>
        <w:spacing w:after="0" w:line="240" w:lineRule="auto"/>
        <w:rPr>
          <w:rFonts w:ascii="Times New Roman" w:eastAsia="Times New Roman" w:hAnsi="Times New Roman" w:cs="Times New Roman"/>
          <w:color w:val="000000"/>
        </w:rPr>
      </w:pPr>
      <w:r w:rsidRPr="003E1719">
        <w:rPr>
          <w:rFonts w:ascii="Times New Roman" w:eastAsia="Times New Roman" w:hAnsi="Times New Roman" w:cs="Times New Roman"/>
          <w:color w:val="000000"/>
        </w:rPr>
        <w:t>Didelė dalis rozuvastatino patenka į kepenis, kurios yra pagrindinė cholesterolio sintezės ir MTL cholesterolio klirenso vieta. Rozuvastatino pasiskirstymo tūris yra maždaug 134 litrai. Maždaug 90 % rozuvastatino prisijungia prie kraujo plazmos baltymų, daugiausia albuminų.</w:t>
      </w:r>
    </w:p>
    <w:p w14:paraId="32C21402" w14:textId="77777777" w:rsidR="000D7B89" w:rsidRPr="003E1719" w:rsidRDefault="000D7B89" w:rsidP="000D7B89">
      <w:pPr>
        <w:widowControl w:val="0"/>
        <w:spacing w:after="0" w:line="240" w:lineRule="auto"/>
        <w:rPr>
          <w:rFonts w:ascii="Times New Roman" w:eastAsia="Times New Roman" w:hAnsi="Times New Roman" w:cs="Times New Roman"/>
          <w:bCs/>
          <w:i/>
          <w:color w:val="000000"/>
        </w:rPr>
      </w:pPr>
    </w:p>
    <w:p w14:paraId="5A86634C" w14:textId="77777777" w:rsidR="000D7B89" w:rsidRPr="003E1719" w:rsidRDefault="000D7B89" w:rsidP="000D7B89">
      <w:pPr>
        <w:widowControl w:val="0"/>
        <w:spacing w:after="0" w:line="240" w:lineRule="auto"/>
        <w:outlineLvl w:val="0"/>
        <w:rPr>
          <w:rFonts w:ascii="Times New Roman" w:eastAsia="Times New Roman" w:hAnsi="Times New Roman" w:cs="Times New Roman"/>
          <w:color w:val="000000"/>
          <w:u w:val="single"/>
        </w:rPr>
      </w:pPr>
      <w:r w:rsidRPr="003E1719">
        <w:rPr>
          <w:rFonts w:ascii="Times New Roman" w:eastAsia="Times New Roman" w:hAnsi="Times New Roman" w:cs="Times New Roman"/>
          <w:color w:val="000000"/>
          <w:u w:val="single"/>
        </w:rPr>
        <w:t>Biotransformacija</w:t>
      </w:r>
    </w:p>
    <w:p w14:paraId="709C3AE4" w14:textId="77777777" w:rsidR="000D7B89" w:rsidRPr="003E1719" w:rsidRDefault="000D7B89" w:rsidP="000D7B89">
      <w:pPr>
        <w:widowControl w:val="0"/>
        <w:spacing w:after="0" w:line="240" w:lineRule="auto"/>
        <w:rPr>
          <w:rFonts w:ascii="Times New Roman" w:eastAsia="Times New Roman" w:hAnsi="Times New Roman" w:cs="Times New Roman"/>
          <w:bCs/>
          <w:color w:val="000000"/>
        </w:rPr>
      </w:pPr>
      <w:r w:rsidRPr="003E1719">
        <w:rPr>
          <w:rFonts w:ascii="Times New Roman" w:eastAsia="Times New Roman" w:hAnsi="Times New Roman" w:cs="Times New Roman"/>
          <w:bCs/>
          <w:color w:val="000000"/>
        </w:rPr>
        <w:t xml:space="preserve">Metabolizuojama nedidelė rozuvastatino dalis (maždaug 10 %). Metabolizmo tyrimai </w:t>
      </w:r>
      <w:r w:rsidRPr="003E1719">
        <w:rPr>
          <w:rFonts w:ascii="Times New Roman" w:eastAsia="Times New Roman" w:hAnsi="Times New Roman" w:cs="Times New Roman"/>
          <w:bCs/>
          <w:i/>
          <w:color w:val="000000"/>
        </w:rPr>
        <w:t>in vitro</w:t>
      </w:r>
      <w:r w:rsidRPr="003E1719">
        <w:rPr>
          <w:rFonts w:ascii="Times New Roman" w:eastAsia="Times New Roman" w:hAnsi="Times New Roman" w:cs="Times New Roman"/>
          <w:bCs/>
          <w:color w:val="000000"/>
        </w:rPr>
        <w:t>, naudojant žmogaus kepenų ląsteles, parodė, kad citochromo P450 fermentų sistema mažai veikia rozuvastatino metabolizmą. Pagrindinis izofermentas, kuris veikia rozuvastatino metabolizmą, yra CYP2C9, mažesniu mastu – 2C19, 3A4 ir 2D6. Pagrindiniai nustatyti metabolitai yra N-desmetilo metabolitas ir laktono metabolitas. N-desmetilo metabolito aktyvumas yra maždaug 50 % mažesnis už rozuvastatino, o laktono forma laikoma kliniškai neveiklia. Daugiau kaip 90 % kraujyje esančios HMG-KoA reduktazės aktyvumo sumažėjimo yra susiję su rozuvastatinu.</w:t>
      </w:r>
    </w:p>
    <w:p w14:paraId="348C2654" w14:textId="77777777" w:rsidR="00C7524D" w:rsidRPr="003E1719" w:rsidRDefault="00C7524D" w:rsidP="000D7B89">
      <w:pPr>
        <w:widowControl w:val="0"/>
        <w:numPr>
          <w:ilvl w:val="12"/>
          <w:numId w:val="0"/>
        </w:numPr>
        <w:tabs>
          <w:tab w:val="left" w:pos="567"/>
        </w:tabs>
        <w:spacing w:after="0" w:line="240" w:lineRule="auto"/>
        <w:ind w:right="-2"/>
        <w:rPr>
          <w:rFonts w:ascii="Times New Roman" w:eastAsia="Times New Roman" w:hAnsi="Times New Roman" w:cs="Times New Roman"/>
          <w:u w:val="single"/>
          <w:lang w:eastAsia="sl-SI"/>
        </w:rPr>
      </w:pPr>
    </w:p>
    <w:p w14:paraId="7FA734C3"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Eliminacija</w:t>
      </w:r>
    </w:p>
    <w:p w14:paraId="4CA00B49" w14:textId="77777777" w:rsidR="00C7524D" w:rsidRPr="003E1719" w:rsidRDefault="000D7B89" w:rsidP="000D7B89">
      <w:pPr>
        <w:widowControl w:val="0"/>
        <w:spacing w:after="0" w:line="240" w:lineRule="auto"/>
        <w:rPr>
          <w:rFonts w:ascii="Times New Roman" w:eastAsia="Times New Roman" w:hAnsi="Times New Roman" w:cs="Times New Roman"/>
          <w:bCs/>
          <w:color w:val="000000"/>
        </w:rPr>
      </w:pPr>
      <w:r w:rsidRPr="003E1719">
        <w:rPr>
          <w:rFonts w:ascii="Times New Roman" w:eastAsia="Times New Roman" w:hAnsi="Times New Roman" w:cs="Times New Roman"/>
          <w:bCs/>
          <w:color w:val="000000"/>
        </w:rPr>
        <w:t xml:space="preserve">Maždaug 90 % rozuvastatino dozės šalinama su išmatomis nepakitusiu pavidalu (šį kiekį sudaro absorbuota ir neabsorbuota veiklioji medžiaga), kita dalis – su šlapimu. </w:t>
      </w:r>
    </w:p>
    <w:p w14:paraId="32DDBF78" w14:textId="0ED85F4A" w:rsidR="000D7B89" w:rsidRPr="003E1719" w:rsidRDefault="000D7B89" w:rsidP="000D7B89">
      <w:pPr>
        <w:widowControl w:val="0"/>
        <w:spacing w:after="0" w:line="240" w:lineRule="auto"/>
        <w:rPr>
          <w:rFonts w:ascii="Times New Roman" w:eastAsia="Times New Roman" w:hAnsi="Times New Roman" w:cs="Times New Roman"/>
          <w:bCs/>
          <w:color w:val="000000"/>
        </w:rPr>
      </w:pPr>
      <w:r w:rsidRPr="003E1719">
        <w:rPr>
          <w:rFonts w:ascii="Times New Roman" w:eastAsia="Times New Roman" w:hAnsi="Times New Roman" w:cs="Times New Roman"/>
          <w:bCs/>
          <w:color w:val="000000"/>
        </w:rPr>
        <w:t xml:space="preserve">Maždaug 5 % dozės šalinama su šlapimu nepakitusiu pavidalu. Pusinės eliminacijos laikas kraujo plazmoje yra maždaug </w:t>
      </w:r>
      <w:r w:rsidR="00C7524D" w:rsidRPr="003E1719">
        <w:rPr>
          <w:rFonts w:ascii="Times New Roman" w:eastAsia="Times New Roman" w:hAnsi="Times New Roman" w:cs="Times New Roman"/>
          <w:bCs/>
          <w:color w:val="000000"/>
        </w:rPr>
        <w:t>19</w:t>
      </w:r>
      <w:r w:rsidRPr="003E1719">
        <w:rPr>
          <w:rFonts w:ascii="Times New Roman" w:eastAsia="Times New Roman" w:hAnsi="Times New Roman" w:cs="Times New Roman"/>
          <w:bCs/>
          <w:color w:val="000000"/>
        </w:rPr>
        <w:t> val. Pusinės eliminacijos laikas vartojant didesn</w:t>
      </w:r>
      <w:r w:rsidR="008F5608">
        <w:rPr>
          <w:rFonts w:ascii="Times New Roman" w:eastAsia="Times New Roman" w:hAnsi="Times New Roman" w:cs="Times New Roman"/>
          <w:bCs/>
          <w:color w:val="000000"/>
        </w:rPr>
        <w:t>ių</w:t>
      </w:r>
      <w:r w:rsidRPr="003E1719">
        <w:rPr>
          <w:rFonts w:ascii="Times New Roman" w:eastAsia="Times New Roman" w:hAnsi="Times New Roman" w:cs="Times New Roman"/>
          <w:bCs/>
          <w:color w:val="000000"/>
        </w:rPr>
        <w:t xml:space="preserve"> doz</w:t>
      </w:r>
      <w:r w:rsidR="008F5608">
        <w:rPr>
          <w:rFonts w:ascii="Times New Roman" w:eastAsia="Times New Roman" w:hAnsi="Times New Roman" w:cs="Times New Roman"/>
          <w:bCs/>
          <w:color w:val="000000"/>
        </w:rPr>
        <w:t>ių</w:t>
      </w:r>
      <w:r w:rsidRPr="003E1719">
        <w:rPr>
          <w:rFonts w:ascii="Times New Roman" w:eastAsia="Times New Roman" w:hAnsi="Times New Roman" w:cs="Times New Roman"/>
          <w:bCs/>
          <w:color w:val="000000"/>
        </w:rPr>
        <w:t xml:space="preserve"> nepailgėja. Plazmos klirenso geometrinis vidurkis yra maždaug 50 l/val. (kintamumo koeficientas – 21,7 %). Rozuvastatino, kaip ir kitokių HMG-KoA reduktazės inhibitorių, </w:t>
      </w:r>
      <w:r w:rsidR="008F5608">
        <w:rPr>
          <w:rFonts w:ascii="Times New Roman" w:eastAsia="Times New Roman" w:hAnsi="Times New Roman" w:cs="Times New Roman"/>
          <w:bCs/>
          <w:color w:val="000000"/>
        </w:rPr>
        <w:t>patekimui į</w:t>
      </w:r>
      <w:r w:rsidR="008F5608" w:rsidRPr="003E1719">
        <w:rPr>
          <w:rFonts w:ascii="Times New Roman" w:eastAsia="Times New Roman" w:hAnsi="Times New Roman" w:cs="Times New Roman"/>
          <w:bCs/>
          <w:color w:val="000000"/>
        </w:rPr>
        <w:t xml:space="preserve"> </w:t>
      </w:r>
      <w:r w:rsidRPr="003E1719">
        <w:rPr>
          <w:rFonts w:ascii="Times New Roman" w:eastAsia="Times New Roman" w:hAnsi="Times New Roman" w:cs="Times New Roman"/>
          <w:bCs/>
          <w:color w:val="000000"/>
        </w:rPr>
        <w:t>kepen</w:t>
      </w:r>
      <w:r w:rsidR="008F5608">
        <w:rPr>
          <w:rFonts w:ascii="Times New Roman" w:eastAsia="Times New Roman" w:hAnsi="Times New Roman" w:cs="Times New Roman"/>
          <w:bCs/>
          <w:color w:val="000000"/>
        </w:rPr>
        <w:t>is</w:t>
      </w:r>
      <w:r w:rsidRPr="003E1719">
        <w:rPr>
          <w:rFonts w:ascii="Times New Roman" w:eastAsia="Times New Roman" w:hAnsi="Times New Roman" w:cs="Times New Roman"/>
          <w:bCs/>
          <w:color w:val="000000"/>
        </w:rPr>
        <w:t xml:space="preserve"> svarbus membranos nešiklis OATP-C. Šis nešiklis svarbus rozuvastatino eliminacijai per kepenis.</w:t>
      </w:r>
    </w:p>
    <w:p w14:paraId="0007312B" w14:textId="77777777" w:rsidR="000D7B89" w:rsidRPr="003E1719" w:rsidRDefault="000D7B89" w:rsidP="000D7B89">
      <w:pPr>
        <w:widowControl w:val="0"/>
        <w:spacing w:after="0" w:line="240" w:lineRule="auto"/>
        <w:rPr>
          <w:rFonts w:ascii="Times New Roman" w:eastAsia="Times New Roman" w:hAnsi="Times New Roman" w:cs="Times New Roman"/>
          <w:bCs/>
          <w:i/>
          <w:color w:val="000000"/>
        </w:rPr>
      </w:pPr>
    </w:p>
    <w:p w14:paraId="2EF5F88B" w14:textId="77777777" w:rsidR="000D7B89" w:rsidRPr="008B4659" w:rsidRDefault="000D7B89" w:rsidP="000D7B89">
      <w:pPr>
        <w:widowControl w:val="0"/>
        <w:tabs>
          <w:tab w:val="left" w:pos="567"/>
        </w:tabs>
        <w:spacing w:after="0" w:line="240" w:lineRule="auto"/>
        <w:rPr>
          <w:rFonts w:ascii="Times New Roman" w:eastAsia="Times New Roman" w:hAnsi="Times New Roman" w:cs="Times New Roman"/>
          <w:snapToGrid w:val="0"/>
          <w:u w:val="single"/>
        </w:rPr>
      </w:pPr>
      <w:r w:rsidRPr="008B4659">
        <w:rPr>
          <w:rFonts w:ascii="Times New Roman" w:eastAsia="Times New Roman" w:hAnsi="Times New Roman" w:cs="Times New Roman"/>
          <w:snapToGrid w:val="0"/>
          <w:u w:val="single"/>
        </w:rPr>
        <w:t>Tiesinis/netiesinis pobūdis</w:t>
      </w:r>
    </w:p>
    <w:p w14:paraId="2D4CAFA2" w14:textId="41FA1182"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Rozuvastatino sisteminė ekspozicija didėja proporcingai dozei. Vartojant kartotin</w:t>
      </w:r>
      <w:r w:rsidR="008F5608">
        <w:rPr>
          <w:rFonts w:ascii="Times New Roman" w:eastAsia="Times New Roman" w:hAnsi="Times New Roman" w:cs="Times New Roman"/>
          <w:snapToGrid w:val="0"/>
        </w:rPr>
        <w:t>ių</w:t>
      </w:r>
      <w:r w:rsidRPr="003E1719">
        <w:rPr>
          <w:rFonts w:ascii="Times New Roman" w:eastAsia="Times New Roman" w:hAnsi="Times New Roman" w:cs="Times New Roman"/>
          <w:snapToGrid w:val="0"/>
        </w:rPr>
        <w:t xml:space="preserve"> vaistinio preparato paros doz</w:t>
      </w:r>
      <w:r w:rsidR="008F5608">
        <w:rPr>
          <w:rFonts w:ascii="Times New Roman" w:eastAsia="Times New Roman" w:hAnsi="Times New Roman" w:cs="Times New Roman"/>
          <w:snapToGrid w:val="0"/>
        </w:rPr>
        <w:t>ių</w:t>
      </w:r>
      <w:r w:rsidRPr="003E1719">
        <w:rPr>
          <w:rFonts w:ascii="Times New Roman" w:eastAsia="Times New Roman" w:hAnsi="Times New Roman" w:cs="Times New Roman"/>
          <w:snapToGrid w:val="0"/>
        </w:rPr>
        <w:t>, jo farmakokinetikos rodmenys nepakinta.</w:t>
      </w:r>
    </w:p>
    <w:p w14:paraId="71FAB7BC"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u w:val="single"/>
          <w:lang w:eastAsia="sl-SI"/>
        </w:rPr>
      </w:pPr>
    </w:p>
    <w:p w14:paraId="3A6797FD" w14:textId="77777777" w:rsidR="000D7B89" w:rsidRPr="008B4659" w:rsidRDefault="000D7B89" w:rsidP="000D7B89">
      <w:pPr>
        <w:widowControl w:val="0"/>
        <w:tabs>
          <w:tab w:val="left" w:pos="567"/>
        </w:tabs>
        <w:spacing w:after="0" w:line="240" w:lineRule="auto"/>
        <w:rPr>
          <w:rFonts w:ascii="Times New Roman" w:eastAsia="Times New Roman" w:hAnsi="Times New Roman" w:cs="Times New Roman"/>
          <w:i/>
          <w:snapToGrid w:val="0"/>
          <w:u w:val="single"/>
        </w:rPr>
      </w:pPr>
      <w:r w:rsidRPr="008B4659">
        <w:rPr>
          <w:rFonts w:ascii="Times New Roman" w:eastAsia="Times New Roman" w:hAnsi="Times New Roman" w:cs="Times New Roman"/>
          <w:snapToGrid w:val="0"/>
          <w:u w:val="single"/>
        </w:rPr>
        <w:t>Ypatingos populiacijos</w:t>
      </w:r>
    </w:p>
    <w:p w14:paraId="333EA5F2"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i/>
          <w:snapToGrid w:val="0"/>
        </w:rPr>
      </w:pPr>
    </w:p>
    <w:p w14:paraId="0570F103" w14:textId="77777777" w:rsidR="000D7B89" w:rsidRPr="008B4659" w:rsidRDefault="000D7B89" w:rsidP="000D7B89">
      <w:pPr>
        <w:widowControl w:val="0"/>
        <w:tabs>
          <w:tab w:val="left" w:pos="567"/>
        </w:tabs>
        <w:spacing w:after="0" w:line="240" w:lineRule="auto"/>
        <w:rPr>
          <w:rFonts w:ascii="Times New Roman" w:eastAsia="Times New Roman" w:hAnsi="Times New Roman" w:cs="Times New Roman"/>
          <w:i/>
          <w:snapToGrid w:val="0"/>
          <w:u w:val="single"/>
        </w:rPr>
      </w:pPr>
      <w:r w:rsidRPr="008B4659">
        <w:rPr>
          <w:rFonts w:ascii="Times New Roman" w:eastAsia="Times New Roman" w:hAnsi="Times New Roman" w:cs="Times New Roman"/>
          <w:i/>
          <w:snapToGrid w:val="0"/>
          <w:u w:val="single"/>
        </w:rPr>
        <w:t>Amžius ir lytis</w:t>
      </w:r>
    </w:p>
    <w:p w14:paraId="58DAA720"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Amžius ir lytis kliniškai reikšmingos įtakos rozuvastatino farmakokinetikai suaugusių žmonių organizme</w:t>
      </w:r>
      <w:r w:rsidR="00C7524D" w:rsidRPr="003E1719">
        <w:rPr>
          <w:rFonts w:ascii="Times New Roman" w:eastAsia="Times New Roman" w:hAnsi="Times New Roman" w:cs="Times New Roman"/>
          <w:snapToGrid w:val="0"/>
        </w:rPr>
        <w:t xml:space="preserve"> neturi</w:t>
      </w:r>
      <w:r w:rsidRPr="003E1719">
        <w:rPr>
          <w:rFonts w:ascii="Times New Roman" w:eastAsia="Times New Roman" w:hAnsi="Times New Roman" w:cs="Times New Roman"/>
          <w:snapToGrid w:val="0"/>
        </w:rPr>
        <w:t>. Rozuvastatino farmakokinetika heterozigotine šeimine hipercholesterolemija sergančių vaikų ir paauglių organizme yra panaši į sveikų suaugusių savanorių rodmenis (žr. „Vaikų populiacija“ toliau).</w:t>
      </w:r>
    </w:p>
    <w:p w14:paraId="574A68D1" w14:textId="77777777" w:rsidR="000D7B89" w:rsidRPr="003E1719" w:rsidRDefault="000D7B89" w:rsidP="000D7B89">
      <w:pPr>
        <w:widowControl w:val="0"/>
        <w:spacing w:after="0" w:line="240" w:lineRule="auto"/>
        <w:rPr>
          <w:rFonts w:ascii="Times New Roman" w:eastAsia="Times New Roman" w:hAnsi="Times New Roman" w:cs="Times New Roman"/>
          <w:b/>
          <w:bCs/>
          <w:color w:val="000000"/>
        </w:rPr>
      </w:pPr>
    </w:p>
    <w:p w14:paraId="5CA3ECDF" w14:textId="77777777" w:rsidR="000D7B89" w:rsidRPr="008B4659" w:rsidRDefault="000D7B89" w:rsidP="000D7B89">
      <w:pPr>
        <w:widowControl w:val="0"/>
        <w:tabs>
          <w:tab w:val="left" w:pos="567"/>
        </w:tabs>
        <w:spacing w:after="0" w:line="240" w:lineRule="auto"/>
        <w:rPr>
          <w:rFonts w:ascii="Times New Roman" w:eastAsia="Times New Roman" w:hAnsi="Times New Roman" w:cs="Times New Roman"/>
          <w:i/>
          <w:snapToGrid w:val="0"/>
          <w:u w:val="single"/>
        </w:rPr>
      </w:pPr>
      <w:r w:rsidRPr="008B4659">
        <w:rPr>
          <w:rFonts w:ascii="Times New Roman" w:eastAsia="Times New Roman" w:hAnsi="Times New Roman" w:cs="Times New Roman"/>
          <w:i/>
          <w:snapToGrid w:val="0"/>
          <w:u w:val="single"/>
        </w:rPr>
        <w:t>Rasė</w:t>
      </w:r>
    </w:p>
    <w:p w14:paraId="17C303C7" w14:textId="77777777" w:rsidR="00C7524D"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Farmakokinetikos tyrimai parodė, kad AUC ir C</w:t>
      </w:r>
      <w:r w:rsidRPr="003E1719">
        <w:rPr>
          <w:rFonts w:ascii="Times New Roman" w:eastAsia="Times New Roman" w:hAnsi="Times New Roman" w:cs="Times New Roman"/>
          <w:snapToGrid w:val="0"/>
          <w:vertAlign w:val="subscript"/>
        </w:rPr>
        <w:t>max</w:t>
      </w:r>
      <w:r w:rsidRPr="003E1719">
        <w:rPr>
          <w:rFonts w:ascii="Times New Roman" w:eastAsia="Times New Roman" w:hAnsi="Times New Roman" w:cs="Times New Roman"/>
          <w:snapToGrid w:val="0"/>
        </w:rPr>
        <w:t xml:space="preserve"> mediana azijiečių (japonų, kinų, filipiniečių, vietnamiečių ir korėjiečių) organizme būna maždaug 2 kartus didesnė už europidų rodmenį. Azijiečių indų AUC ir C</w:t>
      </w:r>
      <w:r w:rsidRPr="003E1719">
        <w:rPr>
          <w:rFonts w:ascii="Times New Roman" w:eastAsia="Times New Roman" w:hAnsi="Times New Roman" w:cs="Times New Roman"/>
          <w:snapToGrid w:val="0"/>
          <w:vertAlign w:val="subscript"/>
        </w:rPr>
        <w:t>max</w:t>
      </w:r>
      <w:r w:rsidRPr="003E1719">
        <w:rPr>
          <w:rFonts w:ascii="Times New Roman" w:eastAsia="Times New Roman" w:hAnsi="Times New Roman" w:cs="Times New Roman"/>
          <w:snapToGrid w:val="0"/>
        </w:rPr>
        <w:t xml:space="preserve"> mediana būna maždaug 1,3 karto didesnė. </w:t>
      </w:r>
    </w:p>
    <w:p w14:paraId="2F7497D3"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Farmakokinetikos populiacijoje analizė kliniškai reikšmingų farmakokinetikos skirtumų europidų ir juodaodžių pacientų organizme neparodė.</w:t>
      </w:r>
    </w:p>
    <w:p w14:paraId="26F14BC7"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p>
    <w:p w14:paraId="11F4C7C5" w14:textId="77777777" w:rsidR="000D7B89" w:rsidRPr="008B465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i/>
          <w:iCs/>
          <w:u w:val="single"/>
        </w:rPr>
      </w:pPr>
      <w:r w:rsidRPr="008B4659">
        <w:rPr>
          <w:rFonts w:ascii="Times New Roman" w:eastAsia="Times New Roman" w:hAnsi="Times New Roman" w:cs="Times New Roman"/>
          <w:i/>
          <w:iCs/>
          <w:u w:val="single"/>
        </w:rPr>
        <w:t>Sutrikusi inkstų funkcija</w:t>
      </w:r>
    </w:p>
    <w:p w14:paraId="76A08610" w14:textId="77777777" w:rsidR="000D7B89" w:rsidRPr="003E1719" w:rsidRDefault="000D7B89" w:rsidP="000D7B89">
      <w:pPr>
        <w:widowControl w:val="0"/>
        <w:spacing w:after="0" w:line="240" w:lineRule="auto"/>
        <w:rPr>
          <w:rFonts w:ascii="Times New Roman" w:eastAsia="Times New Roman" w:hAnsi="Times New Roman" w:cs="Times New Roman"/>
          <w:color w:val="000000"/>
        </w:rPr>
      </w:pPr>
      <w:r w:rsidRPr="003E1719">
        <w:rPr>
          <w:rFonts w:ascii="Times New Roman" w:eastAsia="Times New Roman" w:hAnsi="Times New Roman" w:cs="Times New Roman"/>
          <w:color w:val="000000"/>
        </w:rPr>
        <w:t>Tyrimo, kuriame dalyvavo įvairaus laipsnio inkstų funkcijos sutrikimu sergantys pacientai, duomenimis, lengva ir vidutinio sunkumo inkstų liga neturėjo įtakos rozuvastatino ar N-desmetilo metabolito koncentracijai kraujo plazmoje. Tiriamųjų, kuriems yra sunkus inkstų funkcijos sutrikimas (kreatinino klirensas &lt; 30 ml/min.), kraujo plazmoje išmatuota 3 kartus didesnė rozuvastatino ir 9 kartus didesnė N-desmetilo metabolito koncentracija, palyginti su sveikų savanorių rodmenimis. Rozuvastatino pusiausvyros apykaitos koncentracija tiriamųjų, kuriems atliekamos hemodializės, kraujo plazmoje buvo maždaug 50 % didesnė, palyginti su sveikų savanorių rodmeniu.</w:t>
      </w:r>
    </w:p>
    <w:p w14:paraId="0744082E"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p>
    <w:p w14:paraId="57FA83A2" w14:textId="77777777" w:rsidR="000D7B89" w:rsidRPr="008B465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i/>
          <w:iCs/>
          <w:u w:val="single"/>
        </w:rPr>
      </w:pPr>
      <w:r w:rsidRPr="008B4659">
        <w:rPr>
          <w:rFonts w:ascii="Times New Roman" w:eastAsia="Times New Roman" w:hAnsi="Times New Roman" w:cs="Times New Roman"/>
          <w:i/>
          <w:iCs/>
          <w:u w:val="single"/>
        </w:rPr>
        <w:t>Sutrikusi kepenų funkcija</w:t>
      </w:r>
    </w:p>
    <w:p w14:paraId="4098BD29"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Tyrimo, kuriame dalyvavo įvairaus laipsnio kepenų funkcijos sutrikimu sergantys pacientai, duomenimis, sisteminės rozuvastatino ekspozicijos padidėjimo tiriamųjų, kurių įvertinimas pagal </w:t>
      </w:r>
      <w:r w:rsidRPr="003E1719">
        <w:rPr>
          <w:rFonts w:ascii="Times New Roman" w:eastAsia="Times New Roman" w:hAnsi="Times New Roman" w:cs="Times New Roman"/>
          <w:i/>
          <w:color w:val="000000"/>
          <w:lang w:eastAsia="sl-SI"/>
        </w:rPr>
        <w:t>Child-Pugh</w:t>
      </w:r>
      <w:r w:rsidRPr="003E1719">
        <w:rPr>
          <w:rFonts w:ascii="Times New Roman" w:eastAsia="Times New Roman" w:hAnsi="Times New Roman" w:cs="Times New Roman"/>
          <w:color w:val="000000"/>
          <w:lang w:eastAsia="sl-SI"/>
        </w:rPr>
        <w:t xml:space="preserve"> skalę buvo 7 ar mažiau, organizme nenustatyta. Vis dėlto dviejų tiriamųjų, kurių įvertinimas pagal </w:t>
      </w:r>
      <w:r w:rsidRPr="003E1719">
        <w:rPr>
          <w:rFonts w:ascii="Times New Roman" w:eastAsia="Times New Roman" w:hAnsi="Times New Roman" w:cs="Times New Roman"/>
          <w:i/>
          <w:color w:val="000000"/>
          <w:lang w:eastAsia="sl-SI"/>
        </w:rPr>
        <w:t>Child-Pugh</w:t>
      </w:r>
      <w:r w:rsidRPr="003E1719">
        <w:rPr>
          <w:rFonts w:ascii="Times New Roman" w:eastAsia="Times New Roman" w:hAnsi="Times New Roman" w:cs="Times New Roman"/>
          <w:color w:val="000000"/>
          <w:lang w:eastAsia="sl-SI"/>
        </w:rPr>
        <w:t xml:space="preserve"> skalę buvo 8 ir 9, organizme buvo nustatyta bent 2 kartus didesnė rozuvastatino sisteminė ekspozicija, palyginti su tiriamųjų, kurių įvertinimas pagal </w:t>
      </w:r>
      <w:r w:rsidRPr="003E1719">
        <w:rPr>
          <w:rFonts w:ascii="Times New Roman" w:eastAsia="Times New Roman" w:hAnsi="Times New Roman" w:cs="Times New Roman"/>
          <w:i/>
          <w:color w:val="000000"/>
          <w:lang w:eastAsia="sl-SI"/>
        </w:rPr>
        <w:t>Child-Pugh</w:t>
      </w:r>
      <w:r w:rsidRPr="003E1719">
        <w:rPr>
          <w:rFonts w:ascii="Times New Roman" w:eastAsia="Times New Roman" w:hAnsi="Times New Roman" w:cs="Times New Roman"/>
          <w:color w:val="000000"/>
          <w:lang w:eastAsia="sl-SI"/>
        </w:rPr>
        <w:t xml:space="preserve"> buvo mažesnis, rodmenimis. </w:t>
      </w:r>
      <w:r w:rsidRPr="003E1719">
        <w:rPr>
          <w:rFonts w:ascii="Times New Roman" w:eastAsia="Times New Roman" w:hAnsi="Times New Roman" w:cs="Times New Roman"/>
          <w:snapToGrid w:val="0"/>
        </w:rPr>
        <w:t xml:space="preserve">Duomenų apie tiriamuosius, kurių būklės įvertinimas pagal </w:t>
      </w:r>
      <w:r w:rsidRPr="003E1719">
        <w:rPr>
          <w:rFonts w:ascii="Times New Roman" w:eastAsia="Times New Roman" w:hAnsi="Times New Roman" w:cs="Times New Roman"/>
          <w:i/>
          <w:snapToGrid w:val="0"/>
        </w:rPr>
        <w:t>Child-Pugh</w:t>
      </w:r>
      <w:r w:rsidRPr="003E1719">
        <w:rPr>
          <w:rFonts w:ascii="Times New Roman" w:eastAsia="Times New Roman" w:hAnsi="Times New Roman" w:cs="Times New Roman"/>
          <w:snapToGrid w:val="0"/>
        </w:rPr>
        <w:t xml:space="preserve"> skalę yra daugiau kaip 9, nėra</w:t>
      </w:r>
      <w:r w:rsidRPr="003E1719">
        <w:rPr>
          <w:rFonts w:ascii="Times New Roman" w:eastAsia="Times New Roman" w:hAnsi="Times New Roman" w:cs="Times New Roman"/>
          <w:color w:val="000000"/>
          <w:lang w:eastAsia="sl-SI"/>
        </w:rPr>
        <w:t>.</w:t>
      </w:r>
    </w:p>
    <w:p w14:paraId="3E9DA988"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417DA5DD" w14:textId="77777777" w:rsidR="000D7B89" w:rsidRPr="008B4659" w:rsidRDefault="000D7B89" w:rsidP="000D7B89">
      <w:pPr>
        <w:widowControl w:val="0"/>
        <w:spacing w:after="0" w:line="240" w:lineRule="auto"/>
        <w:rPr>
          <w:rFonts w:ascii="Times New Roman" w:eastAsia="Times New Roman" w:hAnsi="Times New Roman" w:cs="Times New Roman"/>
          <w:i/>
          <w:color w:val="000000"/>
          <w:u w:val="single"/>
          <w:lang w:eastAsia="sl-SI"/>
        </w:rPr>
      </w:pPr>
      <w:r w:rsidRPr="008B4659">
        <w:rPr>
          <w:rFonts w:ascii="Times New Roman" w:eastAsia="Times New Roman" w:hAnsi="Times New Roman" w:cs="Times New Roman"/>
          <w:i/>
          <w:color w:val="000000"/>
          <w:u w:val="single"/>
          <w:lang w:eastAsia="sl-SI"/>
        </w:rPr>
        <w:t>Genetinis polimorfizmas</w:t>
      </w:r>
    </w:p>
    <w:p w14:paraId="0C50F8DD" w14:textId="77777777" w:rsidR="000D7B89" w:rsidRPr="003E1719" w:rsidRDefault="000D7B89" w:rsidP="000D7B89">
      <w:pPr>
        <w:widowControl w:val="0"/>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HMG-KoA reduktazės inhibitorių, įskaitant rozuvastatiną, dispozicijoje dalyvauja pernašos baltymai OATP1B1 ir BCRP. Pacientams, turintiems SLCO1B1 (OATP1B1) ir (arba) ABCG2 (BCRP) genetinį polimorfizmą, yra rozuvastatino ekspozicijos padidėjimo rizika. Genotipai</w:t>
      </w:r>
      <w:r w:rsidR="00C7524D" w:rsidRPr="003E1719">
        <w:rPr>
          <w:rFonts w:ascii="Times New Roman" w:eastAsia="Times New Roman" w:hAnsi="Times New Roman" w:cs="Times New Roman"/>
          <w:snapToGrid w:val="0"/>
        </w:rPr>
        <w:t>, kurių</w:t>
      </w:r>
      <w:r w:rsidRPr="003E1719">
        <w:rPr>
          <w:rFonts w:ascii="Times New Roman" w:eastAsia="Times New Roman" w:hAnsi="Times New Roman" w:cs="Times New Roman"/>
          <w:snapToGrid w:val="0"/>
        </w:rPr>
        <w:t xml:space="preserve"> </w:t>
      </w:r>
      <w:r w:rsidR="00C7524D" w:rsidRPr="003E1719">
        <w:rPr>
          <w:rFonts w:ascii="Times New Roman" w:eastAsia="Times New Roman" w:hAnsi="Times New Roman" w:cs="Times New Roman"/>
          <w:snapToGrid w:val="0"/>
        </w:rPr>
        <w:t xml:space="preserve">individualus polimorfizmas </w:t>
      </w:r>
      <w:r w:rsidRPr="003E1719">
        <w:rPr>
          <w:rFonts w:ascii="Times New Roman" w:eastAsia="Times New Roman" w:hAnsi="Times New Roman" w:cs="Times New Roman"/>
          <w:snapToGrid w:val="0"/>
        </w:rPr>
        <w:t>SLCO1B1 c.521CC ir ABCG2 c.421AA</w:t>
      </w:r>
      <w:r w:rsidR="00C7524D" w:rsidRPr="003E1719">
        <w:rPr>
          <w:rFonts w:ascii="Times New Roman" w:eastAsia="Times New Roman" w:hAnsi="Times New Roman" w:cs="Times New Roman"/>
          <w:snapToGrid w:val="0"/>
        </w:rPr>
        <w:t>,</w:t>
      </w:r>
      <w:r w:rsidRPr="003E1719">
        <w:rPr>
          <w:rFonts w:ascii="Times New Roman" w:eastAsia="Times New Roman" w:hAnsi="Times New Roman" w:cs="Times New Roman"/>
          <w:snapToGrid w:val="0"/>
        </w:rPr>
        <w:t xml:space="preserve"> yra susiję su atitinkamai maždaug 1,7 karto ir 2,4 karto didesne rozuvastatino ekspozicija (AUC) negu SLCO1B1 c.521TT ar ABCG2 c.421CC genotipai. Šis specifinių genotipų nustatymas nėra paplitęs klinikinėje praktikoje, tačiau, jei turima informacijos, kad pacientui būdingas minėtas polimorfizmas, rekomenduojama vartoti mažesnę rozuvastatino dozę.</w:t>
      </w:r>
    </w:p>
    <w:p w14:paraId="1967E724"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iCs/>
          <w:u w:val="single"/>
        </w:rPr>
      </w:pPr>
    </w:p>
    <w:p w14:paraId="421B140A" w14:textId="77777777" w:rsidR="000D7B89" w:rsidRPr="008B465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i/>
          <w:iCs/>
          <w:u w:val="single"/>
        </w:rPr>
      </w:pPr>
      <w:r w:rsidRPr="008B4659">
        <w:rPr>
          <w:rFonts w:ascii="Times New Roman" w:eastAsia="Times New Roman" w:hAnsi="Times New Roman" w:cs="Times New Roman"/>
          <w:i/>
          <w:iCs/>
          <w:u w:val="single"/>
        </w:rPr>
        <w:t>Vaikų populiacija</w:t>
      </w:r>
    </w:p>
    <w:p w14:paraId="23DC93CF" w14:textId="77777777" w:rsidR="000D7B89" w:rsidRPr="003E1719" w:rsidRDefault="000D7B89" w:rsidP="000D7B89">
      <w:pPr>
        <w:widowControl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Buvo atlikti du rozuvastatino (tablečių formos) farmakokinetikos tyrimais su 10-17 ar 6-17</w:t>
      </w:r>
      <w:r w:rsidR="00C7524D" w:rsidRPr="003E1719">
        <w:rPr>
          <w:rFonts w:ascii="Times New Roman" w:eastAsia="Times New Roman" w:hAnsi="Times New Roman" w:cs="Times New Roman"/>
          <w:color w:val="000000"/>
          <w:lang w:eastAsia="sl-SI"/>
        </w:rPr>
        <w:t xml:space="preserve"> </w:t>
      </w:r>
      <w:r w:rsidRPr="003E1719">
        <w:rPr>
          <w:rFonts w:ascii="Times New Roman" w:eastAsia="Times New Roman" w:hAnsi="Times New Roman" w:cs="Times New Roman"/>
          <w:color w:val="000000"/>
          <w:lang w:eastAsia="sl-SI"/>
        </w:rPr>
        <w:t xml:space="preserve">metų vaikais ir paaugliais, sergančiais heterozigotine šeimine hipercholesterolemija (iš viso 214 pacientų). Buvo nustatyta, kad vaikų ir paauglių organizme rozuvastatino ekspozicija yra panaši į </w:t>
      </w:r>
      <w:r w:rsidR="00340038" w:rsidRPr="003E1719">
        <w:rPr>
          <w:rFonts w:ascii="Times New Roman" w:eastAsia="Times New Roman" w:hAnsi="Times New Roman" w:cs="Times New Roman"/>
          <w:color w:val="000000"/>
          <w:lang w:eastAsia="sl-SI"/>
        </w:rPr>
        <w:t>tokią pat kaip</w:t>
      </w:r>
      <w:r w:rsidRPr="003E1719">
        <w:rPr>
          <w:rFonts w:ascii="Times New Roman" w:eastAsia="Times New Roman" w:hAnsi="Times New Roman" w:cs="Times New Roman"/>
          <w:color w:val="000000"/>
          <w:lang w:eastAsia="sl-SI"/>
        </w:rPr>
        <w:t xml:space="preserve"> suaugusių pacientų organizme ar mažesnė. Rozuvastatino ekspozicija buvo prognozuojama dozės ir laiko atžvilgiu 2 metų laikotarpiu.</w:t>
      </w:r>
    </w:p>
    <w:p w14:paraId="601F2D4F"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271A29FC" w14:textId="77777777" w:rsidR="000D7B89" w:rsidRPr="008B4659" w:rsidRDefault="000D7B89" w:rsidP="000D7B89">
      <w:pPr>
        <w:widowControl w:val="0"/>
        <w:tabs>
          <w:tab w:val="left" w:pos="567"/>
        </w:tabs>
        <w:spacing w:after="0" w:line="240" w:lineRule="auto"/>
        <w:rPr>
          <w:rFonts w:ascii="Times New Roman" w:eastAsia="Times New Roman" w:hAnsi="Times New Roman" w:cs="Times New Roman"/>
          <w:i/>
        </w:rPr>
      </w:pPr>
      <w:r w:rsidRPr="008B4659">
        <w:rPr>
          <w:rFonts w:ascii="Times New Roman" w:eastAsia="Times New Roman" w:hAnsi="Times New Roman" w:cs="Times New Roman"/>
          <w:i/>
        </w:rPr>
        <w:t>Ezetimibas</w:t>
      </w:r>
    </w:p>
    <w:p w14:paraId="31C96CCF"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176006E3"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Absorbcija</w:t>
      </w:r>
    </w:p>
    <w:p w14:paraId="59F4E318" w14:textId="77777777" w:rsidR="000D7B89" w:rsidRPr="003E1719" w:rsidRDefault="00340038"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Per burną suvartotas</w:t>
      </w:r>
      <w:r w:rsidR="000D7B89" w:rsidRPr="003E1719">
        <w:rPr>
          <w:rFonts w:ascii="Times New Roman" w:eastAsia="Times New Roman" w:hAnsi="Times New Roman" w:cs="Times New Roman"/>
        </w:rPr>
        <w:t xml:space="preserve"> ezetimibas greitai absorbuojamas ir ekstensyviai konjuguojamas į farmakologiškai aktyvų fenolio gliukuronidą (ezetimibo gliukuronidą). Vidutinė didžiausia ezetimibo gliukuronido koncentracija (C</w:t>
      </w:r>
      <w:r w:rsidR="000D7B89" w:rsidRPr="003E1719">
        <w:rPr>
          <w:rFonts w:ascii="Times New Roman" w:eastAsia="Times New Roman" w:hAnsi="Times New Roman" w:cs="Times New Roman"/>
          <w:vertAlign w:val="subscript"/>
        </w:rPr>
        <w:t>max</w:t>
      </w:r>
      <w:r w:rsidR="000D7B89" w:rsidRPr="003E1719">
        <w:rPr>
          <w:rFonts w:ascii="Times New Roman" w:eastAsia="Times New Roman" w:hAnsi="Times New Roman" w:cs="Times New Roman"/>
        </w:rPr>
        <w:t>) kraujo plazmoje atsiranda per 1</w:t>
      </w:r>
      <w:r w:rsidR="000D7B89" w:rsidRPr="003E1719">
        <w:rPr>
          <w:rFonts w:ascii="Times New Roman" w:eastAsia="Times New Roman" w:hAnsi="Times New Roman" w:cs="Times New Roman"/>
        </w:rPr>
        <w:noBreakHyphen/>
        <w:t>2 val., o ezetimibo – per 4</w:t>
      </w:r>
      <w:r w:rsidR="000D7B89" w:rsidRPr="003E1719">
        <w:rPr>
          <w:rFonts w:ascii="Times New Roman" w:eastAsia="Times New Roman" w:hAnsi="Times New Roman" w:cs="Times New Roman"/>
        </w:rPr>
        <w:noBreakHyphen/>
        <w:t>12 val. Absoliutaus biologinio ezetimibo prieinamumo nustatyti neįmanoma, nes medžiaga praktiškai netirpsta vandeninėse terpėse, tinkamose injekcijoms.</w:t>
      </w:r>
    </w:p>
    <w:p w14:paraId="22B8E524" w14:textId="5C64E273"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Kartu vartojamas maistas (labai riebus ar neriebus) biologinio geriamojo ezetimibo prieinamumo</w:t>
      </w:r>
      <w:r w:rsidR="00340038" w:rsidRPr="003E1719">
        <w:rPr>
          <w:rFonts w:ascii="Times New Roman" w:eastAsia="Times New Roman" w:hAnsi="Times New Roman" w:cs="Times New Roman"/>
        </w:rPr>
        <w:t xml:space="preserve"> neveikė pa</w:t>
      </w:r>
      <w:r w:rsidRPr="003E1719">
        <w:rPr>
          <w:rFonts w:ascii="Times New Roman" w:eastAsia="Times New Roman" w:hAnsi="Times New Roman" w:cs="Times New Roman"/>
        </w:rPr>
        <w:t>varto</w:t>
      </w:r>
      <w:r w:rsidR="00340038" w:rsidRPr="003E1719">
        <w:rPr>
          <w:rFonts w:ascii="Times New Roman" w:eastAsia="Times New Roman" w:hAnsi="Times New Roman" w:cs="Times New Roman"/>
        </w:rPr>
        <w:t>juss 10 mg table</w:t>
      </w:r>
      <w:r w:rsidR="00604AD6">
        <w:rPr>
          <w:rFonts w:ascii="Times New Roman" w:eastAsia="Times New Roman" w:hAnsi="Times New Roman" w:cs="Times New Roman"/>
        </w:rPr>
        <w:t>čių</w:t>
      </w:r>
      <w:r w:rsidRPr="003E1719">
        <w:rPr>
          <w:rFonts w:ascii="Times New Roman" w:eastAsia="Times New Roman" w:hAnsi="Times New Roman" w:cs="Times New Roman"/>
        </w:rPr>
        <w:t>. Ezetimibą g</w:t>
      </w:r>
      <w:r w:rsidR="00340038" w:rsidRPr="003E1719">
        <w:rPr>
          <w:rFonts w:ascii="Times New Roman" w:eastAsia="Times New Roman" w:hAnsi="Times New Roman" w:cs="Times New Roman"/>
        </w:rPr>
        <w:t>a</w:t>
      </w:r>
      <w:r w:rsidRPr="003E1719">
        <w:rPr>
          <w:rFonts w:ascii="Times New Roman" w:eastAsia="Times New Roman" w:hAnsi="Times New Roman" w:cs="Times New Roman"/>
        </w:rPr>
        <w:t>lima vartoti valgio metu ar nevalgius.</w:t>
      </w:r>
    </w:p>
    <w:p w14:paraId="2A3B4C41"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3FE9199A"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Pasiskirstymas</w:t>
      </w:r>
    </w:p>
    <w:p w14:paraId="6C88076D"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Prie žmogaus plazmos baltymų prisijungia 99,7 % ezetimibo ir 88-92 % ezetimibo gliukuronido.</w:t>
      </w:r>
    </w:p>
    <w:p w14:paraId="3991E2AD"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2CB1C6EA"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Biotransformacija</w:t>
      </w:r>
    </w:p>
    <w:p w14:paraId="3B28BE19"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Ezetimibas daugiausia metabolizuojamas pl</w:t>
      </w:r>
      <w:r w:rsidR="00340038" w:rsidRPr="003E1719">
        <w:rPr>
          <w:rFonts w:ascii="Times New Roman" w:eastAsia="Times New Roman" w:hAnsi="Times New Roman" w:cs="Times New Roman"/>
        </w:rPr>
        <w:t xml:space="preserve">onajame žarnyne bei kepenyse </w:t>
      </w:r>
      <w:r w:rsidRPr="003E1719">
        <w:rPr>
          <w:rFonts w:ascii="Times New Roman" w:eastAsia="Times New Roman" w:hAnsi="Times New Roman" w:cs="Times New Roman"/>
        </w:rPr>
        <w:t>konjug</w:t>
      </w:r>
      <w:r w:rsidR="00340038" w:rsidRPr="003E1719">
        <w:rPr>
          <w:rFonts w:ascii="Times New Roman" w:eastAsia="Times New Roman" w:hAnsi="Times New Roman" w:cs="Times New Roman"/>
        </w:rPr>
        <w:t xml:space="preserve">uojant </w:t>
      </w:r>
      <w:r w:rsidRPr="003E1719">
        <w:rPr>
          <w:rFonts w:ascii="Times New Roman" w:eastAsia="Times New Roman" w:hAnsi="Times New Roman" w:cs="Times New Roman"/>
        </w:rPr>
        <w:t>su gliukuronidu</w:t>
      </w:r>
      <w:r w:rsidR="00340038" w:rsidRPr="003E1719">
        <w:rPr>
          <w:rFonts w:ascii="Times New Roman" w:eastAsia="Times New Roman" w:hAnsi="Times New Roman" w:cs="Times New Roman"/>
        </w:rPr>
        <w:t xml:space="preserve"> (</w:t>
      </w:r>
      <w:r w:rsidRPr="003E1719">
        <w:rPr>
          <w:rFonts w:ascii="Times New Roman" w:eastAsia="Times New Roman" w:hAnsi="Times New Roman" w:cs="Times New Roman"/>
        </w:rPr>
        <w:t>II fazės reakcija) ir po to išskiria</w:t>
      </w:r>
      <w:r w:rsidR="00340038" w:rsidRPr="003E1719">
        <w:rPr>
          <w:rFonts w:ascii="Times New Roman" w:eastAsia="Times New Roman" w:hAnsi="Times New Roman" w:cs="Times New Roman"/>
        </w:rPr>
        <w:t>mas</w:t>
      </w:r>
      <w:r w:rsidRPr="003E1719">
        <w:rPr>
          <w:rFonts w:ascii="Times New Roman" w:eastAsia="Times New Roman" w:hAnsi="Times New Roman" w:cs="Times New Roman"/>
        </w:rPr>
        <w:t xml:space="preserve"> į tulžį. Visų tirtų rūšių gyvūnams oksidacinis metabolizmas (I fazės reakcija) buvo minimalus. Ezetimibas ir ezetimibo gliukuronidas yra svarbiausios su vaistiniu preparatu susijusios medžiagos, aptinkamos plazmoje: jų būna atitinkamai 10</w:t>
      </w:r>
      <w:r w:rsidRPr="003E1719">
        <w:rPr>
          <w:rFonts w:ascii="Times New Roman" w:eastAsia="Times New Roman" w:hAnsi="Times New Roman" w:cs="Times New Roman"/>
        </w:rPr>
        <w:noBreakHyphen/>
        <w:t>20 % ir 80</w:t>
      </w:r>
      <w:r w:rsidRPr="003E1719">
        <w:rPr>
          <w:rFonts w:ascii="Times New Roman" w:eastAsia="Times New Roman" w:hAnsi="Times New Roman" w:cs="Times New Roman"/>
        </w:rPr>
        <w:noBreakHyphen/>
        <w:t>90 % vis</w:t>
      </w:r>
      <w:r w:rsidR="00340038" w:rsidRPr="003E1719">
        <w:rPr>
          <w:rFonts w:ascii="Times New Roman" w:eastAsia="Times New Roman" w:hAnsi="Times New Roman" w:cs="Times New Roman"/>
        </w:rPr>
        <w:t xml:space="preserve">o vaistinio preparato kiekio </w:t>
      </w:r>
      <w:r w:rsidRPr="003E1719">
        <w:rPr>
          <w:rFonts w:ascii="Times New Roman" w:eastAsia="Times New Roman" w:hAnsi="Times New Roman" w:cs="Times New Roman"/>
        </w:rPr>
        <w:t>plazmoje. Ir ezetimibas, ir ezetimibo gliukuronidas lėta</w:t>
      </w:r>
      <w:r w:rsidR="00340038" w:rsidRPr="003E1719">
        <w:rPr>
          <w:rFonts w:ascii="Times New Roman" w:eastAsia="Times New Roman" w:hAnsi="Times New Roman" w:cs="Times New Roman"/>
        </w:rPr>
        <w:t>i pasišalina iš kraujo plazmos; tai rodo, kad p</w:t>
      </w:r>
      <w:r w:rsidRPr="003E1719">
        <w:rPr>
          <w:rFonts w:ascii="Times New Roman" w:eastAsia="Times New Roman" w:hAnsi="Times New Roman" w:cs="Times New Roman"/>
        </w:rPr>
        <w:t>asireiškia reikšminga enterohepatinė cirkuliacija. Ezetimibo ir ezetimibo gliukuronido pusinės eliminacijos laikas yra maždaug 22 val.</w:t>
      </w:r>
    </w:p>
    <w:p w14:paraId="25119CAD"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2FB4594A"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u w:val="single"/>
        </w:rPr>
      </w:pPr>
      <w:r w:rsidRPr="003E1719">
        <w:rPr>
          <w:rFonts w:ascii="Times New Roman" w:eastAsia="Times New Roman" w:hAnsi="Times New Roman" w:cs="Times New Roman"/>
          <w:u w:val="single"/>
        </w:rPr>
        <w:t>Eliminacija</w:t>
      </w:r>
    </w:p>
    <w:p w14:paraId="34D22774"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Žmonėms išgėrus </w:t>
      </w:r>
      <w:r w:rsidRPr="003E1719">
        <w:rPr>
          <w:rFonts w:ascii="Times New Roman" w:eastAsia="Times New Roman" w:hAnsi="Times New Roman" w:cs="Times New Roman"/>
          <w:vertAlign w:val="superscript"/>
          <w:lang w:eastAsia="sl-SI"/>
        </w:rPr>
        <w:t>14</w:t>
      </w:r>
      <w:r w:rsidRPr="003E1719">
        <w:rPr>
          <w:rFonts w:ascii="Times New Roman" w:eastAsia="Times New Roman" w:hAnsi="Times New Roman" w:cs="Times New Roman"/>
          <w:lang w:eastAsia="sl-SI"/>
        </w:rPr>
        <w:t>C pažymėto ezetimibo</w:t>
      </w:r>
      <w:r w:rsidR="00340038" w:rsidRPr="003E1719">
        <w:rPr>
          <w:rFonts w:ascii="Times New Roman" w:eastAsia="Times New Roman" w:hAnsi="Times New Roman" w:cs="Times New Roman"/>
          <w:lang w:eastAsia="sl-SI"/>
        </w:rPr>
        <w:t xml:space="preserve"> (20 mg)</w:t>
      </w:r>
      <w:r w:rsidRPr="003E1719">
        <w:rPr>
          <w:rFonts w:ascii="Times New Roman" w:eastAsia="Times New Roman" w:hAnsi="Times New Roman" w:cs="Times New Roman"/>
          <w:lang w:eastAsia="sl-SI"/>
        </w:rPr>
        <w:t>, bendrasis ezetimibas sudarė maždaug 93 % bendrojo radioaktyvumo kraujo plazmoje. Maždaug 78 % ir 11 % pavartoto radioaktyvumo nustatyta atitinkamai išmatose ir šlapime (jie rinkti 10 parų). Po 48 val. kraujo plazmoje radioaktyvumo nenustatyta.</w:t>
      </w:r>
    </w:p>
    <w:p w14:paraId="7D405020"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274EC44D" w14:textId="77777777" w:rsidR="000D7B89" w:rsidRPr="008B4659" w:rsidRDefault="000D7B89" w:rsidP="000D7B89">
      <w:pPr>
        <w:widowControl w:val="0"/>
        <w:tabs>
          <w:tab w:val="left" w:pos="567"/>
        </w:tabs>
        <w:spacing w:after="0" w:line="240" w:lineRule="auto"/>
        <w:rPr>
          <w:rFonts w:ascii="Times New Roman" w:eastAsia="Times New Roman" w:hAnsi="Times New Roman" w:cs="Times New Roman"/>
          <w:i/>
          <w:snapToGrid w:val="0"/>
          <w:u w:val="single"/>
        </w:rPr>
      </w:pPr>
      <w:r w:rsidRPr="008B4659">
        <w:rPr>
          <w:rFonts w:ascii="Times New Roman" w:eastAsia="Times New Roman" w:hAnsi="Times New Roman" w:cs="Times New Roman"/>
          <w:snapToGrid w:val="0"/>
          <w:u w:val="single"/>
        </w:rPr>
        <w:t>Ypatingos populiacijos</w:t>
      </w:r>
    </w:p>
    <w:p w14:paraId="13CD8E60"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i/>
          <w:snapToGrid w:val="0"/>
        </w:rPr>
      </w:pPr>
    </w:p>
    <w:p w14:paraId="4FDBA887" w14:textId="77777777" w:rsidR="00340038" w:rsidRPr="008B4659" w:rsidRDefault="00340038" w:rsidP="00340038">
      <w:pPr>
        <w:widowControl w:val="0"/>
        <w:tabs>
          <w:tab w:val="left" w:pos="567"/>
        </w:tabs>
        <w:spacing w:after="0" w:line="240" w:lineRule="auto"/>
        <w:rPr>
          <w:rFonts w:ascii="Times New Roman" w:eastAsia="Times New Roman" w:hAnsi="Times New Roman" w:cs="Times New Roman"/>
          <w:i/>
          <w:snapToGrid w:val="0"/>
          <w:u w:val="single"/>
          <w:lang w:eastAsia="sl-SI"/>
        </w:rPr>
      </w:pPr>
      <w:r w:rsidRPr="008B4659">
        <w:rPr>
          <w:rFonts w:ascii="Times New Roman" w:eastAsia="Times New Roman" w:hAnsi="Times New Roman" w:cs="Times New Roman"/>
          <w:i/>
          <w:snapToGrid w:val="0"/>
          <w:u w:val="single"/>
          <w:lang w:eastAsia="sl-SI"/>
        </w:rPr>
        <w:t>Amžius ir lytis</w:t>
      </w:r>
    </w:p>
    <w:p w14:paraId="38DD30F7" w14:textId="77777777" w:rsidR="00891F73" w:rsidRPr="003E1719" w:rsidRDefault="00891F73" w:rsidP="00891F73">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Senyvų (</w:t>
      </w:r>
      <w:r w:rsidRPr="003E1719">
        <w:rPr>
          <w:rFonts w:ascii="Times New Roman" w:hAnsi="Times New Roman" w:cs="Times New Roman"/>
        </w:rPr>
        <w:t>≥65</w:t>
      </w:r>
      <w:r w:rsidRPr="003E1719">
        <w:rPr>
          <w:rFonts w:ascii="Times New Roman" w:hAnsi="Times New Roman" w:cs="Times New Roman"/>
          <w:i/>
        </w:rPr>
        <w:t xml:space="preserve"> </w:t>
      </w:r>
      <w:r w:rsidRPr="003E1719">
        <w:rPr>
          <w:rFonts w:ascii="Times New Roman" w:eastAsia="Times New Roman" w:hAnsi="Times New Roman" w:cs="Times New Roman"/>
          <w:snapToGrid w:val="0"/>
          <w:lang w:eastAsia="sl-SI"/>
        </w:rPr>
        <w:t>metų) žmonių kraujo plazmoje bendrojo ezetimibo koncentracija būna maždaug 2 kartus didesnė negu jaunesnių (18-45 metų) žmonių kraujo plazmoje. Ezetimibu gydomų senyvų ir jaunesnių pacientų organizme MTL-C kiekio sumažėjimas ir saugumas yra panašūs, todėl senyviems pacientams dozės koreguoti nebūtina.</w:t>
      </w:r>
    </w:p>
    <w:p w14:paraId="18AC391E" w14:textId="77777777" w:rsidR="00340038" w:rsidRPr="003E1719" w:rsidRDefault="00340038" w:rsidP="00340038">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Bendrojo ezetimibo koncentracija moterų kraujo plazmoje būna šiek tiek (maždaug 20 %) didesnė negu vyrų kraujo plazmoje. Ezetimibu gydomų moterų ir vyrų organizme MTL-C kiekio sumažėjimas ir saugumas yra panašus</w:t>
      </w:r>
      <w:r w:rsidR="00891F73" w:rsidRPr="003E1719">
        <w:rPr>
          <w:rFonts w:ascii="Times New Roman" w:eastAsia="Times New Roman" w:hAnsi="Times New Roman" w:cs="Times New Roman"/>
          <w:snapToGrid w:val="0"/>
          <w:lang w:eastAsia="sl-SI"/>
        </w:rPr>
        <w:t>.</w:t>
      </w:r>
      <w:r w:rsidRPr="003E1719">
        <w:rPr>
          <w:rFonts w:ascii="Times New Roman" w:eastAsia="Times New Roman" w:hAnsi="Times New Roman" w:cs="Times New Roman"/>
          <w:snapToGrid w:val="0"/>
          <w:lang w:eastAsia="sl-SI"/>
        </w:rPr>
        <w:t xml:space="preserve"> </w:t>
      </w:r>
      <w:r w:rsidR="00891F73" w:rsidRPr="003E1719">
        <w:rPr>
          <w:rFonts w:ascii="Times New Roman" w:eastAsia="Times New Roman" w:hAnsi="Times New Roman" w:cs="Times New Roman"/>
          <w:snapToGrid w:val="0"/>
          <w:lang w:eastAsia="sl-SI"/>
        </w:rPr>
        <w:t>D</w:t>
      </w:r>
      <w:r w:rsidRPr="003E1719">
        <w:rPr>
          <w:rFonts w:ascii="Times New Roman" w:eastAsia="Times New Roman" w:hAnsi="Times New Roman" w:cs="Times New Roman"/>
          <w:snapToGrid w:val="0"/>
          <w:lang w:eastAsia="sl-SI"/>
        </w:rPr>
        <w:t>ozės koreguoti atsižvelgiant į lytį nereikia.</w:t>
      </w:r>
    </w:p>
    <w:p w14:paraId="2217EF05" w14:textId="77777777" w:rsidR="00340038" w:rsidRPr="003E1719" w:rsidRDefault="00340038" w:rsidP="00340038">
      <w:pPr>
        <w:widowControl w:val="0"/>
        <w:tabs>
          <w:tab w:val="left" w:pos="567"/>
        </w:tabs>
        <w:spacing w:after="0" w:line="240" w:lineRule="auto"/>
        <w:rPr>
          <w:rFonts w:ascii="Times New Roman" w:eastAsia="Times New Roman" w:hAnsi="Times New Roman" w:cs="Times New Roman"/>
          <w:snapToGrid w:val="0"/>
          <w:lang w:eastAsia="sl-SI"/>
        </w:rPr>
      </w:pPr>
    </w:p>
    <w:p w14:paraId="0B39525C" w14:textId="77777777" w:rsidR="00891F73" w:rsidRPr="008B4659" w:rsidRDefault="00891F73" w:rsidP="00891F73">
      <w:pPr>
        <w:widowControl w:val="0"/>
        <w:tabs>
          <w:tab w:val="left" w:pos="567"/>
        </w:tabs>
        <w:spacing w:after="0" w:line="240" w:lineRule="auto"/>
        <w:rPr>
          <w:rFonts w:ascii="Times New Roman" w:eastAsia="Times New Roman" w:hAnsi="Times New Roman" w:cs="Times New Roman"/>
          <w:i/>
          <w:snapToGrid w:val="0"/>
          <w:u w:val="single"/>
          <w:lang w:eastAsia="sl-SI"/>
        </w:rPr>
      </w:pPr>
      <w:r w:rsidRPr="008B4659">
        <w:rPr>
          <w:rFonts w:ascii="Times New Roman" w:eastAsia="Times New Roman" w:hAnsi="Times New Roman" w:cs="Times New Roman"/>
          <w:i/>
          <w:iCs/>
          <w:snapToGrid w:val="0"/>
          <w:u w:val="single"/>
          <w:lang w:eastAsia="sl-SI"/>
        </w:rPr>
        <w:t>Sutrikusi inkstų funkcija</w:t>
      </w:r>
    </w:p>
    <w:p w14:paraId="31194819" w14:textId="22D48EEA" w:rsidR="00891F73" w:rsidRPr="003E1719" w:rsidRDefault="00891F73" w:rsidP="00891F73">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Po vienkartinės 10 mg ezetimibo dozės pavartojimo pacientų, kurie sirgo sunkia inkstų liga (n= 8, vidutinis kreatinino klirensas ≤ 30 ml/min./1,73 m</w:t>
      </w:r>
      <w:r w:rsidRPr="003E1719">
        <w:rPr>
          <w:rFonts w:ascii="Times New Roman" w:eastAsia="Times New Roman" w:hAnsi="Times New Roman" w:cs="Times New Roman"/>
          <w:snapToGrid w:val="0"/>
          <w:vertAlign w:val="superscript"/>
          <w:lang w:eastAsia="sl-SI"/>
        </w:rPr>
        <w:t>2</w:t>
      </w:r>
      <w:r w:rsidRPr="003E1719">
        <w:rPr>
          <w:rFonts w:ascii="Times New Roman" w:eastAsia="Times New Roman" w:hAnsi="Times New Roman" w:cs="Times New Roman"/>
          <w:snapToGrid w:val="0"/>
          <w:lang w:eastAsia="sl-SI"/>
        </w:rPr>
        <w:t>), vidutinis bendrojo ezetimibo AUC padidėjo maždaug 1,5 karto, palyginti su sveikais žmonėmis (n</w:t>
      </w:r>
      <w:r w:rsidR="009E4CC0">
        <w:rPr>
          <w:rFonts w:ascii="Times New Roman" w:eastAsia="Times New Roman" w:hAnsi="Times New Roman" w:cs="Times New Roman"/>
          <w:snapToGrid w:val="0"/>
          <w:lang w:eastAsia="sl-SI"/>
        </w:rPr>
        <w:t> </w:t>
      </w:r>
      <w:r w:rsidRPr="003E1719">
        <w:rPr>
          <w:rFonts w:ascii="Times New Roman" w:eastAsia="Times New Roman" w:hAnsi="Times New Roman" w:cs="Times New Roman"/>
          <w:snapToGrid w:val="0"/>
          <w:lang w:eastAsia="sl-SI"/>
        </w:rPr>
        <w:t>= 9). Šie duomenys laikomi kliniškai nereikšmingais. Pacientams, kurių inkstų funkcija sutrikusi, dozės koreguoti nereikia.</w:t>
      </w:r>
    </w:p>
    <w:p w14:paraId="31EFB529" w14:textId="77777777" w:rsidR="00891F73" w:rsidRPr="003E1719" w:rsidRDefault="00891F73" w:rsidP="00891F73">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Dar vienam šio tyrimo pacientui (jam buvo persodintas inkstas ir jis vartojo daug kitų vaistinių preparatų, įskaitant ciklosporiną) nustatyta 12 kartų didesnė bendrojo ezetimibo ekspozicija.</w:t>
      </w:r>
    </w:p>
    <w:p w14:paraId="5405A3B6" w14:textId="77777777" w:rsidR="00891F73" w:rsidRPr="003E1719" w:rsidRDefault="00891F73" w:rsidP="000D7B89">
      <w:pPr>
        <w:widowControl w:val="0"/>
        <w:tabs>
          <w:tab w:val="left" w:pos="567"/>
        </w:tabs>
        <w:spacing w:after="0" w:line="240" w:lineRule="auto"/>
        <w:rPr>
          <w:rFonts w:ascii="Times New Roman" w:eastAsia="Times New Roman" w:hAnsi="Times New Roman" w:cs="Times New Roman"/>
          <w:i/>
          <w:iCs/>
          <w:snapToGrid w:val="0"/>
          <w:lang w:eastAsia="sl-SI"/>
        </w:rPr>
      </w:pPr>
    </w:p>
    <w:p w14:paraId="77665155" w14:textId="77777777" w:rsidR="000D7B89" w:rsidRPr="008B4659" w:rsidRDefault="000D7B89" w:rsidP="000D7B89">
      <w:pPr>
        <w:widowControl w:val="0"/>
        <w:tabs>
          <w:tab w:val="left" w:pos="567"/>
        </w:tabs>
        <w:spacing w:after="0" w:line="240" w:lineRule="auto"/>
        <w:rPr>
          <w:rFonts w:ascii="Times New Roman" w:eastAsia="Times New Roman" w:hAnsi="Times New Roman" w:cs="Times New Roman"/>
          <w:i/>
          <w:snapToGrid w:val="0"/>
          <w:u w:val="single"/>
          <w:lang w:eastAsia="sl-SI"/>
        </w:rPr>
      </w:pPr>
      <w:r w:rsidRPr="008B4659">
        <w:rPr>
          <w:rFonts w:ascii="Times New Roman" w:eastAsia="Times New Roman" w:hAnsi="Times New Roman" w:cs="Times New Roman"/>
          <w:i/>
          <w:iCs/>
          <w:snapToGrid w:val="0"/>
          <w:u w:val="single"/>
          <w:lang w:eastAsia="sl-SI"/>
        </w:rPr>
        <w:t>Sutrikusi kepenų funkcija</w:t>
      </w:r>
    </w:p>
    <w:p w14:paraId="2B4B3060"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Pacientams, kuriems buvo lengvas kepenų funkcijos sutrikimas (</w:t>
      </w:r>
      <w:r w:rsidRPr="003E1719">
        <w:rPr>
          <w:rFonts w:ascii="Times New Roman" w:eastAsia="Times New Roman" w:hAnsi="Times New Roman" w:cs="Times New Roman"/>
          <w:color w:val="000000"/>
          <w:lang w:eastAsia="sl-SI"/>
        </w:rPr>
        <w:t xml:space="preserve">įvertinimas pagal </w:t>
      </w:r>
      <w:r w:rsidRPr="003E1719">
        <w:rPr>
          <w:rFonts w:ascii="Times New Roman" w:eastAsia="Times New Roman" w:hAnsi="Times New Roman" w:cs="Times New Roman"/>
          <w:i/>
          <w:color w:val="000000"/>
          <w:lang w:eastAsia="sl-SI"/>
        </w:rPr>
        <w:t>Child-Pugh</w:t>
      </w:r>
      <w:r w:rsidRPr="003E1719">
        <w:rPr>
          <w:rFonts w:ascii="Times New Roman" w:eastAsia="Times New Roman" w:hAnsi="Times New Roman" w:cs="Times New Roman"/>
          <w:color w:val="000000"/>
          <w:lang w:eastAsia="sl-SI"/>
        </w:rPr>
        <w:t xml:space="preserve"> skalę</w:t>
      </w:r>
      <w:r w:rsidRPr="003E1719">
        <w:rPr>
          <w:rFonts w:ascii="Times New Roman" w:eastAsia="Times New Roman" w:hAnsi="Times New Roman" w:cs="Times New Roman"/>
          <w:snapToGrid w:val="0"/>
          <w:lang w:eastAsia="sl-SI"/>
        </w:rPr>
        <w:t xml:space="preserve"> 5</w:t>
      </w:r>
      <w:r w:rsidRPr="003E1719">
        <w:rPr>
          <w:rFonts w:ascii="Times New Roman" w:eastAsia="Times New Roman" w:hAnsi="Times New Roman" w:cs="Times New Roman"/>
          <w:snapToGrid w:val="0"/>
          <w:lang w:eastAsia="sl-SI"/>
        </w:rPr>
        <w:noBreakHyphen/>
        <w:t xml:space="preserve">6), po vienkartinės 10 mg ezetimibo dozės pavartojimo vidutinis bendrojo ezetimibo AUC padidėjo maždaug 1,7 karto, palyginti su sveikais žmonėmis. 14 dienų trukusio kartotinių </w:t>
      </w:r>
      <w:r w:rsidR="00891F73" w:rsidRPr="003E1719">
        <w:rPr>
          <w:rFonts w:ascii="Times New Roman" w:eastAsia="Times New Roman" w:hAnsi="Times New Roman" w:cs="Times New Roman"/>
          <w:snapToGrid w:val="0"/>
          <w:lang w:eastAsia="sl-SI"/>
        </w:rPr>
        <w:t>(</w:t>
      </w:r>
      <w:r w:rsidRPr="003E1719">
        <w:rPr>
          <w:rFonts w:ascii="Times New Roman" w:eastAsia="Times New Roman" w:hAnsi="Times New Roman" w:cs="Times New Roman"/>
          <w:snapToGrid w:val="0"/>
          <w:lang w:eastAsia="sl-SI"/>
        </w:rPr>
        <w:t xml:space="preserve">10 mg </w:t>
      </w:r>
      <w:r w:rsidR="00891F73" w:rsidRPr="003E1719">
        <w:rPr>
          <w:rFonts w:ascii="Times New Roman" w:eastAsia="Times New Roman" w:hAnsi="Times New Roman" w:cs="Times New Roman"/>
          <w:snapToGrid w:val="0"/>
          <w:lang w:eastAsia="sl-SI"/>
        </w:rPr>
        <w:t xml:space="preserve">per </w:t>
      </w:r>
      <w:r w:rsidRPr="003E1719">
        <w:rPr>
          <w:rFonts w:ascii="Times New Roman" w:eastAsia="Times New Roman" w:hAnsi="Times New Roman" w:cs="Times New Roman"/>
          <w:snapToGrid w:val="0"/>
          <w:lang w:eastAsia="sl-SI"/>
        </w:rPr>
        <w:t>par</w:t>
      </w:r>
      <w:r w:rsidR="00891F73" w:rsidRPr="003E1719">
        <w:rPr>
          <w:rFonts w:ascii="Times New Roman" w:eastAsia="Times New Roman" w:hAnsi="Times New Roman" w:cs="Times New Roman"/>
          <w:snapToGrid w:val="0"/>
          <w:lang w:eastAsia="sl-SI"/>
        </w:rPr>
        <w:t>ą)</w:t>
      </w:r>
      <w:r w:rsidRPr="003E1719">
        <w:rPr>
          <w:rFonts w:ascii="Times New Roman" w:eastAsia="Times New Roman" w:hAnsi="Times New Roman" w:cs="Times New Roman"/>
          <w:snapToGrid w:val="0"/>
          <w:lang w:eastAsia="sl-SI"/>
        </w:rPr>
        <w:t xml:space="preserve"> dozių vartojimo tyrimo metu pacientams, kuriems buvo vidutinio sunkumo kepenų funkcijos sutrikimas (</w:t>
      </w:r>
      <w:r w:rsidRPr="003E1719">
        <w:rPr>
          <w:rFonts w:ascii="Times New Roman" w:eastAsia="Times New Roman" w:hAnsi="Times New Roman" w:cs="Times New Roman"/>
          <w:color w:val="000000"/>
          <w:lang w:eastAsia="sl-SI"/>
        </w:rPr>
        <w:t xml:space="preserve">įvertinimas pagal </w:t>
      </w:r>
      <w:r w:rsidRPr="003E1719">
        <w:rPr>
          <w:rFonts w:ascii="Times New Roman" w:eastAsia="Times New Roman" w:hAnsi="Times New Roman" w:cs="Times New Roman"/>
          <w:i/>
          <w:color w:val="000000"/>
          <w:lang w:eastAsia="sl-SI"/>
        </w:rPr>
        <w:t>Child-Pugh</w:t>
      </w:r>
      <w:r w:rsidRPr="003E1719">
        <w:rPr>
          <w:rFonts w:ascii="Times New Roman" w:eastAsia="Times New Roman" w:hAnsi="Times New Roman" w:cs="Times New Roman"/>
          <w:color w:val="000000"/>
          <w:lang w:eastAsia="sl-SI"/>
        </w:rPr>
        <w:t xml:space="preserve"> skalę</w:t>
      </w:r>
      <w:r w:rsidRPr="003E1719">
        <w:rPr>
          <w:rFonts w:ascii="Times New Roman" w:eastAsia="Times New Roman" w:hAnsi="Times New Roman" w:cs="Times New Roman"/>
          <w:snapToGrid w:val="0"/>
          <w:lang w:eastAsia="sl-SI"/>
        </w:rPr>
        <w:t xml:space="preserve"> 7-9), vidutinis 1-ąją ir 14-ąją dieną nustatytas bendrojo ezetimibo AUC padidėjo maždaug 4 kartus, palyginti su sveikų žmonių rodmenimis. Pacientams, kuriems yra lengvas kepenų funkcijos sutrikimas, dozės koreguoti nereikia. Nėra žinoma, kokį poveikį sukelia vidutinio sunkumo ar sunkiu kepenų funkcijos sutrikimu (</w:t>
      </w:r>
      <w:r w:rsidRPr="003E1719">
        <w:rPr>
          <w:rFonts w:ascii="Times New Roman" w:eastAsia="Times New Roman" w:hAnsi="Times New Roman" w:cs="Times New Roman"/>
          <w:color w:val="000000"/>
          <w:lang w:eastAsia="sl-SI"/>
        </w:rPr>
        <w:t xml:space="preserve">įvertinimas pagal </w:t>
      </w:r>
      <w:r w:rsidRPr="003E1719">
        <w:rPr>
          <w:rFonts w:ascii="Times New Roman" w:eastAsia="Times New Roman" w:hAnsi="Times New Roman" w:cs="Times New Roman"/>
          <w:i/>
          <w:color w:val="000000"/>
          <w:lang w:eastAsia="sl-SI"/>
        </w:rPr>
        <w:t>Child-Pugh</w:t>
      </w:r>
      <w:r w:rsidRPr="003E1719">
        <w:rPr>
          <w:rFonts w:ascii="Times New Roman" w:eastAsia="Times New Roman" w:hAnsi="Times New Roman" w:cs="Times New Roman"/>
          <w:color w:val="000000"/>
          <w:lang w:eastAsia="sl-SI"/>
        </w:rPr>
        <w:t xml:space="preserve"> skalę</w:t>
      </w:r>
      <w:r w:rsidRPr="003E1719">
        <w:rPr>
          <w:rFonts w:ascii="Times New Roman" w:eastAsia="Times New Roman" w:hAnsi="Times New Roman" w:cs="Times New Roman"/>
          <w:snapToGrid w:val="0"/>
          <w:lang w:eastAsia="sl-SI"/>
        </w:rPr>
        <w:t xml:space="preserve"> &gt;9) sergančių pacientų organizme būnanti padidėjusi ezetimibo ekspozicija, todėl tokių pacientų gydyti </w:t>
      </w:r>
      <w:r w:rsidR="00AF3800">
        <w:rPr>
          <w:rFonts w:ascii="Times New Roman" w:eastAsia="Times New Roman" w:hAnsi="Times New Roman" w:cs="Times New Roman"/>
          <w:lang w:eastAsia="sl-SI"/>
        </w:rPr>
        <w:t>Rosuvastatin/Ezetimibe Teva</w:t>
      </w:r>
      <w:r w:rsidR="00891F73" w:rsidRPr="003E1719">
        <w:rPr>
          <w:rFonts w:ascii="Times New Roman" w:eastAsia="Times New Roman" w:hAnsi="Times New Roman" w:cs="Times New Roman"/>
          <w:lang w:eastAsia="sl-SI"/>
        </w:rPr>
        <w:t xml:space="preserve"> </w:t>
      </w:r>
      <w:r w:rsidRPr="003E1719">
        <w:rPr>
          <w:rFonts w:ascii="Times New Roman" w:eastAsia="Times New Roman" w:hAnsi="Times New Roman" w:cs="Times New Roman"/>
          <w:snapToGrid w:val="0"/>
          <w:lang w:eastAsia="sl-SI"/>
        </w:rPr>
        <w:t>nerekomenduojama (žr. 4.4 skyrių).</w:t>
      </w:r>
    </w:p>
    <w:p w14:paraId="7E8BAE82"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p>
    <w:p w14:paraId="4FB2B70C" w14:textId="77777777" w:rsidR="00340038" w:rsidRPr="008B4659" w:rsidRDefault="00340038" w:rsidP="00340038">
      <w:pPr>
        <w:widowControl w:val="0"/>
        <w:spacing w:after="0" w:line="240" w:lineRule="auto"/>
        <w:rPr>
          <w:rFonts w:ascii="Times New Roman" w:eastAsia="Times New Roman" w:hAnsi="Times New Roman" w:cs="Times New Roman"/>
          <w:i/>
          <w:u w:val="single"/>
          <w:lang w:eastAsia="sl-SI"/>
        </w:rPr>
      </w:pPr>
      <w:r w:rsidRPr="008B4659">
        <w:rPr>
          <w:rFonts w:ascii="Times New Roman" w:eastAsia="Times New Roman" w:hAnsi="Times New Roman" w:cs="Times New Roman"/>
          <w:i/>
          <w:u w:val="single"/>
          <w:lang w:eastAsia="sl-SI"/>
        </w:rPr>
        <w:t>Vaikų populiacija</w:t>
      </w:r>
    </w:p>
    <w:p w14:paraId="16253116" w14:textId="77777777" w:rsidR="00340038" w:rsidRPr="003E1719" w:rsidRDefault="00340038" w:rsidP="00340038">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Ezetimibo farmakokinetika 6 metų bei vyresnių vaikų ir suaugusių žmonių organizme yra panaši. Duomenų apie farmakokinetikos parametrus jaunesnių kaip 6 metų vaikų organizme nėra. Turima klinikinių duomenų tik apie homozigotine šeimine hipercholesterolemija, heterozigotine šeimine hipercholesterolemija ar sitosterolemija sergančius vaikus ir paauglius.</w:t>
      </w:r>
    </w:p>
    <w:p w14:paraId="2BD8D7C9" w14:textId="77777777" w:rsidR="000D7B89" w:rsidRPr="003E1719" w:rsidRDefault="000D7B89" w:rsidP="000D7B89">
      <w:pPr>
        <w:widowControl w:val="0"/>
        <w:tabs>
          <w:tab w:val="left" w:pos="1296"/>
        </w:tabs>
        <w:snapToGrid w:val="0"/>
        <w:spacing w:after="0" w:line="240" w:lineRule="auto"/>
        <w:rPr>
          <w:rFonts w:ascii="Times New Roman" w:eastAsia="Times New Roman" w:hAnsi="Times New Roman" w:cs="Times New Roman"/>
          <w:color w:val="000000"/>
          <w:lang w:eastAsia="sl-SI"/>
        </w:rPr>
      </w:pPr>
    </w:p>
    <w:p w14:paraId="38DAF5BD"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5.3</w:t>
      </w:r>
      <w:r w:rsidRPr="003E1719">
        <w:rPr>
          <w:rFonts w:ascii="Times New Roman" w:eastAsia="Times New Roman" w:hAnsi="Times New Roman" w:cs="Times New Roman"/>
          <w:b/>
          <w:lang w:eastAsia="sl-SI"/>
        </w:rPr>
        <w:tab/>
        <w:t>Ikiklinikinių saugumo tyrimų duomenys</w:t>
      </w:r>
    </w:p>
    <w:p w14:paraId="4312249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A124890" w14:textId="14D45D4F" w:rsidR="00891F73" w:rsidRPr="003E1719" w:rsidRDefault="00891F73" w:rsidP="00891F73">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Ezetimibo vartojimo kartu su statinais tyrimų metu toksinis poveikis iš esmės buvo tipiškas su statinais susijęs poveikis. Tam tikras toksinis poveikis buvo stipresnis, nei būna vartojant vien statinų. Manoma, kad taip yra dėl farmakokinetinės ir farmakodinaminės kartu vartojamų preparatų sąveikos. Klinikinių tyrimų metu tokios sąveikos nepasireiškė. Miopatija pasireiškė tik žiurkėms, kurioms buvo duodam</w:t>
      </w:r>
      <w:r w:rsidR="009E4CC0">
        <w:rPr>
          <w:rFonts w:ascii="Times New Roman" w:eastAsia="Times New Roman" w:hAnsi="Times New Roman" w:cs="Times New Roman"/>
          <w:lang w:eastAsia="sl-SI"/>
        </w:rPr>
        <w:t>a</w:t>
      </w:r>
      <w:r w:rsidRPr="003E1719">
        <w:rPr>
          <w:rFonts w:ascii="Times New Roman" w:eastAsia="Times New Roman" w:hAnsi="Times New Roman" w:cs="Times New Roman"/>
          <w:lang w:eastAsia="sl-SI"/>
        </w:rPr>
        <w:t xml:space="preserve"> doz</w:t>
      </w:r>
      <w:r w:rsidR="009E4CC0">
        <w:rPr>
          <w:rFonts w:ascii="Times New Roman" w:eastAsia="Times New Roman" w:hAnsi="Times New Roman" w:cs="Times New Roman"/>
          <w:lang w:eastAsia="sl-SI"/>
        </w:rPr>
        <w:t>ių</w:t>
      </w:r>
      <w:r w:rsidRPr="003E1719">
        <w:rPr>
          <w:rFonts w:ascii="Times New Roman" w:eastAsia="Times New Roman" w:hAnsi="Times New Roman" w:cs="Times New Roman"/>
          <w:lang w:eastAsia="sl-SI"/>
        </w:rPr>
        <w:t>, kurios keletą kartų buvo didesnės už žmogaus gydomąją dozę (statinų AUC buvo didesnis maždaug 20 kartų, veikliųjų metabolitų − 500</w:t>
      </w:r>
      <w:r w:rsidRPr="003E1719">
        <w:rPr>
          <w:rFonts w:ascii="Times New Roman" w:eastAsia="Times New Roman" w:hAnsi="Times New Roman" w:cs="Times New Roman"/>
          <w:lang w:eastAsia="sl-SI"/>
        </w:rPr>
        <w:noBreakHyphen/>
        <w:t>2000 kartų).</w:t>
      </w:r>
    </w:p>
    <w:p w14:paraId="1A768D63" w14:textId="77777777" w:rsidR="00891F73" w:rsidRPr="003E1719" w:rsidRDefault="00891F73" w:rsidP="00D7371A">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Keleto tyrimų </w:t>
      </w:r>
      <w:r w:rsidRPr="003E1719">
        <w:rPr>
          <w:rFonts w:ascii="Times New Roman" w:eastAsia="Times New Roman" w:hAnsi="Times New Roman" w:cs="Times New Roman"/>
          <w:i/>
          <w:iCs/>
          <w:lang w:eastAsia="sl-SI"/>
        </w:rPr>
        <w:t>in vivo</w:t>
      </w:r>
      <w:r w:rsidRPr="003E1719">
        <w:rPr>
          <w:rFonts w:ascii="Times New Roman" w:eastAsia="Times New Roman" w:hAnsi="Times New Roman" w:cs="Times New Roman"/>
          <w:lang w:eastAsia="sl-SI"/>
        </w:rPr>
        <w:t xml:space="preserve"> ir </w:t>
      </w:r>
      <w:r w:rsidRPr="003E1719">
        <w:rPr>
          <w:rFonts w:ascii="Times New Roman" w:eastAsia="Times New Roman" w:hAnsi="Times New Roman" w:cs="Times New Roman"/>
          <w:i/>
          <w:iCs/>
          <w:lang w:eastAsia="sl-SI"/>
        </w:rPr>
        <w:t>in vitro</w:t>
      </w:r>
      <w:r w:rsidRPr="003E1719">
        <w:rPr>
          <w:rFonts w:ascii="Times New Roman" w:eastAsia="Times New Roman" w:hAnsi="Times New Roman" w:cs="Times New Roman"/>
          <w:lang w:eastAsia="sl-SI"/>
        </w:rPr>
        <w:t xml:space="preserve"> metu, vartojant vien ezetimibo arba jo kartu su statinu, galimo genotoksinio poveikio nepastebėta. Ilgalaikio kancerogeninio ezetimibo poveikio tyrimų metu tokio poveikio nepasireiškė.</w:t>
      </w:r>
      <w:r w:rsidR="00D7371A" w:rsidRPr="003E1719">
        <w:rPr>
          <w:rFonts w:ascii="Times New Roman" w:eastAsia="Times New Roman" w:hAnsi="Times New Roman" w:cs="Times New Roman"/>
          <w:snapToGrid w:val="0"/>
          <w:lang w:eastAsia="sl-SI"/>
        </w:rPr>
        <w:t xml:space="preserve"> Ezetimibo ir statino derinys teratogeninio poveikio žiurkėms nesukėlė. Triušių embrionams atsirado šiek tiek skeleto deformacijų (susijungė krūtininiai ir uodeginiai slanksteliai, sumažėjo uodeginių slankstelių skaičius).</w:t>
      </w:r>
    </w:p>
    <w:p w14:paraId="511AD6F8" w14:textId="77777777" w:rsidR="00D7371A" w:rsidRPr="003E1719" w:rsidRDefault="00D7371A" w:rsidP="000D7B89">
      <w:pPr>
        <w:widowControl w:val="0"/>
        <w:tabs>
          <w:tab w:val="left" w:pos="567"/>
        </w:tabs>
        <w:spacing w:after="0" w:line="240" w:lineRule="auto"/>
        <w:rPr>
          <w:rFonts w:ascii="Times New Roman" w:eastAsia="Times New Roman" w:hAnsi="Times New Roman" w:cs="Times New Roman"/>
        </w:rPr>
      </w:pPr>
    </w:p>
    <w:p w14:paraId="0DB5D74A" w14:textId="77777777" w:rsidR="00D7371A" w:rsidRPr="003E1719" w:rsidRDefault="00D7371A" w:rsidP="000D7B89">
      <w:pPr>
        <w:widowControl w:val="0"/>
        <w:tabs>
          <w:tab w:val="left" w:pos="567"/>
        </w:tabs>
        <w:spacing w:after="0" w:line="240" w:lineRule="auto"/>
        <w:rPr>
          <w:rFonts w:ascii="Times New Roman" w:eastAsia="Times New Roman" w:hAnsi="Times New Roman" w:cs="Times New Roman"/>
          <w:i/>
        </w:rPr>
      </w:pPr>
      <w:r w:rsidRPr="003E1719">
        <w:rPr>
          <w:rFonts w:ascii="Times New Roman" w:eastAsia="Times New Roman" w:hAnsi="Times New Roman" w:cs="Times New Roman"/>
          <w:i/>
        </w:rPr>
        <w:t>Rozuvastatinas</w:t>
      </w:r>
    </w:p>
    <w:p w14:paraId="1410FAA4"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Įprastų farmakologinio saugumo, genotoksiškumo ir galimo kancerogeniškumo ikiklinikinių tyrimų duomenys specifinio pavojaus žmogui nerodo. Specialių poveikio hERG tyrimų neatlikta. Nepageidaujamos reakcijos, kurių nepastebėta klinikinių tyrimų metu, bet pasireiškė gyvūnams, esant panašiai į klinikinę ekspozicijai, yra kartotinių dozių toksinio poveikio tyrimų metu nustatyti (tikėtina, kad dėl rozuvastatino farmakologinio poveikio) pelių ir žiurkių kepenų histopatologiniai pokyčia</w:t>
      </w:r>
      <w:r w:rsidR="00D7371A" w:rsidRPr="003E1719">
        <w:rPr>
          <w:rFonts w:ascii="Times New Roman" w:eastAsia="Times New Roman" w:hAnsi="Times New Roman" w:cs="Times New Roman"/>
        </w:rPr>
        <w:t>i bei silpnesnis poveikis šunų, bet ne beždžionių,</w:t>
      </w:r>
      <w:r w:rsidRPr="003E1719">
        <w:rPr>
          <w:rFonts w:ascii="Times New Roman" w:eastAsia="Times New Roman" w:hAnsi="Times New Roman" w:cs="Times New Roman"/>
        </w:rPr>
        <w:t xml:space="preserve"> tulžies pūslei. Be to, stebėtas didesnių dozių toksinis poveikis beždžionių ir šunų sėklidėms. Nustatytas toksinis poveikis žiurkių reprodukcijai: mažesnis vados dydis, kūno svoris ir išgyvenimas, kai dozės sukėlė toksinį poveikį vaikingai patelei, o sisteminė ekspozicija kelis kartus viršijo terapinę.</w:t>
      </w:r>
    </w:p>
    <w:p w14:paraId="6A6C275D"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522F070E" w14:textId="77777777" w:rsidR="000D7B89" w:rsidRPr="003E1719" w:rsidRDefault="000D7B89" w:rsidP="000D7B89">
      <w:pPr>
        <w:widowControl w:val="0"/>
        <w:tabs>
          <w:tab w:val="left" w:pos="567"/>
        </w:tabs>
        <w:spacing w:after="0" w:line="240" w:lineRule="auto"/>
        <w:outlineLvl w:val="0"/>
        <w:rPr>
          <w:rFonts w:ascii="Times New Roman" w:eastAsia="Times New Roman" w:hAnsi="Times New Roman" w:cs="Times New Roman"/>
          <w:bCs/>
          <w:i/>
          <w:color w:val="000000"/>
          <w:lang w:eastAsia="sl-SI"/>
        </w:rPr>
      </w:pPr>
      <w:r w:rsidRPr="003E1719">
        <w:rPr>
          <w:rFonts w:ascii="Times New Roman" w:eastAsia="Times New Roman" w:hAnsi="Times New Roman" w:cs="Times New Roman"/>
          <w:bCs/>
          <w:i/>
          <w:color w:val="000000"/>
          <w:lang w:eastAsia="sl-SI"/>
        </w:rPr>
        <w:t>Ezetimibas</w:t>
      </w:r>
    </w:p>
    <w:p w14:paraId="712E8FFB"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Lėtinio toksinio ezetimibo poveikio tyrimų su gyvūnais metu organų taikinių, kuriems pasireiškia toksinis poveikis, nenustatyta. Šunų, 4 savaites </w:t>
      </w:r>
      <w:r w:rsidR="00D7371A" w:rsidRPr="003E1719">
        <w:rPr>
          <w:rFonts w:ascii="Times New Roman" w:eastAsia="Times New Roman" w:hAnsi="Times New Roman" w:cs="Times New Roman"/>
          <w:lang w:eastAsia="sl-SI"/>
        </w:rPr>
        <w:t>šertų</w:t>
      </w:r>
      <w:r w:rsidRPr="003E1719">
        <w:rPr>
          <w:rFonts w:ascii="Times New Roman" w:eastAsia="Times New Roman" w:hAnsi="Times New Roman" w:cs="Times New Roman"/>
          <w:lang w:eastAsia="sl-SI"/>
        </w:rPr>
        <w:t xml:space="preserve"> ezetimib</w:t>
      </w:r>
      <w:r w:rsidR="00D7371A" w:rsidRPr="003E1719">
        <w:rPr>
          <w:rFonts w:ascii="Times New Roman" w:eastAsia="Times New Roman" w:hAnsi="Times New Roman" w:cs="Times New Roman"/>
          <w:lang w:eastAsia="sl-SI"/>
        </w:rPr>
        <w:t>u</w:t>
      </w:r>
      <w:r w:rsidRPr="003E1719">
        <w:rPr>
          <w:rFonts w:ascii="Times New Roman" w:eastAsia="Times New Roman" w:hAnsi="Times New Roman" w:cs="Times New Roman"/>
          <w:lang w:eastAsia="sl-SI"/>
        </w:rPr>
        <w:t xml:space="preserve"> (paros dozė buvo </w:t>
      </w:r>
      <w:r w:rsidR="00D7371A" w:rsidRPr="003E1719">
        <w:rPr>
          <w:rFonts w:ascii="Times New Roman" w:hAnsi="Times New Roman" w:cs="Times New Roman"/>
        </w:rPr>
        <w:t>≥</w:t>
      </w:r>
      <w:r w:rsidRPr="003E1719">
        <w:rPr>
          <w:rFonts w:ascii="Times New Roman" w:eastAsia="Times New Roman" w:hAnsi="Times New Roman" w:cs="Times New Roman"/>
          <w:lang w:eastAsia="sl-SI"/>
        </w:rPr>
        <w:t>0,03 mg/kg kūno svorio), cholesterolio koncentracija tulžies pūslės tulžyje padidėjo 2,5</w:t>
      </w:r>
      <w:r w:rsidRPr="003E1719">
        <w:rPr>
          <w:rFonts w:ascii="Times New Roman" w:eastAsia="Times New Roman" w:hAnsi="Times New Roman" w:cs="Times New Roman"/>
          <w:lang w:eastAsia="sl-SI"/>
        </w:rPr>
        <w:noBreakHyphen/>
        <w:t xml:space="preserve">3,5 karto. Vis dėlto vienerių metų tyrimo metu šunims, </w:t>
      </w:r>
      <w:r w:rsidR="00D7371A" w:rsidRPr="003E1719">
        <w:rPr>
          <w:rFonts w:ascii="Times New Roman" w:eastAsia="Times New Roman" w:hAnsi="Times New Roman" w:cs="Times New Roman"/>
          <w:lang w:eastAsia="sl-SI"/>
        </w:rPr>
        <w:t>šertiems</w:t>
      </w:r>
      <w:r w:rsidRPr="003E1719">
        <w:rPr>
          <w:rFonts w:ascii="Times New Roman" w:eastAsia="Times New Roman" w:hAnsi="Times New Roman" w:cs="Times New Roman"/>
          <w:lang w:eastAsia="sl-SI"/>
        </w:rPr>
        <w:t xml:space="preserve"> ne didesn</w:t>
      </w:r>
      <w:r w:rsidR="00D7371A" w:rsidRPr="003E1719">
        <w:rPr>
          <w:rFonts w:ascii="Times New Roman" w:eastAsia="Times New Roman" w:hAnsi="Times New Roman" w:cs="Times New Roman"/>
          <w:lang w:eastAsia="sl-SI"/>
        </w:rPr>
        <w:t>e</w:t>
      </w:r>
      <w:r w:rsidRPr="003E1719">
        <w:rPr>
          <w:rFonts w:ascii="Times New Roman" w:eastAsia="Times New Roman" w:hAnsi="Times New Roman" w:cs="Times New Roman"/>
          <w:lang w:eastAsia="sl-SI"/>
        </w:rPr>
        <w:t xml:space="preserve"> kaip </w:t>
      </w:r>
      <w:r w:rsidR="00D7371A" w:rsidRPr="003E1719">
        <w:rPr>
          <w:rFonts w:ascii="Times New Roman" w:eastAsia="Times New Roman" w:hAnsi="Times New Roman" w:cs="Times New Roman"/>
          <w:lang w:eastAsia="sl-SI"/>
        </w:rPr>
        <w:t>300 mg/kg kūno svorio paros doze</w:t>
      </w:r>
      <w:r w:rsidRPr="003E1719">
        <w:rPr>
          <w:rFonts w:ascii="Times New Roman" w:eastAsia="Times New Roman" w:hAnsi="Times New Roman" w:cs="Times New Roman"/>
          <w:lang w:eastAsia="sl-SI"/>
        </w:rPr>
        <w:t>, tulžies akmenligės ar kitokio poveikio kepenų, tulžies pūslės ir latakų sistemai nepadažnėjo. Tokių duomenų reikšmė žmogui nežinoma. Gydant ezetimibu, negalima atmesti akmenų susidarymo rizikos.</w:t>
      </w:r>
    </w:p>
    <w:p w14:paraId="22567F9B" w14:textId="1ECB6C6B"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 xml:space="preserve">Ezetimibas žiurkių patinų ir patelių vaisingumo neveikė, žiurkėms ir triušiams teratogeninio poveikio nesukėlė, prenatalinio ir postnatalinio vystymosi neveikė. </w:t>
      </w:r>
      <w:r w:rsidR="00D7371A" w:rsidRPr="003E1719">
        <w:rPr>
          <w:rFonts w:ascii="Times New Roman" w:eastAsia="Times New Roman" w:hAnsi="Times New Roman" w:cs="Times New Roman"/>
          <w:snapToGrid w:val="0"/>
          <w:lang w:eastAsia="sl-SI"/>
        </w:rPr>
        <w:t>Duodant</w:t>
      </w:r>
      <w:r w:rsidRPr="003E1719">
        <w:rPr>
          <w:rFonts w:ascii="Times New Roman" w:eastAsia="Times New Roman" w:hAnsi="Times New Roman" w:cs="Times New Roman"/>
          <w:snapToGrid w:val="0"/>
          <w:lang w:eastAsia="sl-SI"/>
        </w:rPr>
        <w:t xml:space="preserve"> kartotin</w:t>
      </w:r>
      <w:r w:rsidR="009E4CC0">
        <w:rPr>
          <w:rFonts w:ascii="Times New Roman" w:eastAsia="Times New Roman" w:hAnsi="Times New Roman" w:cs="Times New Roman"/>
          <w:snapToGrid w:val="0"/>
          <w:lang w:eastAsia="sl-SI"/>
        </w:rPr>
        <w:t>ių</w:t>
      </w:r>
      <w:r w:rsidRPr="003E1719">
        <w:rPr>
          <w:rFonts w:ascii="Times New Roman" w:eastAsia="Times New Roman" w:hAnsi="Times New Roman" w:cs="Times New Roman"/>
          <w:snapToGrid w:val="0"/>
          <w:lang w:eastAsia="sl-SI"/>
        </w:rPr>
        <w:t xml:space="preserve"> 1000 mg/kg kūno svorio paros doz</w:t>
      </w:r>
      <w:r w:rsidR="009E4CC0">
        <w:rPr>
          <w:rFonts w:ascii="Times New Roman" w:eastAsia="Times New Roman" w:hAnsi="Times New Roman" w:cs="Times New Roman"/>
          <w:snapToGrid w:val="0"/>
          <w:lang w:eastAsia="sl-SI"/>
        </w:rPr>
        <w:t>ių</w:t>
      </w:r>
      <w:r w:rsidRPr="003E1719">
        <w:rPr>
          <w:rFonts w:ascii="Times New Roman" w:eastAsia="Times New Roman" w:hAnsi="Times New Roman" w:cs="Times New Roman"/>
          <w:snapToGrid w:val="0"/>
          <w:lang w:eastAsia="sl-SI"/>
        </w:rPr>
        <w:t xml:space="preserve">, ezetimibo prasiskverbė per vaikingų žiurkių ir triušių placentą. </w:t>
      </w:r>
      <w:r w:rsidR="00D7371A" w:rsidRPr="003E1719">
        <w:rPr>
          <w:rFonts w:ascii="Times New Roman" w:eastAsia="Times New Roman" w:hAnsi="Times New Roman" w:cs="Times New Roman"/>
          <w:snapToGrid w:val="0"/>
          <w:lang w:eastAsia="sl-SI"/>
        </w:rPr>
        <w:t>Ezetimibo duodant</w:t>
      </w:r>
      <w:r w:rsidRPr="003E1719">
        <w:rPr>
          <w:rFonts w:ascii="Times New Roman" w:eastAsia="Times New Roman" w:hAnsi="Times New Roman" w:cs="Times New Roman"/>
          <w:snapToGrid w:val="0"/>
          <w:lang w:eastAsia="sl-SI"/>
        </w:rPr>
        <w:t xml:space="preserve"> kartu su lovastatinu, embrionai žuvo.</w:t>
      </w:r>
    </w:p>
    <w:p w14:paraId="6B6A14A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FA839F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3C4A227"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w:t>
      </w:r>
      <w:r w:rsidRPr="003E1719">
        <w:rPr>
          <w:rFonts w:ascii="Times New Roman" w:eastAsia="Times New Roman" w:hAnsi="Times New Roman" w:cs="Times New Roman"/>
          <w:b/>
          <w:lang w:eastAsia="sl-SI"/>
        </w:rPr>
        <w:tab/>
        <w:t>FARMACINĖ INFORMACIJA</w:t>
      </w:r>
    </w:p>
    <w:p w14:paraId="398DA1D0"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p>
    <w:p w14:paraId="098574C5"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6.1</w:t>
      </w:r>
      <w:r w:rsidRPr="003E1719">
        <w:rPr>
          <w:rFonts w:ascii="Times New Roman" w:eastAsia="Times New Roman" w:hAnsi="Times New Roman" w:cs="Times New Roman"/>
          <w:b/>
          <w:lang w:eastAsia="sl-SI"/>
        </w:rPr>
        <w:tab/>
        <w:t>Pagalbinių medžiagų sąrašas</w:t>
      </w:r>
    </w:p>
    <w:p w14:paraId="5FDD52A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8B7B2A5" w14:textId="77777777" w:rsidR="000D7B89" w:rsidRPr="003E1719" w:rsidRDefault="000D7B89" w:rsidP="000D7B89">
      <w:pPr>
        <w:widowControl w:val="0"/>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u w:val="single"/>
        </w:rPr>
        <w:t>Tabletės branduolys:</w:t>
      </w:r>
    </w:p>
    <w:p w14:paraId="4A4D3AB5" w14:textId="77777777" w:rsidR="007119D5" w:rsidRPr="003E1719" w:rsidRDefault="007119D5" w:rsidP="007119D5">
      <w:pPr>
        <w:widowControl w:val="0"/>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Laktozė monohidratas</w:t>
      </w:r>
    </w:p>
    <w:p w14:paraId="0FD218A2" w14:textId="77777777" w:rsidR="007119D5" w:rsidRPr="003E1719" w:rsidRDefault="007119D5" w:rsidP="007119D5">
      <w:pPr>
        <w:widowControl w:val="0"/>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Kroskarmeliozės natrio druska</w:t>
      </w:r>
    </w:p>
    <w:p w14:paraId="0A07C164" w14:textId="77777777" w:rsidR="007119D5" w:rsidRPr="003E1719" w:rsidRDefault="007119D5" w:rsidP="007119D5">
      <w:pPr>
        <w:widowControl w:val="0"/>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Povidonas K-29/32</w:t>
      </w:r>
    </w:p>
    <w:p w14:paraId="6692D831" w14:textId="77777777" w:rsidR="007119D5" w:rsidRPr="003E1719" w:rsidRDefault="007119D5" w:rsidP="000D7B89">
      <w:pPr>
        <w:widowControl w:val="0"/>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 xml:space="preserve">Natrio laurilsulfatas </w:t>
      </w:r>
    </w:p>
    <w:p w14:paraId="2A7CB8DA" w14:textId="77777777" w:rsidR="000D7B89" w:rsidRPr="003E1719" w:rsidRDefault="000D7B89" w:rsidP="000D7B89">
      <w:pPr>
        <w:widowControl w:val="0"/>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 xml:space="preserve">Mikrokristalinė celiuliozė </w:t>
      </w:r>
      <w:r w:rsidR="007119D5" w:rsidRPr="003E1719">
        <w:rPr>
          <w:rFonts w:ascii="Times New Roman" w:eastAsia="Times New Roman" w:hAnsi="Times New Roman" w:cs="Times New Roman"/>
        </w:rPr>
        <w:t xml:space="preserve">102 </w:t>
      </w:r>
    </w:p>
    <w:p w14:paraId="0DCC5000" w14:textId="77777777" w:rsidR="007119D5" w:rsidRPr="003E1719" w:rsidRDefault="007119D5" w:rsidP="000D7B89">
      <w:pPr>
        <w:widowControl w:val="0"/>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 xml:space="preserve">Hipromeliozė 2910 </w:t>
      </w:r>
    </w:p>
    <w:p w14:paraId="7225CA71" w14:textId="29EEB41C" w:rsidR="007119D5" w:rsidRPr="003E1719" w:rsidRDefault="00B10141" w:rsidP="007119D5">
      <w:pPr>
        <w:widowControl w:val="0"/>
        <w:spacing w:after="0" w:line="240" w:lineRule="auto"/>
        <w:outlineLvl w:val="0"/>
        <w:rPr>
          <w:rFonts w:ascii="Times New Roman" w:eastAsia="Times New Roman" w:hAnsi="Times New Roman" w:cs="Times New Roman"/>
        </w:rPr>
      </w:pPr>
      <w:r>
        <w:rPr>
          <w:rFonts w:ascii="Times New Roman" w:eastAsia="Times New Roman" w:hAnsi="Times New Roman" w:cs="Times New Roman"/>
          <w:lang w:eastAsia="sl-SI"/>
        </w:rPr>
        <w:t>Bevandenis k</w:t>
      </w:r>
      <w:r w:rsidR="007119D5" w:rsidRPr="003E1719">
        <w:rPr>
          <w:rFonts w:ascii="Times New Roman" w:eastAsia="Times New Roman" w:hAnsi="Times New Roman" w:cs="Times New Roman"/>
          <w:lang w:eastAsia="sl-SI"/>
        </w:rPr>
        <w:t xml:space="preserve">oloidinis silicio dioksidas </w:t>
      </w:r>
    </w:p>
    <w:p w14:paraId="2ED444F7" w14:textId="77777777" w:rsidR="000D7B89" w:rsidRPr="003E1719" w:rsidRDefault="007119D5" w:rsidP="000D7B89">
      <w:pPr>
        <w:widowControl w:val="0"/>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 xml:space="preserve">Magnio stearatas </w:t>
      </w:r>
    </w:p>
    <w:p w14:paraId="20669192" w14:textId="77777777" w:rsidR="007119D5" w:rsidRPr="003E1719" w:rsidRDefault="007119D5" w:rsidP="000D7B89">
      <w:pPr>
        <w:widowControl w:val="0"/>
        <w:spacing w:after="0" w:line="240" w:lineRule="auto"/>
        <w:outlineLvl w:val="0"/>
        <w:rPr>
          <w:rFonts w:ascii="Times New Roman" w:eastAsia="Times New Roman" w:hAnsi="Times New Roman" w:cs="Times New Roman"/>
        </w:rPr>
      </w:pPr>
    </w:p>
    <w:p w14:paraId="19EB5FB7" w14:textId="77777777" w:rsidR="000D7B89" w:rsidRPr="003E1719" w:rsidRDefault="000D7B89" w:rsidP="000D7B89">
      <w:pPr>
        <w:widowControl w:val="0"/>
        <w:tabs>
          <w:tab w:val="left" w:pos="2925"/>
        </w:tabs>
        <w:spacing w:after="0" w:line="240" w:lineRule="auto"/>
        <w:outlineLvl w:val="0"/>
        <w:rPr>
          <w:rFonts w:ascii="Times New Roman" w:eastAsia="Times New Roman" w:hAnsi="Times New Roman" w:cs="Times New Roman"/>
          <w:u w:val="single"/>
        </w:rPr>
      </w:pPr>
      <w:r w:rsidRPr="003E1719">
        <w:rPr>
          <w:rFonts w:ascii="Times New Roman" w:eastAsia="Times New Roman" w:hAnsi="Times New Roman" w:cs="Times New Roman"/>
          <w:u w:val="single"/>
        </w:rPr>
        <w:t>Tabletės plėvelė:</w:t>
      </w:r>
    </w:p>
    <w:p w14:paraId="75C3A281" w14:textId="77777777" w:rsidR="007114AE" w:rsidRPr="003E1719" w:rsidRDefault="00AF3800" w:rsidP="007114AE">
      <w:pPr>
        <w:shd w:val="clear" w:color="auto" w:fill="FFFFFF"/>
        <w:spacing w:after="0" w:line="240" w:lineRule="auto"/>
        <w:rPr>
          <w:rFonts w:ascii="Times New Roman" w:eastAsia="Times New Roman" w:hAnsi="Times New Roman" w:cs="Times New Roman"/>
          <w:i/>
        </w:rPr>
      </w:pPr>
      <w:r>
        <w:rPr>
          <w:rFonts w:ascii="Times New Roman" w:eastAsia="Times New Roman" w:hAnsi="Times New Roman" w:cs="Times New Roman"/>
          <w:i/>
        </w:rPr>
        <w:t>Rosuvastatin/Ezetimibe Teva</w:t>
      </w:r>
      <w:r w:rsidR="007114AE" w:rsidRPr="003E1719">
        <w:rPr>
          <w:rFonts w:ascii="Times New Roman" w:eastAsia="Times New Roman" w:hAnsi="Times New Roman" w:cs="Times New Roman"/>
          <w:i/>
        </w:rPr>
        <w:t xml:space="preserve"> 10 mg/10 mg plėvele dengtos tabletės</w:t>
      </w:r>
    </w:p>
    <w:p w14:paraId="6D3E2373" w14:textId="77777777" w:rsidR="007114AE" w:rsidRPr="003E1719" w:rsidRDefault="007114AE" w:rsidP="007114AE">
      <w:pPr>
        <w:widowControl w:val="0"/>
        <w:tabs>
          <w:tab w:val="left" w:pos="2925"/>
        </w:tabs>
        <w:spacing w:after="0" w:line="240" w:lineRule="auto"/>
        <w:outlineLvl w:val="0"/>
        <w:rPr>
          <w:rFonts w:ascii="Times New Roman" w:eastAsia="Times New Roman" w:hAnsi="Times New Roman" w:cs="Times New Roman"/>
          <w:lang w:eastAsia="sl-SI"/>
        </w:rPr>
      </w:pPr>
      <w:r w:rsidRPr="003E1719">
        <w:rPr>
          <w:rFonts w:ascii="Times New Roman" w:eastAsia="Times New Roman" w:hAnsi="Times New Roman" w:cs="Times New Roman"/>
          <w:color w:val="000000"/>
          <w:lang w:eastAsia="zh-CN"/>
        </w:rPr>
        <w:t>Hipromeliozė 2910</w:t>
      </w:r>
    </w:p>
    <w:p w14:paraId="03E2E4E6" w14:textId="77777777" w:rsidR="007114AE" w:rsidRPr="003E1719" w:rsidRDefault="007114AE" w:rsidP="007114AE">
      <w:pPr>
        <w:widowControl w:val="0"/>
        <w:tabs>
          <w:tab w:val="left" w:pos="2925"/>
        </w:tabs>
        <w:spacing w:after="0" w:line="240" w:lineRule="auto"/>
        <w:outlineLvl w:val="0"/>
        <w:rPr>
          <w:rFonts w:ascii="Times New Roman" w:eastAsia="Times New Roman" w:hAnsi="Times New Roman" w:cs="Times New Roman"/>
          <w:color w:val="000000"/>
          <w:lang w:eastAsia="zh-CN"/>
        </w:rPr>
      </w:pPr>
      <w:r w:rsidRPr="003E1719">
        <w:rPr>
          <w:rFonts w:ascii="Times New Roman" w:eastAsia="Times New Roman" w:hAnsi="Times New Roman" w:cs="Times New Roman"/>
          <w:color w:val="000000"/>
          <w:lang w:eastAsia="zh-CN"/>
        </w:rPr>
        <w:t>Titano dioksidas (E171)</w:t>
      </w:r>
    </w:p>
    <w:p w14:paraId="3273F13F" w14:textId="77777777" w:rsidR="007114AE" w:rsidRPr="003E1719" w:rsidRDefault="007114AE" w:rsidP="000D7B89">
      <w:pPr>
        <w:widowControl w:val="0"/>
        <w:tabs>
          <w:tab w:val="left" w:pos="2925"/>
        </w:tabs>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lang w:eastAsia="sl-SI"/>
        </w:rPr>
        <w:t>Geltonasis geležies oksidas (E172)</w:t>
      </w:r>
      <w:r w:rsidRPr="003E1719">
        <w:rPr>
          <w:rFonts w:ascii="Times New Roman" w:eastAsia="Times New Roman" w:hAnsi="Times New Roman" w:cs="Times New Roman"/>
        </w:rPr>
        <w:t xml:space="preserve"> </w:t>
      </w:r>
    </w:p>
    <w:p w14:paraId="24FABF60" w14:textId="77777777" w:rsidR="007114AE" w:rsidRPr="003E1719" w:rsidRDefault="007114AE" w:rsidP="000D7B89">
      <w:pPr>
        <w:widowControl w:val="0"/>
        <w:tabs>
          <w:tab w:val="left" w:pos="2925"/>
        </w:tabs>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Makrogolis 4000 (E1521)</w:t>
      </w:r>
    </w:p>
    <w:p w14:paraId="428C9646" w14:textId="77777777" w:rsidR="007114AE" w:rsidRPr="003E1719" w:rsidRDefault="007114AE" w:rsidP="000D7B89">
      <w:pPr>
        <w:widowControl w:val="0"/>
        <w:tabs>
          <w:tab w:val="left" w:pos="2925"/>
        </w:tabs>
        <w:spacing w:after="0" w:line="240" w:lineRule="auto"/>
        <w:outlineLvl w:val="0"/>
        <w:rPr>
          <w:rFonts w:ascii="Times New Roman" w:eastAsia="Times New Roman" w:hAnsi="Times New Roman" w:cs="Times New Roman"/>
        </w:rPr>
      </w:pPr>
      <w:r w:rsidRPr="003E1719">
        <w:rPr>
          <w:rFonts w:ascii="Times New Roman" w:eastAsia="Times New Roman" w:hAnsi="Times New Roman" w:cs="Times New Roman"/>
        </w:rPr>
        <w:t>Talkas (E553b)</w:t>
      </w:r>
    </w:p>
    <w:p w14:paraId="266DD173" w14:textId="77777777" w:rsidR="007114AE" w:rsidRPr="003E1719" w:rsidRDefault="007114AE" w:rsidP="000D7B89">
      <w:pPr>
        <w:widowControl w:val="0"/>
        <w:tabs>
          <w:tab w:val="left" w:pos="2925"/>
        </w:tabs>
        <w:spacing w:after="0" w:line="240" w:lineRule="auto"/>
        <w:outlineLvl w:val="0"/>
        <w:rPr>
          <w:rFonts w:ascii="Times New Roman" w:eastAsia="Times New Roman" w:hAnsi="Times New Roman" w:cs="Times New Roman"/>
        </w:rPr>
      </w:pPr>
    </w:p>
    <w:p w14:paraId="5E08F055" w14:textId="77777777" w:rsidR="007114AE" w:rsidRPr="00FF4691" w:rsidRDefault="00AF3800" w:rsidP="000D7B89">
      <w:pPr>
        <w:widowControl w:val="0"/>
        <w:tabs>
          <w:tab w:val="left" w:pos="2925"/>
        </w:tabs>
        <w:spacing w:after="0" w:line="240" w:lineRule="auto"/>
        <w:outlineLvl w:val="0"/>
        <w:rPr>
          <w:rFonts w:ascii="Times New Roman" w:eastAsia="Times New Roman" w:hAnsi="Times New Roman" w:cs="Times New Roman"/>
          <w:i/>
          <w:highlight w:val="lightGray"/>
        </w:rPr>
      </w:pPr>
      <w:r w:rsidRPr="00FF4691">
        <w:rPr>
          <w:rFonts w:ascii="Times New Roman" w:eastAsia="Times New Roman" w:hAnsi="Times New Roman" w:cs="Times New Roman"/>
          <w:i/>
          <w:highlight w:val="lightGray"/>
        </w:rPr>
        <w:t>Rosuvastatin/Ezetimibe Teva</w:t>
      </w:r>
      <w:r w:rsidR="007114AE" w:rsidRPr="00FF4691">
        <w:rPr>
          <w:rFonts w:ascii="Times New Roman" w:eastAsia="Times New Roman" w:hAnsi="Times New Roman" w:cs="Times New Roman"/>
          <w:i/>
          <w:highlight w:val="lightGray"/>
        </w:rPr>
        <w:t xml:space="preserve"> 20 mg/10 mg plėvele dengtos tabletės</w:t>
      </w:r>
    </w:p>
    <w:p w14:paraId="17F8D8A1" w14:textId="77777777" w:rsidR="007114AE" w:rsidRPr="00FF4691" w:rsidRDefault="007114AE" w:rsidP="007114AE">
      <w:pPr>
        <w:widowControl w:val="0"/>
        <w:tabs>
          <w:tab w:val="left" w:pos="2925"/>
        </w:tabs>
        <w:spacing w:after="0" w:line="240" w:lineRule="auto"/>
        <w:outlineLvl w:val="0"/>
        <w:rPr>
          <w:rFonts w:ascii="Times New Roman" w:eastAsia="Times New Roman" w:hAnsi="Times New Roman" w:cs="Times New Roman"/>
          <w:highlight w:val="lightGray"/>
          <w:lang w:eastAsia="sl-SI"/>
        </w:rPr>
      </w:pPr>
      <w:r w:rsidRPr="00FF4691">
        <w:rPr>
          <w:rFonts w:ascii="Times New Roman" w:eastAsia="Times New Roman" w:hAnsi="Times New Roman" w:cs="Times New Roman"/>
          <w:color w:val="000000"/>
          <w:highlight w:val="lightGray"/>
          <w:lang w:eastAsia="zh-CN"/>
        </w:rPr>
        <w:t xml:space="preserve">Hipromeliozė </w:t>
      </w:r>
      <w:r w:rsidR="009E773A" w:rsidRPr="00FF4691">
        <w:rPr>
          <w:rFonts w:ascii="Times New Roman" w:eastAsia="Times New Roman" w:hAnsi="Times New Roman" w:cs="Times New Roman"/>
          <w:color w:val="000000"/>
          <w:highlight w:val="lightGray"/>
          <w:lang w:eastAsia="zh-CN"/>
        </w:rPr>
        <w:t>6</w:t>
      </w:r>
    </w:p>
    <w:p w14:paraId="409B539B" w14:textId="77777777" w:rsidR="007114AE" w:rsidRPr="00FF4691" w:rsidRDefault="007114AE" w:rsidP="007114AE">
      <w:pPr>
        <w:widowControl w:val="0"/>
        <w:tabs>
          <w:tab w:val="left" w:pos="2925"/>
        </w:tabs>
        <w:spacing w:after="0" w:line="240" w:lineRule="auto"/>
        <w:outlineLvl w:val="0"/>
        <w:rPr>
          <w:rFonts w:ascii="Times New Roman" w:eastAsia="Times New Roman" w:hAnsi="Times New Roman" w:cs="Times New Roman"/>
          <w:color w:val="000000"/>
          <w:highlight w:val="lightGray"/>
          <w:lang w:eastAsia="zh-CN"/>
        </w:rPr>
      </w:pPr>
      <w:r w:rsidRPr="00FF4691">
        <w:rPr>
          <w:rFonts w:ascii="Times New Roman" w:eastAsia="Times New Roman" w:hAnsi="Times New Roman" w:cs="Times New Roman"/>
          <w:color w:val="000000"/>
          <w:highlight w:val="lightGray"/>
          <w:lang w:eastAsia="zh-CN"/>
        </w:rPr>
        <w:t>Titano dioksidas (E171)</w:t>
      </w:r>
    </w:p>
    <w:p w14:paraId="21E34737" w14:textId="77777777" w:rsidR="007114AE" w:rsidRPr="00FF4691" w:rsidRDefault="007114AE" w:rsidP="007114AE">
      <w:pPr>
        <w:widowControl w:val="0"/>
        <w:tabs>
          <w:tab w:val="left" w:pos="2925"/>
        </w:tabs>
        <w:spacing w:after="0" w:line="240" w:lineRule="auto"/>
        <w:outlineLvl w:val="0"/>
        <w:rPr>
          <w:rFonts w:ascii="Times New Roman" w:eastAsia="Times New Roman" w:hAnsi="Times New Roman" w:cs="Times New Roman"/>
          <w:highlight w:val="lightGray"/>
        </w:rPr>
      </w:pPr>
      <w:r w:rsidRPr="00FF4691">
        <w:rPr>
          <w:rFonts w:ascii="Times New Roman" w:eastAsia="Times New Roman" w:hAnsi="Times New Roman" w:cs="Times New Roman"/>
          <w:highlight w:val="lightGray"/>
        </w:rPr>
        <w:t>Talkas (E553b)</w:t>
      </w:r>
    </w:p>
    <w:p w14:paraId="272FBDA8" w14:textId="77777777" w:rsidR="007114AE" w:rsidRPr="00FF4691" w:rsidRDefault="007114AE" w:rsidP="007114AE">
      <w:pPr>
        <w:widowControl w:val="0"/>
        <w:tabs>
          <w:tab w:val="left" w:pos="2925"/>
        </w:tabs>
        <w:spacing w:after="0" w:line="240" w:lineRule="auto"/>
        <w:outlineLvl w:val="0"/>
        <w:rPr>
          <w:rFonts w:ascii="Times New Roman" w:eastAsia="Times New Roman" w:hAnsi="Times New Roman" w:cs="Times New Roman"/>
          <w:highlight w:val="lightGray"/>
        </w:rPr>
      </w:pPr>
      <w:r w:rsidRPr="00FF4691">
        <w:rPr>
          <w:rFonts w:ascii="Times New Roman" w:eastAsia="Times New Roman" w:hAnsi="Times New Roman" w:cs="Times New Roman"/>
          <w:highlight w:val="lightGray"/>
        </w:rPr>
        <w:t>Makrogolis 4000 (E1521)</w:t>
      </w:r>
    </w:p>
    <w:p w14:paraId="6D8BA41B" w14:textId="77777777" w:rsidR="007114AE" w:rsidRPr="003E1719" w:rsidRDefault="007114AE" w:rsidP="007114AE">
      <w:pPr>
        <w:widowControl w:val="0"/>
        <w:tabs>
          <w:tab w:val="left" w:pos="2925"/>
        </w:tabs>
        <w:spacing w:after="0" w:line="240" w:lineRule="auto"/>
        <w:outlineLvl w:val="0"/>
        <w:rPr>
          <w:rFonts w:ascii="Times New Roman" w:eastAsia="Times New Roman" w:hAnsi="Times New Roman" w:cs="Times New Roman"/>
        </w:rPr>
      </w:pPr>
      <w:r w:rsidRPr="00FF4691">
        <w:rPr>
          <w:rFonts w:ascii="Times New Roman" w:eastAsia="Times New Roman" w:hAnsi="Times New Roman" w:cs="Times New Roman"/>
          <w:highlight w:val="lightGray"/>
          <w:lang w:eastAsia="sl-SI"/>
        </w:rPr>
        <w:t>Geltonasis geležies oksidas (E172)</w:t>
      </w:r>
      <w:r w:rsidRPr="003E1719">
        <w:rPr>
          <w:rFonts w:ascii="Times New Roman" w:eastAsia="Times New Roman" w:hAnsi="Times New Roman" w:cs="Times New Roman"/>
        </w:rPr>
        <w:t xml:space="preserve"> </w:t>
      </w:r>
    </w:p>
    <w:p w14:paraId="212383FD" w14:textId="77777777" w:rsidR="00CE01C0" w:rsidRPr="003E1719" w:rsidRDefault="00CE01C0" w:rsidP="000D7B89">
      <w:pPr>
        <w:widowControl w:val="0"/>
        <w:spacing w:after="0" w:line="240" w:lineRule="auto"/>
        <w:ind w:left="567" w:hanging="567"/>
        <w:rPr>
          <w:rFonts w:ascii="Times New Roman" w:eastAsia="Times New Roman" w:hAnsi="Times New Roman" w:cs="Times New Roman"/>
          <w:b/>
          <w:lang w:eastAsia="sl-SI"/>
        </w:rPr>
      </w:pPr>
    </w:p>
    <w:p w14:paraId="6A8B5534"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6.2</w:t>
      </w:r>
      <w:r w:rsidRPr="003E1719">
        <w:rPr>
          <w:rFonts w:ascii="Times New Roman" w:eastAsia="Times New Roman" w:hAnsi="Times New Roman" w:cs="Times New Roman"/>
          <w:b/>
          <w:lang w:eastAsia="sl-SI"/>
        </w:rPr>
        <w:tab/>
        <w:t>Nesuderinamumas</w:t>
      </w:r>
    </w:p>
    <w:p w14:paraId="7E5092FD"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7423F1B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Duomenys nebūtini.</w:t>
      </w:r>
    </w:p>
    <w:p w14:paraId="21FCD26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B214416"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6.3</w:t>
      </w:r>
      <w:r w:rsidRPr="003E1719">
        <w:rPr>
          <w:rFonts w:ascii="Times New Roman" w:eastAsia="Times New Roman" w:hAnsi="Times New Roman" w:cs="Times New Roman"/>
          <w:b/>
          <w:lang w:eastAsia="sl-SI"/>
        </w:rPr>
        <w:tab/>
        <w:t>Tinkamumo laikas</w:t>
      </w:r>
    </w:p>
    <w:p w14:paraId="463DEB70"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507E13CF"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lang w:val="en-US" w:eastAsia="sl-SI"/>
        </w:rPr>
      </w:pPr>
      <w:r w:rsidRPr="003E1719">
        <w:rPr>
          <w:rFonts w:ascii="Times New Roman" w:eastAsia="Times New Roman" w:hAnsi="Times New Roman" w:cs="Times New Roman"/>
          <w:lang w:val="en-US" w:eastAsia="sl-SI"/>
        </w:rPr>
        <w:t>3 metai</w:t>
      </w:r>
    </w:p>
    <w:p w14:paraId="0FCACA2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1BA5830"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6.4</w:t>
      </w:r>
      <w:r w:rsidRPr="003E1719">
        <w:rPr>
          <w:rFonts w:ascii="Times New Roman" w:eastAsia="Times New Roman" w:hAnsi="Times New Roman" w:cs="Times New Roman"/>
          <w:b/>
          <w:lang w:eastAsia="sl-SI"/>
        </w:rPr>
        <w:tab/>
        <w:t>Specialios laikymo sąlygos</w:t>
      </w:r>
    </w:p>
    <w:p w14:paraId="14D62CB7"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777E24F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Šio vaistinio preparato laikymui specialių temperatūros sąlygų nereikalaujama.</w:t>
      </w:r>
    </w:p>
    <w:p w14:paraId="3D5C4828" w14:textId="77777777" w:rsidR="00CE01C0" w:rsidRPr="003E1719" w:rsidRDefault="00CE01C0" w:rsidP="00CE01C0">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Laikyti gamintojo pakuotėje, kad vaistinis preparatas būtų apsaugotas nuo šviesos ir drėgmės.</w:t>
      </w:r>
    </w:p>
    <w:p w14:paraId="1849044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4358775"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6.5</w:t>
      </w:r>
      <w:r w:rsidRPr="003E1719">
        <w:rPr>
          <w:rFonts w:ascii="Times New Roman" w:eastAsia="Times New Roman" w:hAnsi="Times New Roman" w:cs="Times New Roman"/>
          <w:b/>
          <w:lang w:eastAsia="sl-SI"/>
        </w:rPr>
        <w:tab/>
        <w:t>Talpyklės pobūdis ir jos turinys</w:t>
      </w:r>
    </w:p>
    <w:p w14:paraId="549A7CC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5B1C000" w14:textId="177710B8" w:rsidR="000D7B89" w:rsidRPr="003E1719" w:rsidRDefault="000D7B89" w:rsidP="000D7B89">
      <w:pPr>
        <w:widowControl w:val="0"/>
        <w:tabs>
          <w:tab w:val="left" w:pos="567"/>
        </w:tabs>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OPA/aliuminio/PVC//aliuminio lizd</w:t>
      </w:r>
      <w:r w:rsidR="00CE01C0" w:rsidRPr="003E1719">
        <w:rPr>
          <w:rFonts w:ascii="Times New Roman" w:eastAsia="Times New Roman" w:hAnsi="Times New Roman" w:cs="Times New Roman"/>
          <w:lang w:eastAsia="sl-SI"/>
        </w:rPr>
        <w:t>inės plokštelės</w:t>
      </w:r>
      <w:r w:rsidR="009C3414">
        <w:rPr>
          <w:rFonts w:ascii="Times New Roman" w:eastAsia="Times New Roman" w:hAnsi="Times New Roman" w:cs="Times New Roman"/>
          <w:lang w:eastAsia="sl-SI"/>
        </w:rPr>
        <w:t>.</w:t>
      </w:r>
      <w:r w:rsidR="00CE01C0" w:rsidRPr="003E1719">
        <w:rPr>
          <w:rFonts w:ascii="Times New Roman" w:eastAsia="Times New Roman" w:hAnsi="Times New Roman" w:cs="Times New Roman"/>
          <w:lang w:eastAsia="sl-SI"/>
        </w:rPr>
        <w:t xml:space="preserve"> </w:t>
      </w:r>
      <w:r w:rsidR="009C3414">
        <w:rPr>
          <w:rFonts w:ascii="Times New Roman" w:eastAsia="Times New Roman" w:hAnsi="Times New Roman" w:cs="Times New Roman"/>
          <w:lang w:eastAsia="sl-SI"/>
        </w:rPr>
        <w:t>D</w:t>
      </w:r>
      <w:r w:rsidR="00CE01C0" w:rsidRPr="003E1719">
        <w:rPr>
          <w:rFonts w:ascii="Times New Roman" w:eastAsia="Times New Roman" w:hAnsi="Times New Roman" w:cs="Times New Roman"/>
          <w:lang w:eastAsia="sl-SI"/>
        </w:rPr>
        <w:t>ėžutėje yra 10</w:t>
      </w:r>
      <w:r w:rsidRPr="003E1719">
        <w:rPr>
          <w:rFonts w:ascii="Times New Roman" w:eastAsia="Times New Roman" w:hAnsi="Times New Roman" w:cs="Times New Roman"/>
          <w:lang w:eastAsia="sl-SI"/>
        </w:rPr>
        <w:t>, 28, 30</w:t>
      </w:r>
      <w:r w:rsidR="0051045D">
        <w:rPr>
          <w:rFonts w:ascii="Times New Roman" w:eastAsia="Times New Roman" w:hAnsi="Times New Roman" w:cs="Times New Roman"/>
          <w:lang w:eastAsia="sl-SI"/>
        </w:rPr>
        <w:t xml:space="preserve">, </w:t>
      </w:r>
      <w:r w:rsidRPr="003E1719">
        <w:rPr>
          <w:rFonts w:ascii="Times New Roman" w:eastAsia="Times New Roman" w:hAnsi="Times New Roman" w:cs="Times New Roman"/>
          <w:lang w:eastAsia="sl-SI"/>
        </w:rPr>
        <w:t>60</w:t>
      </w:r>
      <w:r w:rsidR="0051045D">
        <w:rPr>
          <w:rFonts w:ascii="Times New Roman" w:eastAsia="Times New Roman" w:hAnsi="Times New Roman" w:cs="Times New Roman"/>
          <w:lang w:eastAsia="sl-SI"/>
        </w:rPr>
        <w:t>, 90</w:t>
      </w:r>
      <w:r w:rsidR="00CE01C0" w:rsidRPr="003E1719">
        <w:rPr>
          <w:rFonts w:ascii="Times New Roman" w:eastAsia="Times New Roman" w:hAnsi="Times New Roman" w:cs="Times New Roman"/>
          <w:lang w:eastAsia="sl-SI"/>
        </w:rPr>
        <w:t xml:space="preserve"> plėvele dengtų</w:t>
      </w:r>
      <w:r w:rsidRPr="003E1719">
        <w:rPr>
          <w:rFonts w:ascii="Times New Roman" w:eastAsia="Times New Roman" w:hAnsi="Times New Roman" w:cs="Times New Roman"/>
          <w:lang w:eastAsia="sl-SI"/>
        </w:rPr>
        <w:t xml:space="preserve"> table</w:t>
      </w:r>
      <w:r w:rsidR="00CE01C0" w:rsidRPr="003E1719">
        <w:rPr>
          <w:rFonts w:ascii="Times New Roman" w:eastAsia="Times New Roman" w:hAnsi="Times New Roman" w:cs="Times New Roman"/>
          <w:lang w:eastAsia="sl-SI"/>
        </w:rPr>
        <w:t>čių</w:t>
      </w:r>
      <w:r w:rsidRPr="003E1719">
        <w:rPr>
          <w:rFonts w:ascii="Times New Roman" w:eastAsia="Times New Roman" w:hAnsi="Times New Roman" w:cs="Times New Roman"/>
          <w:lang w:eastAsia="sl-SI"/>
        </w:rPr>
        <w:t>.</w:t>
      </w:r>
    </w:p>
    <w:p w14:paraId="4F1F947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98EA81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Gali būti tiekiamos ne visų dydžių pakuotės.</w:t>
      </w:r>
    </w:p>
    <w:p w14:paraId="40D3498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4B9A634"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6.6</w:t>
      </w:r>
      <w:r w:rsidRPr="003E1719">
        <w:rPr>
          <w:rFonts w:ascii="Times New Roman" w:eastAsia="Times New Roman" w:hAnsi="Times New Roman" w:cs="Times New Roman"/>
          <w:b/>
          <w:lang w:eastAsia="sl-SI"/>
        </w:rPr>
        <w:tab/>
        <w:t>Specialūs reikalavimai atliekoms tvarkyti</w:t>
      </w:r>
    </w:p>
    <w:p w14:paraId="6129D5A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CF673C9"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Nesuvartotą vaistinį preparatą ar atliekas reikia tvarkyti laikantis vietinių reikalavimų.</w:t>
      </w:r>
    </w:p>
    <w:p w14:paraId="35C4B31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618829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5564B33"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7.</w:t>
      </w:r>
      <w:r w:rsidRPr="003E1719">
        <w:rPr>
          <w:rFonts w:ascii="Times New Roman" w:eastAsia="Times New Roman" w:hAnsi="Times New Roman" w:cs="Times New Roman"/>
          <w:b/>
          <w:lang w:eastAsia="sl-SI"/>
        </w:rPr>
        <w:tab/>
        <w:t>REGISTRUOTOJAS</w:t>
      </w:r>
    </w:p>
    <w:p w14:paraId="5A8F986D"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51D77094" w14:textId="473E502A" w:rsidR="00CE01C0" w:rsidRPr="003E1719" w:rsidRDefault="00CE01C0" w:rsidP="00CE01C0">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Teva B.V</w:t>
      </w:r>
      <w:r w:rsidR="00174A45">
        <w:rPr>
          <w:rFonts w:ascii="Times New Roman" w:eastAsia="Times New Roman" w:hAnsi="Times New Roman" w:cs="Times New Roman"/>
          <w:lang w:val="en-GB"/>
        </w:rPr>
        <w:t>.</w:t>
      </w:r>
    </w:p>
    <w:p w14:paraId="5106B595" w14:textId="77777777" w:rsidR="00CE01C0" w:rsidRPr="003E1719" w:rsidRDefault="00CE01C0" w:rsidP="00CE01C0">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Swensweg 5</w:t>
      </w:r>
    </w:p>
    <w:p w14:paraId="0970EA7A" w14:textId="77777777" w:rsidR="00CE01C0" w:rsidRPr="003E1719" w:rsidRDefault="00CE01C0" w:rsidP="00CE01C0">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2031 GA Haarlem</w:t>
      </w:r>
    </w:p>
    <w:p w14:paraId="4BDFF986" w14:textId="77777777" w:rsidR="00CE01C0" w:rsidRPr="003E1719" w:rsidRDefault="00CE01C0" w:rsidP="00CE01C0">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Nyderlandai</w:t>
      </w:r>
    </w:p>
    <w:p w14:paraId="6A74742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098DA4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2FAB507"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8.</w:t>
      </w:r>
      <w:r w:rsidRPr="003E1719">
        <w:rPr>
          <w:rFonts w:ascii="Times New Roman" w:eastAsia="Times New Roman" w:hAnsi="Times New Roman" w:cs="Times New Roman"/>
          <w:b/>
          <w:lang w:eastAsia="sl-SI"/>
        </w:rPr>
        <w:tab/>
        <w:t>REGISTRACIJOS PAŽYMĖJIMO NUMERIS (-IAI)</w:t>
      </w:r>
    </w:p>
    <w:p w14:paraId="76FFA23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12A78" w14:paraId="3EC8A436" w14:textId="77777777" w:rsidTr="00212A78">
        <w:tc>
          <w:tcPr>
            <w:tcW w:w="4643" w:type="dxa"/>
          </w:tcPr>
          <w:p w14:paraId="32507D84" w14:textId="54EBF8E2" w:rsidR="00212A78" w:rsidRPr="00212A78" w:rsidRDefault="00212A78" w:rsidP="00212A78">
            <w:pPr>
              <w:widowControl w:val="0"/>
              <w:spacing w:line="240" w:lineRule="auto"/>
              <w:rPr>
                <w:sz w:val="22"/>
                <w:szCs w:val="22"/>
                <w:u w:val="single"/>
                <w:lang w:eastAsia="sl-SI"/>
              </w:rPr>
            </w:pPr>
            <w:r w:rsidRPr="00212A78">
              <w:rPr>
                <w:sz w:val="22"/>
                <w:szCs w:val="22"/>
                <w:u w:val="single"/>
                <w:lang w:eastAsia="sl-SI"/>
              </w:rPr>
              <w:t>10 mg/10 mg</w:t>
            </w:r>
          </w:p>
          <w:p w14:paraId="72AE7166" w14:textId="77777777" w:rsidR="00212A78" w:rsidRPr="00212A78" w:rsidRDefault="00212A78" w:rsidP="00212A78">
            <w:pPr>
              <w:widowControl w:val="0"/>
              <w:spacing w:line="240" w:lineRule="auto"/>
              <w:rPr>
                <w:sz w:val="22"/>
                <w:szCs w:val="22"/>
                <w:lang w:eastAsia="sl-SI"/>
              </w:rPr>
            </w:pPr>
            <w:r w:rsidRPr="00212A78">
              <w:rPr>
                <w:sz w:val="22"/>
                <w:szCs w:val="22"/>
                <w:lang w:eastAsia="sl-SI"/>
              </w:rPr>
              <w:t>LT/1/22/5052/001 – N10</w:t>
            </w:r>
          </w:p>
          <w:p w14:paraId="29414699" w14:textId="77777777" w:rsidR="00212A78" w:rsidRPr="00212A78" w:rsidRDefault="00212A78" w:rsidP="00212A78">
            <w:pPr>
              <w:widowControl w:val="0"/>
              <w:spacing w:line="240" w:lineRule="auto"/>
              <w:rPr>
                <w:sz w:val="22"/>
                <w:szCs w:val="22"/>
                <w:lang w:eastAsia="sl-SI"/>
              </w:rPr>
            </w:pPr>
            <w:r w:rsidRPr="00212A78">
              <w:rPr>
                <w:sz w:val="22"/>
                <w:szCs w:val="22"/>
                <w:lang w:eastAsia="sl-SI"/>
              </w:rPr>
              <w:t>LT/1/22/5052/002 – N28</w:t>
            </w:r>
          </w:p>
          <w:p w14:paraId="483E2ED4" w14:textId="77777777" w:rsidR="00212A78" w:rsidRPr="00212A78" w:rsidRDefault="00212A78" w:rsidP="00212A78">
            <w:pPr>
              <w:widowControl w:val="0"/>
              <w:spacing w:line="240" w:lineRule="auto"/>
              <w:rPr>
                <w:sz w:val="22"/>
                <w:szCs w:val="22"/>
                <w:lang w:eastAsia="sl-SI"/>
              </w:rPr>
            </w:pPr>
            <w:r w:rsidRPr="00212A78">
              <w:rPr>
                <w:sz w:val="22"/>
                <w:szCs w:val="22"/>
                <w:lang w:eastAsia="sl-SI"/>
              </w:rPr>
              <w:t>LT/1/22/5052/003 – N30</w:t>
            </w:r>
          </w:p>
          <w:p w14:paraId="6286DE08" w14:textId="77777777" w:rsidR="00212A78" w:rsidRDefault="00212A78" w:rsidP="00212A78">
            <w:pPr>
              <w:widowControl w:val="0"/>
              <w:spacing w:line="240" w:lineRule="auto"/>
              <w:rPr>
                <w:sz w:val="22"/>
                <w:szCs w:val="22"/>
                <w:lang w:eastAsia="sl-SI"/>
              </w:rPr>
            </w:pPr>
            <w:r w:rsidRPr="00212A78">
              <w:rPr>
                <w:sz w:val="22"/>
                <w:szCs w:val="22"/>
                <w:lang w:eastAsia="sl-SI"/>
              </w:rPr>
              <w:t>LT/1/22/5052/004 – N60</w:t>
            </w:r>
          </w:p>
          <w:p w14:paraId="0A5EB5C0" w14:textId="68C7F3A9" w:rsidR="0051045D" w:rsidRPr="00212A78" w:rsidRDefault="0051045D" w:rsidP="00212A78">
            <w:pPr>
              <w:widowControl w:val="0"/>
              <w:spacing w:line="240" w:lineRule="auto"/>
              <w:rPr>
                <w:sz w:val="22"/>
                <w:szCs w:val="22"/>
                <w:lang w:eastAsia="sl-SI"/>
              </w:rPr>
            </w:pPr>
            <w:r>
              <w:rPr>
                <w:sz w:val="22"/>
                <w:szCs w:val="22"/>
                <w:lang w:eastAsia="sl-SI"/>
              </w:rPr>
              <w:t>LT/1/22/5052/005 – N9</w:t>
            </w:r>
            <w:r w:rsidRPr="008A7FE7">
              <w:rPr>
                <w:sz w:val="22"/>
                <w:szCs w:val="22"/>
                <w:lang w:eastAsia="sl-SI"/>
              </w:rPr>
              <w:t>0</w:t>
            </w:r>
          </w:p>
        </w:tc>
        <w:tc>
          <w:tcPr>
            <w:tcW w:w="4644" w:type="dxa"/>
          </w:tcPr>
          <w:p w14:paraId="7BB7DE53" w14:textId="77777777" w:rsidR="00212A78" w:rsidRPr="00212A78" w:rsidRDefault="00212A78" w:rsidP="00212A78">
            <w:pPr>
              <w:widowControl w:val="0"/>
              <w:spacing w:line="240" w:lineRule="auto"/>
              <w:rPr>
                <w:sz w:val="22"/>
                <w:szCs w:val="22"/>
                <w:u w:val="single"/>
                <w:lang w:eastAsia="sl-SI"/>
              </w:rPr>
            </w:pPr>
            <w:r w:rsidRPr="00212A78">
              <w:rPr>
                <w:sz w:val="22"/>
                <w:szCs w:val="22"/>
                <w:u w:val="single"/>
                <w:lang w:eastAsia="sl-SI"/>
              </w:rPr>
              <w:t>20 mg/10 mg</w:t>
            </w:r>
          </w:p>
          <w:p w14:paraId="1DE90C7C" w14:textId="77777777" w:rsidR="00212A78" w:rsidRPr="00212A78" w:rsidRDefault="00212A78" w:rsidP="00212A78">
            <w:pPr>
              <w:widowControl w:val="0"/>
              <w:spacing w:line="240" w:lineRule="auto"/>
              <w:rPr>
                <w:sz w:val="22"/>
                <w:szCs w:val="22"/>
                <w:lang w:eastAsia="sl-SI"/>
              </w:rPr>
            </w:pPr>
            <w:r w:rsidRPr="00212A78">
              <w:rPr>
                <w:sz w:val="22"/>
                <w:szCs w:val="22"/>
                <w:lang w:eastAsia="sl-SI"/>
              </w:rPr>
              <w:t>LT/1/22/5053/001 – N10</w:t>
            </w:r>
          </w:p>
          <w:p w14:paraId="1090C38C" w14:textId="77777777" w:rsidR="00212A78" w:rsidRPr="00212A78" w:rsidRDefault="00212A78" w:rsidP="00212A78">
            <w:pPr>
              <w:widowControl w:val="0"/>
              <w:spacing w:line="240" w:lineRule="auto"/>
              <w:rPr>
                <w:sz w:val="22"/>
                <w:szCs w:val="22"/>
                <w:lang w:eastAsia="sl-SI"/>
              </w:rPr>
            </w:pPr>
            <w:r w:rsidRPr="00212A78">
              <w:rPr>
                <w:sz w:val="22"/>
                <w:szCs w:val="22"/>
                <w:lang w:eastAsia="sl-SI"/>
              </w:rPr>
              <w:t>LT/1/22/5053/002 – N28</w:t>
            </w:r>
          </w:p>
          <w:p w14:paraId="1CAA84D0" w14:textId="77777777" w:rsidR="00212A78" w:rsidRPr="00212A78" w:rsidRDefault="00212A78" w:rsidP="00212A78">
            <w:pPr>
              <w:widowControl w:val="0"/>
              <w:spacing w:line="240" w:lineRule="auto"/>
              <w:rPr>
                <w:sz w:val="22"/>
                <w:szCs w:val="22"/>
                <w:lang w:eastAsia="sl-SI"/>
              </w:rPr>
            </w:pPr>
            <w:r w:rsidRPr="00212A78">
              <w:rPr>
                <w:sz w:val="22"/>
                <w:szCs w:val="22"/>
                <w:lang w:eastAsia="sl-SI"/>
              </w:rPr>
              <w:t>LT/1/22/5053/003 – N30</w:t>
            </w:r>
          </w:p>
          <w:p w14:paraId="31EA770B" w14:textId="77777777" w:rsidR="00212A78" w:rsidRDefault="00212A78" w:rsidP="00212A78">
            <w:pPr>
              <w:widowControl w:val="0"/>
              <w:spacing w:line="240" w:lineRule="auto"/>
              <w:rPr>
                <w:sz w:val="22"/>
                <w:szCs w:val="22"/>
                <w:lang w:eastAsia="sl-SI"/>
              </w:rPr>
            </w:pPr>
            <w:r w:rsidRPr="00212A78">
              <w:rPr>
                <w:sz w:val="22"/>
                <w:szCs w:val="22"/>
                <w:lang w:eastAsia="sl-SI"/>
              </w:rPr>
              <w:t>LT/1/22/5053/004 – N60</w:t>
            </w:r>
          </w:p>
          <w:p w14:paraId="6E6F4C22" w14:textId="097190A1" w:rsidR="0051045D" w:rsidRPr="00212A78" w:rsidRDefault="0051045D" w:rsidP="00212A78">
            <w:pPr>
              <w:widowControl w:val="0"/>
              <w:spacing w:line="240" w:lineRule="auto"/>
              <w:rPr>
                <w:sz w:val="22"/>
                <w:szCs w:val="22"/>
                <w:lang w:eastAsia="sl-SI"/>
              </w:rPr>
            </w:pPr>
            <w:r>
              <w:rPr>
                <w:sz w:val="22"/>
                <w:szCs w:val="22"/>
                <w:lang w:eastAsia="sl-SI"/>
              </w:rPr>
              <w:t>LT/1/22/5053</w:t>
            </w:r>
            <w:r w:rsidRPr="008A7FE7">
              <w:rPr>
                <w:sz w:val="22"/>
                <w:szCs w:val="22"/>
                <w:lang w:eastAsia="sl-SI"/>
              </w:rPr>
              <w:t>/00</w:t>
            </w:r>
            <w:r>
              <w:rPr>
                <w:sz w:val="22"/>
                <w:szCs w:val="22"/>
                <w:lang w:eastAsia="sl-SI"/>
              </w:rPr>
              <w:t>5 – N9</w:t>
            </w:r>
            <w:r w:rsidRPr="008A7FE7">
              <w:rPr>
                <w:sz w:val="22"/>
                <w:szCs w:val="22"/>
                <w:lang w:eastAsia="sl-SI"/>
              </w:rPr>
              <w:t>0</w:t>
            </w:r>
          </w:p>
        </w:tc>
      </w:tr>
    </w:tbl>
    <w:p w14:paraId="4F16AB4C" w14:textId="57D90964" w:rsidR="00212A78" w:rsidRDefault="00212A78" w:rsidP="00212A78">
      <w:pPr>
        <w:widowControl w:val="0"/>
        <w:spacing w:after="0" w:line="240" w:lineRule="auto"/>
        <w:rPr>
          <w:rFonts w:ascii="Times New Roman" w:eastAsia="Times New Roman" w:hAnsi="Times New Roman" w:cs="Times New Roman"/>
          <w:lang w:eastAsia="sl-SI"/>
        </w:rPr>
      </w:pPr>
    </w:p>
    <w:p w14:paraId="47590CF2" w14:textId="77777777" w:rsidR="00212A78" w:rsidRPr="00212A78" w:rsidRDefault="00212A78" w:rsidP="00212A78">
      <w:pPr>
        <w:widowControl w:val="0"/>
        <w:spacing w:after="0" w:line="240" w:lineRule="auto"/>
        <w:rPr>
          <w:rFonts w:ascii="Times New Roman" w:eastAsia="Times New Roman" w:hAnsi="Times New Roman" w:cs="Times New Roman"/>
          <w:sz w:val="16"/>
          <w:szCs w:val="16"/>
          <w:lang w:eastAsia="sl-SI"/>
        </w:rPr>
      </w:pPr>
    </w:p>
    <w:p w14:paraId="1645C871"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9.</w:t>
      </w:r>
      <w:r w:rsidRPr="003E1719">
        <w:rPr>
          <w:rFonts w:ascii="Times New Roman" w:eastAsia="Times New Roman" w:hAnsi="Times New Roman" w:cs="Times New Roman"/>
          <w:b/>
          <w:lang w:eastAsia="sl-SI"/>
        </w:rPr>
        <w:tab/>
        <w:t>REGISTRAVIMO / PERREGISTRAVIMO DATA</w:t>
      </w:r>
    </w:p>
    <w:p w14:paraId="0E27526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590C123" w14:textId="42BE5220" w:rsidR="00CE01C0" w:rsidRPr="003E1719" w:rsidRDefault="00CE01C0" w:rsidP="000A2458">
      <w:pPr>
        <w:spacing w:after="0"/>
        <w:rPr>
          <w:rFonts w:ascii="Times New Roman" w:hAnsi="Times New Roman" w:cs="Times New Roman"/>
        </w:rPr>
      </w:pPr>
      <w:r w:rsidRPr="003E1719">
        <w:rPr>
          <w:rFonts w:ascii="Times New Roman" w:hAnsi="Times New Roman" w:cs="Times New Roman"/>
        </w:rPr>
        <w:t>Registravimo</w:t>
      </w:r>
      <w:r w:rsidR="00B85D52" w:rsidRPr="003E1719">
        <w:rPr>
          <w:rFonts w:ascii="Times New Roman" w:hAnsi="Times New Roman" w:cs="Times New Roman"/>
        </w:rPr>
        <w:t xml:space="preserve"> data </w:t>
      </w:r>
      <w:r w:rsidR="00212A78">
        <w:rPr>
          <w:rFonts w:ascii="Times New Roman" w:hAnsi="Times New Roman" w:cs="Times New Roman"/>
        </w:rPr>
        <w:t>2022 m. spalio 24 d.</w:t>
      </w:r>
    </w:p>
    <w:p w14:paraId="6D4E2A63" w14:textId="77777777" w:rsidR="000D7B89" w:rsidRPr="003E1719" w:rsidRDefault="000D7B89" w:rsidP="000A2458">
      <w:pPr>
        <w:widowControl w:val="0"/>
        <w:spacing w:after="0" w:line="240" w:lineRule="auto"/>
        <w:rPr>
          <w:rFonts w:ascii="Times New Roman" w:eastAsia="Times New Roman" w:hAnsi="Times New Roman" w:cs="Times New Roman"/>
          <w:lang w:eastAsia="sl-SI"/>
        </w:rPr>
      </w:pPr>
    </w:p>
    <w:p w14:paraId="6ABD0D86" w14:textId="77777777" w:rsidR="000D7B89" w:rsidRPr="003E1719" w:rsidRDefault="000D7B89" w:rsidP="000A2458">
      <w:pPr>
        <w:widowControl w:val="0"/>
        <w:spacing w:after="0" w:line="240" w:lineRule="auto"/>
        <w:rPr>
          <w:rFonts w:ascii="Times New Roman" w:eastAsia="Times New Roman" w:hAnsi="Times New Roman" w:cs="Times New Roman"/>
          <w:lang w:eastAsia="sl-SI"/>
        </w:rPr>
      </w:pPr>
    </w:p>
    <w:p w14:paraId="71BCCDBB" w14:textId="77777777" w:rsidR="000D7B89" w:rsidRPr="003E1719" w:rsidRDefault="000D7B89" w:rsidP="000A2458">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10.</w:t>
      </w:r>
      <w:r w:rsidRPr="003E1719">
        <w:rPr>
          <w:rFonts w:ascii="Times New Roman" w:eastAsia="Times New Roman" w:hAnsi="Times New Roman" w:cs="Times New Roman"/>
          <w:b/>
          <w:lang w:eastAsia="sl-SI"/>
        </w:rPr>
        <w:tab/>
        <w:t>TEKSTO PERŽIŪROS DATA</w:t>
      </w:r>
    </w:p>
    <w:p w14:paraId="732D6907" w14:textId="77777777" w:rsidR="000D7B89" w:rsidRPr="003E1719" w:rsidRDefault="000D7B89" w:rsidP="000A2458">
      <w:pPr>
        <w:widowControl w:val="0"/>
        <w:spacing w:after="0" w:line="240" w:lineRule="auto"/>
        <w:rPr>
          <w:rFonts w:ascii="Times New Roman" w:eastAsia="Times New Roman" w:hAnsi="Times New Roman" w:cs="Times New Roman"/>
          <w:lang w:eastAsia="sl-SI"/>
        </w:rPr>
      </w:pPr>
    </w:p>
    <w:p w14:paraId="5D955537" w14:textId="77777777" w:rsidR="0051045D" w:rsidRDefault="0051045D" w:rsidP="0051045D">
      <w:pPr>
        <w:widowControl w:val="0"/>
        <w:spacing w:after="0" w:line="240" w:lineRule="auto"/>
        <w:rPr>
          <w:rFonts w:ascii="Times New Roman" w:hAnsi="Times New Roman" w:cs="Times New Roman"/>
        </w:rPr>
      </w:pPr>
      <w:r>
        <w:rPr>
          <w:rFonts w:ascii="Times New Roman" w:hAnsi="Times New Roman" w:cs="Times New Roman"/>
        </w:rPr>
        <w:t>2023 m. kovo 13 d.</w:t>
      </w:r>
    </w:p>
    <w:p w14:paraId="28336BA6" w14:textId="77777777" w:rsidR="0051045D" w:rsidRDefault="0051045D" w:rsidP="000D7B89">
      <w:pPr>
        <w:widowControl w:val="0"/>
        <w:spacing w:after="0" w:line="240" w:lineRule="auto"/>
        <w:rPr>
          <w:rFonts w:ascii="Times New Roman" w:hAnsi="Times New Roman" w:cs="Times New Roman"/>
        </w:rPr>
      </w:pPr>
    </w:p>
    <w:p w14:paraId="526330A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F6E6B4E" w14:textId="06AF4B4B" w:rsidR="000D7B89" w:rsidRPr="003E1719" w:rsidRDefault="000D7B89" w:rsidP="00212A78">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Išsami informacija apie šį vaistinį preparatą pateikiama Valstybinės vaistų kontrolės tarnybos prie Lietuvos Respublikos sveikatos apsaugos ministerijos tinklalapyje</w:t>
      </w:r>
      <w:r w:rsidRPr="003E1719">
        <w:rPr>
          <w:rFonts w:ascii="Times New Roman" w:eastAsia="Times New Roman" w:hAnsi="Times New Roman" w:cs="Times New Roman"/>
          <w:i/>
          <w:lang w:eastAsia="sl-SI"/>
        </w:rPr>
        <w:t xml:space="preserve"> </w:t>
      </w:r>
      <w:hyperlink r:id="rId8" w:history="1">
        <w:r w:rsidRPr="003E1719">
          <w:rPr>
            <w:rFonts w:ascii="Times New Roman" w:eastAsia="Times New Roman" w:hAnsi="Times New Roman" w:cs="Times New Roman"/>
            <w:color w:val="0000FF"/>
            <w:u w:val="single"/>
            <w:lang w:eastAsia="sl-SI"/>
          </w:rPr>
          <w:t>http://www.vvkt.lt/</w:t>
        </w:r>
      </w:hyperlink>
    </w:p>
    <w:p w14:paraId="4A179336" w14:textId="509C91CA" w:rsidR="000D7B89" w:rsidRDefault="000D7B89" w:rsidP="000D7B89">
      <w:pPr>
        <w:widowControl w:val="0"/>
        <w:spacing w:after="0" w:line="240" w:lineRule="auto"/>
        <w:jc w:val="center"/>
        <w:rPr>
          <w:rFonts w:ascii="Times New Roman" w:eastAsia="Times New Roman" w:hAnsi="Times New Roman" w:cs="Times New Roman"/>
          <w:lang w:eastAsia="sl-SI"/>
        </w:rPr>
      </w:pPr>
    </w:p>
    <w:p w14:paraId="2191CA47" w14:textId="1A7AADC9" w:rsidR="0051045D" w:rsidRDefault="0051045D">
      <w:pPr>
        <w:spacing w:line="259"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6F69C3FF" w14:textId="77777777" w:rsidR="0051045D" w:rsidRPr="003E1719" w:rsidRDefault="0051045D" w:rsidP="000D7B89">
      <w:pPr>
        <w:widowControl w:val="0"/>
        <w:spacing w:after="0" w:line="240" w:lineRule="auto"/>
        <w:jc w:val="center"/>
        <w:rPr>
          <w:rFonts w:ascii="Times New Roman" w:eastAsia="Times New Roman" w:hAnsi="Times New Roman" w:cs="Times New Roman"/>
          <w:lang w:eastAsia="sl-SI"/>
        </w:rPr>
      </w:pPr>
    </w:p>
    <w:p w14:paraId="05774C79"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4CBD66DE"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1920333C"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035A3D72"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37F3FE2E"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266AF44B"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702AA2F5"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2EBA764F"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42597E5B"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7E5131BC"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0BEE00D8"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44A32893"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42585B88"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52BC38DC"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19DE4291"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7EAC64B4"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36A037CA"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3B891786"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1558530A"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78765490"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6E96FF69" w14:textId="77777777" w:rsidR="000D7B89" w:rsidRPr="003E1719" w:rsidRDefault="000D7B89" w:rsidP="000D7B89">
      <w:pPr>
        <w:widowControl w:val="0"/>
        <w:spacing w:after="0" w:line="240" w:lineRule="auto"/>
        <w:jc w:val="center"/>
        <w:rPr>
          <w:rFonts w:ascii="Times New Roman" w:eastAsia="Times New Roman" w:hAnsi="Times New Roman" w:cs="Times New Roman"/>
          <w:lang w:eastAsia="sl-SI"/>
        </w:rPr>
      </w:pPr>
    </w:p>
    <w:p w14:paraId="31D15CF3"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4" w:name="_Toc129243128"/>
      <w:bookmarkStart w:id="5" w:name="_Toc129243253"/>
      <w:r w:rsidRPr="003E1719">
        <w:rPr>
          <w:rFonts w:ascii="Times New Roman" w:eastAsia="Times New Roman" w:hAnsi="Times New Roman" w:cs="Times New Roman"/>
          <w:b/>
          <w:caps/>
          <w:lang w:eastAsia="sl-SI"/>
        </w:rPr>
        <w:t>II PRIEDAS</w:t>
      </w:r>
      <w:bookmarkEnd w:id="4"/>
      <w:bookmarkEnd w:id="5"/>
    </w:p>
    <w:p w14:paraId="47E7AF38"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p>
    <w:p w14:paraId="1E39C220"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3E1719">
        <w:rPr>
          <w:rFonts w:ascii="Times New Roman" w:eastAsia="Times New Roman" w:hAnsi="Times New Roman" w:cs="Times New Roman"/>
          <w:b/>
          <w:caps/>
          <w:lang w:eastAsia="sl-SI"/>
        </w:rPr>
        <w:t>RegistracijOS SĄLYGOS</w:t>
      </w:r>
    </w:p>
    <w:p w14:paraId="28D903B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87159C1" w14:textId="77777777" w:rsidR="000D7B89" w:rsidRPr="003E1719" w:rsidRDefault="000D7B89" w:rsidP="000D7B89">
      <w:pPr>
        <w:widowControl w:val="0"/>
        <w:tabs>
          <w:tab w:val="left" w:pos="1701"/>
        </w:tabs>
        <w:spacing w:after="0" w:line="240" w:lineRule="auto"/>
        <w:ind w:left="1701" w:righ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A.</w:t>
      </w:r>
      <w:r w:rsidRPr="003E1719">
        <w:rPr>
          <w:rFonts w:ascii="Times New Roman" w:eastAsia="Times New Roman" w:hAnsi="Times New Roman" w:cs="Times New Roman"/>
          <w:b/>
          <w:lang w:eastAsia="sl-SI"/>
        </w:rPr>
        <w:tab/>
        <w:t>GAMINTOJAS (-AI), ATSAKINGAS (-I) UŽ SERIJŲ IŠLEIDIMĄ</w:t>
      </w:r>
    </w:p>
    <w:p w14:paraId="1F8D10C4" w14:textId="77777777" w:rsidR="000D7B89" w:rsidRPr="003E1719" w:rsidRDefault="000D7B89" w:rsidP="000D7B89">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01C8E5E8" w14:textId="77777777" w:rsidR="000D7B89" w:rsidRPr="003E1719" w:rsidRDefault="000D7B89" w:rsidP="000D7B89">
      <w:pPr>
        <w:widowControl w:val="0"/>
        <w:tabs>
          <w:tab w:val="left" w:pos="1701"/>
        </w:tabs>
        <w:spacing w:after="0" w:line="240" w:lineRule="auto"/>
        <w:ind w:left="1701" w:righ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B.</w:t>
      </w:r>
      <w:r w:rsidRPr="003E1719">
        <w:rPr>
          <w:rFonts w:ascii="Times New Roman" w:eastAsia="Times New Roman" w:hAnsi="Times New Roman" w:cs="Times New Roman"/>
          <w:b/>
          <w:lang w:eastAsia="sl-SI"/>
        </w:rPr>
        <w:tab/>
        <w:t>TIEKIMO IR VARTOJIMO SĄLYGOS AR APRIBOJIMAI</w:t>
      </w:r>
    </w:p>
    <w:p w14:paraId="13289953" w14:textId="77777777" w:rsidR="000D7B89" w:rsidRPr="003E1719" w:rsidRDefault="000D7B89" w:rsidP="000D7B89">
      <w:pPr>
        <w:widowControl w:val="0"/>
        <w:spacing w:after="0" w:line="240" w:lineRule="auto"/>
        <w:rPr>
          <w:rFonts w:ascii="Times New Roman" w:eastAsia="Times New Roman" w:hAnsi="Times New Roman" w:cs="Times New Roman"/>
          <w:highlight w:val="yellow"/>
          <w:lang w:eastAsia="sl-SI"/>
        </w:rPr>
      </w:pPr>
    </w:p>
    <w:p w14:paraId="178EC6CB" w14:textId="77777777" w:rsidR="000D7B89" w:rsidRPr="003E1719" w:rsidRDefault="000D7B89" w:rsidP="000D7B89">
      <w:pPr>
        <w:widowControl w:val="0"/>
        <w:tabs>
          <w:tab w:val="left" w:pos="567"/>
        </w:tabs>
        <w:spacing w:after="0" w:line="240" w:lineRule="auto"/>
        <w:ind w:left="567" w:hanging="567"/>
        <w:outlineLvl w:val="1"/>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br w:type="page"/>
        <w:t>A.</w:t>
      </w:r>
      <w:r w:rsidRPr="003E1719">
        <w:rPr>
          <w:rFonts w:ascii="Times New Roman" w:eastAsia="Times New Roman" w:hAnsi="Times New Roman" w:cs="Times New Roman"/>
          <w:b/>
          <w:lang w:eastAsia="sl-SI"/>
        </w:rPr>
        <w:tab/>
        <w:t>GAMINTOJAS</w:t>
      </w:r>
      <w:r w:rsidRPr="003E1719" w:rsidDel="008C1971">
        <w:rPr>
          <w:rFonts w:ascii="Times New Roman" w:eastAsia="Times New Roman" w:hAnsi="Times New Roman" w:cs="Times New Roman"/>
          <w:b/>
          <w:lang w:eastAsia="sl-SI"/>
        </w:rPr>
        <w:t xml:space="preserve"> </w:t>
      </w:r>
      <w:r w:rsidRPr="003E1719">
        <w:rPr>
          <w:rFonts w:ascii="Times New Roman" w:eastAsia="Times New Roman" w:hAnsi="Times New Roman" w:cs="Times New Roman"/>
          <w:b/>
          <w:lang w:eastAsia="sl-SI"/>
        </w:rPr>
        <w:t>(-AI), ATSAKINGAS (-I) UŽ SERIJŲ IŠLEIDIMĄ</w:t>
      </w:r>
    </w:p>
    <w:p w14:paraId="5B6D28B8" w14:textId="77777777" w:rsidR="000D7B89" w:rsidRPr="003E1719" w:rsidRDefault="000D7B89" w:rsidP="000D7B89">
      <w:pPr>
        <w:widowControl w:val="0"/>
        <w:spacing w:after="0" w:line="240" w:lineRule="auto"/>
        <w:rPr>
          <w:rFonts w:ascii="Times New Roman" w:eastAsia="Times New Roman" w:hAnsi="Times New Roman" w:cs="Times New Roman"/>
          <w:highlight w:val="yellow"/>
          <w:lang w:eastAsia="sl-SI"/>
        </w:rPr>
      </w:pPr>
    </w:p>
    <w:p w14:paraId="05C005EC"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u w:val="single"/>
          <w:lang w:eastAsia="sl-SI"/>
        </w:rPr>
        <w:t>Gamintojo (-ų), atsakingo (-ų) už serijų išleidimą, pavadinimas (-ai) ir adresas (-ai)</w:t>
      </w:r>
    </w:p>
    <w:p w14:paraId="32AFD18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E050022" w14:textId="77777777" w:rsidR="00573D24" w:rsidRPr="003E1719" w:rsidRDefault="00573D24" w:rsidP="00573D24">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ELPEN Pharmaceutical Co. Inc.</w:t>
      </w:r>
    </w:p>
    <w:p w14:paraId="40E2C9A8" w14:textId="77777777" w:rsidR="00573D24" w:rsidRPr="003E1719" w:rsidRDefault="00573D24" w:rsidP="00573D24">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95 Marathonos Ave</w:t>
      </w:r>
    </w:p>
    <w:p w14:paraId="575EF970" w14:textId="77777777" w:rsidR="00573D24" w:rsidRPr="003E1719" w:rsidRDefault="00573D24" w:rsidP="00573D24">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19009 Pikermi, Attiki</w:t>
      </w:r>
    </w:p>
    <w:p w14:paraId="71941B7F" w14:textId="77777777" w:rsidR="00573D24" w:rsidRPr="003E1719" w:rsidRDefault="00573D24" w:rsidP="00573D24">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Graikija</w:t>
      </w:r>
    </w:p>
    <w:p w14:paraId="2787A3DB" w14:textId="77777777" w:rsidR="000D7B89" w:rsidRDefault="000D7B89" w:rsidP="000D7B89">
      <w:pPr>
        <w:widowControl w:val="0"/>
        <w:spacing w:after="0" w:line="240" w:lineRule="auto"/>
        <w:rPr>
          <w:rFonts w:ascii="Times New Roman" w:eastAsia="Times New Roman" w:hAnsi="Times New Roman" w:cs="Times New Roman"/>
          <w:highlight w:val="yellow"/>
          <w:lang w:eastAsia="sl-SI"/>
        </w:rPr>
      </w:pPr>
    </w:p>
    <w:p w14:paraId="5BBB43F0" w14:textId="77EFF20F" w:rsidR="00617E1A" w:rsidRPr="00D613B0" w:rsidRDefault="00D613B0" w:rsidP="000D7B89">
      <w:pPr>
        <w:widowControl w:val="0"/>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a</w:t>
      </w:r>
      <w:r w:rsidR="00617E1A" w:rsidRPr="00D613B0">
        <w:rPr>
          <w:rFonts w:ascii="Times New Roman" w:eastAsia="Times New Roman" w:hAnsi="Times New Roman" w:cs="Times New Roman"/>
          <w:lang w:val="en-GB"/>
        </w:rPr>
        <w:t>rba</w:t>
      </w:r>
    </w:p>
    <w:p w14:paraId="74D9E618" w14:textId="77777777" w:rsidR="00617E1A" w:rsidRPr="00D613B0" w:rsidRDefault="00617E1A" w:rsidP="000D7B89">
      <w:pPr>
        <w:widowControl w:val="0"/>
        <w:spacing w:after="0" w:line="240" w:lineRule="auto"/>
        <w:rPr>
          <w:rFonts w:ascii="Times New Roman" w:eastAsia="Times New Roman" w:hAnsi="Times New Roman" w:cs="Times New Roman"/>
          <w:lang w:val="en-GB"/>
        </w:rPr>
      </w:pPr>
    </w:p>
    <w:p w14:paraId="43E70226" w14:textId="6A099234" w:rsidR="00617E1A" w:rsidRPr="00D613B0" w:rsidRDefault="00617E1A" w:rsidP="000D7B89">
      <w:pPr>
        <w:widowControl w:val="0"/>
        <w:spacing w:after="0" w:line="240" w:lineRule="auto"/>
        <w:rPr>
          <w:rFonts w:ascii="Times New Roman" w:eastAsia="Times New Roman" w:hAnsi="Times New Roman" w:cs="Times New Roman"/>
          <w:lang w:val="en-GB"/>
        </w:rPr>
      </w:pPr>
      <w:r w:rsidRPr="00D613B0">
        <w:rPr>
          <w:rFonts w:ascii="Times New Roman" w:eastAsia="Times New Roman" w:hAnsi="Times New Roman" w:cs="Times New Roman"/>
          <w:lang w:val="en-GB"/>
        </w:rPr>
        <w:t>ELPEN Pharmaceutical Co. Inc.</w:t>
      </w:r>
    </w:p>
    <w:p w14:paraId="549B8231" w14:textId="179738E5" w:rsidR="00617E1A" w:rsidRPr="00D613B0" w:rsidRDefault="00617E1A" w:rsidP="000D7B89">
      <w:pPr>
        <w:widowControl w:val="0"/>
        <w:spacing w:after="0" w:line="240" w:lineRule="auto"/>
        <w:rPr>
          <w:rFonts w:ascii="Times New Roman" w:eastAsia="Times New Roman" w:hAnsi="Times New Roman" w:cs="Times New Roman"/>
          <w:lang w:val="en-GB"/>
        </w:rPr>
      </w:pPr>
      <w:r w:rsidRPr="00D613B0">
        <w:rPr>
          <w:rFonts w:ascii="Times New Roman" w:eastAsia="Times New Roman" w:hAnsi="Times New Roman" w:cs="Times New Roman"/>
          <w:lang w:val="en-GB"/>
        </w:rPr>
        <w:t>Zapani, Block 1048,</w:t>
      </w:r>
    </w:p>
    <w:p w14:paraId="06A368B4" w14:textId="3C28C236" w:rsidR="00617E1A" w:rsidRPr="00D613B0" w:rsidRDefault="00617E1A" w:rsidP="000D7B89">
      <w:pPr>
        <w:widowControl w:val="0"/>
        <w:spacing w:after="0" w:line="240" w:lineRule="auto"/>
        <w:rPr>
          <w:rFonts w:ascii="Times New Roman" w:eastAsia="Times New Roman" w:hAnsi="Times New Roman" w:cs="Times New Roman"/>
          <w:lang w:val="en-GB"/>
        </w:rPr>
      </w:pPr>
      <w:r w:rsidRPr="00D613B0">
        <w:rPr>
          <w:rFonts w:ascii="Times New Roman" w:eastAsia="Times New Roman" w:hAnsi="Times New Roman" w:cs="Times New Roman"/>
          <w:lang w:val="en-GB"/>
        </w:rPr>
        <w:t>19001 Keratea</w:t>
      </w:r>
    </w:p>
    <w:p w14:paraId="275DE11C" w14:textId="0683BA0E" w:rsidR="00617E1A" w:rsidRDefault="00617E1A" w:rsidP="000D7B89">
      <w:pPr>
        <w:widowControl w:val="0"/>
        <w:spacing w:after="0" w:line="240" w:lineRule="auto"/>
        <w:rPr>
          <w:rFonts w:ascii="Times New Roman" w:eastAsia="Times New Roman" w:hAnsi="Times New Roman" w:cs="Times New Roman"/>
          <w:lang w:val="en-GB"/>
        </w:rPr>
      </w:pPr>
      <w:r w:rsidRPr="00D613B0">
        <w:rPr>
          <w:rFonts w:ascii="Times New Roman" w:eastAsia="Times New Roman" w:hAnsi="Times New Roman" w:cs="Times New Roman"/>
          <w:lang w:val="en-GB"/>
        </w:rPr>
        <w:t>Graikija</w:t>
      </w:r>
    </w:p>
    <w:p w14:paraId="06856C47" w14:textId="68159441" w:rsidR="00D613B0" w:rsidRDefault="00D613B0" w:rsidP="000D7B89">
      <w:pPr>
        <w:widowControl w:val="0"/>
        <w:spacing w:after="0" w:line="240" w:lineRule="auto"/>
        <w:rPr>
          <w:rFonts w:ascii="Times New Roman" w:eastAsia="Times New Roman" w:hAnsi="Times New Roman" w:cs="Times New Roman"/>
          <w:lang w:val="en-GB"/>
        </w:rPr>
      </w:pPr>
    </w:p>
    <w:p w14:paraId="5DF65403" w14:textId="77777777" w:rsidR="00D613B0" w:rsidRPr="00D613B0" w:rsidRDefault="00D613B0" w:rsidP="00D613B0">
      <w:pPr>
        <w:widowControl w:val="0"/>
        <w:spacing w:after="0" w:line="240" w:lineRule="auto"/>
        <w:rPr>
          <w:rFonts w:ascii="Times New Roman" w:eastAsia="Times New Roman" w:hAnsi="Times New Roman" w:cs="Times New Roman"/>
        </w:rPr>
      </w:pPr>
      <w:r w:rsidRPr="00D613B0">
        <w:rPr>
          <w:rFonts w:ascii="Times New Roman" w:eastAsia="Times New Roman" w:hAnsi="Times New Roman" w:cs="Times New Roman"/>
        </w:rPr>
        <w:t>Su pakuote pateikiamame lapelyje nurodomas gamintojo, atsakingo už konkrečios serijos išleidimą, pavadinimas ir adresas.</w:t>
      </w:r>
    </w:p>
    <w:p w14:paraId="1EE581D1" w14:textId="77777777" w:rsidR="00D613B0" w:rsidRPr="00D613B0" w:rsidRDefault="00D613B0" w:rsidP="000D7B89">
      <w:pPr>
        <w:widowControl w:val="0"/>
        <w:spacing w:after="0" w:line="240" w:lineRule="auto"/>
        <w:rPr>
          <w:rFonts w:ascii="Times New Roman" w:eastAsia="Times New Roman" w:hAnsi="Times New Roman" w:cs="Times New Roman"/>
          <w:lang w:val="en-GB"/>
        </w:rPr>
      </w:pPr>
    </w:p>
    <w:p w14:paraId="19A5D55D" w14:textId="77777777" w:rsidR="000D7B89" w:rsidRPr="003E1719" w:rsidRDefault="000D7B89" w:rsidP="000D7B89">
      <w:pPr>
        <w:widowControl w:val="0"/>
        <w:spacing w:after="0" w:line="240" w:lineRule="auto"/>
        <w:rPr>
          <w:rFonts w:ascii="Times New Roman" w:eastAsia="Times New Roman" w:hAnsi="Times New Roman" w:cs="Times New Roman"/>
          <w:highlight w:val="yellow"/>
          <w:lang w:eastAsia="sl-SI"/>
        </w:rPr>
      </w:pPr>
    </w:p>
    <w:p w14:paraId="09F70B3C" w14:textId="77777777" w:rsidR="000D7B89" w:rsidRPr="003E1719" w:rsidRDefault="000D7B89" w:rsidP="000D7B89">
      <w:pPr>
        <w:widowControl w:val="0"/>
        <w:tabs>
          <w:tab w:val="left" w:pos="567"/>
        </w:tabs>
        <w:spacing w:after="0" w:line="240" w:lineRule="auto"/>
        <w:ind w:left="567" w:hanging="567"/>
        <w:outlineLvl w:val="1"/>
        <w:rPr>
          <w:rFonts w:ascii="Times New Roman" w:eastAsia="Times New Roman" w:hAnsi="Times New Roman" w:cs="Times New Roman"/>
          <w:b/>
          <w:kern w:val="28"/>
          <w:lang w:eastAsia="sl-SI"/>
        </w:rPr>
      </w:pPr>
      <w:bookmarkStart w:id="6" w:name="_Toc129243129"/>
      <w:bookmarkStart w:id="7" w:name="_Toc129243254"/>
      <w:bookmarkStart w:id="8" w:name="_Toc129243130"/>
      <w:bookmarkStart w:id="9" w:name="_Toc129243255"/>
      <w:r w:rsidRPr="003E1719">
        <w:rPr>
          <w:rFonts w:ascii="Times New Roman" w:eastAsia="Times New Roman" w:hAnsi="Times New Roman" w:cs="Times New Roman"/>
          <w:b/>
          <w:lang w:eastAsia="sl-SI"/>
        </w:rPr>
        <w:t>B.</w:t>
      </w:r>
      <w:r w:rsidRPr="003E1719">
        <w:rPr>
          <w:rFonts w:ascii="Times New Roman" w:eastAsia="Times New Roman" w:hAnsi="Times New Roman" w:cs="Times New Roman"/>
          <w:b/>
          <w:lang w:eastAsia="sl-SI"/>
        </w:rPr>
        <w:tab/>
        <w:t>TIEKIMO IR VARTOJIMO SĄLYGOS AR APRIBOJIMAI</w:t>
      </w:r>
      <w:bookmarkEnd w:id="6"/>
      <w:bookmarkEnd w:id="7"/>
      <w:bookmarkEnd w:id="8"/>
      <w:bookmarkEnd w:id="9"/>
    </w:p>
    <w:p w14:paraId="6576A3F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37DD45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Receptinis vaistinis preparatas.</w:t>
      </w:r>
    </w:p>
    <w:p w14:paraId="5D46CBC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br w:type="page"/>
      </w:r>
    </w:p>
    <w:p w14:paraId="0003FBB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3DC695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9C1B12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6B6139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219CDE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2FCCA6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6EEC64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13A3C2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22156A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405A23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72C74F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F8F7E8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EF591E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DEB1FC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03040C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631364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8FC3FE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02C290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92DEC0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1C461C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5E88AC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51FD81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1B0E8BB"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0" w:name="_Toc129243134"/>
      <w:bookmarkStart w:id="11" w:name="_Toc129243259"/>
      <w:r w:rsidRPr="003E1719">
        <w:rPr>
          <w:rFonts w:ascii="Times New Roman" w:eastAsia="Times New Roman" w:hAnsi="Times New Roman" w:cs="Times New Roman"/>
          <w:b/>
          <w:caps/>
          <w:lang w:eastAsia="sl-SI"/>
        </w:rPr>
        <w:t>III PRIEDAS</w:t>
      </w:r>
      <w:bookmarkEnd w:id="10"/>
      <w:bookmarkEnd w:id="11"/>
    </w:p>
    <w:p w14:paraId="1ADD1EA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FECF861"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2" w:name="_Toc129243135"/>
      <w:bookmarkStart w:id="13" w:name="_Toc129243260"/>
      <w:r w:rsidRPr="003E1719">
        <w:rPr>
          <w:rFonts w:ascii="Times New Roman" w:eastAsia="Times New Roman" w:hAnsi="Times New Roman" w:cs="Times New Roman"/>
          <w:b/>
          <w:caps/>
          <w:lang w:eastAsia="sl-SI"/>
        </w:rPr>
        <w:t>ŽENKLINIMAS IR PAKUOTĖS LAPELIS</w:t>
      </w:r>
      <w:bookmarkEnd w:id="12"/>
      <w:bookmarkEnd w:id="13"/>
    </w:p>
    <w:p w14:paraId="31017EAD"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r w:rsidRPr="003E1719">
        <w:rPr>
          <w:rFonts w:ascii="Times New Roman" w:eastAsia="Times New Roman" w:hAnsi="Times New Roman" w:cs="Times New Roman"/>
          <w:lang w:eastAsia="sl-SI"/>
        </w:rPr>
        <w:br w:type="page"/>
      </w:r>
    </w:p>
    <w:p w14:paraId="216579BB"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4CFBCE54"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73274CB9"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45B737BD"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20E2221B"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1E43347C"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13414840"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4A7D7280"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499E7BA1"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5FF9B53D"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09AAD8A1"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7A454870"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4EF8FA7B"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40AE1C05"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7275D5C3"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2D9693E6"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04B4B45A"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23779359"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3D5C8F14"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22E9D2A0"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7F420E3A"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2428B990" w14:textId="77777777" w:rsidR="000D7B89" w:rsidRPr="003E1719" w:rsidRDefault="000D7B89" w:rsidP="000D7B89">
      <w:pPr>
        <w:widowControl w:val="0"/>
        <w:spacing w:after="0" w:line="240" w:lineRule="auto"/>
        <w:jc w:val="center"/>
        <w:outlineLvl w:val="0"/>
        <w:rPr>
          <w:rFonts w:ascii="Times New Roman" w:eastAsia="Times New Roman" w:hAnsi="Times New Roman" w:cs="Times New Roman"/>
          <w:lang w:eastAsia="sl-SI"/>
        </w:rPr>
      </w:pPr>
    </w:p>
    <w:p w14:paraId="496391C5"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r w:rsidRPr="003E1719">
        <w:rPr>
          <w:rFonts w:ascii="Times New Roman" w:eastAsia="Times New Roman" w:hAnsi="Times New Roman" w:cs="Times New Roman"/>
          <w:b/>
          <w:caps/>
          <w:lang w:eastAsia="sl-SI"/>
        </w:rPr>
        <w:t>A. ŽENKLINIMAS</w:t>
      </w:r>
    </w:p>
    <w:p w14:paraId="0BDBFED9"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lang w:eastAsia="sl-SI"/>
        </w:rPr>
        <w:br w:type="page"/>
      </w:r>
    </w:p>
    <w:p w14:paraId="11CC7ADD"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INFORMACIJA ANT IŠORINĖS PAKUOTĖS</w:t>
      </w:r>
    </w:p>
    <w:p w14:paraId="6C923451"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3FEE04EE"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KARTONO DĖŽUTĖ</w:t>
      </w:r>
    </w:p>
    <w:p w14:paraId="294001E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795631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9074C56"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w:t>
      </w:r>
      <w:r w:rsidRPr="003E1719">
        <w:rPr>
          <w:rFonts w:ascii="Times New Roman" w:eastAsia="Times New Roman" w:hAnsi="Times New Roman" w:cs="Times New Roman"/>
          <w:b/>
          <w:lang w:eastAsia="sl-SI"/>
        </w:rPr>
        <w:tab/>
        <w:t>VAISTINIO PREPARATO PAVADINIMAS</w:t>
      </w:r>
    </w:p>
    <w:p w14:paraId="0808571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300AFCB" w14:textId="7FB15F87" w:rsidR="000D7B89" w:rsidRPr="003E1719" w:rsidRDefault="00AF3800" w:rsidP="000D7B89">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r w:rsidR="000D7B89" w:rsidRPr="003E1719">
        <w:rPr>
          <w:rFonts w:ascii="Times New Roman" w:eastAsia="Times New Roman" w:hAnsi="Times New Roman" w:cs="Times New Roman"/>
        </w:rPr>
        <w:t>10 mg/10 mg plėvele dengtos tabletės</w:t>
      </w:r>
    </w:p>
    <w:p w14:paraId="0C64D451" w14:textId="1D349A6F" w:rsidR="000D7B89" w:rsidRPr="003E1719" w:rsidRDefault="00AF3800" w:rsidP="000D7B89">
      <w:pPr>
        <w:widowControl w:val="0"/>
        <w:tabs>
          <w:tab w:val="left" w:pos="567"/>
        </w:tabs>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lang w:eastAsia="sl-SI"/>
        </w:rPr>
        <w:t>Rosuvastatin/Ezetimibe Teva</w:t>
      </w:r>
      <w:r w:rsidR="004042B8" w:rsidRPr="00FF4691">
        <w:rPr>
          <w:rFonts w:ascii="Times New Roman" w:eastAsia="Times New Roman" w:hAnsi="Times New Roman" w:cs="Times New Roman"/>
          <w:highlight w:val="lightGray"/>
          <w:lang w:eastAsia="sl-SI"/>
        </w:rPr>
        <w:t xml:space="preserve"> </w:t>
      </w:r>
      <w:r w:rsidR="000D7B89" w:rsidRPr="00FF4691">
        <w:rPr>
          <w:rFonts w:ascii="Times New Roman" w:eastAsia="Times New Roman" w:hAnsi="Times New Roman" w:cs="Times New Roman"/>
          <w:highlight w:val="lightGray"/>
        </w:rPr>
        <w:t>20 mg/10 mg plėvele dengtos tabletės</w:t>
      </w:r>
    </w:p>
    <w:p w14:paraId="1331EB8A"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rPr>
      </w:pPr>
    </w:p>
    <w:p w14:paraId="7D25C4E0" w14:textId="0BD295FB"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ro</w:t>
      </w:r>
      <w:r w:rsidR="00660588">
        <w:rPr>
          <w:rFonts w:ascii="Times New Roman" w:eastAsia="Times New Roman" w:hAnsi="Times New Roman" w:cs="Times New Roman"/>
          <w:lang w:eastAsia="sl-SI"/>
        </w:rPr>
        <w:t>s</w:t>
      </w:r>
      <w:r w:rsidRPr="003E1719">
        <w:rPr>
          <w:rFonts w:ascii="Times New Roman" w:eastAsia="Times New Roman" w:hAnsi="Times New Roman" w:cs="Times New Roman"/>
          <w:lang w:eastAsia="sl-SI"/>
        </w:rPr>
        <w:t>uvastatin</w:t>
      </w:r>
      <w:r w:rsidR="00B8515C">
        <w:rPr>
          <w:rFonts w:ascii="Times New Roman" w:eastAsia="Times New Roman" w:hAnsi="Times New Roman" w:cs="Times New Roman"/>
          <w:lang w:eastAsia="sl-SI"/>
        </w:rPr>
        <w:t>um</w:t>
      </w:r>
      <w:r w:rsidRPr="003E1719">
        <w:rPr>
          <w:rFonts w:ascii="Times New Roman" w:eastAsia="Times New Roman" w:hAnsi="Times New Roman" w:cs="Times New Roman"/>
          <w:lang w:eastAsia="sl-SI"/>
        </w:rPr>
        <w:t>/ezetimib</w:t>
      </w:r>
      <w:r w:rsidR="00B8515C">
        <w:rPr>
          <w:rFonts w:ascii="Times New Roman" w:eastAsia="Times New Roman" w:hAnsi="Times New Roman" w:cs="Times New Roman"/>
          <w:lang w:eastAsia="sl-SI"/>
        </w:rPr>
        <w:t>um</w:t>
      </w:r>
    </w:p>
    <w:p w14:paraId="2CFECAF9" w14:textId="77777777" w:rsidR="000D7B89" w:rsidRDefault="000D7B89" w:rsidP="000D7B89">
      <w:pPr>
        <w:widowControl w:val="0"/>
        <w:spacing w:after="0" w:line="240" w:lineRule="auto"/>
        <w:rPr>
          <w:rFonts w:ascii="Times New Roman" w:eastAsia="Times New Roman" w:hAnsi="Times New Roman" w:cs="Times New Roman"/>
          <w:lang w:eastAsia="sl-SI"/>
        </w:rPr>
      </w:pPr>
    </w:p>
    <w:p w14:paraId="45BD8733" w14:textId="77777777" w:rsidR="0025054B" w:rsidRPr="003E1719" w:rsidRDefault="0025054B" w:rsidP="000D7B89">
      <w:pPr>
        <w:widowControl w:val="0"/>
        <w:spacing w:after="0" w:line="240" w:lineRule="auto"/>
        <w:rPr>
          <w:rFonts w:ascii="Times New Roman" w:eastAsia="Times New Roman" w:hAnsi="Times New Roman" w:cs="Times New Roman"/>
          <w:lang w:eastAsia="sl-SI"/>
        </w:rPr>
      </w:pPr>
    </w:p>
    <w:p w14:paraId="12F89A14"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2.</w:t>
      </w:r>
      <w:r w:rsidRPr="003E1719">
        <w:rPr>
          <w:rFonts w:ascii="Times New Roman" w:eastAsia="Times New Roman" w:hAnsi="Times New Roman" w:cs="Times New Roman"/>
          <w:b/>
          <w:lang w:eastAsia="sl-SI"/>
        </w:rPr>
        <w:tab/>
        <w:t>VEIKLIOJI (-IOS) MEDŽIAGA (-OS) IR JOS (-Ų) KIEKIS (-IAI)</w:t>
      </w:r>
    </w:p>
    <w:p w14:paraId="663BAFF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ADB0B4D" w14:textId="6E415753"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lang w:eastAsia="sl-SI"/>
        </w:rPr>
        <w:t xml:space="preserve">Kiekvienoje plėvele dengtoje tabletėje yra </w:t>
      </w:r>
      <w:r w:rsidRPr="003E1719">
        <w:rPr>
          <w:rFonts w:ascii="Times New Roman" w:eastAsia="Times New Roman" w:hAnsi="Times New Roman" w:cs="Times New Roman"/>
        </w:rPr>
        <w:t xml:space="preserve">10 mg rozuvastatino (rozuvastatino kalcio druskos pavidalu) </w:t>
      </w:r>
      <w:r w:rsidR="00212A78">
        <w:rPr>
          <w:rFonts w:ascii="Times New Roman" w:eastAsia="Times New Roman" w:hAnsi="Times New Roman" w:cs="Times New Roman"/>
        </w:rPr>
        <w:t xml:space="preserve"> </w:t>
      </w:r>
      <w:r w:rsidRPr="003E1719">
        <w:rPr>
          <w:rFonts w:ascii="Times New Roman" w:eastAsia="Times New Roman" w:hAnsi="Times New Roman" w:cs="Times New Roman"/>
        </w:rPr>
        <w:t>ir 10 mg ezetimibo.</w:t>
      </w:r>
    </w:p>
    <w:p w14:paraId="604D37A7" w14:textId="5BC01073" w:rsidR="00573D24" w:rsidRPr="003E1719" w:rsidRDefault="00573D24" w:rsidP="00573D24">
      <w:pPr>
        <w:widowControl w:val="0"/>
        <w:autoSpaceDE w:val="0"/>
        <w:autoSpaceDN w:val="0"/>
        <w:adjustRightInd w:val="0"/>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lang w:eastAsia="sl-SI"/>
        </w:rPr>
        <w:t xml:space="preserve">Kiekvienoje plėvele dengtoje tabletėje yra </w:t>
      </w:r>
      <w:r w:rsidRPr="00FF4691">
        <w:rPr>
          <w:rFonts w:ascii="Times New Roman" w:eastAsia="Times New Roman" w:hAnsi="Times New Roman" w:cs="Times New Roman"/>
          <w:highlight w:val="lightGray"/>
        </w:rPr>
        <w:t xml:space="preserve">20 mg rozuvastatino (rozuvastatino kalcio druskos pavidalu) </w:t>
      </w:r>
      <w:r w:rsidR="00212A78">
        <w:rPr>
          <w:rFonts w:ascii="Times New Roman" w:eastAsia="Times New Roman" w:hAnsi="Times New Roman" w:cs="Times New Roman"/>
          <w:highlight w:val="lightGray"/>
        </w:rPr>
        <w:t xml:space="preserve"> </w:t>
      </w:r>
      <w:r w:rsidRPr="00FF4691">
        <w:rPr>
          <w:rFonts w:ascii="Times New Roman" w:eastAsia="Times New Roman" w:hAnsi="Times New Roman" w:cs="Times New Roman"/>
          <w:highlight w:val="lightGray"/>
        </w:rPr>
        <w:t>ir 10 mg ezetimibo.</w:t>
      </w:r>
    </w:p>
    <w:p w14:paraId="0D5CE1BB" w14:textId="77777777" w:rsidR="00573D24" w:rsidRPr="003E1719" w:rsidRDefault="00573D24" w:rsidP="00573D24">
      <w:pPr>
        <w:widowControl w:val="0"/>
        <w:autoSpaceDE w:val="0"/>
        <w:autoSpaceDN w:val="0"/>
        <w:adjustRightInd w:val="0"/>
        <w:spacing w:after="0" w:line="240" w:lineRule="auto"/>
        <w:rPr>
          <w:rFonts w:ascii="Times New Roman" w:eastAsia="Times New Roman" w:hAnsi="Times New Roman" w:cs="Times New Roman"/>
          <w:bCs/>
        </w:rPr>
      </w:pPr>
    </w:p>
    <w:p w14:paraId="3F4C712A" w14:textId="77777777" w:rsidR="00573D24" w:rsidRPr="003E1719" w:rsidRDefault="00573D24" w:rsidP="00573D24">
      <w:pPr>
        <w:widowControl w:val="0"/>
        <w:autoSpaceDE w:val="0"/>
        <w:autoSpaceDN w:val="0"/>
        <w:adjustRightInd w:val="0"/>
        <w:spacing w:after="0" w:line="240" w:lineRule="auto"/>
        <w:rPr>
          <w:rFonts w:ascii="Times New Roman" w:eastAsia="Times New Roman" w:hAnsi="Times New Roman" w:cs="Times New Roman"/>
          <w:bCs/>
        </w:rPr>
      </w:pPr>
    </w:p>
    <w:p w14:paraId="729E34DE"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3.</w:t>
      </w:r>
      <w:r w:rsidRPr="003E1719">
        <w:rPr>
          <w:rFonts w:ascii="Times New Roman" w:eastAsia="Times New Roman" w:hAnsi="Times New Roman" w:cs="Times New Roman"/>
          <w:b/>
          <w:lang w:eastAsia="sl-SI"/>
        </w:rPr>
        <w:tab/>
        <w:t>PAGALBINIŲ MEDŽIAGŲ SĄRAŠAS</w:t>
      </w:r>
    </w:p>
    <w:p w14:paraId="3A5F15F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CDAA58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Sudėtyje yra laktozės.</w:t>
      </w:r>
    </w:p>
    <w:p w14:paraId="1B0D357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Daugiau informacijos pateikiama pakuotės lapelyje.</w:t>
      </w:r>
    </w:p>
    <w:p w14:paraId="64C8CEC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6B26DA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624AD8E"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w:t>
      </w:r>
      <w:r w:rsidRPr="003E1719">
        <w:rPr>
          <w:rFonts w:ascii="Times New Roman" w:eastAsia="Times New Roman" w:hAnsi="Times New Roman" w:cs="Times New Roman"/>
          <w:b/>
          <w:lang w:eastAsia="sl-SI"/>
        </w:rPr>
        <w:tab/>
        <w:t>FARMACINĖ FORMA IR KIEKIS PAKUOTĖJE</w:t>
      </w:r>
    </w:p>
    <w:p w14:paraId="4822E1E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D42038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plėvele dengta tabletė</w:t>
      </w:r>
    </w:p>
    <w:p w14:paraId="688F633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FDDD593" w14:textId="77777777" w:rsidR="000D7B89" w:rsidRPr="003E1719" w:rsidRDefault="00573D24" w:rsidP="000D7B89">
      <w:pPr>
        <w:widowControl w:val="0"/>
        <w:tabs>
          <w:tab w:val="left" w:pos="1440"/>
        </w:tabs>
        <w:spacing w:after="0" w:line="240" w:lineRule="auto"/>
        <w:rPr>
          <w:rFonts w:ascii="Times New Roman" w:eastAsia="Times New Roman" w:hAnsi="Times New Roman" w:cs="Times New Roman"/>
          <w:iCs/>
        </w:rPr>
      </w:pPr>
      <w:r w:rsidRPr="003E1719">
        <w:rPr>
          <w:rFonts w:ascii="Times New Roman" w:eastAsia="Times New Roman" w:hAnsi="Times New Roman" w:cs="Times New Roman"/>
          <w:iCs/>
        </w:rPr>
        <w:t>10</w:t>
      </w:r>
      <w:r w:rsidR="000D7B89" w:rsidRPr="003E1719">
        <w:rPr>
          <w:rFonts w:ascii="Times New Roman" w:eastAsia="Times New Roman" w:hAnsi="Times New Roman" w:cs="Times New Roman"/>
          <w:iCs/>
        </w:rPr>
        <w:t xml:space="preserve"> </w:t>
      </w:r>
      <w:r w:rsidR="000D7B89" w:rsidRPr="003E1719">
        <w:rPr>
          <w:rFonts w:ascii="Times New Roman" w:eastAsia="Times New Roman" w:hAnsi="Times New Roman" w:cs="Times New Roman"/>
          <w:lang w:eastAsia="sl-SI"/>
        </w:rPr>
        <w:t>plėvele dengtų tablečių</w:t>
      </w:r>
    </w:p>
    <w:p w14:paraId="5C5742C4" w14:textId="77777777" w:rsidR="000D7B89" w:rsidRPr="00FF4691" w:rsidRDefault="000D7B89" w:rsidP="000D7B89">
      <w:pPr>
        <w:widowControl w:val="0"/>
        <w:spacing w:after="0" w:line="240" w:lineRule="auto"/>
        <w:rPr>
          <w:rFonts w:ascii="Times New Roman" w:eastAsia="Times New Roman" w:hAnsi="Times New Roman" w:cs="Times New Roman"/>
          <w:iCs/>
          <w:highlight w:val="lightGray"/>
        </w:rPr>
      </w:pPr>
      <w:r w:rsidRPr="00FF4691">
        <w:rPr>
          <w:rFonts w:ascii="Times New Roman" w:eastAsia="Times New Roman" w:hAnsi="Times New Roman" w:cs="Times New Roman"/>
          <w:iCs/>
          <w:highlight w:val="lightGray"/>
        </w:rPr>
        <w:t xml:space="preserve">28 </w:t>
      </w:r>
      <w:r w:rsidRPr="00FF4691">
        <w:rPr>
          <w:rFonts w:ascii="Times New Roman" w:eastAsia="Times New Roman" w:hAnsi="Times New Roman" w:cs="Times New Roman"/>
          <w:highlight w:val="lightGray"/>
          <w:lang w:eastAsia="sl-SI"/>
        </w:rPr>
        <w:t>plėvele dengtos tabletės</w:t>
      </w:r>
    </w:p>
    <w:p w14:paraId="1AA9354B" w14:textId="77777777" w:rsidR="000D7B89" w:rsidRPr="00FF4691" w:rsidRDefault="000D7B89" w:rsidP="000D7B89">
      <w:pPr>
        <w:widowControl w:val="0"/>
        <w:spacing w:after="0" w:line="240" w:lineRule="auto"/>
        <w:rPr>
          <w:rFonts w:ascii="Times New Roman" w:eastAsia="Times New Roman" w:hAnsi="Times New Roman" w:cs="Times New Roman"/>
          <w:iCs/>
          <w:highlight w:val="lightGray"/>
        </w:rPr>
      </w:pPr>
      <w:r w:rsidRPr="00FF4691">
        <w:rPr>
          <w:rFonts w:ascii="Times New Roman" w:eastAsia="Times New Roman" w:hAnsi="Times New Roman" w:cs="Times New Roman"/>
          <w:iCs/>
          <w:highlight w:val="lightGray"/>
        </w:rPr>
        <w:t xml:space="preserve">30 </w:t>
      </w:r>
      <w:r w:rsidRPr="00FF4691">
        <w:rPr>
          <w:rFonts w:ascii="Times New Roman" w:eastAsia="Times New Roman" w:hAnsi="Times New Roman" w:cs="Times New Roman"/>
          <w:highlight w:val="lightGray"/>
          <w:lang w:eastAsia="sl-SI"/>
        </w:rPr>
        <w:t>plėvele dengtų tablečių</w:t>
      </w:r>
    </w:p>
    <w:p w14:paraId="686E3AC9" w14:textId="05E46958" w:rsidR="000D7B89" w:rsidRDefault="000D7B89" w:rsidP="000D7B89">
      <w:pPr>
        <w:widowControl w:val="0"/>
        <w:spacing w:after="0" w:line="240" w:lineRule="auto"/>
        <w:rPr>
          <w:rFonts w:ascii="Times New Roman" w:eastAsia="Times New Roman" w:hAnsi="Times New Roman" w:cs="Times New Roman"/>
          <w:lang w:eastAsia="sl-SI"/>
        </w:rPr>
      </w:pPr>
      <w:r w:rsidRPr="00FF4691">
        <w:rPr>
          <w:rFonts w:ascii="Times New Roman" w:eastAsia="Times New Roman" w:hAnsi="Times New Roman" w:cs="Times New Roman"/>
          <w:iCs/>
          <w:highlight w:val="lightGray"/>
        </w:rPr>
        <w:t xml:space="preserve">60 </w:t>
      </w:r>
      <w:r w:rsidRPr="00FF4691">
        <w:rPr>
          <w:rFonts w:ascii="Times New Roman" w:eastAsia="Times New Roman" w:hAnsi="Times New Roman" w:cs="Times New Roman"/>
          <w:highlight w:val="lightGray"/>
          <w:lang w:eastAsia="sl-SI"/>
        </w:rPr>
        <w:t>plėvele dengtų tablečių</w:t>
      </w:r>
    </w:p>
    <w:p w14:paraId="20D12CD0" w14:textId="77777777" w:rsidR="0051045D" w:rsidRPr="008A7FE7" w:rsidRDefault="0051045D" w:rsidP="0051045D">
      <w:pPr>
        <w:widowControl w:val="0"/>
        <w:spacing w:after="0" w:line="240" w:lineRule="auto"/>
        <w:rPr>
          <w:rFonts w:ascii="Times New Roman" w:eastAsia="Times New Roman" w:hAnsi="Times New Roman" w:cs="Times New Roman"/>
          <w:highlight w:val="lightGray"/>
          <w:lang w:eastAsia="sl-SI"/>
        </w:rPr>
      </w:pPr>
      <w:r w:rsidRPr="008A7FE7">
        <w:rPr>
          <w:rFonts w:ascii="Times New Roman" w:eastAsia="Times New Roman" w:hAnsi="Times New Roman" w:cs="Times New Roman"/>
          <w:highlight w:val="lightGray"/>
          <w:lang w:eastAsia="sl-SI"/>
        </w:rPr>
        <w:t>90 plėvele dengtų tablečių</w:t>
      </w:r>
    </w:p>
    <w:p w14:paraId="26AA1718" w14:textId="77777777" w:rsidR="0051045D" w:rsidRPr="003E1719" w:rsidRDefault="0051045D" w:rsidP="000D7B89">
      <w:pPr>
        <w:widowControl w:val="0"/>
        <w:spacing w:after="0" w:line="240" w:lineRule="auto"/>
        <w:rPr>
          <w:rFonts w:ascii="Times New Roman" w:eastAsia="Times New Roman" w:hAnsi="Times New Roman" w:cs="Times New Roman"/>
          <w:iCs/>
        </w:rPr>
      </w:pPr>
    </w:p>
    <w:p w14:paraId="67D2283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45E38E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DB9A4C0"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5.</w:t>
      </w:r>
      <w:r w:rsidRPr="003E1719">
        <w:rPr>
          <w:rFonts w:ascii="Times New Roman" w:eastAsia="Times New Roman" w:hAnsi="Times New Roman" w:cs="Times New Roman"/>
          <w:b/>
          <w:lang w:eastAsia="sl-SI"/>
        </w:rPr>
        <w:tab/>
        <w:t>VARTOJIMO METODAS IR BŪDAS (-AI)</w:t>
      </w:r>
    </w:p>
    <w:p w14:paraId="45F2216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4F778F3" w14:textId="77777777" w:rsidR="002905FE" w:rsidRPr="003E1719" w:rsidRDefault="002905FE" w:rsidP="002905FE">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Vartoti per burną.</w:t>
      </w:r>
    </w:p>
    <w:p w14:paraId="54E8060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Prieš vartojimą perskaitykite pakuotės lapelį.</w:t>
      </w:r>
    </w:p>
    <w:p w14:paraId="643B146D" w14:textId="06A155E4"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0795ED5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DBDFCDE"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w:t>
      </w:r>
      <w:r w:rsidRPr="003E1719">
        <w:rPr>
          <w:rFonts w:ascii="Times New Roman" w:eastAsia="Times New Roman" w:hAnsi="Times New Roman" w:cs="Times New Roman"/>
          <w:b/>
          <w:lang w:eastAsia="sl-SI"/>
        </w:rPr>
        <w:tab/>
        <w:t>SPECIALUS ĮSPĖJIMAS, KAD VAISTINĮ PREPARATĄ BŪTINA LAIKYTI VAIKAMS NEPASTEBIMOJE IR NEPASIEKIAMOJE VIETOJE</w:t>
      </w:r>
    </w:p>
    <w:p w14:paraId="1C9A8C3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002035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Laikyti vaikams nepastebimoje ir nepasiekiamoje vietoje.</w:t>
      </w:r>
    </w:p>
    <w:p w14:paraId="18469631"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66FCA63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580C88D"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7.</w:t>
      </w:r>
      <w:r w:rsidRPr="003E1719">
        <w:rPr>
          <w:rFonts w:ascii="Times New Roman" w:eastAsia="Times New Roman" w:hAnsi="Times New Roman" w:cs="Times New Roman"/>
          <w:b/>
          <w:lang w:eastAsia="sl-SI"/>
        </w:rPr>
        <w:tab/>
        <w:t>KITAS (-I) SPECIALUS (-ŪS) ĮSPĖJIMAS (-AI) (JEI REIKIA)</w:t>
      </w:r>
    </w:p>
    <w:p w14:paraId="389A6A6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6F1504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2A0AF18"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8.</w:t>
      </w:r>
      <w:r w:rsidRPr="003E1719">
        <w:rPr>
          <w:rFonts w:ascii="Times New Roman" w:eastAsia="Times New Roman" w:hAnsi="Times New Roman" w:cs="Times New Roman"/>
          <w:b/>
          <w:lang w:eastAsia="sl-SI"/>
        </w:rPr>
        <w:tab/>
        <w:t>TINKAMUMO LAIKAS</w:t>
      </w:r>
    </w:p>
    <w:p w14:paraId="296A119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532DBC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EXP (mm/MMMM)</w:t>
      </w:r>
    </w:p>
    <w:p w14:paraId="6B27158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572800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4A6D3EE"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9.</w:t>
      </w:r>
      <w:r w:rsidRPr="003E1719">
        <w:rPr>
          <w:rFonts w:ascii="Times New Roman" w:eastAsia="Times New Roman" w:hAnsi="Times New Roman" w:cs="Times New Roman"/>
          <w:b/>
          <w:lang w:eastAsia="sl-SI"/>
        </w:rPr>
        <w:tab/>
        <w:t>SPECIALIOS LAIKYMO SĄLYGOS</w:t>
      </w:r>
    </w:p>
    <w:p w14:paraId="2F1D123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95005F9"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Laikyti gamintojo pakuotėje, kad vaistas būtų apsaugotas nuo šviesos ir drėgmės.</w:t>
      </w:r>
    </w:p>
    <w:p w14:paraId="5E01D3F5"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072D482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F36CEF2"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10.</w:t>
      </w:r>
      <w:r w:rsidRPr="003E1719">
        <w:rPr>
          <w:rFonts w:ascii="Times New Roman" w:eastAsia="Times New Roman" w:hAnsi="Times New Roman" w:cs="Times New Roman"/>
          <w:b/>
          <w:lang w:eastAsia="sl-SI"/>
        </w:rPr>
        <w:tab/>
        <w:t>SPECIALIOS ATSARGUMO PRIEMONĖS DĖL NESUVARTOTO VAISTINIO PREPARATO AR JO ATLIEKŲ TVARKYMO (JEI REIKIA)</w:t>
      </w:r>
    </w:p>
    <w:p w14:paraId="24AE09A2"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43B45F19"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9B1145A"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11.</w:t>
      </w:r>
      <w:r w:rsidRPr="003E1719">
        <w:rPr>
          <w:rFonts w:ascii="Times New Roman" w:eastAsia="Times New Roman" w:hAnsi="Times New Roman" w:cs="Times New Roman"/>
          <w:b/>
          <w:lang w:eastAsia="sl-SI"/>
        </w:rPr>
        <w:tab/>
        <w:t>REGISTRUOTOJO PAVADINIMAS IR ADRESAS</w:t>
      </w:r>
    </w:p>
    <w:p w14:paraId="1966AB79"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2CCEE4B" w14:textId="18AD7CC2" w:rsidR="007C7336" w:rsidRPr="003E1719" w:rsidRDefault="007C7336" w:rsidP="007C7336">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Teva B.V</w:t>
      </w:r>
      <w:r w:rsidR="00174A45">
        <w:rPr>
          <w:rFonts w:ascii="Times New Roman" w:eastAsia="Times New Roman" w:hAnsi="Times New Roman" w:cs="Times New Roman"/>
          <w:lang w:val="en-GB"/>
        </w:rPr>
        <w:t>.</w:t>
      </w:r>
    </w:p>
    <w:p w14:paraId="5ADE6299" w14:textId="77777777" w:rsidR="007C7336" w:rsidRPr="003E1719" w:rsidRDefault="007C7336" w:rsidP="007C7336">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Swensweg 5</w:t>
      </w:r>
    </w:p>
    <w:p w14:paraId="20797FFE" w14:textId="77777777" w:rsidR="007C7336" w:rsidRPr="003E1719" w:rsidRDefault="007C7336" w:rsidP="007C7336">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2031 GA Haarlem</w:t>
      </w:r>
    </w:p>
    <w:p w14:paraId="70300923" w14:textId="77777777" w:rsidR="007C7336" w:rsidRPr="003E1719" w:rsidRDefault="007C7336" w:rsidP="007C7336">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Nyderlandai</w:t>
      </w:r>
    </w:p>
    <w:p w14:paraId="7DDB8A0F"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6A4C558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D796A5E"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12.</w:t>
      </w:r>
      <w:r w:rsidRPr="003E1719">
        <w:rPr>
          <w:rFonts w:ascii="Times New Roman" w:eastAsia="Times New Roman" w:hAnsi="Times New Roman" w:cs="Times New Roman"/>
          <w:b/>
          <w:lang w:eastAsia="sl-SI"/>
        </w:rPr>
        <w:tab/>
        <w:t>REGISTRACIJOS PAŽYMĖJIMO NUMERIS (-IAI)</w:t>
      </w:r>
    </w:p>
    <w:p w14:paraId="1379E158" w14:textId="77777777" w:rsidR="00212A78" w:rsidRPr="003E1719" w:rsidRDefault="00212A78" w:rsidP="000D7B89">
      <w:pPr>
        <w:widowControl w:val="0"/>
        <w:spacing w:after="0" w:line="240" w:lineRule="auto"/>
        <w:rPr>
          <w:rFonts w:ascii="Times New Roman" w:eastAsia="Times New Roman" w:hAnsi="Times New Roman" w:cs="Times New Roman"/>
          <w:lang w:eastAsia="sl-SI"/>
        </w:rPr>
      </w:pPr>
    </w:p>
    <w:p w14:paraId="7243EB02" w14:textId="329BA6C3" w:rsidR="00212A78" w:rsidRPr="00212A78" w:rsidRDefault="00212A78" w:rsidP="00212A78">
      <w:pPr>
        <w:widowControl w:val="0"/>
        <w:spacing w:after="0" w:line="240" w:lineRule="auto"/>
        <w:rPr>
          <w:rFonts w:ascii="Times New Roman" w:eastAsia="Times New Roman" w:hAnsi="Times New Roman" w:cs="Times New Roman"/>
          <w:u w:val="single"/>
          <w:shd w:val="clear" w:color="auto" w:fill="D9D9D9" w:themeFill="background1" w:themeFillShade="D9"/>
          <w:lang w:eastAsia="sl-SI"/>
        </w:rPr>
      </w:pPr>
      <w:r w:rsidRPr="00212A78">
        <w:rPr>
          <w:rFonts w:ascii="Times New Roman" w:eastAsia="Times New Roman" w:hAnsi="Times New Roman" w:cs="Times New Roman"/>
          <w:u w:val="single"/>
          <w:shd w:val="clear" w:color="auto" w:fill="D9D9D9" w:themeFill="background1" w:themeFillShade="D9"/>
          <w:lang w:eastAsia="sl-SI"/>
        </w:rPr>
        <w:t>10 mg/10 mg</w:t>
      </w:r>
    </w:p>
    <w:p w14:paraId="1088F93E" w14:textId="77777777" w:rsidR="00212A78" w:rsidRPr="00212A78"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212A78">
        <w:rPr>
          <w:rFonts w:ascii="Times New Roman" w:eastAsia="Times New Roman" w:hAnsi="Times New Roman" w:cs="Times New Roman"/>
          <w:lang w:eastAsia="sl-SI"/>
        </w:rPr>
        <w:t xml:space="preserve">LT/1/22/5052/001 </w:t>
      </w:r>
      <w:r w:rsidRPr="00212A78">
        <w:rPr>
          <w:rFonts w:ascii="Times New Roman" w:eastAsia="Times New Roman" w:hAnsi="Times New Roman" w:cs="Times New Roman"/>
          <w:shd w:val="clear" w:color="auto" w:fill="D9D9D9" w:themeFill="background1" w:themeFillShade="D9"/>
          <w:lang w:eastAsia="sl-SI"/>
        </w:rPr>
        <w:t>– N10</w:t>
      </w:r>
    </w:p>
    <w:p w14:paraId="71CE6895" w14:textId="77777777" w:rsidR="00212A78" w:rsidRPr="00212A78"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212A78">
        <w:rPr>
          <w:rFonts w:ascii="Times New Roman" w:eastAsia="Times New Roman" w:hAnsi="Times New Roman" w:cs="Times New Roman"/>
          <w:shd w:val="clear" w:color="auto" w:fill="D9D9D9" w:themeFill="background1" w:themeFillShade="D9"/>
          <w:lang w:eastAsia="sl-SI"/>
        </w:rPr>
        <w:t>LT/1/22/5052/002 – N28</w:t>
      </w:r>
    </w:p>
    <w:p w14:paraId="168F0AA7" w14:textId="77777777" w:rsidR="00212A78" w:rsidRPr="00212A78"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212A78">
        <w:rPr>
          <w:rFonts w:ascii="Times New Roman" w:eastAsia="Times New Roman" w:hAnsi="Times New Roman" w:cs="Times New Roman"/>
          <w:shd w:val="clear" w:color="auto" w:fill="D9D9D9" w:themeFill="background1" w:themeFillShade="D9"/>
          <w:lang w:eastAsia="sl-SI"/>
        </w:rPr>
        <w:t>LT/1/22/5052/003 – N30</w:t>
      </w:r>
    </w:p>
    <w:p w14:paraId="3E9644E8" w14:textId="4F361B52" w:rsidR="000D7B89"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212A78">
        <w:rPr>
          <w:rFonts w:ascii="Times New Roman" w:eastAsia="Times New Roman" w:hAnsi="Times New Roman" w:cs="Times New Roman"/>
          <w:shd w:val="clear" w:color="auto" w:fill="D9D9D9" w:themeFill="background1" w:themeFillShade="D9"/>
          <w:lang w:eastAsia="sl-SI"/>
        </w:rPr>
        <w:t>LT/1/22/5052/004 – N60</w:t>
      </w:r>
    </w:p>
    <w:p w14:paraId="45D90AD3" w14:textId="77777777" w:rsidR="0051045D" w:rsidRPr="00212A78" w:rsidRDefault="0051045D" w:rsidP="0051045D">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Pr>
          <w:rFonts w:ascii="Times New Roman" w:eastAsia="Times New Roman" w:hAnsi="Times New Roman" w:cs="Times New Roman"/>
          <w:shd w:val="clear" w:color="auto" w:fill="D9D9D9" w:themeFill="background1" w:themeFillShade="D9"/>
          <w:lang w:eastAsia="sl-SI"/>
        </w:rPr>
        <w:t>LT/1/22/5052/005 – N9</w:t>
      </w:r>
      <w:r w:rsidRPr="008A7FE7">
        <w:rPr>
          <w:rFonts w:ascii="Times New Roman" w:eastAsia="Times New Roman" w:hAnsi="Times New Roman" w:cs="Times New Roman"/>
          <w:shd w:val="clear" w:color="auto" w:fill="D9D9D9" w:themeFill="background1" w:themeFillShade="D9"/>
          <w:lang w:eastAsia="sl-SI"/>
        </w:rPr>
        <w:t>0</w:t>
      </w:r>
    </w:p>
    <w:p w14:paraId="69C302A9" w14:textId="77777777" w:rsidR="0051045D" w:rsidRPr="00212A78" w:rsidRDefault="0051045D"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p>
    <w:p w14:paraId="6164D629" w14:textId="77777777" w:rsidR="00212A78" w:rsidRPr="00212A78"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p>
    <w:p w14:paraId="4B40F94E" w14:textId="6E717A93" w:rsidR="00212A78" w:rsidRPr="00212A78" w:rsidRDefault="00212A78" w:rsidP="00212A78">
      <w:pPr>
        <w:widowControl w:val="0"/>
        <w:spacing w:after="0" w:line="240" w:lineRule="auto"/>
        <w:rPr>
          <w:rFonts w:ascii="Times New Roman" w:eastAsia="Times New Roman" w:hAnsi="Times New Roman" w:cs="Times New Roman"/>
          <w:u w:val="single"/>
          <w:shd w:val="clear" w:color="auto" w:fill="D9D9D9" w:themeFill="background1" w:themeFillShade="D9"/>
          <w:lang w:eastAsia="sl-SI"/>
        </w:rPr>
      </w:pPr>
      <w:r w:rsidRPr="00212A78">
        <w:rPr>
          <w:rFonts w:ascii="Times New Roman" w:eastAsia="Times New Roman" w:hAnsi="Times New Roman" w:cs="Times New Roman"/>
          <w:u w:val="single"/>
          <w:shd w:val="clear" w:color="auto" w:fill="D9D9D9" w:themeFill="background1" w:themeFillShade="D9"/>
          <w:lang w:eastAsia="sl-SI"/>
        </w:rPr>
        <w:t>20 mg/10 mg</w:t>
      </w:r>
    </w:p>
    <w:p w14:paraId="0154589A" w14:textId="77777777" w:rsidR="00212A78" w:rsidRPr="00212A78"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212A78">
        <w:rPr>
          <w:rFonts w:ascii="Times New Roman" w:eastAsia="Times New Roman" w:hAnsi="Times New Roman" w:cs="Times New Roman"/>
          <w:shd w:val="clear" w:color="auto" w:fill="D9D9D9" w:themeFill="background1" w:themeFillShade="D9"/>
          <w:lang w:eastAsia="sl-SI"/>
        </w:rPr>
        <w:t>LT/1/22/5053/001 – N10</w:t>
      </w:r>
    </w:p>
    <w:p w14:paraId="1BD7C053" w14:textId="77777777" w:rsidR="00212A78" w:rsidRPr="00212A78"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212A78">
        <w:rPr>
          <w:rFonts w:ascii="Times New Roman" w:eastAsia="Times New Roman" w:hAnsi="Times New Roman" w:cs="Times New Roman"/>
          <w:shd w:val="clear" w:color="auto" w:fill="D9D9D9" w:themeFill="background1" w:themeFillShade="D9"/>
          <w:lang w:eastAsia="sl-SI"/>
        </w:rPr>
        <w:t>LT/1/22/5053/002 – N28</w:t>
      </w:r>
    </w:p>
    <w:p w14:paraId="3EF9E25B" w14:textId="77777777" w:rsidR="00212A78" w:rsidRPr="00212A78"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212A78">
        <w:rPr>
          <w:rFonts w:ascii="Times New Roman" w:eastAsia="Times New Roman" w:hAnsi="Times New Roman" w:cs="Times New Roman"/>
          <w:shd w:val="clear" w:color="auto" w:fill="D9D9D9" w:themeFill="background1" w:themeFillShade="D9"/>
          <w:lang w:eastAsia="sl-SI"/>
        </w:rPr>
        <w:t>LT/1/22/5053/003 – N30</w:t>
      </w:r>
    </w:p>
    <w:p w14:paraId="7478D4DC" w14:textId="423DC296" w:rsidR="00212A78" w:rsidRDefault="00212A78"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212A78">
        <w:rPr>
          <w:rFonts w:ascii="Times New Roman" w:eastAsia="Times New Roman" w:hAnsi="Times New Roman" w:cs="Times New Roman"/>
          <w:shd w:val="clear" w:color="auto" w:fill="D9D9D9" w:themeFill="background1" w:themeFillShade="D9"/>
          <w:lang w:eastAsia="sl-SI"/>
        </w:rPr>
        <w:t>LT/1/22/5053/004 – N60</w:t>
      </w:r>
    </w:p>
    <w:p w14:paraId="3E32AD30" w14:textId="77777777" w:rsidR="0051045D" w:rsidRDefault="0051045D" w:rsidP="0051045D">
      <w:pPr>
        <w:widowControl w:val="0"/>
        <w:spacing w:after="0" w:line="240" w:lineRule="auto"/>
        <w:rPr>
          <w:rFonts w:ascii="Times New Roman" w:eastAsia="Times New Roman" w:hAnsi="Times New Roman" w:cs="Times New Roman"/>
          <w:lang w:eastAsia="sl-SI"/>
        </w:rPr>
      </w:pPr>
      <w:r w:rsidRPr="00000096">
        <w:rPr>
          <w:rFonts w:ascii="Times New Roman" w:eastAsia="Times New Roman" w:hAnsi="Times New Roman" w:cs="Times New Roman"/>
          <w:highlight w:val="lightGray"/>
          <w:lang w:eastAsia="sl-SI"/>
        </w:rPr>
        <w:t>LT/1/22/5053/00</w:t>
      </w:r>
      <w:r>
        <w:rPr>
          <w:rFonts w:ascii="Times New Roman" w:eastAsia="Times New Roman" w:hAnsi="Times New Roman" w:cs="Times New Roman"/>
          <w:highlight w:val="lightGray"/>
          <w:lang w:eastAsia="sl-SI"/>
        </w:rPr>
        <w:t>5</w:t>
      </w:r>
      <w:r w:rsidRPr="00000096">
        <w:rPr>
          <w:rFonts w:ascii="Times New Roman" w:eastAsia="Times New Roman" w:hAnsi="Times New Roman" w:cs="Times New Roman"/>
          <w:highlight w:val="lightGray"/>
          <w:lang w:eastAsia="sl-SI"/>
        </w:rPr>
        <w:t xml:space="preserve"> – N90</w:t>
      </w:r>
    </w:p>
    <w:p w14:paraId="565ED90B" w14:textId="77777777" w:rsidR="0051045D" w:rsidRPr="00212A78" w:rsidRDefault="0051045D" w:rsidP="00212A78">
      <w:pPr>
        <w:widowControl w:val="0"/>
        <w:spacing w:after="0" w:line="240" w:lineRule="auto"/>
        <w:rPr>
          <w:rFonts w:ascii="Times New Roman" w:eastAsia="Times New Roman" w:hAnsi="Times New Roman" w:cs="Times New Roman"/>
          <w:shd w:val="clear" w:color="auto" w:fill="D9D9D9" w:themeFill="background1" w:themeFillShade="D9"/>
          <w:lang w:eastAsia="sl-SI"/>
        </w:rPr>
      </w:pPr>
    </w:p>
    <w:p w14:paraId="12784D8B" w14:textId="77777777" w:rsidR="00212A78" w:rsidRDefault="00212A78" w:rsidP="00212A78">
      <w:pPr>
        <w:widowControl w:val="0"/>
        <w:spacing w:after="0" w:line="240" w:lineRule="auto"/>
        <w:rPr>
          <w:rFonts w:ascii="Times New Roman" w:eastAsia="Times New Roman" w:hAnsi="Times New Roman" w:cs="Times New Roman"/>
          <w:lang w:eastAsia="sl-SI"/>
        </w:rPr>
      </w:pPr>
    </w:p>
    <w:p w14:paraId="57A0CE49" w14:textId="77777777" w:rsidR="00212A78" w:rsidRPr="003E1719" w:rsidRDefault="00212A78" w:rsidP="00212A78">
      <w:pPr>
        <w:widowControl w:val="0"/>
        <w:spacing w:after="0" w:line="240" w:lineRule="auto"/>
        <w:rPr>
          <w:rFonts w:ascii="Times New Roman" w:eastAsia="Times New Roman" w:hAnsi="Times New Roman" w:cs="Times New Roman"/>
          <w:lang w:eastAsia="sl-SI"/>
        </w:rPr>
      </w:pPr>
    </w:p>
    <w:p w14:paraId="25DE3F77"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13.</w:t>
      </w:r>
      <w:r w:rsidRPr="003E1719">
        <w:rPr>
          <w:rFonts w:ascii="Times New Roman" w:eastAsia="Times New Roman" w:hAnsi="Times New Roman" w:cs="Times New Roman"/>
          <w:b/>
          <w:lang w:eastAsia="sl-SI"/>
        </w:rPr>
        <w:tab/>
        <w:t>SERIJOS NUMERIS</w:t>
      </w:r>
    </w:p>
    <w:p w14:paraId="5A35812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1A7EB7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Lot</w:t>
      </w:r>
    </w:p>
    <w:p w14:paraId="32000BB8"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46CE582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517ABFF"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14.</w:t>
      </w:r>
      <w:r w:rsidRPr="003E1719">
        <w:rPr>
          <w:rFonts w:ascii="Times New Roman" w:eastAsia="Times New Roman" w:hAnsi="Times New Roman" w:cs="Times New Roman"/>
          <w:b/>
          <w:lang w:eastAsia="sl-SI"/>
        </w:rPr>
        <w:tab/>
        <w:t>PARDAVIMO (IŠDAVIMO) TVARKA</w:t>
      </w:r>
    </w:p>
    <w:p w14:paraId="282E56D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4C54919"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Receptinis vaistas</w:t>
      </w:r>
    </w:p>
    <w:p w14:paraId="6F920E42"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5139F36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73CD419"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15.</w:t>
      </w:r>
      <w:r w:rsidRPr="003E1719">
        <w:rPr>
          <w:rFonts w:ascii="Times New Roman" w:eastAsia="Times New Roman" w:hAnsi="Times New Roman" w:cs="Times New Roman"/>
          <w:b/>
          <w:lang w:eastAsia="sl-SI"/>
        </w:rPr>
        <w:tab/>
        <w:t>VARTOJIMO INSTRUKCIJA</w:t>
      </w:r>
    </w:p>
    <w:p w14:paraId="33A196B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91F462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FD2A93F"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16.</w:t>
      </w:r>
      <w:r w:rsidRPr="003E1719">
        <w:rPr>
          <w:rFonts w:ascii="Times New Roman" w:eastAsia="Times New Roman" w:hAnsi="Times New Roman" w:cs="Times New Roman"/>
          <w:b/>
          <w:lang w:eastAsia="sl-SI"/>
        </w:rPr>
        <w:tab/>
        <w:t>INFORMACIJA BRAILIO RAŠTU</w:t>
      </w:r>
    </w:p>
    <w:p w14:paraId="6FB3AB6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AC28BBE" w14:textId="44562218" w:rsidR="000D7B89" w:rsidRPr="003E1719" w:rsidRDefault="00AF3800" w:rsidP="000D7B89">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r w:rsidR="000D7B89" w:rsidRPr="003E1719">
        <w:rPr>
          <w:rFonts w:ascii="Times New Roman" w:eastAsia="Times New Roman" w:hAnsi="Times New Roman" w:cs="Times New Roman"/>
        </w:rPr>
        <w:t>10 mg/10 mg</w:t>
      </w:r>
    </w:p>
    <w:p w14:paraId="7477DA40" w14:textId="2A9ABD5A" w:rsidR="000D7B89" w:rsidRPr="003E1719" w:rsidRDefault="00AF3800" w:rsidP="000D7B89">
      <w:pPr>
        <w:widowControl w:val="0"/>
        <w:tabs>
          <w:tab w:val="left" w:pos="567"/>
        </w:tabs>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lang w:eastAsia="sl-SI"/>
        </w:rPr>
        <w:t>Rosuvastatin/Ezetimibe Teva</w:t>
      </w:r>
      <w:r w:rsidR="000D7B89" w:rsidRPr="00FF4691">
        <w:rPr>
          <w:rFonts w:ascii="Times New Roman" w:eastAsia="Times New Roman" w:hAnsi="Times New Roman" w:cs="Times New Roman"/>
          <w:highlight w:val="lightGray"/>
          <w:lang w:eastAsia="sl-SI"/>
        </w:rPr>
        <w:t xml:space="preserve"> </w:t>
      </w:r>
      <w:r w:rsidR="000D7B89" w:rsidRPr="00FF4691">
        <w:rPr>
          <w:rFonts w:ascii="Times New Roman" w:eastAsia="Times New Roman" w:hAnsi="Times New Roman" w:cs="Times New Roman"/>
          <w:highlight w:val="lightGray"/>
        </w:rPr>
        <w:t>20 mg/10 mg</w:t>
      </w:r>
    </w:p>
    <w:p w14:paraId="34FCCE79" w14:textId="77777777" w:rsidR="000D7B89" w:rsidRPr="00212A78" w:rsidRDefault="000D7B89" w:rsidP="000D7B89">
      <w:pPr>
        <w:widowControl w:val="0"/>
        <w:spacing w:after="0" w:line="240" w:lineRule="auto"/>
        <w:rPr>
          <w:rFonts w:ascii="Times New Roman" w:eastAsia="Times New Roman" w:hAnsi="Times New Roman" w:cs="Times New Roman"/>
          <w:sz w:val="16"/>
          <w:szCs w:val="16"/>
          <w:lang w:eastAsia="sl-SI"/>
        </w:rPr>
      </w:pPr>
    </w:p>
    <w:p w14:paraId="6189D04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F08D35D"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right="-1" w:hanging="1080"/>
        <w:outlineLvl w:val="0"/>
        <w:rPr>
          <w:rFonts w:ascii="Times New Roman" w:eastAsia="Times New Roman" w:hAnsi="Times New Roman" w:cs="Times New Roman"/>
          <w:i/>
          <w:lang w:eastAsia="sl-SI"/>
        </w:rPr>
      </w:pPr>
      <w:r w:rsidRPr="003E1719">
        <w:rPr>
          <w:rFonts w:ascii="Times New Roman" w:eastAsia="Times New Roman" w:hAnsi="Times New Roman" w:cs="Times New Roman"/>
          <w:b/>
          <w:lang w:eastAsia="sl-SI"/>
        </w:rPr>
        <w:t>17.</w:t>
      </w:r>
      <w:r w:rsidRPr="003E1719">
        <w:rPr>
          <w:rFonts w:ascii="Times New Roman" w:eastAsia="Times New Roman" w:hAnsi="Times New Roman" w:cs="Times New Roman"/>
          <w:b/>
          <w:lang w:eastAsia="sl-SI"/>
        </w:rPr>
        <w:tab/>
        <w:t>UNIKALUS IDENTIFIKATORIUS – 2D BRŪKŠNINIS KODAS</w:t>
      </w:r>
    </w:p>
    <w:p w14:paraId="10A19C3C" w14:textId="77777777" w:rsidR="000D7B89" w:rsidRPr="00212A78" w:rsidRDefault="000D7B89" w:rsidP="000D7B89">
      <w:pPr>
        <w:widowControl w:val="0"/>
        <w:spacing w:after="0" w:line="240" w:lineRule="auto"/>
        <w:ind w:right="-1"/>
        <w:rPr>
          <w:rFonts w:ascii="Times New Roman" w:eastAsia="Times New Roman" w:hAnsi="Times New Roman" w:cs="Times New Roman"/>
          <w:sz w:val="16"/>
          <w:szCs w:val="16"/>
          <w:lang w:eastAsia="sl-SI"/>
        </w:rPr>
      </w:pPr>
    </w:p>
    <w:p w14:paraId="22F3709B" w14:textId="77777777" w:rsidR="000D7B89" w:rsidRPr="003E1719" w:rsidRDefault="000D7B89" w:rsidP="000D7B89">
      <w:pPr>
        <w:widowControl w:val="0"/>
        <w:tabs>
          <w:tab w:val="left" w:pos="567"/>
        </w:tabs>
        <w:spacing w:after="0" w:line="240" w:lineRule="auto"/>
        <w:ind w:right="-1"/>
        <w:rPr>
          <w:rFonts w:ascii="Times New Roman" w:eastAsia="Times New Roman" w:hAnsi="Times New Roman" w:cs="Times New Roman"/>
          <w:highlight w:val="lightGray"/>
          <w:lang w:eastAsia="sl-SI"/>
        </w:rPr>
      </w:pPr>
      <w:r w:rsidRPr="003E1719">
        <w:rPr>
          <w:rFonts w:ascii="Times New Roman" w:eastAsia="Times New Roman" w:hAnsi="Times New Roman" w:cs="Times New Roman"/>
          <w:highlight w:val="lightGray"/>
          <w:lang w:eastAsia="sl-SI"/>
        </w:rPr>
        <w:t>2D brūkšninis kodas su nurodytu unikaliu identifikatoriumi.</w:t>
      </w:r>
    </w:p>
    <w:p w14:paraId="7033B6BC" w14:textId="77777777" w:rsidR="000D7B89" w:rsidRPr="003E1719" w:rsidRDefault="000D7B89" w:rsidP="000D7B89">
      <w:pPr>
        <w:widowControl w:val="0"/>
        <w:tabs>
          <w:tab w:val="left" w:pos="567"/>
        </w:tabs>
        <w:spacing w:after="0" w:line="240" w:lineRule="auto"/>
        <w:ind w:right="-1"/>
        <w:rPr>
          <w:rFonts w:ascii="Times New Roman" w:eastAsia="Times New Roman" w:hAnsi="Times New Roman" w:cs="Times New Roman"/>
          <w:highlight w:val="lightGray"/>
          <w:lang w:eastAsia="sl-SI"/>
        </w:rPr>
      </w:pPr>
    </w:p>
    <w:p w14:paraId="0AF62EA1" w14:textId="77777777" w:rsidR="000D7B89" w:rsidRPr="00212A78" w:rsidRDefault="000D7B89" w:rsidP="000D7B89">
      <w:pPr>
        <w:widowControl w:val="0"/>
        <w:spacing w:after="0" w:line="240" w:lineRule="auto"/>
        <w:ind w:right="-1"/>
        <w:rPr>
          <w:rFonts w:ascii="Times New Roman" w:eastAsia="Times New Roman" w:hAnsi="Times New Roman" w:cs="Times New Roman"/>
          <w:sz w:val="16"/>
          <w:szCs w:val="16"/>
          <w:lang w:eastAsia="sl-SI"/>
        </w:rPr>
      </w:pPr>
    </w:p>
    <w:p w14:paraId="2167925C"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right="-1" w:hanging="1080"/>
        <w:outlineLvl w:val="0"/>
        <w:rPr>
          <w:rFonts w:ascii="Times New Roman" w:eastAsia="Times New Roman" w:hAnsi="Times New Roman" w:cs="Times New Roman"/>
          <w:i/>
          <w:lang w:eastAsia="sl-SI"/>
        </w:rPr>
      </w:pPr>
      <w:r w:rsidRPr="003E1719">
        <w:rPr>
          <w:rFonts w:ascii="Times New Roman" w:eastAsia="Times New Roman" w:hAnsi="Times New Roman" w:cs="Times New Roman"/>
          <w:b/>
          <w:lang w:eastAsia="sl-SI"/>
        </w:rPr>
        <w:t>18.</w:t>
      </w:r>
      <w:r w:rsidRPr="003E1719">
        <w:rPr>
          <w:rFonts w:ascii="Times New Roman" w:eastAsia="Times New Roman" w:hAnsi="Times New Roman" w:cs="Times New Roman"/>
          <w:b/>
          <w:lang w:eastAsia="sl-SI"/>
        </w:rPr>
        <w:tab/>
        <w:t>UNIKALUS IDENTIFIKATORIUS – ŽMONĖMS SUPRANTAMI DUOMENYS</w:t>
      </w:r>
    </w:p>
    <w:p w14:paraId="1D668BEC" w14:textId="77777777" w:rsidR="000D7B89" w:rsidRPr="003E1719" w:rsidRDefault="000D7B89" w:rsidP="000D7B89">
      <w:pPr>
        <w:widowControl w:val="0"/>
        <w:spacing w:after="0" w:line="240" w:lineRule="auto"/>
        <w:ind w:right="-1"/>
        <w:rPr>
          <w:rFonts w:ascii="Times New Roman" w:eastAsia="Times New Roman" w:hAnsi="Times New Roman" w:cs="Times New Roman"/>
          <w:lang w:eastAsia="sl-SI"/>
        </w:rPr>
      </w:pPr>
    </w:p>
    <w:p w14:paraId="02128E91" w14:textId="77777777" w:rsidR="000D7B89" w:rsidRPr="003E1719" w:rsidRDefault="000D7B89" w:rsidP="000D7B89">
      <w:pPr>
        <w:widowControl w:val="0"/>
        <w:tabs>
          <w:tab w:val="left" w:pos="567"/>
        </w:tabs>
        <w:spacing w:after="0" w:line="240" w:lineRule="auto"/>
        <w:ind w:right="-1"/>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PC</w:t>
      </w:r>
    </w:p>
    <w:p w14:paraId="1CF3FC23" w14:textId="77777777" w:rsidR="000D7B89" w:rsidRPr="003E1719" w:rsidRDefault="000D7B89" w:rsidP="000D7B89">
      <w:pPr>
        <w:widowControl w:val="0"/>
        <w:tabs>
          <w:tab w:val="left" w:pos="567"/>
        </w:tabs>
        <w:spacing w:after="0" w:line="240" w:lineRule="auto"/>
        <w:ind w:right="-1"/>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SN</w:t>
      </w:r>
    </w:p>
    <w:p w14:paraId="6CE1BAF6" w14:textId="594F89C8" w:rsidR="000D7B8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NN</w:t>
      </w:r>
    </w:p>
    <w:p w14:paraId="5B65AC19" w14:textId="4B290430" w:rsidR="00FF4691" w:rsidRDefault="00FF4691" w:rsidP="000D7B89">
      <w:pPr>
        <w:widowControl w:val="0"/>
        <w:spacing w:after="0" w:line="240" w:lineRule="auto"/>
        <w:rPr>
          <w:rFonts w:ascii="Times New Roman" w:eastAsia="Times New Roman" w:hAnsi="Times New Roman" w:cs="Times New Roman"/>
          <w:lang w:eastAsia="sl-SI"/>
        </w:rPr>
      </w:pPr>
    </w:p>
    <w:p w14:paraId="7F928DA9" w14:textId="1B477B63" w:rsidR="00660588" w:rsidRDefault="00660588">
      <w:pPr>
        <w:spacing w:line="259"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2055561D" w14:textId="77777777" w:rsidR="00660588" w:rsidRDefault="00660588" w:rsidP="000D7B89">
      <w:pPr>
        <w:widowControl w:val="0"/>
        <w:spacing w:after="0" w:line="240" w:lineRule="auto"/>
        <w:rPr>
          <w:rFonts w:ascii="Times New Roman" w:eastAsia="Times New Roman" w:hAnsi="Times New Roman" w:cs="Times New Roman"/>
          <w:lang w:eastAsia="sl-SI"/>
        </w:rPr>
      </w:pPr>
    </w:p>
    <w:p w14:paraId="5F3C831B" w14:textId="77777777" w:rsidR="00660588" w:rsidRPr="003E1719" w:rsidRDefault="00660588" w:rsidP="000D7B89">
      <w:pPr>
        <w:widowControl w:val="0"/>
        <w:spacing w:after="0" w:line="240" w:lineRule="auto"/>
        <w:rPr>
          <w:rFonts w:ascii="Times New Roman" w:eastAsia="Times New Roman" w:hAnsi="Times New Roman" w:cs="Times New Roman"/>
          <w:lang w:eastAsia="sl-SI"/>
        </w:rPr>
      </w:pPr>
    </w:p>
    <w:p w14:paraId="2ACE5B7E"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MINIMALI </w:t>
      </w:r>
      <w:r w:rsidRPr="003E1719">
        <w:rPr>
          <w:rFonts w:ascii="Times New Roman" w:eastAsia="Times New Roman" w:hAnsi="Times New Roman" w:cs="Times New Roman"/>
          <w:b/>
          <w:caps/>
          <w:lang w:eastAsia="sl-SI"/>
        </w:rPr>
        <w:t xml:space="preserve">informacija ant </w:t>
      </w:r>
      <w:r w:rsidRPr="003E1719">
        <w:rPr>
          <w:rFonts w:ascii="Times New Roman" w:eastAsia="Times New Roman" w:hAnsi="Times New Roman" w:cs="Times New Roman"/>
          <w:b/>
          <w:lang w:eastAsia="sl-SI"/>
        </w:rPr>
        <w:t>LIZDINIŲ PLOKŠTELIŲ ARBA DVISLUOKSNIŲ JUOSTELIŲ</w:t>
      </w:r>
    </w:p>
    <w:p w14:paraId="4998A872"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p>
    <w:p w14:paraId="0082F5AF"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LIZDINĖ PLOKŠTELĖ</w:t>
      </w:r>
    </w:p>
    <w:p w14:paraId="3B17ED0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FEBFC3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B374F14"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w:t>
      </w:r>
      <w:r w:rsidRPr="003E1719">
        <w:rPr>
          <w:rFonts w:ascii="Times New Roman" w:eastAsia="Times New Roman" w:hAnsi="Times New Roman" w:cs="Times New Roman"/>
          <w:b/>
          <w:lang w:eastAsia="sl-SI"/>
        </w:rPr>
        <w:tab/>
        <w:t>VAISTINIO PREPARATO PAVADINIMAS</w:t>
      </w:r>
    </w:p>
    <w:p w14:paraId="53E1733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B0E646C" w14:textId="720B6C20" w:rsidR="000D7B89" w:rsidRPr="003E1719" w:rsidRDefault="00AF3800" w:rsidP="000D7B89">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r w:rsidR="000D7B89" w:rsidRPr="003E1719">
        <w:rPr>
          <w:rFonts w:ascii="Times New Roman" w:eastAsia="Times New Roman" w:hAnsi="Times New Roman" w:cs="Times New Roman"/>
          <w:lang w:eastAsia="sl-SI"/>
        </w:rPr>
        <w:t xml:space="preserve"> </w:t>
      </w:r>
      <w:r w:rsidR="000D7B89" w:rsidRPr="003E1719">
        <w:rPr>
          <w:rFonts w:ascii="Times New Roman" w:eastAsia="Times New Roman" w:hAnsi="Times New Roman" w:cs="Times New Roman"/>
        </w:rPr>
        <w:t>10 mg/10 mg plėvele dengtos tabletės</w:t>
      </w:r>
    </w:p>
    <w:p w14:paraId="422F2960" w14:textId="00AD52D6" w:rsidR="000D7B89" w:rsidRPr="003E1719" w:rsidRDefault="00AF3800" w:rsidP="000D7B89">
      <w:pPr>
        <w:widowControl w:val="0"/>
        <w:tabs>
          <w:tab w:val="left" w:pos="567"/>
        </w:tabs>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lang w:eastAsia="sl-SI"/>
        </w:rPr>
        <w:t>Rosuvastatin/Ezetimibe Teva</w:t>
      </w:r>
      <w:r w:rsidR="004042B8" w:rsidRPr="00FF4691">
        <w:rPr>
          <w:rFonts w:ascii="Times New Roman" w:eastAsia="Times New Roman" w:hAnsi="Times New Roman" w:cs="Times New Roman"/>
          <w:highlight w:val="lightGray"/>
          <w:lang w:eastAsia="sl-SI"/>
        </w:rPr>
        <w:t xml:space="preserve"> </w:t>
      </w:r>
      <w:r w:rsidR="000D7B89" w:rsidRPr="00FF4691">
        <w:rPr>
          <w:rFonts w:ascii="Times New Roman" w:eastAsia="Times New Roman" w:hAnsi="Times New Roman" w:cs="Times New Roman"/>
          <w:highlight w:val="lightGray"/>
          <w:lang w:eastAsia="sl-SI"/>
        </w:rPr>
        <w:t xml:space="preserve"> </w:t>
      </w:r>
      <w:r w:rsidR="000D7B89" w:rsidRPr="00FF4691">
        <w:rPr>
          <w:rFonts w:ascii="Times New Roman" w:eastAsia="Times New Roman" w:hAnsi="Times New Roman" w:cs="Times New Roman"/>
          <w:highlight w:val="lightGray"/>
        </w:rPr>
        <w:t>20 mg/10 mg plėvele dengtos tabletės</w:t>
      </w:r>
    </w:p>
    <w:p w14:paraId="26530CD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B1F3F3C" w14:textId="46DF4756"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ro</w:t>
      </w:r>
      <w:r w:rsidR="00660588">
        <w:rPr>
          <w:rFonts w:ascii="Times New Roman" w:eastAsia="Times New Roman" w:hAnsi="Times New Roman" w:cs="Times New Roman"/>
          <w:lang w:eastAsia="sl-SI"/>
        </w:rPr>
        <w:t>s</w:t>
      </w:r>
      <w:r w:rsidRPr="003E1719">
        <w:rPr>
          <w:rFonts w:ascii="Times New Roman" w:eastAsia="Times New Roman" w:hAnsi="Times New Roman" w:cs="Times New Roman"/>
          <w:lang w:eastAsia="sl-SI"/>
        </w:rPr>
        <w:t>uvastatin</w:t>
      </w:r>
      <w:r w:rsidR="00B8515C">
        <w:rPr>
          <w:rFonts w:ascii="Times New Roman" w:eastAsia="Times New Roman" w:hAnsi="Times New Roman" w:cs="Times New Roman"/>
          <w:lang w:eastAsia="sl-SI"/>
        </w:rPr>
        <w:t>um</w:t>
      </w:r>
      <w:r w:rsidRPr="003E1719">
        <w:rPr>
          <w:rFonts w:ascii="Times New Roman" w:eastAsia="Times New Roman" w:hAnsi="Times New Roman" w:cs="Times New Roman"/>
          <w:lang w:eastAsia="sl-SI"/>
        </w:rPr>
        <w:t>/ezetimib</w:t>
      </w:r>
      <w:r w:rsidR="00B8515C">
        <w:rPr>
          <w:rFonts w:ascii="Times New Roman" w:eastAsia="Times New Roman" w:hAnsi="Times New Roman" w:cs="Times New Roman"/>
          <w:lang w:eastAsia="sl-SI"/>
        </w:rPr>
        <w:t>um</w:t>
      </w:r>
    </w:p>
    <w:p w14:paraId="58C9B91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DCD739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DD8BE26"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2.</w:t>
      </w:r>
      <w:r w:rsidRPr="003E1719">
        <w:rPr>
          <w:rFonts w:ascii="Times New Roman" w:eastAsia="Times New Roman" w:hAnsi="Times New Roman" w:cs="Times New Roman"/>
          <w:b/>
          <w:lang w:eastAsia="sl-SI"/>
        </w:rPr>
        <w:tab/>
        <w:t>REGISTRUOTOJO PAVADINIMAS</w:t>
      </w:r>
    </w:p>
    <w:p w14:paraId="5F03A48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9CB9806" w14:textId="2AEDFD04" w:rsidR="00B8515C" w:rsidRPr="003E1719" w:rsidRDefault="00B8515C" w:rsidP="00B8515C">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Teva B.V</w:t>
      </w:r>
      <w:r w:rsidR="00174A45">
        <w:rPr>
          <w:rFonts w:ascii="Times New Roman" w:eastAsia="Times New Roman" w:hAnsi="Times New Roman" w:cs="Times New Roman"/>
          <w:lang w:val="en-GB"/>
        </w:rPr>
        <w:t>.</w:t>
      </w:r>
    </w:p>
    <w:p w14:paraId="0293F4E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125EEE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74B9A65"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3.</w:t>
      </w:r>
      <w:r w:rsidRPr="003E1719">
        <w:rPr>
          <w:rFonts w:ascii="Times New Roman" w:eastAsia="Times New Roman" w:hAnsi="Times New Roman" w:cs="Times New Roman"/>
          <w:b/>
          <w:lang w:eastAsia="sl-SI"/>
        </w:rPr>
        <w:tab/>
        <w:t>TINKAMUMO LAIKAS</w:t>
      </w:r>
    </w:p>
    <w:p w14:paraId="1A6EEA2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C1AB71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EXP</w:t>
      </w:r>
    </w:p>
    <w:p w14:paraId="17EE134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365816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82284B5"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w:t>
      </w:r>
      <w:r w:rsidRPr="003E1719">
        <w:rPr>
          <w:rFonts w:ascii="Times New Roman" w:eastAsia="Times New Roman" w:hAnsi="Times New Roman" w:cs="Times New Roman"/>
          <w:b/>
          <w:lang w:eastAsia="sl-SI"/>
        </w:rPr>
        <w:tab/>
        <w:t>SERIJOS NUMERIS</w:t>
      </w:r>
    </w:p>
    <w:p w14:paraId="2F49D0A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DD5B3E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Lot</w:t>
      </w:r>
    </w:p>
    <w:p w14:paraId="4A62727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DCE893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773B79C" w14:textId="77777777" w:rsidR="000D7B89" w:rsidRPr="003E1719" w:rsidRDefault="000D7B89" w:rsidP="000D7B8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5.</w:t>
      </w:r>
      <w:r w:rsidRPr="003E1719">
        <w:rPr>
          <w:rFonts w:ascii="Times New Roman" w:eastAsia="Times New Roman" w:hAnsi="Times New Roman" w:cs="Times New Roman"/>
          <w:b/>
          <w:lang w:eastAsia="sl-SI"/>
        </w:rPr>
        <w:tab/>
        <w:t>KITA</w:t>
      </w:r>
    </w:p>
    <w:p w14:paraId="6D57BC5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br w:type="page"/>
      </w:r>
    </w:p>
    <w:p w14:paraId="59E0C87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F786BD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9CE817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24A2C1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28B4BF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4EE577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69E391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EFFE39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9CA19D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94D9FE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1FD0CA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3DA6BE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D6A80F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9E17956"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9F8C5A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7C2DF8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A06D5D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345E2EE"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B1FB839"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AEB54F8"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127AE5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A594B2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EA4EC6F"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sl-SI"/>
        </w:rPr>
      </w:pPr>
      <w:bookmarkStart w:id="14" w:name="_Toc129243137"/>
      <w:bookmarkStart w:id="15" w:name="_Toc129243262"/>
      <w:r w:rsidRPr="003E1719">
        <w:rPr>
          <w:rFonts w:ascii="Times New Roman" w:eastAsia="Times New Roman" w:hAnsi="Times New Roman" w:cs="Times New Roman"/>
          <w:b/>
          <w:caps/>
          <w:lang w:eastAsia="sl-SI"/>
        </w:rPr>
        <w:t>B. PAKUOTĖS LAPELIS</w:t>
      </w:r>
      <w:bookmarkEnd w:id="14"/>
      <w:bookmarkEnd w:id="15"/>
    </w:p>
    <w:p w14:paraId="780F5349" w14:textId="77777777" w:rsidR="000D7B89" w:rsidRPr="003E1719" w:rsidRDefault="000D7B89" w:rsidP="000D7B89">
      <w:pPr>
        <w:widowControl w:val="0"/>
        <w:tabs>
          <w:tab w:val="left" w:pos="567"/>
        </w:tabs>
        <w:spacing w:after="0" w:line="240" w:lineRule="auto"/>
        <w:jc w:val="center"/>
        <w:outlineLvl w:val="1"/>
        <w:rPr>
          <w:rFonts w:ascii="Times New Roman" w:eastAsia="Times New Roman" w:hAnsi="Times New Roman" w:cs="Times New Roman"/>
          <w:b/>
          <w:lang w:eastAsia="sl-SI"/>
        </w:rPr>
      </w:pPr>
      <w:r w:rsidRPr="003E1719">
        <w:rPr>
          <w:rFonts w:ascii="Times New Roman" w:eastAsia="Times New Roman" w:hAnsi="Times New Roman" w:cs="Times New Roman"/>
          <w:b/>
          <w:caps/>
          <w:lang w:eastAsia="sl-SI"/>
        </w:rPr>
        <w:br w:type="page"/>
      </w:r>
      <w:bookmarkStart w:id="16" w:name="_Toc129243138"/>
      <w:bookmarkStart w:id="17" w:name="_Toc129243263"/>
      <w:r w:rsidRPr="003E1719">
        <w:rPr>
          <w:rFonts w:ascii="Times New Roman" w:eastAsia="Times New Roman" w:hAnsi="Times New Roman" w:cs="Times New Roman"/>
          <w:b/>
          <w:lang w:eastAsia="sl-SI"/>
        </w:rPr>
        <w:t xml:space="preserve">Pakuotės lapelis: informacija </w:t>
      </w:r>
      <w:r w:rsidRPr="003E1719">
        <w:rPr>
          <w:rFonts w:ascii="Times New Roman" w:eastAsia="Times New Roman" w:hAnsi="Times New Roman" w:cs="Times New Roman"/>
          <w:b/>
          <w:bCs/>
          <w:iCs/>
          <w:snapToGrid w:val="0"/>
          <w:lang w:eastAsia="x-none"/>
        </w:rPr>
        <w:t>pacientui</w:t>
      </w:r>
    </w:p>
    <w:bookmarkEnd w:id="16"/>
    <w:bookmarkEnd w:id="17"/>
    <w:p w14:paraId="7EFB061C" w14:textId="77777777" w:rsidR="000D7B89" w:rsidRPr="003E1719" w:rsidRDefault="000D7B89" w:rsidP="000D7B89">
      <w:pPr>
        <w:widowControl w:val="0"/>
        <w:tabs>
          <w:tab w:val="left" w:pos="567"/>
        </w:tabs>
        <w:spacing w:after="0" w:line="240" w:lineRule="auto"/>
        <w:ind w:left="567" w:hanging="567"/>
        <w:jc w:val="center"/>
        <w:outlineLvl w:val="0"/>
        <w:rPr>
          <w:rFonts w:ascii="Times New Roman" w:eastAsia="Times New Roman" w:hAnsi="Times New Roman" w:cs="Times New Roman"/>
          <w:b/>
          <w:lang w:eastAsia="sl-SI"/>
        </w:rPr>
      </w:pPr>
    </w:p>
    <w:p w14:paraId="7F266444" w14:textId="6AE84A5F" w:rsidR="000D7B89" w:rsidRPr="003E1719" w:rsidRDefault="00AF3800" w:rsidP="000D7B89">
      <w:pPr>
        <w:widowControl w:val="0"/>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r w:rsidR="000D7B89" w:rsidRPr="003E1719">
        <w:rPr>
          <w:rFonts w:ascii="Times New Roman" w:eastAsia="Times New Roman" w:hAnsi="Times New Roman" w:cs="Times New Roman"/>
          <w:b/>
        </w:rPr>
        <w:t>10 mg/10 mg plėvele dengtos tabletės</w:t>
      </w:r>
    </w:p>
    <w:p w14:paraId="2E0D7A83" w14:textId="6C79FF3E" w:rsidR="007C7336" w:rsidRPr="003E1719" w:rsidRDefault="00AF3800" w:rsidP="00FF4691">
      <w:pPr>
        <w:widowControl w:val="0"/>
        <w:tabs>
          <w:tab w:val="left" w:pos="567"/>
        </w:tabs>
        <w:spacing w:after="0" w:line="240" w:lineRule="auto"/>
        <w:jc w:val="center"/>
        <w:rPr>
          <w:rFonts w:ascii="Times New Roman" w:eastAsia="Times New Roman" w:hAnsi="Times New Roman" w:cs="Times New Roman"/>
          <w:lang w:eastAsia="sl-SI"/>
        </w:rPr>
      </w:pPr>
      <w:r w:rsidRPr="00FF4691">
        <w:rPr>
          <w:rFonts w:ascii="Times New Roman" w:eastAsia="Times New Roman" w:hAnsi="Times New Roman" w:cs="Times New Roman"/>
          <w:b/>
          <w:highlight w:val="lightGray"/>
          <w:lang w:eastAsia="sl-SI"/>
        </w:rPr>
        <w:t>Rosuvastatin/Ezetimibe Teva</w:t>
      </w:r>
      <w:r w:rsidR="000D7B89" w:rsidRPr="00FF4691">
        <w:rPr>
          <w:rFonts w:ascii="Times New Roman" w:eastAsia="Times New Roman" w:hAnsi="Times New Roman" w:cs="Times New Roman"/>
          <w:b/>
          <w:highlight w:val="lightGray"/>
          <w:lang w:eastAsia="sl-SI"/>
        </w:rPr>
        <w:t xml:space="preserve"> </w:t>
      </w:r>
      <w:r w:rsidR="000D7B89" w:rsidRPr="00FF4691">
        <w:rPr>
          <w:rFonts w:ascii="Times New Roman" w:eastAsia="Times New Roman" w:hAnsi="Times New Roman" w:cs="Times New Roman"/>
          <w:b/>
          <w:highlight w:val="lightGray"/>
        </w:rPr>
        <w:t>20 mg/10 mg plėvele dengtos tabletės</w:t>
      </w:r>
    </w:p>
    <w:p w14:paraId="5621B1DB" w14:textId="3C69EB6D" w:rsidR="000D7B89" w:rsidRPr="003E1719" w:rsidRDefault="009E4CC0" w:rsidP="000D7B89">
      <w:pPr>
        <w:widowControl w:val="0"/>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r</w:t>
      </w:r>
      <w:r w:rsidR="000D7B89" w:rsidRPr="003E1719">
        <w:rPr>
          <w:rFonts w:ascii="Times New Roman" w:eastAsia="Times New Roman" w:hAnsi="Times New Roman" w:cs="Times New Roman"/>
          <w:lang w:eastAsia="sl-SI"/>
        </w:rPr>
        <w:t>ozuvastatinas</w:t>
      </w:r>
      <w:r w:rsidR="003E15FA">
        <w:rPr>
          <w:rFonts w:ascii="Times New Roman" w:eastAsia="Times New Roman" w:hAnsi="Times New Roman" w:cs="Times New Roman"/>
          <w:lang w:eastAsia="sl-SI"/>
        </w:rPr>
        <w:t xml:space="preserve">, </w:t>
      </w:r>
      <w:r w:rsidR="000D7B89" w:rsidRPr="003E1719">
        <w:rPr>
          <w:rFonts w:ascii="Times New Roman" w:eastAsia="Times New Roman" w:hAnsi="Times New Roman" w:cs="Times New Roman"/>
          <w:lang w:eastAsia="sl-SI"/>
        </w:rPr>
        <w:t>ezetimibas</w:t>
      </w:r>
    </w:p>
    <w:p w14:paraId="65B0F639"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p>
    <w:p w14:paraId="50E2D67A"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Atidžiai perskaitykite visą šį lapelį, prieš pradėdami vartoti vaistą, nes jame pateikiama Jums svarbi informacija.</w:t>
      </w:r>
    </w:p>
    <w:p w14:paraId="294AE422" w14:textId="77777777" w:rsidR="000D7B89" w:rsidRPr="003E1719" w:rsidRDefault="000D7B89" w:rsidP="000D7B89">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Neišmeskite šio lapelio, nes vėl gali prireikti jį perskaityti.</w:t>
      </w:r>
    </w:p>
    <w:p w14:paraId="391EAFB6" w14:textId="77777777" w:rsidR="000D7B89" w:rsidRPr="003E1719" w:rsidRDefault="000D7B89" w:rsidP="000D7B89">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kiltų daugiau klausimų, kreipkitės į gydytoją arba vaistininką.</w:t>
      </w:r>
    </w:p>
    <w:p w14:paraId="6947BE45" w14:textId="77777777" w:rsidR="000D7B89" w:rsidRPr="003E1719" w:rsidRDefault="000D7B89" w:rsidP="000D7B89">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005B3F27" w14:textId="77777777" w:rsidR="000D7B89" w:rsidRPr="003E1719" w:rsidRDefault="000D7B89" w:rsidP="000D7B89">
      <w:pPr>
        <w:widowControl w:val="0"/>
        <w:numPr>
          <w:ilvl w:val="0"/>
          <w:numId w:val="4"/>
        </w:numPr>
        <w:tabs>
          <w:tab w:val="left" w:pos="567"/>
        </w:tabs>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pasireiškė šalutinis poveikis (net jeigu jis šiame lapelyje nenurodytas), kreipkitės į gydytoją arba vaistininką. Žr. 4 skyrių.</w:t>
      </w:r>
    </w:p>
    <w:p w14:paraId="479265B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6557101"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6DD12D3" w14:textId="77777777" w:rsidR="000D7B89" w:rsidRPr="003E1719" w:rsidRDefault="000D7B89" w:rsidP="000D7B89">
      <w:pPr>
        <w:widowControl w:val="0"/>
        <w:numPr>
          <w:ilvl w:val="12"/>
          <w:numId w:val="0"/>
        </w:numPr>
        <w:spacing w:after="0" w:line="240" w:lineRule="auto"/>
        <w:ind w:right="-2"/>
        <w:outlineLvl w:val="0"/>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Apie ką rašoma šiame lapelyje?</w:t>
      </w:r>
    </w:p>
    <w:p w14:paraId="0A27EBDE"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p>
    <w:p w14:paraId="38905481" w14:textId="3F940A14" w:rsidR="000D7B89" w:rsidRPr="003E1719" w:rsidRDefault="000D7B89" w:rsidP="000D7B89">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Kas yra </w:t>
      </w:r>
      <w:r w:rsidR="00AF3800">
        <w:rPr>
          <w:rFonts w:ascii="Times New Roman" w:eastAsia="Times New Roman" w:hAnsi="Times New Roman" w:cs="Times New Roman"/>
          <w:lang w:eastAsia="sl-SI"/>
        </w:rPr>
        <w:t>Rosuvastatin/Ezetimibe Teva</w:t>
      </w:r>
      <w:r w:rsidR="00FD3237">
        <w:rPr>
          <w:rFonts w:ascii="Times New Roman" w:eastAsia="Times New Roman" w:hAnsi="Times New Roman" w:cs="Times New Roman"/>
          <w:lang w:eastAsia="sl-SI"/>
        </w:rPr>
        <w:t xml:space="preserve"> </w:t>
      </w:r>
      <w:r w:rsidR="004042B8" w:rsidRPr="003E1719">
        <w:rPr>
          <w:rFonts w:ascii="Times New Roman" w:eastAsia="Times New Roman" w:hAnsi="Times New Roman" w:cs="Times New Roman"/>
          <w:lang w:eastAsia="sl-SI"/>
        </w:rPr>
        <w:t xml:space="preserve"> </w:t>
      </w:r>
      <w:r w:rsidRPr="003E1719">
        <w:rPr>
          <w:rFonts w:ascii="Times New Roman" w:eastAsia="Times New Roman" w:hAnsi="Times New Roman" w:cs="Times New Roman"/>
          <w:lang w:eastAsia="sl-SI"/>
        </w:rPr>
        <w:t>ir kam jis vartojamas</w:t>
      </w:r>
    </w:p>
    <w:p w14:paraId="14069CD4" w14:textId="2D537184" w:rsidR="000D7B89" w:rsidRPr="003E1719" w:rsidRDefault="000D7B89" w:rsidP="000D7B89">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Kas žinotina prieš vartojant </w:t>
      </w:r>
      <w:r w:rsidR="00AF3800">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p>
    <w:p w14:paraId="5CBB1AD3" w14:textId="75369D08" w:rsidR="000D7B89" w:rsidRPr="003E1719" w:rsidRDefault="000D7B89" w:rsidP="000D7B89">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Kaip vartoti </w:t>
      </w:r>
      <w:r w:rsidR="00AF3800">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p>
    <w:p w14:paraId="1100F822" w14:textId="77777777" w:rsidR="000D7B89" w:rsidRPr="003E1719" w:rsidRDefault="000D7B89" w:rsidP="000D7B89">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Galimas šalutinis poveikis</w:t>
      </w:r>
    </w:p>
    <w:p w14:paraId="6D3BDDE8" w14:textId="4B333211" w:rsidR="000D7B89" w:rsidRPr="003E1719" w:rsidRDefault="000D7B89" w:rsidP="000D7B89">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Kaip laikyti </w:t>
      </w:r>
      <w:r w:rsidR="00AF3800">
        <w:rPr>
          <w:rFonts w:ascii="Times New Roman" w:eastAsia="Times New Roman" w:hAnsi="Times New Roman" w:cs="Times New Roman"/>
          <w:lang w:eastAsia="sl-SI"/>
        </w:rPr>
        <w:t>Rosuvastatin/Ezetimibe Teva</w:t>
      </w:r>
      <w:r w:rsidR="004042B8" w:rsidRPr="003E1719">
        <w:rPr>
          <w:rFonts w:ascii="Times New Roman" w:eastAsia="Times New Roman" w:hAnsi="Times New Roman" w:cs="Times New Roman"/>
          <w:lang w:eastAsia="sl-SI"/>
        </w:rPr>
        <w:t xml:space="preserve"> </w:t>
      </w:r>
    </w:p>
    <w:p w14:paraId="2CBCF7E8" w14:textId="77777777" w:rsidR="000D7B89" w:rsidRPr="003E1719" w:rsidRDefault="000D7B89" w:rsidP="000D7B89">
      <w:pPr>
        <w:widowControl w:val="0"/>
        <w:numPr>
          <w:ilvl w:val="1"/>
          <w:numId w:val="1"/>
        </w:numPr>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Pakuotės turinys ir kita informacija</w:t>
      </w:r>
    </w:p>
    <w:p w14:paraId="687F450A"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5886E9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E078E85" w14:textId="0614A141"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1.</w:t>
      </w:r>
      <w:r w:rsidRPr="003E1719">
        <w:rPr>
          <w:rFonts w:ascii="Times New Roman" w:eastAsia="Times New Roman" w:hAnsi="Times New Roman" w:cs="Times New Roman"/>
          <w:b/>
          <w:lang w:eastAsia="sl-SI"/>
        </w:rPr>
        <w:tab/>
        <w:t xml:space="preserve">Kas yra </w:t>
      </w:r>
      <w:r w:rsidR="00AF3800">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r w:rsidRPr="003E1719">
        <w:rPr>
          <w:rFonts w:ascii="Times New Roman" w:eastAsia="Times New Roman" w:hAnsi="Times New Roman" w:cs="Times New Roman"/>
          <w:b/>
          <w:lang w:eastAsia="sl-SI"/>
        </w:rPr>
        <w:t>ir kam jis vartojamas</w:t>
      </w:r>
    </w:p>
    <w:p w14:paraId="52F33AF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828F2FC" w14:textId="12822B4B" w:rsidR="000D7B89" w:rsidRPr="003E1719" w:rsidRDefault="00AF3800"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rPr>
        <w:t>Rosuvastatin/Ezetimibe Teva</w:t>
      </w:r>
      <w:r w:rsidR="004042B8" w:rsidRPr="003E1719">
        <w:rPr>
          <w:rFonts w:ascii="Times New Roman" w:eastAsia="Times New Roman" w:hAnsi="Times New Roman" w:cs="Times New Roman"/>
          <w:color w:val="000000"/>
        </w:rPr>
        <w:t xml:space="preserve"> </w:t>
      </w:r>
      <w:r w:rsidR="000D7B89" w:rsidRPr="003E1719">
        <w:rPr>
          <w:rFonts w:ascii="Times New Roman" w:eastAsia="Times New Roman" w:hAnsi="Times New Roman" w:cs="Times New Roman"/>
          <w:color w:val="000000"/>
          <w:lang w:eastAsia="sl-SI"/>
        </w:rPr>
        <w:t>sudėtyje yra dvi</w:t>
      </w:r>
      <w:r w:rsidR="0070781A">
        <w:rPr>
          <w:rFonts w:ascii="Times New Roman" w:eastAsia="Times New Roman" w:hAnsi="Times New Roman" w:cs="Times New Roman"/>
          <w:color w:val="000000"/>
          <w:lang w:eastAsia="sl-SI"/>
        </w:rPr>
        <w:t>ejų</w:t>
      </w:r>
      <w:r w:rsidR="000D7B89" w:rsidRPr="003E1719">
        <w:rPr>
          <w:rFonts w:ascii="Times New Roman" w:eastAsia="Times New Roman" w:hAnsi="Times New Roman" w:cs="Times New Roman"/>
          <w:color w:val="000000"/>
          <w:lang w:eastAsia="sl-SI"/>
        </w:rPr>
        <w:t xml:space="preserve"> skirting</w:t>
      </w:r>
      <w:r w:rsidR="0070781A">
        <w:rPr>
          <w:rFonts w:ascii="Times New Roman" w:eastAsia="Times New Roman" w:hAnsi="Times New Roman" w:cs="Times New Roman"/>
          <w:color w:val="000000"/>
          <w:lang w:eastAsia="sl-SI"/>
        </w:rPr>
        <w:t>ų</w:t>
      </w:r>
      <w:r w:rsidR="000D7B89" w:rsidRPr="003E1719">
        <w:rPr>
          <w:rFonts w:ascii="Times New Roman" w:eastAsia="Times New Roman" w:hAnsi="Times New Roman" w:cs="Times New Roman"/>
          <w:color w:val="000000"/>
          <w:lang w:eastAsia="sl-SI"/>
        </w:rPr>
        <w:t xml:space="preserve"> veikli</w:t>
      </w:r>
      <w:r w:rsidR="0070781A">
        <w:rPr>
          <w:rFonts w:ascii="Times New Roman" w:eastAsia="Times New Roman" w:hAnsi="Times New Roman" w:cs="Times New Roman"/>
          <w:color w:val="000000"/>
          <w:lang w:eastAsia="sl-SI"/>
        </w:rPr>
        <w:t>ųjų</w:t>
      </w:r>
      <w:r w:rsidR="000D7B89" w:rsidRPr="003E1719">
        <w:rPr>
          <w:rFonts w:ascii="Times New Roman" w:eastAsia="Times New Roman" w:hAnsi="Times New Roman" w:cs="Times New Roman"/>
          <w:color w:val="000000"/>
          <w:lang w:eastAsia="sl-SI"/>
        </w:rPr>
        <w:t xml:space="preserve"> medžiag</w:t>
      </w:r>
      <w:r w:rsidR="0070781A">
        <w:rPr>
          <w:rFonts w:ascii="Times New Roman" w:eastAsia="Times New Roman" w:hAnsi="Times New Roman" w:cs="Times New Roman"/>
          <w:color w:val="000000"/>
          <w:lang w:eastAsia="sl-SI"/>
        </w:rPr>
        <w:t>ų</w:t>
      </w:r>
      <w:r w:rsidR="000D7B89" w:rsidRPr="003E1719">
        <w:rPr>
          <w:rFonts w:ascii="Times New Roman" w:eastAsia="Times New Roman" w:hAnsi="Times New Roman" w:cs="Times New Roman"/>
          <w:color w:val="000000"/>
          <w:lang w:eastAsia="sl-SI"/>
        </w:rPr>
        <w:t>. Viena veiklioji medžiaga y</w:t>
      </w:r>
      <w:r w:rsidR="002E09BF">
        <w:rPr>
          <w:rFonts w:ascii="Times New Roman" w:eastAsia="Times New Roman" w:hAnsi="Times New Roman" w:cs="Times New Roman"/>
          <w:color w:val="000000"/>
          <w:lang w:eastAsia="sl-SI"/>
        </w:rPr>
        <w:t>ra rozuvastatinas, priklausanti</w:t>
      </w:r>
      <w:r w:rsidR="000D7B89" w:rsidRPr="003E1719">
        <w:rPr>
          <w:rFonts w:ascii="Times New Roman" w:eastAsia="Times New Roman" w:hAnsi="Times New Roman" w:cs="Times New Roman"/>
          <w:color w:val="000000"/>
          <w:lang w:eastAsia="sl-SI"/>
        </w:rPr>
        <w:t xml:space="preserve"> vadinamųjų statinų grupei, kita − ezetimibas.</w:t>
      </w:r>
    </w:p>
    <w:p w14:paraId="35FE99AB"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035A1316" w14:textId="2A0E1ADD" w:rsidR="000D7B89" w:rsidRPr="003E1719" w:rsidRDefault="00AF3800"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Rosuvastatin/Ezetimibe Teva</w:t>
      </w:r>
      <w:r w:rsidR="004042B8" w:rsidRPr="003E1719">
        <w:rPr>
          <w:rFonts w:ascii="Times New Roman" w:eastAsia="Times New Roman" w:hAnsi="Times New Roman" w:cs="Times New Roman"/>
          <w:color w:val="000000"/>
          <w:lang w:eastAsia="sl-SI"/>
        </w:rPr>
        <w:t xml:space="preserve"> </w:t>
      </w:r>
      <w:r w:rsidR="00FA1751" w:rsidRPr="003E1719">
        <w:rPr>
          <w:rFonts w:ascii="Times New Roman" w:eastAsia="Times New Roman" w:hAnsi="Times New Roman" w:cs="Times New Roman"/>
          <w:color w:val="000000"/>
          <w:lang w:eastAsia="sl-SI"/>
        </w:rPr>
        <w:t xml:space="preserve">yra vaistas, </w:t>
      </w:r>
      <w:r w:rsidR="000D7B89" w:rsidRPr="003E1719">
        <w:rPr>
          <w:rFonts w:ascii="Times New Roman" w:eastAsia="Times New Roman" w:hAnsi="Times New Roman" w:cs="Times New Roman"/>
          <w:color w:val="000000"/>
          <w:lang w:eastAsia="sl-SI"/>
        </w:rPr>
        <w:t>mažina</w:t>
      </w:r>
      <w:r w:rsidR="00FA1751" w:rsidRPr="003E1719">
        <w:rPr>
          <w:rFonts w:ascii="Times New Roman" w:eastAsia="Times New Roman" w:hAnsi="Times New Roman" w:cs="Times New Roman"/>
          <w:color w:val="000000"/>
          <w:lang w:eastAsia="sl-SI"/>
        </w:rPr>
        <w:t>ntis</w:t>
      </w:r>
      <w:r w:rsidR="000D7B89" w:rsidRPr="003E1719">
        <w:rPr>
          <w:rFonts w:ascii="Times New Roman" w:eastAsia="Times New Roman" w:hAnsi="Times New Roman" w:cs="Times New Roman"/>
          <w:color w:val="000000"/>
          <w:lang w:eastAsia="sl-SI"/>
        </w:rPr>
        <w:t xml:space="preserve"> bendrojo cholesterolio, „blogojo“ cholesterolio (</w:t>
      </w:r>
      <w:r w:rsidR="0060426E">
        <w:rPr>
          <w:rFonts w:ascii="Times New Roman" w:eastAsia="Times New Roman" w:hAnsi="Times New Roman" w:cs="Times New Roman"/>
          <w:color w:val="000000"/>
          <w:lang w:eastAsia="sl-SI"/>
        </w:rPr>
        <w:t>mažo tankio lipoproteinų (</w:t>
      </w:r>
      <w:r w:rsidR="000D7B89" w:rsidRPr="003E1719">
        <w:rPr>
          <w:rFonts w:ascii="Times New Roman" w:eastAsia="Times New Roman" w:hAnsi="Times New Roman" w:cs="Times New Roman"/>
          <w:color w:val="000000"/>
          <w:lang w:eastAsia="sl-SI"/>
        </w:rPr>
        <w:t>MTL</w:t>
      </w:r>
      <w:r w:rsidR="0060426E">
        <w:rPr>
          <w:rFonts w:ascii="Times New Roman" w:eastAsia="Times New Roman" w:hAnsi="Times New Roman" w:cs="Times New Roman"/>
          <w:color w:val="000000"/>
          <w:lang w:eastAsia="sl-SI"/>
        </w:rPr>
        <w:t>)</w:t>
      </w:r>
      <w:r w:rsidR="000D7B89" w:rsidRPr="003E1719">
        <w:rPr>
          <w:rFonts w:ascii="Times New Roman" w:eastAsia="Times New Roman" w:hAnsi="Times New Roman" w:cs="Times New Roman"/>
          <w:color w:val="000000"/>
          <w:lang w:eastAsia="sl-SI"/>
        </w:rPr>
        <w:t xml:space="preserve"> cholesterolio) ir rieb</w:t>
      </w:r>
      <w:r w:rsidR="002E09BF">
        <w:rPr>
          <w:rFonts w:ascii="Times New Roman" w:eastAsia="Times New Roman" w:hAnsi="Times New Roman" w:cs="Times New Roman"/>
          <w:color w:val="000000"/>
          <w:lang w:eastAsia="sl-SI"/>
        </w:rPr>
        <w:t>al</w:t>
      </w:r>
      <w:r w:rsidR="000D7B89" w:rsidRPr="003E1719">
        <w:rPr>
          <w:rFonts w:ascii="Times New Roman" w:eastAsia="Times New Roman" w:hAnsi="Times New Roman" w:cs="Times New Roman"/>
          <w:color w:val="000000"/>
          <w:lang w:eastAsia="sl-SI"/>
        </w:rPr>
        <w:t xml:space="preserve">ų, vadinamų trigliceridais, kiekį kraujyje. Be to, </w:t>
      </w:r>
      <w:r>
        <w:rPr>
          <w:rFonts w:ascii="Times New Roman" w:eastAsia="Times New Roman" w:hAnsi="Times New Roman" w:cs="Times New Roman"/>
          <w:color w:val="000000"/>
          <w:lang w:eastAsia="sl-SI"/>
        </w:rPr>
        <w:t>Rosuvastatin/Ezetimibe Teva</w:t>
      </w:r>
      <w:r w:rsidR="004042B8" w:rsidRPr="003E1719">
        <w:rPr>
          <w:rFonts w:ascii="Times New Roman" w:eastAsia="Times New Roman" w:hAnsi="Times New Roman" w:cs="Times New Roman"/>
          <w:color w:val="000000"/>
          <w:lang w:eastAsia="sl-SI"/>
        </w:rPr>
        <w:t xml:space="preserve"> </w:t>
      </w:r>
      <w:r w:rsidR="000D7B89" w:rsidRPr="003E1719">
        <w:rPr>
          <w:rFonts w:ascii="Times New Roman" w:eastAsia="Times New Roman" w:hAnsi="Times New Roman" w:cs="Times New Roman"/>
          <w:color w:val="000000"/>
          <w:lang w:eastAsia="sl-SI"/>
        </w:rPr>
        <w:t>didina „gerojo“ cholesterolio (</w:t>
      </w:r>
      <w:r w:rsidR="0060426E">
        <w:rPr>
          <w:rFonts w:ascii="Times New Roman" w:eastAsia="Times New Roman" w:hAnsi="Times New Roman" w:cs="Times New Roman"/>
          <w:color w:val="000000"/>
          <w:lang w:eastAsia="sl-SI"/>
        </w:rPr>
        <w:t>didelio tankio lipoproteinų (</w:t>
      </w:r>
      <w:r w:rsidR="000D7B89" w:rsidRPr="003E1719">
        <w:rPr>
          <w:rFonts w:ascii="Times New Roman" w:eastAsia="Times New Roman" w:hAnsi="Times New Roman" w:cs="Times New Roman"/>
          <w:color w:val="000000"/>
          <w:lang w:eastAsia="sl-SI"/>
        </w:rPr>
        <w:t>DTL</w:t>
      </w:r>
      <w:r w:rsidR="0060426E">
        <w:rPr>
          <w:rFonts w:ascii="Times New Roman" w:eastAsia="Times New Roman" w:hAnsi="Times New Roman" w:cs="Times New Roman"/>
          <w:color w:val="000000"/>
          <w:lang w:eastAsia="sl-SI"/>
        </w:rPr>
        <w:t>)</w:t>
      </w:r>
      <w:r w:rsidR="000D7B89" w:rsidRPr="003E1719">
        <w:rPr>
          <w:rFonts w:ascii="Times New Roman" w:eastAsia="Times New Roman" w:hAnsi="Times New Roman" w:cs="Times New Roman"/>
          <w:color w:val="000000"/>
          <w:lang w:eastAsia="sl-SI"/>
        </w:rPr>
        <w:t xml:space="preserve"> cholesterolio) kiekį. </w:t>
      </w:r>
      <w:r w:rsidR="00FA1751" w:rsidRPr="003E1719">
        <w:rPr>
          <w:rFonts w:ascii="Times New Roman" w:eastAsia="Times New Roman" w:hAnsi="Times New Roman" w:cs="Times New Roman"/>
          <w:color w:val="000000"/>
          <w:lang w:eastAsia="sl-SI"/>
        </w:rPr>
        <w:t>Šis vaistas</w:t>
      </w:r>
      <w:r w:rsidR="000D7B89" w:rsidRPr="003E1719">
        <w:rPr>
          <w:rFonts w:ascii="Times New Roman" w:eastAsia="Times New Roman" w:hAnsi="Times New Roman" w:cs="Times New Roman"/>
          <w:color w:val="000000"/>
          <w:lang w:eastAsia="sl-SI"/>
        </w:rPr>
        <w:t xml:space="preserve"> cholesterolio kiekį mažina dviem būdais: mažina cholesterolio pasisavinimą iš virškinimo trakto bei cholesterolio gamybą organizme.</w:t>
      </w:r>
    </w:p>
    <w:p w14:paraId="319ADDED"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1D40AA03" w14:textId="77777777" w:rsidR="000835A8" w:rsidRPr="003E1719" w:rsidRDefault="000835A8" w:rsidP="000835A8">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Daugumos žmonių aukšt</w:t>
      </w:r>
      <w:r w:rsidR="00FA1751" w:rsidRPr="003E1719">
        <w:rPr>
          <w:rFonts w:ascii="Times New Roman" w:eastAsia="Times New Roman" w:hAnsi="Times New Roman" w:cs="Times New Roman"/>
          <w:color w:val="000000"/>
          <w:lang w:eastAsia="sl-SI"/>
        </w:rPr>
        <w:t>as cholesterolio kiekis neturi įtakos jų savijautai, nes nesukelia jokių simptomų. Tačiau, jei jis nemažinamas, krau</w:t>
      </w:r>
      <w:r w:rsidRPr="003E1719">
        <w:rPr>
          <w:rFonts w:ascii="Times New Roman" w:eastAsia="Times New Roman" w:hAnsi="Times New Roman" w:cs="Times New Roman"/>
          <w:color w:val="000000"/>
          <w:lang w:eastAsia="sl-SI"/>
        </w:rPr>
        <w:t>jagyslių sienelėse gali susikaup</w:t>
      </w:r>
      <w:r w:rsidR="00FA1751" w:rsidRPr="003E1719">
        <w:rPr>
          <w:rFonts w:ascii="Times New Roman" w:eastAsia="Times New Roman" w:hAnsi="Times New Roman" w:cs="Times New Roman"/>
          <w:color w:val="000000"/>
          <w:lang w:eastAsia="sl-SI"/>
        </w:rPr>
        <w:t>ti riebalų sankaupų, dėl kurių jos su</w:t>
      </w:r>
      <w:r w:rsidRPr="003E1719">
        <w:rPr>
          <w:rFonts w:ascii="Times New Roman" w:eastAsia="Times New Roman" w:hAnsi="Times New Roman" w:cs="Times New Roman"/>
          <w:color w:val="000000"/>
          <w:lang w:eastAsia="sl-SI"/>
        </w:rPr>
        <w:t>s</w:t>
      </w:r>
      <w:r w:rsidR="00FA1751" w:rsidRPr="003E1719">
        <w:rPr>
          <w:rFonts w:ascii="Times New Roman" w:eastAsia="Times New Roman" w:hAnsi="Times New Roman" w:cs="Times New Roman"/>
          <w:color w:val="000000"/>
          <w:lang w:eastAsia="sl-SI"/>
        </w:rPr>
        <w:t>iaurėja.</w:t>
      </w:r>
    </w:p>
    <w:p w14:paraId="54C6F18E" w14:textId="77777777" w:rsidR="00FA1751" w:rsidRPr="003E1719" w:rsidRDefault="000835A8" w:rsidP="000835A8">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Kartais tokios susiaurėjusios kraujagyslės gali užsikimšti, o tai gali nutraukti širdies ar smegenų aprūpinimą krauju ir sukelti širdies priepuolį arba insultą. Sumažindami cholesterolio kiekį galite sumažinti širdies priepuolio, insulto ar susijusių sveikatos problemų riziką.</w:t>
      </w:r>
    </w:p>
    <w:p w14:paraId="6F2DC4D3" w14:textId="77777777" w:rsidR="000835A8" w:rsidRPr="003E1719" w:rsidRDefault="000835A8"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49E4D69A" w14:textId="37B27AC7" w:rsidR="000D7B89" w:rsidRPr="003E1719" w:rsidRDefault="00AF3800"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Rosuvastatin/Ezetimibe Teva</w:t>
      </w:r>
      <w:r w:rsidR="004042B8" w:rsidRPr="003E1719">
        <w:rPr>
          <w:rFonts w:ascii="Times New Roman" w:eastAsia="Times New Roman" w:hAnsi="Times New Roman" w:cs="Times New Roman"/>
          <w:color w:val="000000"/>
          <w:lang w:eastAsia="sl-SI"/>
        </w:rPr>
        <w:t xml:space="preserve"> </w:t>
      </w:r>
      <w:r w:rsidR="000D7B89" w:rsidRPr="003E1719">
        <w:rPr>
          <w:rFonts w:ascii="Times New Roman" w:eastAsia="Times New Roman" w:hAnsi="Times New Roman" w:cs="Times New Roman"/>
          <w:color w:val="000000"/>
          <w:lang w:eastAsia="sl-SI"/>
        </w:rPr>
        <w:t xml:space="preserve">skirtas vartoti pacientams, kurie negali kontroliuoti cholesterolio kiekio vien cholesterolio kiekį mažinančia dieta. Šio vaisto vartojimo metu </w:t>
      </w:r>
      <w:r w:rsidR="000835A8" w:rsidRPr="003E1719">
        <w:rPr>
          <w:rFonts w:ascii="Times New Roman" w:eastAsia="Times New Roman" w:hAnsi="Times New Roman" w:cs="Times New Roman"/>
          <w:color w:val="000000"/>
          <w:lang w:eastAsia="sl-SI"/>
        </w:rPr>
        <w:t xml:space="preserve">Jūs turite </w:t>
      </w:r>
      <w:r w:rsidR="000D7B89" w:rsidRPr="003E1719">
        <w:rPr>
          <w:rFonts w:ascii="Times New Roman" w:eastAsia="Times New Roman" w:hAnsi="Times New Roman" w:cs="Times New Roman"/>
          <w:color w:val="000000"/>
          <w:lang w:eastAsia="sl-SI"/>
        </w:rPr>
        <w:t>toliau laikytis cholesterolio kiekį mažinančios dietos.</w:t>
      </w:r>
      <w:r w:rsidR="000835A8" w:rsidRPr="003E1719">
        <w:rPr>
          <w:rFonts w:ascii="Times New Roman" w:eastAsia="Times New Roman" w:hAnsi="Times New Roman" w:cs="Times New Roman"/>
          <w:color w:val="000000"/>
          <w:lang w:eastAsia="sl-SI"/>
        </w:rPr>
        <w:t xml:space="preserve"> </w:t>
      </w:r>
      <w:r w:rsidR="000D7B89" w:rsidRPr="003E1719">
        <w:rPr>
          <w:rFonts w:ascii="Times New Roman" w:eastAsia="Times New Roman" w:hAnsi="Times New Roman" w:cs="Times New Roman"/>
          <w:color w:val="000000"/>
          <w:lang w:eastAsia="sl-SI"/>
        </w:rPr>
        <w:t xml:space="preserve">Gydytojas Jums gali skirti </w:t>
      </w:r>
      <w:r>
        <w:rPr>
          <w:rFonts w:ascii="Times New Roman" w:eastAsia="Times New Roman" w:hAnsi="Times New Roman" w:cs="Times New Roman"/>
          <w:color w:val="000000"/>
          <w:lang w:eastAsia="sl-SI"/>
        </w:rPr>
        <w:t>Rosuvastatin/Ezetimibe Teva</w:t>
      </w:r>
      <w:r w:rsidR="000D7B89" w:rsidRPr="003E1719">
        <w:rPr>
          <w:rFonts w:ascii="Times New Roman" w:eastAsia="Times New Roman" w:hAnsi="Times New Roman" w:cs="Times New Roman"/>
          <w:color w:val="000000"/>
          <w:lang w:eastAsia="sl-SI"/>
        </w:rPr>
        <w:t>, jei jau vartojate rozuvastatin</w:t>
      </w:r>
      <w:r w:rsidR="0060426E">
        <w:rPr>
          <w:rFonts w:ascii="Times New Roman" w:eastAsia="Times New Roman" w:hAnsi="Times New Roman" w:cs="Times New Roman"/>
          <w:color w:val="000000"/>
          <w:lang w:eastAsia="sl-SI"/>
        </w:rPr>
        <w:t>o</w:t>
      </w:r>
      <w:r w:rsidR="000D7B89" w:rsidRPr="003E1719">
        <w:rPr>
          <w:rFonts w:ascii="Times New Roman" w:eastAsia="Times New Roman" w:hAnsi="Times New Roman" w:cs="Times New Roman"/>
          <w:color w:val="000000"/>
          <w:lang w:eastAsia="sl-SI"/>
        </w:rPr>
        <w:t xml:space="preserve"> ir ezetimib</w:t>
      </w:r>
      <w:r w:rsidR="0060426E">
        <w:rPr>
          <w:rFonts w:ascii="Times New Roman" w:eastAsia="Times New Roman" w:hAnsi="Times New Roman" w:cs="Times New Roman"/>
          <w:color w:val="000000"/>
          <w:lang w:eastAsia="sl-SI"/>
        </w:rPr>
        <w:t>o</w:t>
      </w:r>
      <w:r w:rsidR="000D7B89" w:rsidRPr="003E1719">
        <w:rPr>
          <w:rFonts w:ascii="Times New Roman" w:eastAsia="Times New Roman" w:hAnsi="Times New Roman" w:cs="Times New Roman"/>
          <w:color w:val="000000"/>
          <w:lang w:eastAsia="sl-SI"/>
        </w:rPr>
        <w:t xml:space="preserve"> tokiomis pačiomis dozėmis.</w:t>
      </w:r>
    </w:p>
    <w:p w14:paraId="6B09A6D6"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6C525839" w14:textId="77777777" w:rsidR="000835A8" w:rsidRPr="003E1719" w:rsidRDefault="00AF3800" w:rsidP="000D7B89">
      <w:pPr>
        <w:pStyle w:val="Antrat3"/>
        <w:shd w:val="clear" w:color="auto" w:fill="FFFFFF"/>
        <w:spacing w:before="0" w:after="0"/>
        <w:rPr>
          <w:rFonts w:ascii="Times New Roman" w:hAnsi="Times New Roman"/>
          <w:b w:val="0"/>
          <w:bCs w:val="0"/>
          <w:color w:val="222222"/>
          <w:sz w:val="22"/>
          <w:szCs w:val="22"/>
        </w:rPr>
      </w:pPr>
      <w:r>
        <w:rPr>
          <w:rFonts w:ascii="Times New Roman" w:hAnsi="Times New Roman"/>
          <w:b w:val="0"/>
          <w:bCs w:val="0"/>
          <w:color w:val="222222"/>
          <w:sz w:val="22"/>
          <w:szCs w:val="22"/>
        </w:rPr>
        <w:t>Rosuvastatin/Ezetimibe Teva</w:t>
      </w:r>
      <w:r w:rsidR="000835A8" w:rsidRPr="003E1719">
        <w:rPr>
          <w:rFonts w:ascii="Times New Roman" w:hAnsi="Times New Roman"/>
          <w:b w:val="0"/>
          <w:bCs w:val="0"/>
          <w:color w:val="222222"/>
          <w:sz w:val="22"/>
          <w:szCs w:val="22"/>
        </w:rPr>
        <w:t xml:space="preserve"> vartojamas, jeigu:</w:t>
      </w:r>
    </w:p>
    <w:p w14:paraId="2E0F85E8" w14:textId="77777777" w:rsidR="000835A8" w:rsidRPr="003E1719" w:rsidRDefault="000835A8" w:rsidP="000835A8">
      <w:pPr>
        <w:pStyle w:val="Antrat3"/>
        <w:numPr>
          <w:ilvl w:val="0"/>
          <w:numId w:val="22"/>
        </w:numPr>
        <w:shd w:val="clear" w:color="auto" w:fill="FFFFFF"/>
        <w:spacing w:before="0" w:after="0"/>
        <w:ind w:left="567" w:hanging="567"/>
        <w:rPr>
          <w:rFonts w:ascii="Times New Roman" w:hAnsi="Times New Roman"/>
          <w:b w:val="0"/>
          <w:bCs w:val="0"/>
          <w:color w:val="222222"/>
          <w:sz w:val="22"/>
          <w:szCs w:val="22"/>
        </w:rPr>
      </w:pPr>
      <w:r w:rsidRPr="003E1719">
        <w:rPr>
          <w:rFonts w:ascii="Times New Roman" w:hAnsi="Times New Roman"/>
          <w:b w:val="0"/>
          <w:bCs w:val="0"/>
          <w:color w:val="222222"/>
          <w:sz w:val="22"/>
          <w:szCs w:val="22"/>
        </w:rPr>
        <w:t>kraujyje yra padidėjęs cholesterolio kiekis (pirminė hipercholesterolemija),</w:t>
      </w:r>
    </w:p>
    <w:p w14:paraId="2490F138" w14:textId="77777777" w:rsidR="000835A8" w:rsidRPr="003E1719" w:rsidRDefault="000835A8" w:rsidP="000835A8">
      <w:pPr>
        <w:pStyle w:val="Antrat3"/>
        <w:numPr>
          <w:ilvl w:val="0"/>
          <w:numId w:val="23"/>
        </w:numPr>
        <w:shd w:val="clear" w:color="auto" w:fill="FFFFFF"/>
        <w:spacing w:before="0" w:after="0"/>
        <w:ind w:left="567" w:hanging="567"/>
        <w:rPr>
          <w:rFonts w:ascii="Times New Roman" w:hAnsi="Times New Roman"/>
          <w:b w:val="0"/>
          <w:bCs w:val="0"/>
          <w:color w:val="222222"/>
          <w:sz w:val="22"/>
          <w:szCs w:val="22"/>
        </w:rPr>
      </w:pPr>
      <w:r w:rsidRPr="003E1719">
        <w:rPr>
          <w:rFonts w:ascii="Times New Roman" w:hAnsi="Times New Roman"/>
          <w:b w:val="0"/>
          <w:sz w:val="22"/>
          <w:szCs w:val="22"/>
        </w:rPr>
        <w:t>sergate širdies liga</w:t>
      </w:r>
      <w:r w:rsidR="002E09BF">
        <w:rPr>
          <w:rFonts w:ascii="Times New Roman" w:hAnsi="Times New Roman"/>
          <w:b w:val="0"/>
          <w:sz w:val="22"/>
          <w:szCs w:val="22"/>
        </w:rPr>
        <w:t>;</w:t>
      </w:r>
      <w:r w:rsidRPr="003E1719">
        <w:rPr>
          <w:rFonts w:ascii="Times New Roman" w:hAnsi="Times New Roman"/>
          <w:b w:val="0"/>
          <w:bCs w:val="0"/>
          <w:color w:val="222222"/>
          <w:sz w:val="22"/>
          <w:szCs w:val="22"/>
        </w:rPr>
        <w:t xml:space="preserve"> </w:t>
      </w:r>
      <w:r w:rsidR="00AF3800">
        <w:rPr>
          <w:rFonts w:ascii="Times New Roman" w:hAnsi="Times New Roman"/>
          <w:b w:val="0"/>
          <w:bCs w:val="0"/>
          <w:color w:val="222222"/>
          <w:sz w:val="22"/>
          <w:szCs w:val="22"/>
        </w:rPr>
        <w:t>Rosuvastatin/Ezetimibe Teva</w:t>
      </w:r>
      <w:r w:rsidRPr="003E1719">
        <w:rPr>
          <w:rFonts w:ascii="Times New Roman" w:hAnsi="Times New Roman"/>
          <w:bCs w:val="0"/>
          <w:color w:val="222222"/>
          <w:sz w:val="22"/>
          <w:szCs w:val="22"/>
        </w:rPr>
        <w:t xml:space="preserve"> </w:t>
      </w:r>
      <w:r w:rsidRPr="003E1719">
        <w:rPr>
          <w:rFonts w:ascii="Times New Roman" w:hAnsi="Times New Roman"/>
          <w:b w:val="0"/>
          <w:bCs w:val="0"/>
          <w:color w:val="222222"/>
          <w:sz w:val="22"/>
          <w:szCs w:val="22"/>
        </w:rPr>
        <w:t>sumažina širdies priepuolio, insulto, operacijos širdies kraujotakai pagerinti ar hospitalizacijos dėl skausmo krūtinėje riziką.</w:t>
      </w:r>
    </w:p>
    <w:p w14:paraId="6782C64F" w14:textId="77777777" w:rsidR="000835A8" w:rsidRPr="003E1719" w:rsidRDefault="000835A8" w:rsidP="000835A8">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1EFEC428" w14:textId="77777777" w:rsidR="000D7B89" w:rsidRPr="003E1719" w:rsidRDefault="00AF3800"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Rosuvastatin/Ezetimibe Teva</w:t>
      </w:r>
      <w:r w:rsidR="004042B8" w:rsidRPr="003E1719">
        <w:rPr>
          <w:rFonts w:ascii="Times New Roman" w:eastAsia="Times New Roman" w:hAnsi="Times New Roman" w:cs="Times New Roman"/>
          <w:color w:val="000000"/>
          <w:lang w:eastAsia="sl-SI"/>
        </w:rPr>
        <w:t xml:space="preserve"> </w:t>
      </w:r>
      <w:r w:rsidR="002E09BF" w:rsidRPr="003E1719">
        <w:rPr>
          <w:rFonts w:ascii="Times New Roman" w:eastAsia="Times New Roman" w:hAnsi="Times New Roman" w:cs="Times New Roman"/>
          <w:color w:val="000000"/>
          <w:lang w:eastAsia="sl-SI"/>
        </w:rPr>
        <w:t>kūno svor</w:t>
      </w:r>
      <w:r w:rsidR="002E09BF">
        <w:rPr>
          <w:rFonts w:ascii="Times New Roman" w:eastAsia="Times New Roman" w:hAnsi="Times New Roman" w:cs="Times New Roman"/>
          <w:color w:val="000000"/>
          <w:lang w:eastAsia="sl-SI"/>
        </w:rPr>
        <w:t xml:space="preserve">io </w:t>
      </w:r>
      <w:r w:rsidR="000D7B89" w:rsidRPr="003E1719">
        <w:rPr>
          <w:rFonts w:ascii="Times New Roman" w:eastAsia="Times New Roman" w:hAnsi="Times New Roman" w:cs="Times New Roman"/>
          <w:color w:val="000000"/>
          <w:lang w:eastAsia="sl-SI"/>
        </w:rPr>
        <w:t xml:space="preserve">sumažinti </w:t>
      </w:r>
      <w:r w:rsidR="002E09BF" w:rsidRPr="003E1719">
        <w:rPr>
          <w:rFonts w:ascii="Times New Roman" w:eastAsia="Times New Roman" w:hAnsi="Times New Roman" w:cs="Times New Roman"/>
          <w:color w:val="000000"/>
          <w:lang w:eastAsia="sl-SI"/>
        </w:rPr>
        <w:t>nepadeda</w:t>
      </w:r>
      <w:r w:rsidR="002E09BF">
        <w:rPr>
          <w:rFonts w:ascii="Times New Roman" w:eastAsia="Times New Roman" w:hAnsi="Times New Roman" w:cs="Times New Roman"/>
          <w:color w:val="000000"/>
          <w:lang w:eastAsia="sl-SI"/>
        </w:rPr>
        <w:t>.</w:t>
      </w:r>
    </w:p>
    <w:p w14:paraId="2EB7E4E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FD48E56"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2.</w:t>
      </w:r>
      <w:r w:rsidRPr="003E1719">
        <w:rPr>
          <w:rFonts w:ascii="Times New Roman" w:eastAsia="Times New Roman" w:hAnsi="Times New Roman" w:cs="Times New Roman"/>
          <w:b/>
          <w:lang w:eastAsia="sl-SI"/>
        </w:rPr>
        <w:tab/>
        <w:t xml:space="preserve">Kas žinotina prieš vartojant </w:t>
      </w:r>
      <w:r w:rsidR="00AF3800">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p>
    <w:p w14:paraId="78656A15"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p>
    <w:p w14:paraId="65A39699" w14:textId="77777777" w:rsidR="000D7B89" w:rsidRPr="003E1719" w:rsidRDefault="00AF3800" w:rsidP="000D7B8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Rosuvastatin/Ezetimibe Teva</w:t>
      </w:r>
      <w:r w:rsidR="000D7B89" w:rsidRPr="003E1719">
        <w:rPr>
          <w:rFonts w:ascii="Times New Roman" w:eastAsia="Times New Roman" w:hAnsi="Times New Roman" w:cs="Times New Roman"/>
          <w:b/>
          <w:lang w:eastAsia="sl-SI"/>
        </w:rPr>
        <w:t xml:space="preserve"> vartoti draudžiama</w:t>
      </w:r>
    </w:p>
    <w:p w14:paraId="4FD545DF" w14:textId="77777777" w:rsidR="000D7B89" w:rsidRPr="003E1719" w:rsidRDefault="000D7B89" w:rsidP="000D7B89">
      <w:pPr>
        <w:widowControl w:val="0"/>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3E1719">
        <w:rPr>
          <w:rFonts w:ascii="Times New Roman" w:eastAsia="Times New Roman" w:hAnsi="Times New Roman" w:cs="Times New Roman"/>
          <w:snapToGrid w:val="0"/>
        </w:rPr>
        <w:t>jeigu yra alergija rozuvastatinui, ezetimibui arba bet kuriai pagalbinei šio vaisto medžiagai (jos išvardytos 6 skyriuje);</w:t>
      </w:r>
    </w:p>
    <w:p w14:paraId="43E65121" w14:textId="77777777" w:rsidR="006958A9" w:rsidRPr="003E1719" w:rsidRDefault="006958A9" w:rsidP="006958A9">
      <w:pPr>
        <w:widowControl w:val="0"/>
        <w:numPr>
          <w:ilvl w:val="0"/>
          <w:numId w:val="13"/>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sergate kepenų liga;</w:t>
      </w:r>
    </w:p>
    <w:p w14:paraId="75C34603" w14:textId="551CE781" w:rsidR="006958A9" w:rsidRPr="003E1719" w:rsidRDefault="006958A9" w:rsidP="006958A9">
      <w:pPr>
        <w:widowControl w:val="0"/>
        <w:numPr>
          <w:ilvl w:val="0"/>
          <w:numId w:val="13"/>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yra sunkių inkstų </w:t>
      </w:r>
      <w:r w:rsidR="0060426E">
        <w:rPr>
          <w:rFonts w:ascii="Times New Roman" w:eastAsia="Times New Roman" w:hAnsi="Times New Roman" w:cs="Times New Roman"/>
          <w:bCs/>
          <w:color w:val="000000"/>
          <w:lang w:eastAsia="sl-SI"/>
        </w:rPr>
        <w:t>funkcijos</w:t>
      </w:r>
      <w:r w:rsidR="0060426E" w:rsidRPr="003E1719">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bCs/>
          <w:color w:val="000000"/>
          <w:lang w:eastAsia="sl-SI"/>
        </w:rPr>
        <w:t>sutrikimų;</w:t>
      </w:r>
    </w:p>
    <w:p w14:paraId="5F61D7ED" w14:textId="77777777" w:rsidR="006958A9" w:rsidRPr="003E1719" w:rsidRDefault="006958A9" w:rsidP="006958A9">
      <w:pPr>
        <w:widowControl w:val="0"/>
        <w:numPr>
          <w:ilvl w:val="0"/>
          <w:numId w:val="13"/>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snapToGrid w:val="0"/>
        </w:rPr>
        <w:t>jeigu kartojasi arba dėl neaiškios priežasties pasireiškia raumenų maudimas ar skausmas (miopatija);</w:t>
      </w:r>
    </w:p>
    <w:p w14:paraId="47A57C3C" w14:textId="77777777" w:rsidR="006958A9" w:rsidRPr="003E1719" w:rsidRDefault="006958A9" w:rsidP="006958A9">
      <w:pPr>
        <w:widowControl w:val="0"/>
        <w:numPr>
          <w:ilvl w:val="0"/>
          <w:numId w:val="13"/>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vartojate vaisto, vadinamo ciklosporinu (jo vartojama, pvz., po organo persodinimo).</w:t>
      </w:r>
    </w:p>
    <w:p w14:paraId="329BDB2C" w14:textId="3F844497" w:rsidR="000D7B89" w:rsidRPr="003E1719" w:rsidRDefault="000D7B89" w:rsidP="00DE3361">
      <w:pPr>
        <w:widowControl w:val="0"/>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3E1719">
        <w:rPr>
          <w:rFonts w:ascii="Times New Roman" w:eastAsia="Times New Roman" w:hAnsi="Times New Roman" w:cs="Times New Roman"/>
          <w:bCs/>
          <w:color w:val="000000"/>
          <w:lang w:eastAsia="sl-SI"/>
        </w:rPr>
        <w:t xml:space="preserve">jeigu esate nėščia arba </w:t>
      </w:r>
      <w:r w:rsidR="006958A9" w:rsidRPr="003E1719">
        <w:rPr>
          <w:rFonts w:ascii="Times New Roman" w:eastAsia="Times New Roman" w:hAnsi="Times New Roman" w:cs="Times New Roman"/>
          <w:bCs/>
          <w:color w:val="000000"/>
          <w:lang w:eastAsia="sl-SI"/>
        </w:rPr>
        <w:t>žindote kūdikį</w:t>
      </w:r>
      <w:r w:rsidRPr="003E1719">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snapToGrid w:val="0"/>
        </w:rPr>
        <w:t xml:space="preserve">Jeigu pastojote vartodama </w:t>
      </w:r>
      <w:r w:rsidR="00AF3800">
        <w:rPr>
          <w:rFonts w:ascii="Times New Roman" w:eastAsia="Times New Roman" w:hAnsi="Times New Roman" w:cs="Times New Roman"/>
          <w:color w:val="000000"/>
          <w:lang w:eastAsia="sl-SI"/>
        </w:rPr>
        <w:t>Rosuvastatin/Ezetimibe Teva</w:t>
      </w:r>
      <w:r w:rsidRPr="003E1719">
        <w:rPr>
          <w:rFonts w:ascii="Times New Roman" w:eastAsia="Times New Roman" w:hAnsi="Times New Roman" w:cs="Times New Roman"/>
          <w:snapToGrid w:val="0"/>
        </w:rPr>
        <w:t>, nedelsdama</w:t>
      </w:r>
      <w:r w:rsidRPr="003E1719">
        <w:rPr>
          <w:rFonts w:ascii="Times New Roman" w:eastAsia="Times New Roman" w:hAnsi="Times New Roman" w:cs="Times New Roman"/>
          <w:b/>
          <w:snapToGrid w:val="0"/>
        </w:rPr>
        <w:t xml:space="preserve"> </w:t>
      </w:r>
      <w:r w:rsidRPr="003E1719">
        <w:rPr>
          <w:rFonts w:ascii="Times New Roman" w:eastAsia="Times New Roman" w:hAnsi="Times New Roman" w:cs="Times New Roman"/>
          <w:snapToGrid w:val="0"/>
        </w:rPr>
        <w:t xml:space="preserve">nutraukite vaisto vartojimą ir kreipkitės į gydytoją. </w:t>
      </w:r>
      <w:r w:rsidR="006958A9" w:rsidRPr="003E1719">
        <w:rPr>
          <w:rFonts w:ascii="Times New Roman" w:eastAsia="Times New Roman" w:hAnsi="Times New Roman" w:cs="Times New Roman"/>
          <w:snapToGrid w:val="0"/>
        </w:rPr>
        <w:t>Š</w:t>
      </w:r>
      <w:r w:rsidR="0060426E">
        <w:rPr>
          <w:rFonts w:ascii="Times New Roman" w:eastAsia="Times New Roman" w:hAnsi="Times New Roman" w:cs="Times New Roman"/>
          <w:snapToGrid w:val="0"/>
        </w:rPr>
        <w:t>io</w:t>
      </w:r>
      <w:r w:rsidR="006958A9" w:rsidRPr="003E1719">
        <w:rPr>
          <w:rFonts w:ascii="Times New Roman" w:eastAsia="Times New Roman" w:hAnsi="Times New Roman" w:cs="Times New Roman"/>
          <w:snapToGrid w:val="0"/>
        </w:rPr>
        <w:t xml:space="preserve"> vaist</w:t>
      </w:r>
      <w:r w:rsidR="0060426E">
        <w:rPr>
          <w:rFonts w:ascii="Times New Roman" w:eastAsia="Times New Roman" w:hAnsi="Times New Roman" w:cs="Times New Roman"/>
          <w:snapToGrid w:val="0"/>
        </w:rPr>
        <w:t>o</w:t>
      </w:r>
      <w:r w:rsidRPr="003E1719">
        <w:rPr>
          <w:rFonts w:ascii="Times New Roman" w:eastAsia="Times New Roman" w:hAnsi="Times New Roman" w:cs="Times New Roman"/>
          <w:color w:val="000000"/>
          <w:lang w:eastAsia="sl-SI"/>
        </w:rPr>
        <w:t xml:space="preserve"> </w:t>
      </w:r>
      <w:r w:rsidRPr="003E1719">
        <w:rPr>
          <w:rFonts w:ascii="Times New Roman" w:eastAsia="Times New Roman" w:hAnsi="Times New Roman" w:cs="Times New Roman"/>
          <w:snapToGrid w:val="0"/>
        </w:rPr>
        <w:t>vartojančios moterys turi saugotis pastojimo</w:t>
      </w:r>
      <w:r w:rsidR="006958A9" w:rsidRPr="003E1719">
        <w:rPr>
          <w:rFonts w:ascii="Times New Roman" w:eastAsia="Times New Roman" w:hAnsi="Times New Roman" w:cs="Times New Roman"/>
          <w:snapToGrid w:val="0"/>
        </w:rPr>
        <w:t xml:space="preserve"> </w:t>
      </w:r>
      <w:r w:rsidRPr="003E1719">
        <w:rPr>
          <w:rFonts w:ascii="Times New Roman" w:eastAsia="Times New Roman" w:hAnsi="Times New Roman" w:cs="Times New Roman"/>
          <w:snapToGrid w:val="0"/>
        </w:rPr>
        <w:t>naudo</w:t>
      </w:r>
      <w:r w:rsidR="006958A9" w:rsidRPr="003E1719">
        <w:rPr>
          <w:rFonts w:ascii="Times New Roman" w:eastAsia="Times New Roman" w:hAnsi="Times New Roman" w:cs="Times New Roman"/>
          <w:snapToGrid w:val="0"/>
        </w:rPr>
        <w:t>jant</w:t>
      </w:r>
      <w:r w:rsidRPr="003E1719">
        <w:rPr>
          <w:rFonts w:ascii="Times New Roman" w:eastAsia="Times New Roman" w:hAnsi="Times New Roman" w:cs="Times New Roman"/>
          <w:snapToGrid w:val="0"/>
        </w:rPr>
        <w:t xml:space="preserve"> veiksmingą kontracepcijos metodą</w:t>
      </w:r>
      <w:r w:rsidR="006958A9" w:rsidRPr="003E1719">
        <w:rPr>
          <w:rFonts w:ascii="Times New Roman" w:eastAsia="Times New Roman" w:hAnsi="Times New Roman" w:cs="Times New Roman"/>
          <w:snapToGrid w:val="0"/>
        </w:rPr>
        <w:t xml:space="preserve"> (žr. toliau „Nėštumas ir žindymas“</w:t>
      </w:r>
      <w:r w:rsidRPr="003E1719">
        <w:rPr>
          <w:rFonts w:ascii="Times New Roman" w:eastAsia="Times New Roman" w:hAnsi="Times New Roman" w:cs="Times New Roman"/>
          <w:snapToGrid w:val="0"/>
        </w:rPr>
        <w:t>);</w:t>
      </w:r>
    </w:p>
    <w:p w14:paraId="2033E481" w14:textId="77777777" w:rsidR="00DF43C6" w:rsidRPr="003E1719" w:rsidRDefault="00DF43C6" w:rsidP="00DE3361">
      <w:pPr>
        <w:widowControl w:val="0"/>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jeigu po šio vaisto ar kitų vaistų, kurių sudėtyje yra rozuvastatino pavartojimo kada nors atsirado sunkus odos išbėrima arba lupimasis, pūslės ir (arba) burnos opos; </w:t>
      </w:r>
    </w:p>
    <w:p w14:paraId="01D1E137" w14:textId="77777777" w:rsidR="000D7B89" w:rsidRPr="003E1719" w:rsidRDefault="000D7B89" w:rsidP="000D7B89">
      <w:pPr>
        <w:numPr>
          <w:ilvl w:val="0"/>
          <w:numId w:val="18"/>
        </w:numPr>
        <w:tabs>
          <w:tab w:val="left" w:pos="567"/>
        </w:tabs>
        <w:spacing w:after="0" w:line="240" w:lineRule="auto"/>
        <w:ind w:left="567" w:hanging="567"/>
        <w:rPr>
          <w:rFonts w:ascii="Times New Roman" w:eastAsia="Calibri" w:hAnsi="Times New Roman" w:cs="Times New Roman"/>
          <w:bCs/>
        </w:rPr>
      </w:pPr>
      <w:r w:rsidRPr="003E1719">
        <w:rPr>
          <w:rFonts w:ascii="Times New Roman" w:eastAsia="Times New Roman" w:hAnsi="Times New Roman" w:cs="Times New Roman"/>
          <w:bCs/>
          <w:color w:val="000000"/>
          <w:lang w:eastAsia="sl-SI"/>
        </w:rPr>
        <w:t>varto</w:t>
      </w:r>
      <w:r w:rsidR="007026D6">
        <w:rPr>
          <w:rFonts w:ascii="Times New Roman" w:eastAsia="Times New Roman" w:hAnsi="Times New Roman" w:cs="Times New Roman"/>
          <w:bCs/>
          <w:color w:val="000000"/>
          <w:lang w:eastAsia="sl-SI"/>
        </w:rPr>
        <w:t>ti</w:t>
      </w:r>
      <w:r w:rsidRPr="003E1719">
        <w:rPr>
          <w:rFonts w:ascii="Times New Roman" w:eastAsia="Times New Roman" w:hAnsi="Times New Roman" w:cs="Times New Roman"/>
          <w:bCs/>
          <w:color w:val="000000"/>
          <w:lang w:eastAsia="sl-SI"/>
        </w:rPr>
        <w:t xml:space="preserve"> </w:t>
      </w:r>
      <w:r w:rsidRPr="003E1719">
        <w:rPr>
          <w:rFonts w:ascii="Times New Roman" w:eastAsia="Calibri" w:hAnsi="Times New Roman" w:cs="Times New Roman"/>
          <w:bCs/>
        </w:rPr>
        <w:t xml:space="preserve">kartu su </w:t>
      </w:r>
      <w:r w:rsidRPr="003E1719">
        <w:rPr>
          <w:rFonts w:ascii="Times New Roman" w:eastAsia="Times New Roman" w:hAnsi="Times New Roman" w:cs="Times New Roman"/>
          <w:lang w:eastAsia="lt-LT"/>
        </w:rPr>
        <w:t>sofosbuvir</w:t>
      </w:r>
      <w:r w:rsidR="00DF43C6" w:rsidRPr="003E1719">
        <w:rPr>
          <w:rFonts w:ascii="Times New Roman" w:eastAsia="Times New Roman" w:hAnsi="Times New Roman" w:cs="Times New Roman"/>
          <w:lang w:eastAsia="lt-LT"/>
        </w:rPr>
        <w:t>o</w:t>
      </w:r>
      <w:r w:rsidRPr="003E1719">
        <w:rPr>
          <w:rFonts w:ascii="Times New Roman" w:eastAsia="Times New Roman" w:hAnsi="Times New Roman" w:cs="Times New Roman"/>
          <w:lang w:eastAsia="lt-LT"/>
        </w:rPr>
        <w:t>/velpatasviro/voksilapreviro deriniu (vartojamu kepenų virusinei infekcijai</w:t>
      </w:r>
      <w:r w:rsidR="00DF43C6" w:rsidRPr="003E1719">
        <w:rPr>
          <w:rFonts w:ascii="Times New Roman" w:eastAsia="Times New Roman" w:hAnsi="Times New Roman" w:cs="Times New Roman"/>
          <w:lang w:eastAsia="lt-LT"/>
        </w:rPr>
        <w:t>, vadinamai hepatitu C, gydyti).</w:t>
      </w:r>
    </w:p>
    <w:p w14:paraId="6BB99EDE" w14:textId="77777777" w:rsidR="00DF43C6" w:rsidRPr="003E1719" w:rsidRDefault="00DF43C6" w:rsidP="00DF43C6">
      <w:pPr>
        <w:tabs>
          <w:tab w:val="left" w:pos="567"/>
        </w:tabs>
        <w:spacing w:after="0" w:line="240" w:lineRule="auto"/>
        <w:ind w:left="567"/>
        <w:rPr>
          <w:rFonts w:ascii="Times New Roman" w:eastAsia="Calibri" w:hAnsi="Times New Roman" w:cs="Times New Roman"/>
          <w:bCs/>
        </w:rPr>
      </w:pPr>
    </w:p>
    <w:p w14:paraId="4B10AB14" w14:textId="77777777" w:rsidR="000D7B89" w:rsidRPr="003E1719" w:rsidRDefault="000D7B89" w:rsidP="000D7B89">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Jei bet kuri paminėta būklė Jums tinka (arba dėl to abejojate), </w:t>
      </w:r>
      <w:r w:rsidRPr="003E1719">
        <w:rPr>
          <w:rFonts w:ascii="Times New Roman" w:eastAsia="Times New Roman" w:hAnsi="Times New Roman" w:cs="Times New Roman"/>
          <w:bCs/>
          <w:color w:val="000000"/>
          <w:lang w:eastAsia="sl-SI"/>
        </w:rPr>
        <w:t>pasitarkite</w:t>
      </w:r>
      <w:r w:rsidR="00DF43C6" w:rsidRPr="003E1719">
        <w:rPr>
          <w:rFonts w:ascii="Times New Roman" w:eastAsia="Times New Roman" w:hAnsi="Times New Roman" w:cs="Times New Roman"/>
          <w:bCs/>
          <w:color w:val="000000"/>
          <w:lang w:eastAsia="sl-SI"/>
        </w:rPr>
        <w:t xml:space="preserve"> su gydytoju</w:t>
      </w:r>
      <w:r w:rsidRPr="003E1719">
        <w:rPr>
          <w:rFonts w:ascii="Times New Roman" w:eastAsia="Times New Roman" w:hAnsi="Times New Roman" w:cs="Times New Roman"/>
          <w:color w:val="000000"/>
          <w:lang w:eastAsia="sl-SI"/>
        </w:rPr>
        <w:t>.</w:t>
      </w:r>
    </w:p>
    <w:p w14:paraId="597FF58E" w14:textId="77777777" w:rsidR="000D7B89" w:rsidRPr="003E1719" w:rsidRDefault="000D7B89" w:rsidP="000D7B89">
      <w:pPr>
        <w:widowControl w:val="0"/>
        <w:numPr>
          <w:ilvl w:val="12"/>
          <w:numId w:val="0"/>
        </w:numPr>
        <w:spacing w:after="0" w:line="240" w:lineRule="auto"/>
        <w:ind w:right="-2"/>
        <w:rPr>
          <w:rFonts w:ascii="Times New Roman" w:eastAsia="Times New Roman" w:hAnsi="Times New Roman" w:cs="Times New Roman"/>
        </w:rPr>
      </w:pPr>
    </w:p>
    <w:p w14:paraId="1CFC39E1" w14:textId="77777777" w:rsidR="000D7B89" w:rsidRPr="003E1719" w:rsidRDefault="000D7B89" w:rsidP="000D7B89">
      <w:pPr>
        <w:widowControl w:val="0"/>
        <w:tabs>
          <w:tab w:val="left" w:pos="567"/>
        </w:tabs>
        <w:spacing w:after="0" w:line="240" w:lineRule="auto"/>
        <w:jc w:val="both"/>
        <w:outlineLvl w:val="3"/>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Įspėjimai ir atsargumo priemonės</w:t>
      </w:r>
    </w:p>
    <w:p w14:paraId="134538CB" w14:textId="77777777" w:rsidR="000D7B89" w:rsidRPr="003E1719" w:rsidRDefault="000D7B89" w:rsidP="000D7B89">
      <w:pPr>
        <w:widowControl w:val="0"/>
        <w:numPr>
          <w:ilvl w:val="12"/>
          <w:numId w:val="0"/>
        </w:numPr>
        <w:spacing w:after="0" w:line="240" w:lineRule="auto"/>
        <w:ind w:right="-2"/>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Pasitarkite su gydytoju arba vaistininku, prieš pradėdami vartoti </w:t>
      </w:r>
      <w:r w:rsidR="00AF3800">
        <w:rPr>
          <w:rFonts w:ascii="Times New Roman" w:eastAsia="Times New Roman" w:hAnsi="Times New Roman" w:cs="Times New Roman"/>
          <w:lang w:eastAsia="sl-SI"/>
        </w:rPr>
        <w:t>Rosuvastatin/Ezetimibe Teva</w:t>
      </w:r>
      <w:r w:rsidRPr="003E1719">
        <w:rPr>
          <w:rFonts w:ascii="Times New Roman" w:eastAsia="Times New Roman" w:hAnsi="Times New Roman" w:cs="Times New Roman"/>
          <w:lang w:eastAsia="sl-SI"/>
        </w:rPr>
        <w:t>:</w:t>
      </w:r>
    </w:p>
    <w:p w14:paraId="61A0853B" w14:textId="77777777" w:rsidR="000D7B89" w:rsidRPr="003E1719" w:rsidRDefault="000D7B89" w:rsidP="000D7B89">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yra inkstų sutrikimų;</w:t>
      </w:r>
    </w:p>
    <w:p w14:paraId="66241F31" w14:textId="77777777" w:rsidR="000D7B89" w:rsidRPr="003E1719" w:rsidRDefault="000D7B89" w:rsidP="000D7B89">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yra kepenų sutrikimų;</w:t>
      </w:r>
    </w:p>
    <w:p w14:paraId="12CD972F" w14:textId="40F9926D" w:rsidR="000D7B89" w:rsidRDefault="000D7B89" w:rsidP="000D7B89">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kartojasi arba dėl neaiškios priežasties pasireiškia raumenų maudimas ar skausmas, Jums ar Jūsų 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 Be to, pasakykite gydytojui ar vaistininkui, jei yra nuolatinis raumenų silpnumas;</w:t>
      </w:r>
    </w:p>
    <w:p w14:paraId="4173365D" w14:textId="2D1A4F3F" w:rsidR="00660588" w:rsidRPr="003E1719" w:rsidRDefault="00660588" w:rsidP="000D7B89">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1F4055">
        <w:rPr>
          <w:rFonts w:ascii="Times New Roman" w:hAnsi="Times New Roman" w:cs="Times New Roman"/>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r>
        <w:rPr>
          <w:rFonts w:ascii="Times New Roman" w:hAnsi="Times New Roman" w:cs="Times New Roman"/>
        </w:rPr>
        <w:t>;</w:t>
      </w:r>
    </w:p>
    <w:p w14:paraId="742DADA1" w14:textId="77777777" w:rsidR="00DF43C6" w:rsidRPr="003E1719" w:rsidRDefault="00DF43C6" w:rsidP="00DF43C6">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esate kilęs iš Azijos (japonas, kinas, filipinietis, vietnamietis, korėjietis ar indas). Jūsų gydytojas turės parinkti Jums tinkančią dozę;</w:t>
      </w:r>
    </w:p>
    <w:p w14:paraId="176AE53D" w14:textId="6B3B441A" w:rsidR="00DF43C6" w:rsidRPr="003E1719" w:rsidRDefault="00DF43C6" w:rsidP="00DF43C6">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vartojate vaistų nuo infekcijos, įskaitant ŽIV ar C hepatit</w:t>
      </w:r>
      <w:r w:rsidR="00396E96" w:rsidRPr="003E1719">
        <w:rPr>
          <w:rFonts w:ascii="Times New Roman" w:eastAsia="Times New Roman" w:hAnsi="Times New Roman" w:cs="Times New Roman"/>
          <w:bCs/>
          <w:color w:val="000000"/>
          <w:lang w:eastAsia="sl-SI"/>
        </w:rPr>
        <w:t xml:space="preserve">o infekcijas, </w:t>
      </w:r>
      <w:r w:rsidRPr="003E1719">
        <w:rPr>
          <w:rFonts w:ascii="Times New Roman" w:eastAsia="Times New Roman" w:hAnsi="Times New Roman" w:cs="Times New Roman"/>
          <w:bCs/>
          <w:color w:val="000000"/>
          <w:lang w:eastAsia="sl-SI"/>
        </w:rPr>
        <w:t xml:space="preserve">pvz., </w:t>
      </w:r>
      <w:r w:rsidR="00396E96" w:rsidRPr="003E1719">
        <w:rPr>
          <w:rFonts w:ascii="Times New Roman" w:eastAsia="Times New Roman" w:hAnsi="Times New Roman" w:cs="Times New Roman"/>
          <w:bCs/>
          <w:color w:val="000000"/>
          <w:lang w:eastAsia="sl-SI"/>
        </w:rPr>
        <w:t>lopinavir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w:t>
      </w:r>
      <w:r w:rsidRPr="003E1719">
        <w:rPr>
          <w:rFonts w:ascii="Times New Roman" w:eastAsia="Times New Roman" w:hAnsi="Times New Roman" w:cs="Times New Roman"/>
          <w:bCs/>
          <w:color w:val="000000"/>
          <w:lang w:eastAsia="sl-SI"/>
        </w:rPr>
        <w:t xml:space="preserve"> </w:t>
      </w:r>
      <w:r w:rsidR="00396E96" w:rsidRPr="003E1719">
        <w:rPr>
          <w:rFonts w:ascii="Times New Roman" w:eastAsia="Times New Roman" w:hAnsi="Times New Roman" w:cs="Times New Roman"/>
          <w:bCs/>
          <w:color w:val="000000"/>
          <w:lang w:eastAsia="sl-SI"/>
        </w:rPr>
        <w:t>ritonavir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atazanavir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sofosbuvir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voksilaprevir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ombitasvir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paritaprevir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dasabuvir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velpatasvir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grazoprevir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elbasvir</w:t>
      </w:r>
      <w:r w:rsidR="0060426E">
        <w:rPr>
          <w:rFonts w:ascii="Times New Roman" w:eastAsia="Times New Roman" w:hAnsi="Times New Roman" w:cs="Times New Roman"/>
          <w:bCs/>
          <w:color w:val="000000"/>
          <w:lang w:eastAsia="sl-SI"/>
        </w:rPr>
        <w:t>o</w:t>
      </w:r>
      <w:r w:rsidR="00396E96" w:rsidRPr="003E1719">
        <w:rPr>
          <w:rFonts w:ascii="Times New Roman" w:eastAsia="Times New Roman" w:hAnsi="Times New Roman" w:cs="Times New Roman"/>
          <w:bCs/>
          <w:color w:val="000000"/>
          <w:lang w:eastAsia="sl-SI"/>
        </w:rPr>
        <w:t>, glace</w:t>
      </w:r>
      <w:r w:rsidR="007026D6">
        <w:rPr>
          <w:rFonts w:ascii="Times New Roman" w:eastAsia="Times New Roman" w:hAnsi="Times New Roman" w:cs="Times New Roman"/>
          <w:bCs/>
          <w:color w:val="000000"/>
          <w:lang w:eastAsia="sl-SI"/>
        </w:rPr>
        <w:t>pravir</w:t>
      </w:r>
      <w:r w:rsidR="0060426E">
        <w:rPr>
          <w:rFonts w:ascii="Times New Roman" w:eastAsia="Times New Roman" w:hAnsi="Times New Roman" w:cs="Times New Roman"/>
          <w:bCs/>
          <w:color w:val="000000"/>
          <w:lang w:eastAsia="sl-SI"/>
        </w:rPr>
        <w:t>o</w:t>
      </w:r>
      <w:r w:rsidR="007026D6">
        <w:rPr>
          <w:rFonts w:ascii="Times New Roman" w:eastAsia="Times New Roman" w:hAnsi="Times New Roman" w:cs="Times New Roman"/>
          <w:bCs/>
          <w:color w:val="000000"/>
          <w:lang w:eastAsia="sl-SI"/>
        </w:rPr>
        <w:t xml:space="preserve"> ir (arba) pibrentasvir</w:t>
      </w:r>
      <w:r w:rsidR="0060426E">
        <w:rPr>
          <w:rFonts w:ascii="Times New Roman" w:eastAsia="Times New Roman" w:hAnsi="Times New Roman" w:cs="Times New Roman"/>
          <w:bCs/>
          <w:color w:val="000000"/>
          <w:lang w:eastAsia="sl-SI"/>
        </w:rPr>
        <w:t>o</w:t>
      </w:r>
      <w:r w:rsidR="007026D6">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bCs/>
          <w:color w:val="000000"/>
          <w:lang w:eastAsia="sl-SI"/>
        </w:rPr>
        <w:t xml:space="preserve">žr. poskyrį „Kiti vaistai ir </w:t>
      </w:r>
      <w:r w:rsidR="00AF3800">
        <w:rPr>
          <w:rFonts w:ascii="Times New Roman" w:eastAsia="Times New Roman" w:hAnsi="Times New Roman" w:cs="Times New Roman"/>
          <w:bCs/>
          <w:color w:val="000000"/>
          <w:lang w:eastAsia="sl-SI"/>
        </w:rPr>
        <w:t>Rosuvastatin/Ezetimibe Teva</w:t>
      </w:r>
      <w:r w:rsidRPr="003E1719">
        <w:rPr>
          <w:rFonts w:ascii="Times New Roman" w:eastAsia="Times New Roman" w:hAnsi="Times New Roman" w:cs="Times New Roman"/>
          <w:bCs/>
          <w:color w:val="000000"/>
          <w:lang w:eastAsia="sl-SI"/>
        </w:rPr>
        <w:t>“;</w:t>
      </w:r>
    </w:p>
    <w:p w14:paraId="7AE9106D" w14:textId="77777777" w:rsidR="00396E96" w:rsidRPr="003E1719" w:rsidRDefault="00396E96" w:rsidP="00396E96">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yra sunkus kvėpavimo nepakankamumas;</w:t>
      </w:r>
    </w:p>
    <w:p w14:paraId="5A28196F" w14:textId="77777777" w:rsidR="00396E96" w:rsidRPr="003E1719" w:rsidRDefault="000D7B89" w:rsidP="00396E96">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 vartojate kitų cholesterolio kiekiui mažinti skirtų </w:t>
      </w:r>
      <w:r w:rsidR="00953BD4">
        <w:rPr>
          <w:rFonts w:ascii="Times New Roman" w:eastAsia="Times New Roman" w:hAnsi="Times New Roman" w:cs="Times New Roman"/>
          <w:bCs/>
          <w:color w:val="000000"/>
          <w:lang w:eastAsia="sl-SI"/>
        </w:rPr>
        <w:t>vaistų, vadinamų fibratais;</w:t>
      </w:r>
      <w:r w:rsidR="00396E96" w:rsidRPr="003E1719">
        <w:rPr>
          <w:rFonts w:ascii="Times New Roman" w:eastAsia="Times New Roman" w:hAnsi="Times New Roman" w:cs="Times New Roman"/>
          <w:bCs/>
          <w:color w:val="000000"/>
          <w:lang w:eastAsia="sl-SI"/>
        </w:rPr>
        <w:t xml:space="preserve"> žr. poskyrį „Kiti vaistai ir </w:t>
      </w:r>
      <w:r w:rsidR="00AF3800">
        <w:rPr>
          <w:rFonts w:ascii="Times New Roman" w:eastAsia="Times New Roman" w:hAnsi="Times New Roman" w:cs="Times New Roman"/>
          <w:bCs/>
          <w:color w:val="000000"/>
          <w:lang w:eastAsia="sl-SI"/>
        </w:rPr>
        <w:t>Rosuvastatin/Ezetimibe Teva</w:t>
      </w:r>
      <w:r w:rsidR="00396E96" w:rsidRPr="003E1719">
        <w:rPr>
          <w:rFonts w:ascii="Times New Roman" w:eastAsia="Times New Roman" w:hAnsi="Times New Roman" w:cs="Times New Roman"/>
          <w:bCs/>
          <w:color w:val="000000"/>
          <w:lang w:eastAsia="sl-SI"/>
        </w:rPr>
        <w:t>“;</w:t>
      </w:r>
    </w:p>
    <w:p w14:paraId="4F64B0A2" w14:textId="77777777" w:rsidR="00396E96" w:rsidRPr="003E1719" w:rsidRDefault="00396E96" w:rsidP="000D7B89">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Jums planuojama atlikti operaciją. Gali tekti trumpam nutraukti šio vaisto vartojimą;</w:t>
      </w:r>
    </w:p>
    <w:p w14:paraId="64D9139C" w14:textId="77777777" w:rsidR="00396E96" w:rsidRPr="003E1719" w:rsidRDefault="00396E96" w:rsidP="00396E96">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reguliariai dideliais kiekiais vartojate alkoholį;</w:t>
      </w:r>
    </w:p>
    <w:p w14:paraId="76D242ED" w14:textId="77777777" w:rsidR="00396E96" w:rsidRPr="003E1719" w:rsidRDefault="00396E96" w:rsidP="00396E96">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Jūsų skydliaukės veikla yra susilpnėjusi, sergate hipotiroze;</w:t>
      </w:r>
    </w:p>
    <w:p w14:paraId="7B5E7694" w14:textId="77777777" w:rsidR="00396E96" w:rsidRPr="003E1719" w:rsidRDefault="00396E96" w:rsidP="00396E96">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esate vyresnis kaip 70 metų (gydytojas turės parinkti Jums tinkančią pradinę </w:t>
      </w:r>
      <w:r w:rsidR="00AF3800">
        <w:rPr>
          <w:rFonts w:ascii="Times New Roman" w:eastAsia="Times New Roman" w:hAnsi="Times New Roman" w:cs="Times New Roman"/>
          <w:bCs/>
          <w:color w:val="000000"/>
          <w:lang w:eastAsia="sl-SI"/>
        </w:rPr>
        <w:t>Rosuvastatin/Ezetimibe Teva</w:t>
      </w:r>
      <w:r w:rsidRPr="003E1719">
        <w:rPr>
          <w:rFonts w:ascii="Times New Roman" w:eastAsia="Times New Roman" w:hAnsi="Times New Roman" w:cs="Times New Roman"/>
          <w:bCs/>
          <w:color w:val="000000"/>
          <w:lang w:eastAsia="sl-SI"/>
        </w:rPr>
        <w:t xml:space="preserve"> dozę);</w:t>
      </w:r>
    </w:p>
    <w:p w14:paraId="71F80EF6" w14:textId="77777777" w:rsidR="000D7B89" w:rsidRPr="003E1719" w:rsidRDefault="000D7B89" w:rsidP="000D7B89">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 xml:space="preserve">jeigu vartojate arba paskutinių 7 dienų laikotarpiu vartojote geriamosios ar </w:t>
      </w:r>
      <w:r w:rsidR="00953BD4">
        <w:rPr>
          <w:rFonts w:ascii="Times New Roman" w:eastAsia="Times New Roman" w:hAnsi="Times New Roman" w:cs="Times New Roman"/>
          <w:bCs/>
          <w:color w:val="000000"/>
          <w:lang w:eastAsia="sl-SI"/>
        </w:rPr>
        <w:t xml:space="preserve">švirkščiamosios </w:t>
      </w:r>
      <w:r w:rsidRPr="003E1719">
        <w:rPr>
          <w:rFonts w:ascii="Times New Roman" w:eastAsia="Times New Roman" w:hAnsi="Times New Roman" w:cs="Times New Roman"/>
          <w:bCs/>
          <w:color w:val="000000"/>
          <w:lang w:eastAsia="sl-SI"/>
        </w:rPr>
        <w:t xml:space="preserve">fuzido rūgšties (vaisto nuo bakterijų sukeltos infekcinės ligos). Fuzido rūgšties ir </w:t>
      </w:r>
      <w:r w:rsidR="00AF3800">
        <w:rPr>
          <w:rFonts w:ascii="Times New Roman" w:eastAsia="Times New Roman" w:hAnsi="Times New Roman" w:cs="Times New Roman"/>
          <w:bCs/>
          <w:color w:val="000000"/>
          <w:lang w:eastAsia="sl-SI"/>
        </w:rPr>
        <w:t>Rosuvastatin/Ezetimibe Teva</w:t>
      </w:r>
      <w:r w:rsidR="004042B8" w:rsidRPr="003E1719">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bCs/>
          <w:color w:val="000000"/>
          <w:lang w:eastAsia="sl-SI"/>
        </w:rPr>
        <w:t>derinys gali sukelti sunkių raumenų sutrikimų (rabdomiolizę);</w:t>
      </w:r>
    </w:p>
    <w:p w14:paraId="5462F5AB" w14:textId="5BB0892A" w:rsidR="00396E96" w:rsidRPr="003E1719" w:rsidRDefault="00396E96" w:rsidP="000D7B89">
      <w:pPr>
        <w:widowControl w:val="0"/>
        <w:numPr>
          <w:ilvl w:val="0"/>
          <w:numId w:val="15"/>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jeigu vartojate regorafenib</w:t>
      </w:r>
      <w:r w:rsidR="0060426E">
        <w:rPr>
          <w:rFonts w:ascii="Times New Roman" w:eastAsia="Times New Roman" w:hAnsi="Times New Roman" w:cs="Times New Roman"/>
          <w:bCs/>
          <w:color w:val="000000"/>
          <w:lang w:eastAsia="sl-SI"/>
        </w:rPr>
        <w:t>o</w:t>
      </w:r>
      <w:r w:rsidRPr="003E1719">
        <w:rPr>
          <w:rFonts w:ascii="Times New Roman" w:eastAsia="Times New Roman" w:hAnsi="Times New Roman" w:cs="Times New Roman"/>
          <w:bCs/>
          <w:color w:val="000000"/>
          <w:lang w:eastAsia="sl-SI"/>
        </w:rPr>
        <w:t xml:space="preserve"> (vaistą vėžiui gydyti).</w:t>
      </w:r>
    </w:p>
    <w:p w14:paraId="73777629" w14:textId="77777777" w:rsidR="00396E96" w:rsidRPr="003E1719" w:rsidRDefault="00396E96" w:rsidP="00396E96">
      <w:pPr>
        <w:widowControl w:val="0"/>
        <w:tabs>
          <w:tab w:val="left" w:pos="567"/>
        </w:tabs>
        <w:spacing w:after="0" w:line="240" w:lineRule="auto"/>
        <w:rPr>
          <w:rFonts w:ascii="Times New Roman" w:eastAsia="Times New Roman" w:hAnsi="Times New Roman" w:cs="Times New Roman"/>
          <w:bCs/>
          <w:color w:val="000000"/>
          <w:lang w:eastAsia="sl-SI"/>
        </w:rPr>
      </w:pPr>
    </w:p>
    <w:p w14:paraId="48FD0951" w14:textId="77777777" w:rsidR="00396E96" w:rsidRPr="003E1719" w:rsidRDefault="00396E96" w:rsidP="00396E96">
      <w:pPr>
        <w:widowControl w:val="0"/>
        <w:tabs>
          <w:tab w:val="left" w:pos="567"/>
        </w:tabs>
        <w:spacing w:after="0" w:line="240" w:lineRule="auto"/>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Jei kuris nors išvardytas teiginys tinka Jums (arba nesate dėl to tikras)</w:t>
      </w:r>
      <w:r w:rsidR="00A72C0F" w:rsidRPr="003E1719">
        <w:rPr>
          <w:rFonts w:ascii="Times New Roman" w:eastAsia="Times New Roman" w:hAnsi="Times New Roman" w:cs="Times New Roman"/>
          <w:bCs/>
          <w:color w:val="000000"/>
          <w:lang w:eastAsia="sl-SI"/>
        </w:rPr>
        <w:t>, pasitarkite su gydytoju arba vaistininku prieš pradėdami vartoti šį vaistą.</w:t>
      </w:r>
    </w:p>
    <w:p w14:paraId="2E5B3D2C" w14:textId="77777777" w:rsidR="00A72C0F" w:rsidRPr="003E1719" w:rsidRDefault="00A72C0F" w:rsidP="00396E96">
      <w:pPr>
        <w:widowControl w:val="0"/>
        <w:tabs>
          <w:tab w:val="left" w:pos="567"/>
        </w:tabs>
        <w:spacing w:after="0" w:line="240" w:lineRule="auto"/>
        <w:rPr>
          <w:rFonts w:ascii="Times New Roman" w:eastAsia="Times New Roman" w:hAnsi="Times New Roman" w:cs="Times New Roman"/>
          <w:bCs/>
          <w:color w:val="000000"/>
          <w:lang w:eastAsia="sl-SI"/>
        </w:rPr>
      </w:pPr>
    </w:p>
    <w:p w14:paraId="7D46852A" w14:textId="77777777" w:rsidR="000D7B89" w:rsidRPr="003E1719" w:rsidRDefault="000D7B89" w:rsidP="00A72C0F">
      <w:pPr>
        <w:widowControl w:val="0"/>
        <w:numPr>
          <w:ilvl w:val="12"/>
          <w:numId w:val="0"/>
        </w:numPr>
        <w:spacing w:after="0" w:line="240" w:lineRule="auto"/>
        <w:ind w:right="-2"/>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Nedideliam skaičiui žmonių statinai gali pažeisti kepenis. Tai patvirtinama paprastu tyrimu, nustatant kepenų fermentų aktyvumo padidėjimą kraujyje. Dėl šios priežasties gydytojas </w:t>
      </w:r>
      <w:r w:rsidR="00A72C0F" w:rsidRPr="003E1719">
        <w:rPr>
          <w:rFonts w:ascii="Times New Roman" w:eastAsia="Times New Roman" w:hAnsi="Times New Roman" w:cs="Times New Roman"/>
          <w:snapToGrid w:val="0"/>
        </w:rPr>
        <w:t xml:space="preserve">reguliariai </w:t>
      </w:r>
      <w:r w:rsidRPr="003E1719">
        <w:rPr>
          <w:rFonts w:ascii="Times New Roman" w:eastAsia="Times New Roman" w:hAnsi="Times New Roman" w:cs="Times New Roman"/>
          <w:snapToGrid w:val="0"/>
        </w:rPr>
        <w:t xml:space="preserve">atliks tokį kraujo tyrimą (kepenų funkcijos tyrimą) prieš gydymą </w:t>
      </w:r>
      <w:r w:rsidR="00A72C0F" w:rsidRPr="003E1719">
        <w:rPr>
          <w:rFonts w:ascii="Times New Roman" w:eastAsia="Times New Roman" w:hAnsi="Times New Roman" w:cs="Times New Roman"/>
          <w:snapToGrid w:val="0"/>
        </w:rPr>
        <w:t>šiuo vaistu ir gydym</w:t>
      </w:r>
      <w:r w:rsidRPr="003E1719">
        <w:rPr>
          <w:rFonts w:ascii="Times New Roman" w:eastAsia="Times New Roman" w:hAnsi="Times New Roman" w:cs="Times New Roman"/>
          <w:snapToGrid w:val="0"/>
        </w:rPr>
        <w:t>o metu.</w:t>
      </w:r>
      <w:r w:rsidR="00A72C0F" w:rsidRPr="003E1719">
        <w:rPr>
          <w:rFonts w:ascii="Times New Roman" w:eastAsia="Times New Roman" w:hAnsi="Times New Roman" w:cs="Times New Roman"/>
          <w:snapToGrid w:val="0"/>
        </w:rPr>
        <w:t xml:space="preserve"> Svarbu kreiptis į gydytoją, kad būtų paskirta atlikti laboratorinius tyrimus.</w:t>
      </w:r>
    </w:p>
    <w:p w14:paraId="156FA7B4" w14:textId="77777777" w:rsidR="00A72C0F" w:rsidRPr="003E1719" w:rsidRDefault="00A72C0F" w:rsidP="00A72C0F">
      <w:pPr>
        <w:widowControl w:val="0"/>
        <w:tabs>
          <w:tab w:val="left" w:pos="567"/>
        </w:tabs>
        <w:spacing w:after="0" w:line="240" w:lineRule="auto"/>
        <w:rPr>
          <w:rFonts w:ascii="Times New Roman" w:eastAsia="Times New Roman" w:hAnsi="Times New Roman" w:cs="Times New Roman"/>
          <w:bCs/>
          <w:color w:val="000000"/>
          <w:lang w:eastAsia="sl-SI"/>
        </w:rPr>
      </w:pPr>
    </w:p>
    <w:p w14:paraId="77815936" w14:textId="77777777" w:rsidR="00A72C0F" w:rsidRPr="003E1719" w:rsidRDefault="00A72C0F" w:rsidP="00A72C0F">
      <w:pPr>
        <w:widowControl w:val="0"/>
        <w:numPr>
          <w:ilvl w:val="12"/>
          <w:numId w:val="0"/>
        </w:numPr>
        <w:spacing w:after="0" w:line="240" w:lineRule="auto"/>
        <w:ind w:right="-2"/>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14:paraId="38486EFE" w14:textId="77777777" w:rsidR="000D7B89" w:rsidRPr="003E1719" w:rsidRDefault="000D7B89" w:rsidP="000D7B89">
      <w:pPr>
        <w:widowControl w:val="0"/>
        <w:numPr>
          <w:ilvl w:val="12"/>
          <w:numId w:val="0"/>
        </w:numPr>
        <w:spacing w:after="0" w:line="240" w:lineRule="auto"/>
        <w:ind w:right="-2"/>
        <w:rPr>
          <w:rFonts w:ascii="Times New Roman" w:eastAsia="Times New Roman" w:hAnsi="Times New Roman" w:cs="Times New Roman"/>
          <w:snapToGrid w:val="0"/>
        </w:rPr>
      </w:pPr>
    </w:p>
    <w:p w14:paraId="4DD6E236" w14:textId="77777777" w:rsidR="000D7B89" w:rsidRPr="003E1719" w:rsidRDefault="000D7B89" w:rsidP="000D7B89">
      <w:pPr>
        <w:widowControl w:val="0"/>
        <w:numPr>
          <w:ilvl w:val="12"/>
          <w:numId w:val="0"/>
        </w:numPr>
        <w:spacing w:after="0" w:line="240" w:lineRule="auto"/>
        <w:ind w:right="-2"/>
        <w:rPr>
          <w:rFonts w:ascii="Times New Roman" w:hAnsi="Times New Roman" w:cs="Times New Roman"/>
        </w:rPr>
      </w:pPr>
      <w:r w:rsidRPr="003E1719">
        <w:rPr>
          <w:rFonts w:ascii="Times New Roman" w:hAnsi="Times New Roman" w:cs="Times New Roman"/>
        </w:rPr>
        <w:t xml:space="preserve">Pranešta apie su </w:t>
      </w:r>
      <w:r w:rsidR="00AF3800">
        <w:rPr>
          <w:rFonts w:ascii="Times New Roman" w:hAnsi="Times New Roman" w:cs="Times New Roman"/>
        </w:rPr>
        <w:t>Rosuvastatin/Ezetimibe Teva</w:t>
      </w:r>
      <w:r w:rsidRPr="003E1719">
        <w:rPr>
          <w:rFonts w:ascii="Times New Roman" w:hAnsi="Times New Roman" w:cs="Times New Roman"/>
        </w:rPr>
        <w:t xml:space="preserve"> vartojimu susijusias sunkias odos reakcijas, įskaitant Stivenso-Džonsono (</w:t>
      </w:r>
      <w:r w:rsidRPr="003E1719">
        <w:rPr>
          <w:rFonts w:ascii="Times New Roman" w:hAnsi="Times New Roman" w:cs="Times New Roman"/>
          <w:iCs/>
        </w:rPr>
        <w:t>Stevens-Johnson</w:t>
      </w:r>
      <w:r w:rsidRPr="003E1719">
        <w:rPr>
          <w:rFonts w:ascii="Times New Roman" w:hAnsi="Times New Roman" w:cs="Times New Roman"/>
        </w:rPr>
        <w:t>) sindromą ir reakciją į vaistą su eozinofilija ir sisteminiais simptomais (</w:t>
      </w:r>
      <w:r w:rsidRPr="003E1719">
        <w:rPr>
          <w:rFonts w:ascii="Times New Roman" w:hAnsi="Times New Roman" w:cs="Times New Roman"/>
          <w:i/>
        </w:rPr>
        <w:t>DRESS</w:t>
      </w:r>
      <w:r w:rsidRPr="003E1719">
        <w:rPr>
          <w:rFonts w:ascii="Times New Roman" w:hAnsi="Times New Roman" w:cs="Times New Roman"/>
        </w:rPr>
        <w:t xml:space="preserve">). Jeigu atsiranda bet kuris iš 4 skyriuje aprašytų simptomų, nutraukite </w:t>
      </w:r>
      <w:r w:rsidR="00AF3800">
        <w:rPr>
          <w:rFonts w:ascii="Times New Roman" w:hAnsi="Times New Roman" w:cs="Times New Roman"/>
        </w:rPr>
        <w:t>Rosuvastatin/Ezetimibe Teva</w:t>
      </w:r>
      <w:r w:rsidRPr="003E1719">
        <w:rPr>
          <w:rFonts w:ascii="Times New Roman" w:hAnsi="Times New Roman" w:cs="Times New Roman"/>
        </w:rPr>
        <w:t xml:space="preserve"> vartojimą ir nedelsdami kreipkitės į medicininės pagalbos.</w:t>
      </w:r>
    </w:p>
    <w:p w14:paraId="47B10696" w14:textId="77777777" w:rsidR="000D7B89" w:rsidRPr="003E1719" w:rsidRDefault="000D7B89" w:rsidP="000D7B89">
      <w:pPr>
        <w:widowControl w:val="0"/>
        <w:numPr>
          <w:ilvl w:val="12"/>
          <w:numId w:val="0"/>
        </w:numPr>
        <w:spacing w:after="0" w:line="240" w:lineRule="auto"/>
        <w:ind w:right="-2"/>
        <w:rPr>
          <w:rFonts w:ascii="Times New Roman" w:eastAsia="Times New Roman" w:hAnsi="Times New Roman" w:cs="Times New Roman"/>
          <w:snapToGrid w:val="0"/>
        </w:rPr>
      </w:pPr>
    </w:p>
    <w:p w14:paraId="6D568194" w14:textId="77777777" w:rsidR="000D7B89" w:rsidRPr="003E1719" w:rsidRDefault="000D7B89" w:rsidP="000D7B89">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3E1719">
        <w:rPr>
          <w:rFonts w:ascii="Times New Roman" w:eastAsia="Times New Roman" w:hAnsi="Times New Roman" w:cs="Times New Roman"/>
          <w:b/>
          <w:bCs/>
          <w:snapToGrid w:val="0"/>
          <w:lang w:eastAsia="x-none"/>
        </w:rPr>
        <w:t>Vaikams ir paaugliams</w:t>
      </w:r>
    </w:p>
    <w:p w14:paraId="2AB609D8" w14:textId="77777777" w:rsidR="000D7B89" w:rsidRPr="003E1719" w:rsidRDefault="000D7B89" w:rsidP="000D7B89">
      <w:pPr>
        <w:widowControl w:val="0"/>
        <w:numPr>
          <w:ilvl w:val="12"/>
          <w:numId w:val="0"/>
        </w:numPr>
        <w:spacing w:after="0" w:line="240" w:lineRule="auto"/>
        <w:rPr>
          <w:rFonts w:ascii="Times New Roman" w:eastAsia="Times New Roman" w:hAnsi="Times New Roman" w:cs="Times New Roman"/>
          <w:snapToGrid w:val="0"/>
          <w:color w:val="000000"/>
        </w:rPr>
      </w:pPr>
      <w:r w:rsidRPr="003E1719">
        <w:rPr>
          <w:rFonts w:ascii="Times New Roman" w:eastAsia="Times New Roman" w:hAnsi="Times New Roman" w:cs="Times New Roman"/>
          <w:snapToGrid w:val="0"/>
          <w:color w:val="000000"/>
        </w:rPr>
        <w:t xml:space="preserve">Vaikams ir jaunesniems kaip 18 metų paaugliams </w:t>
      </w:r>
      <w:r w:rsidR="00A72C0F" w:rsidRPr="003E1719">
        <w:rPr>
          <w:rFonts w:ascii="Times New Roman" w:eastAsia="Times New Roman" w:hAnsi="Times New Roman" w:cs="Times New Roman"/>
          <w:snapToGrid w:val="0"/>
          <w:color w:val="000000"/>
        </w:rPr>
        <w:t>šio vaisto Teva</w:t>
      </w:r>
      <w:r w:rsidRPr="003E1719">
        <w:rPr>
          <w:rFonts w:ascii="Times New Roman" w:eastAsia="Times New Roman" w:hAnsi="Times New Roman" w:cs="Times New Roman"/>
          <w:snapToGrid w:val="0"/>
          <w:color w:val="000000"/>
        </w:rPr>
        <w:t xml:space="preserve"> vartoti nerekomenduojama.</w:t>
      </w:r>
    </w:p>
    <w:p w14:paraId="24A47FB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5C40D3B"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Kiti vaistai ir </w:t>
      </w:r>
      <w:r w:rsidR="00AF3800">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p>
    <w:p w14:paraId="5D3C7F6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vartojate arba neseniai vartojote kitų vaistų</w:t>
      </w:r>
      <w:r w:rsidRPr="003E1719">
        <w:rPr>
          <w:rFonts w:ascii="Times New Roman" w:eastAsia="Calibri" w:hAnsi="Times New Roman" w:cs="Times New Roman"/>
          <w:lang w:eastAsia="sl-SI"/>
        </w:rPr>
        <w:t xml:space="preserve"> </w:t>
      </w:r>
      <w:r w:rsidRPr="003E1719">
        <w:rPr>
          <w:rFonts w:ascii="Times New Roman" w:eastAsia="Times New Roman" w:hAnsi="Times New Roman" w:cs="Times New Roman"/>
          <w:lang w:eastAsia="sl-SI"/>
        </w:rPr>
        <w:t>arba dėl to nesate tikri, apie tai, pasakykite gydytojui arba vaistininkui.</w:t>
      </w:r>
    </w:p>
    <w:p w14:paraId="74F06CA1" w14:textId="77777777" w:rsidR="00A72C0F" w:rsidRPr="003E1719" w:rsidRDefault="00A72C0F" w:rsidP="000D7B89">
      <w:pPr>
        <w:widowControl w:val="0"/>
        <w:numPr>
          <w:ilvl w:val="12"/>
          <w:numId w:val="0"/>
        </w:numPr>
        <w:tabs>
          <w:tab w:val="left" w:pos="567"/>
        </w:tabs>
        <w:spacing w:after="0" w:line="240" w:lineRule="auto"/>
        <w:ind w:right="-2"/>
        <w:rPr>
          <w:rFonts w:ascii="Times New Roman" w:eastAsia="Times New Roman" w:hAnsi="Times New Roman" w:cs="Times New Roman"/>
          <w:snapToGrid w:val="0"/>
          <w:color w:val="000000"/>
        </w:rPr>
      </w:pPr>
    </w:p>
    <w:p w14:paraId="46845100"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snapToGrid w:val="0"/>
          <w:color w:val="000000"/>
        </w:rPr>
      </w:pPr>
      <w:r w:rsidRPr="003E1719">
        <w:rPr>
          <w:rFonts w:ascii="Times New Roman" w:eastAsia="Times New Roman" w:hAnsi="Times New Roman" w:cs="Times New Roman"/>
          <w:snapToGrid w:val="0"/>
          <w:color w:val="000000"/>
        </w:rPr>
        <w:t>Pasakykite gydytojui, jei vartojate bet kurį iš toliau paminėtų vaistų.</w:t>
      </w:r>
    </w:p>
    <w:p w14:paraId="5D245839" w14:textId="77777777" w:rsidR="000D7B89" w:rsidRPr="003E1719" w:rsidRDefault="000D7B89"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Ciklosporinas (jo vartojama, pvz., po organų persodinimo</w:t>
      </w:r>
      <w:r w:rsidR="006B7C18" w:rsidRPr="003E1719">
        <w:rPr>
          <w:rFonts w:ascii="Times New Roman" w:eastAsia="Times New Roman" w:hAnsi="Times New Roman" w:cs="Times New Roman"/>
          <w:bCs/>
          <w:snapToGrid w:val="0"/>
          <w:color w:val="000000"/>
        </w:rPr>
        <w:t xml:space="preserve"> siekiant apaugoti nuo persodinto organo atmetimo</w:t>
      </w:r>
      <w:r w:rsidRPr="003E1719">
        <w:rPr>
          <w:rFonts w:ascii="Times New Roman" w:eastAsia="Times New Roman" w:hAnsi="Times New Roman" w:cs="Times New Roman"/>
          <w:bCs/>
          <w:snapToGrid w:val="0"/>
          <w:color w:val="000000"/>
        </w:rPr>
        <w:t>).</w:t>
      </w:r>
      <w:r w:rsidR="006B7C18" w:rsidRPr="003E1719">
        <w:rPr>
          <w:rFonts w:ascii="Times New Roman" w:eastAsia="Times New Roman" w:hAnsi="Times New Roman" w:cs="Times New Roman"/>
          <w:bCs/>
          <w:snapToGrid w:val="0"/>
          <w:color w:val="000000"/>
        </w:rPr>
        <w:t xml:space="preserve"> Rozuvastatino veiksmingumas padidėja vartojant kartu su ciklopsorinu. </w:t>
      </w:r>
      <w:r w:rsidR="006B7C18" w:rsidRPr="003E1719">
        <w:rPr>
          <w:rFonts w:ascii="Times New Roman" w:eastAsia="Times New Roman" w:hAnsi="Times New Roman" w:cs="Times New Roman"/>
          <w:b/>
          <w:bCs/>
          <w:snapToGrid w:val="0"/>
          <w:color w:val="000000"/>
        </w:rPr>
        <w:t>Nevartokite</w:t>
      </w:r>
      <w:r w:rsidR="006B7C18" w:rsidRPr="003E1719">
        <w:rPr>
          <w:rFonts w:ascii="Times New Roman" w:eastAsia="Times New Roman" w:hAnsi="Times New Roman" w:cs="Times New Roman"/>
          <w:bCs/>
          <w:snapToGrid w:val="0"/>
          <w:color w:val="000000"/>
        </w:rPr>
        <w:t xml:space="preserve"> </w:t>
      </w:r>
      <w:r w:rsidR="00AF3800">
        <w:rPr>
          <w:rFonts w:ascii="Times New Roman" w:hAnsi="Times New Roman" w:cs="Times New Roman"/>
          <w:b/>
          <w:bCs/>
          <w:color w:val="222222"/>
        </w:rPr>
        <w:t>Rosuvastatin/Ezetimibe Teva</w:t>
      </w:r>
      <w:r w:rsidR="006B7C18" w:rsidRPr="003E1719">
        <w:rPr>
          <w:rFonts w:ascii="Times New Roman" w:hAnsi="Times New Roman" w:cs="Times New Roman"/>
          <w:b/>
          <w:bCs/>
          <w:color w:val="222222"/>
        </w:rPr>
        <w:t xml:space="preserve">, jei gydotės ciklosporinu. </w:t>
      </w:r>
    </w:p>
    <w:p w14:paraId="565959C6" w14:textId="77777777" w:rsidR="000D7B89" w:rsidRPr="003E1719" w:rsidRDefault="006B7C18"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Kraujui skystinti vartojam</w:t>
      </w:r>
      <w:r w:rsidR="00953BD4">
        <w:rPr>
          <w:rFonts w:ascii="Times New Roman" w:eastAsia="Times New Roman" w:hAnsi="Times New Roman" w:cs="Times New Roman"/>
          <w:bCs/>
          <w:snapToGrid w:val="0"/>
          <w:color w:val="000000"/>
        </w:rPr>
        <w:t>i</w:t>
      </w:r>
      <w:r w:rsidRPr="003E1719">
        <w:rPr>
          <w:rFonts w:ascii="Times New Roman" w:eastAsia="Times New Roman" w:hAnsi="Times New Roman" w:cs="Times New Roman"/>
          <w:bCs/>
          <w:snapToGrid w:val="0"/>
          <w:color w:val="000000"/>
        </w:rPr>
        <w:t xml:space="preserve"> vaist</w:t>
      </w:r>
      <w:r w:rsidR="00953BD4">
        <w:rPr>
          <w:rFonts w:ascii="Times New Roman" w:eastAsia="Times New Roman" w:hAnsi="Times New Roman" w:cs="Times New Roman"/>
          <w:bCs/>
          <w:snapToGrid w:val="0"/>
          <w:color w:val="000000"/>
        </w:rPr>
        <w:t>ai</w:t>
      </w:r>
      <w:r w:rsidRPr="003E1719">
        <w:rPr>
          <w:rFonts w:ascii="Times New Roman" w:eastAsia="Times New Roman" w:hAnsi="Times New Roman" w:cs="Times New Roman"/>
          <w:bCs/>
          <w:snapToGrid w:val="0"/>
          <w:color w:val="000000"/>
        </w:rPr>
        <w:t>, pvz., v</w:t>
      </w:r>
      <w:r w:rsidR="000D7B89" w:rsidRPr="003E1719">
        <w:rPr>
          <w:rFonts w:ascii="Times New Roman" w:eastAsia="Times New Roman" w:hAnsi="Times New Roman" w:cs="Times New Roman"/>
          <w:bCs/>
          <w:snapToGrid w:val="0"/>
          <w:color w:val="000000"/>
        </w:rPr>
        <w:t>arfarin</w:t>
      </w:r>
      <w:r w:rsidR="00953BD4">
        <w:rPr>
          <w:rFonts w:ascii="Times New Roman" w:eastAsia="Times New Roman" w:hAnsi="Times New Roman" w:cs="Times New Roman"/>
          <w:bCs/>
          <w:snapToGrid w:val="0"/>
          <w:color w:val="000000"/>
        </w:rPr>
        <w:t>as</w:t>
      </w:r>
      <w:r w:rsidRPr="003E1719">
        <w:rPr>
          <w:rFonts w:ascii="Times New Roman" w:eastAsia="Times New Roman" w:hAnsi="Times New Roman" w:cs="Times New Roman"/>
          <w:bCs/>
          <w:snapToGrid w:val="0"/>
          <w:color w:val="000000"/>
        </w:rPr>
        <w:t>,</w:t>
      </w:r>
      <w:r w:rsidR="000D7B89" w:rsidRPr="003E1719">
        <w:rPr>
          <w:rFonts w:ascii="Times New Roman" w:eastAsia="Times New Roman" w:hAnsi="Times New Roman" w:cs="Times New Roman"/>
          <w:bCs/>
          <w:snapToGrid w:val="0"/>
          <w:color w:val="000000"/>
        </w:rPr>
        <w:t xml:space="preserve"> </w:t>
      </w:r>
      <w:r w:rsidRPr="003E1719">
        <w:rPr>
          <w:rFonts w:ascii="Times New Roman" w:eastAsia="Times New Roman" w:hAnsi="Times New Roman" w:cs="Times New Roman"/>
          <w:bCs/>
          <w:snapToGrid w:val="0"/>
          <w:color w:val="000000"/>
        </w:rPr>
        <w:t>acenokumarol</w:t>
      </w:r>
      <w:r w:rsidR="00953BD4">
        <w:rPr>
          <w:rFonts w:ascii="Times New Roman" w:eastAsia="Times New Roman" w:hAnsi="Times New Roman" w:cs="Times New Roman"/>
          <w:bCs/>
          <w:snapToGrid w:val="0"/>
          <w:color w:val="000000"/>
        </w:rPr>
        <w:t>is</w:t>
      </w:r>
      <w:r w:rsidRPr="003E1719">
        <w:rPr>
          <w:rFonts w:ascii="Times New Roman" w:eastAsia="Times New Roman" w:hAnsi="Times New Roman" w:cs="Times New Roman"/>
          <w:bCs/>
          <w:snapToGrid w:val="0"/>
          <w:color w:val="000000"/>
        </w:rPr>
        <w:t xml:space="preserve"> ar fluindion</w:t>
      </w:r>
      <w:r w:rsidR="00953BD4">
        <w:rPr>
          <w:rFonts w:ascii="Times New Roman" w:eastAsia="Times New Roman" w:hAnsi="Times New Roman" w:cs="Times New Roman"/>
          <w:bCs/>
          <w:snapToGrid w:val="0"/>
          <w:color w:val="000000"/>
        </w:rPr>
        <w:t>as</w:t>
      </w:r>
      <w:r w:rsidRPr="003E1719">
        <w:rPr>
          <w:rFonts w:ascii="Times New Roman" w:eastAsia="Times New Roman" w:hAnsi="Times New Roman" w:cs="Times New Roman"/>
          <w:bCs/>
          <w:snapToGrid w:val="0"/>
          <w:color w:val="000000"/>
        </w:rPr>
        <w:t xml:space="preserve"> (jų kraują skystinantis poveikis gali sustiprėti ir kraujavimo rizika gali padidėti), tikagrelor</w:t>
      </w:r>
      <w:r w:rsidR="00953BD4">
        <w:rPr>
          <w:rFonts w:ascii="Times New Roman" w:eastAsia="Times New Roman" w:hAnsi="Times New Roman" w:cs="Times New Roman"/>
          <w:bCs/>
          <w:snapToGrid w:val="0"/>
          <w:color w:val="000000"/>
        </w:rPr>
        <w:t>as arba klopidogrelis</w:t>
      </w:r>
      <w:r w:rsidR="000D7B89" w:rsidRPr="003E1719">
        <w:rPr>
          <w:rFonts w:ascii="Times New Roman" w:eastAsia="Times New Roman" w:hAnsi="Times New Roman" w:cs="Times New Roman"/>
          <w:bCs/>
          <w:snapToGrid w:val="0"/>
          <w:color w:val="000000"/>
        </w:rPr>
        <w:t>.</w:t>
      </w:r>
    </w:p>
    <w:p w14:paraId="3CD5DD51" w14:textId="77777777" w:rsidR="000D7B89" w:rsidRPr="003E1719" w:rsidRDefault="006B7C18"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Kiti cholesterolio kiekiui mažinti vartojami vaistai</w:t>
      </w:r>
      <w:r w:rsidR="00953BD4">
        <w:rPr>
          <w:rFonts w:ascii="Times New Roman" w:eastAsia="Times New Roman" w:hAnsi="Times New Roman" w:cs="Times New Roman"/>
          <w:bCs/>
          <w:snapToGrid w:val="0"/>
          <w:color w:val="000000"/>
        </w:rPr>
        <w:t xml:space="preserve">, </w:t>
      </w:r>
      <w:r w:rsidRPr="003E1719">
        <w:rPr>
          <w:rFonts w:ascii="Times New Roman" w:eastAsia="Times New Roman" w:hAnsi="Times New Roman" w:cs="Times New Roman"/>
          <w:bCs/>
          <w:snapToGrid w:val="0"/>
          <w:color w:val="000000"/>
        </w:rPr>
        <w:t>vadinami fibratais, kurie taip pat koreguoja ir kraujo trigliceridų kiekį</w:t>
      </w:r>
      <w:r w:rsidR="000D7B89" w:rsidRPr="003E1719">
        <w:rPr>
          <w:rFonts w:ascii="Times New Roman" w:eastAsia="Times New Roman" w:hAnsi="Times New Roman" w:cs="Times New Roman"/>
          <w:bCs/>
          <w:snapToGrid w:val="0"/>
          <w:color w:val="000000"/>
        </w:rPr>
        <w:t xml:space="preserve"> (pvz., gemfibrozilis</w:t>
      </w:r>
      <w:r w:rsidRPr="003E1719">
        <w:rPr>
          <w:rFonts w:ascii="Times New Roman" w:eastAsia="Times New Roman" w:hAnsi="Times New Roman" w:cs="Times New Roman"/>
          <w:bCs/>
          <w:snapToGrid w:val="0"/>
          <w:color w:val="000000"/>
        </w:rPr>
        <w:t xml:space="preserve"> ir kiti fibratai).</w:t>
      </w:r>
      <w:r w:rsidR="000D7B89" w:rsidRPr="003E1719">
        <w:rPr>
          <w:rFonts w:ascii="Times New Roman" w:eastAsia="Times New Roman" w:hAnsi="Times New Roman" w:cs="Times New Roman"/>
          <w:bCs/>
          <w:snapToGrid w:val="0"/>
          <w:color w:val="000000"/>
        </w:rPr>
        <w:t xml:space="preserve"> </w:t>
      </w:r>
    </w:p>
    <w:p w14:paraId="739844D7" w14:textId="77777777" w:rsidR="006B7C18" w:rsidRPr="003E1719" w:rsidRDefault="006B7C18" w:rsidP="006B7C18">
      <w:pPr>
        <w:widowControl w:val="0"/>
        <w:numPr>
          <w:ilvl w:val="0"/>
          <w:numId w:val="16"/>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Kolestiraminas (cholesterolio kiekį mažinantis vaistas), nes jis keičia ezetimibo poveikį.</w:t>
      </w:r>
    </w:p>
    <w:p w14:paraId="3395D2D5" w14:textId="77777777" w:rsidR="006B7C18" w:rsidRPr="003E1719" w:rsidRDefault="006B7C18" w:rsidP="006B7C18">
      <w:pPr>
        <w:widowControl w:val="0"/>
        <w:numPr>
          <w:ilvl w:val="0"/>
          <w:numId w:val="16"/>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Regorafenibas (vartojamas vėžiui gydyti).</w:t>
      </w:r>
    </w:p>
    <w:p w14:paraId="15C6106B" w14:textId="77777777" w:rsidR="006B7C18" w:rsidRPr="003E1719" w:rsidRDefault="006B7C18" w:rsidP="006B7C18">
      <w:pPr>
        <w:widowControl w:val="0"/>
        <w:numPr>
          <w:ilvl w:val="0"/>
          <w:numId w:val="16"/>
        </w:numPr>
        <w:tabs>
          <w:tab w:val="left" w:pos="567"/>
        </w:tabs>
        <w:spacing w:after="0" w:line="240" w:lineRule="auto"/>
        <w:ind w:left="567" w:hanging="567"/>
        <w:rPr>
          <w:rFonts w:ascii="Times New Roman" w:eastAsia="Times New Roman" w:hAnsi="Times New Roman" w:cs="Times New Roman"/>
          <w:bCs/>
          <w:color w:val="000000"/>
          <w:lang w:eastAsia="sl-SI"/>
        </w:rPr>
      </w:pPr>
      <w:r w:rsidRPr="003E1719">
        <w:rPr>
          <w:rFonts w:ascii="Times New Roman" w:hAnsi="Times New Roman" w:cs="Times New Roman"/>
          <w:bCs/>
        </w:rPr>
        <w:t>Darolutamidas (vėžiui gydyti).</w:t>
      </w:r>
    </w:p>
    <w:p w14:paraId="6A70A6F2" w14:textId="66929A11" w:rsidR="006B7C18" w:rsidRPr="003E1719" w:rsidRDefault="006B7C18"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color w:val="000000"/>
          <w:lang w:eastAsia="sl-SI"/>
        </w:rPr>
        <w:t>Bet kuris iš išvardytų vaistų, vartojamų virusų sukeltoms infekcinėms ligoms, įskaitant ŽIV ar hepatito C infekciją, gydyti vienas ar kartu su kitais vaistais (</w:t>
      </w:r>
      <w:r w:rsidRPr="003E1719">
        <w:rPr>
          <w:rFonts w:ascii="Times New Roman" w:eastAsia="Times New Roman" w:hAnsi="Times New Roman" w:cs="Times New Roman"/>
          <w:color w:val="000000"/>
          <w:lang w:eastAsia="sl-SI"/>
        </w:rPr>
        <w:t>žr. poskyrį „Įspėjimai ir atsargumo priemonės“)</w:t>
      </w:r>
      <w:r w:rsidRPr="003E1719">
        <w:rPr>
          <w:rFonts w:ascii="Times New Roman" w:eastAsia="Times New Roman" w:hAnsi="Times New Roman" w:cs="Times New Roman"/>
          <w:bCs/>
          <w:color w:val="000000"/>
          <w:lang w:eastAsia="sl-SI"/>
        </w:rPr>
        <w:t xml:space="preserve">: ritonaviras, lopinaviras, atazanaviras, </w:t>
      </w:r>
      <w:r w:rsidRPr="003E1719">
        <w:rPr>
          <w:rFonts w:ascii="Times New Roman" w:hAnsi="Times New Roman" w:cs="Times New Roman"/>
          <w:bCs/>
        </w:rPr>
        <w:t>sofosbuviras, voksilapreviras,</w:t>
      </w:r>
      <w:r w:rsidRPr="003E1719">
        <w:rPr>
          <w:rFonts w:ascii="Times New Roman" w:eastAsia="Times New Roman" w:hAnsi="Times New Roman" w:cs="Times New Roman"/>
          <w:bCs/>
          <w:color w:val="000000"/>
          <w:lang w:eastAsia="sl-SI"/>
        </w:rPr>
        <w:t xml:space="preserve"> ombitasviras, paritapreviras, dasabuviras, velpatasviras, grazopreviras, elbasviras, glecapreviras, pibrentasviras</w:t>
      </w:r>
      <w:r w:rsidR="00CB0585">
        <w:rPr>
          <w:rFonts w:ascii="Times New Roman" w:eastAsia="Times New Roman" w:hAnsi="Times New Roman" w:cs="Times New Roman"/>
          <w:bCs/>
          <w:color w:val="000000"/>
          <w:lang w:eastAsia="sl-SI"/>
        </w:rPr>
        <w:t>.</w:t>
      </w:r>
    </w:p>
    <w:p w14:paraId="7EC17617" w14:textId="77777777" w:rsidR="000D7B89" w:rsidRPr="003E1719" w:rsidRDefault="000D7B89"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Vaistai nuo nevirškinimo</w:t>
      </w:r>
      <w:r w:rsidR="00CE6C59" w:rsidRPr="003E1719">
        <w:rPr>
          <w:rFonts w:ascii="Times New Roman" w:eastAsia="Times New Roman" w:hAnsi="Times New Roman" w:cs="Times New Roman"/>
          <w:bCs/>
          <w:snapToGrid w:val="0"/>
          <w:color w:val="000000"/>
        </w:rPr>
        <w:t xml:space="preserve">, kurių sudėtyje yra aliuminio ir magnio </w:t>
      </w:r>
      <w:r w:rsidRPr="003E1719">
        <w:rPr>
          <w:rFonts w:ascii="Times New Roman" w:eastAsia="Times New Roman" w:hAnsi="Times New Roman" w:cs="Times New Roman"/>
          <w:bCs/>
          <w:snapToGrid w:val="0"/>
          <w:color w:val="000000"/>
        </w:rPr>
        <w:t>(vartojami skrandžio rūgščiai neutralizuoti).</w:t>
      </w:r>
    </w:p>
    <w:p w14:paraId="5EDC4AF0" w14:textId="77777777" w:rsidR="000D7B89" w:rsidRPr="003E1719" w:rsidRDefault="000D7B89"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Eritromicinas (antibiotikas).</w:t>
      </w:r>
    </w:p>
    <w:p w14:paraId="4433B952" w14:textId="77777777" w:rsidR="000D7B89" w:rsidRPr="003E1719" w:rsidRDefault="000D7B89"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Geriamasis kontraceptikas.</w:t>
      </w:r>
    </w:p>
    <w:p w14:paraId="0F595A5B" w14:textId="77777777" w:rsidR="00CE6C59" w:rsidRPr="003E1719" w:rsidRDefault="00CE6C59" w:rsidP="00CE6C59">
      <w:pPr>
        <w:widowControl w:val="0"/>
        <w:numPr>
          <w:ilvl w:val="0"/>
          <w:numId w:val="16"/>
        </w:numPr>
        <w:tabs>
          <w:tab w:val="left" w:pos="567"/>
        </w:tabs>
        <w:spacing w:after="0" w:line="240" w:lineRule="auto"/>
        <w:ind w:left="567" w:right="-2" w:hanging="567"/>
        <w:rPr>
          <w:rFonts w:ascii="Times New Roman" w:eastAsia="Times New Roman" w:hAnsi="Times New Roman" w:cs="Times New Roman"/>
          <w:snapToGrid w:val="0"/>
          <w:color w:val="000000"/>
        </w:rPr>
      </w:pPr>
      <w:r w:rsidRPr="003E1719">
        <w:rPr>
          <w:rFonts w:ascii="Times New Roman" w:eastAsia="Times New Roman" w:hAnsi="Times New Roman" w:cs="Times New Roman"/>
          <w:bCs/>
          <w:snapToGrid w:val="0"/>
          <w:color w:val="000000"/>
        </w:rPr>
        <w:t>Fuzido rūgštis.</w:t>
      </w:r>
      <w:r w:rsidRPr="003E1719">
        <w:rPr>
          <w:rFonts w:ascii="Times New Roman" w:eastAsia="Times New Roman" w:hAnsi="Times New Roman" w:cs="Times New Roman"/>
          <w:snapToGrid w:val="0"/>
          <w:color w:val="000000"/>
        </w:rPr>
        <w:t xml:space="preserve"> Jeigu Jums bakterijų sukeltai infekcinei ligai gydyti reikia vartoti geriamosios fuzido rūgšties, jos vartojimą gydymo </w:t>
      </w:r>
      <w:r w:rsidR="00AF3800">
        <w:rPr>
          <w:rFonts w:ascii="Times New Roman" w:eastAsia="Times New Roman" w:hAnsi="Times New Roman" w:cs="Times New Roman"/>
          <w:bCs/>
          <w:color w:val="000000"/>
          <w:lang w:eastAsia="sl-SI"/>
        </w:rPr>
        <w:t>Rosuvastatin/Ezetimibe Teva</w:t>
      </w:r>
      <w:r w:rsidRPr="003E1719">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snapToGrid w:val="0"/>
        </w:rPr>
        <w:t>metu turėsite laikinai nutraukti.</w:t>
      </w:r>
      <w:r w:rsidRPr="003E1719">
        <w:rPr>
          <w:rFonts w:ascii="Times New Roman" w:eastAsia="Times New Roman" w:hAnsi="Times New Roman" w:cs="Times New Roman"/>
          <w:snapToGrid w:val="0"/>
          <w:color w:val="000000"/>
        </w:rPr>
        <w:t xml:space="preserve"> Gydytojas Jums pasakys, kada yra saugu atnaujinti </w:t>
      </w:r>
      <w:r w:rsidR="00AF3800">
        <w:rPr>
          <w:rFonts w:ascii="Times New Roman" w:eastAsia="Times New Roman" w:hAnsi="Times New Roman" w:cs="Times New Roman"/>
          <w:bCs/>
          <w:color w:val="000000"/>
          <w:lang w:eastAsia="sl-SI"/>
        </w:rPr>
        <w:t>Rosuvastatin/Ezetimibe Teva</w:t>
      </w:r>
      <w:r w:rsidRPr="003E1719">
        <w:rPr>
          <w:rFonts w:ascii="Times New Roman" w:eastAsia="Times New Roman" w:hAnsi="Times New Roman" w:cs="Times New Roman"/>
          <w:bCs/>
          <w:color w:val="000000"/>
          <w:lang w:eastAsia="sl-SI"/>
        </w:rPr>
        <w:t xml:space="preserve"> </w:t>
      </w:r>
      <w:r w:rsidRPr="003E1719">
        <w:rPr>
          <w:rFonts w:ascii="Times New Roman" w:eastAsia="Times New Roman" w:hAnsi="Times New Roman" w:cs="Times New Roman"/>
          <w:snapToGrid w:val="0"/>
          <w:color w:val="000000"/>
        </w:rPr>
        <w:t xml:space="preserve">vartojimą. </w:t>
      </w:r>
      <w:r w:rsidRPr="003E1719">
        <w:rPr>
          <w:rFonts w:ascii="Times New Roman" w:eastAsia="Times New Roman" w:hAnsi="Times New Roman" w:cs="Times New Roman"/>
          <w:snapToGrid w:val="0"/>
        </w:rPr>
        <w:t>Fuzido rūgšties ir šio vaisto derinys retai gali sukelti raumenų silpnumą, jautrumą ar skausmą (rabdomiolizę).</w:t>
      </w:r>
      <w:r w:rsidRPr="003E1719">
        <w:rPr>
          <w:rFonts w:ascii="Times New Roman" w:eastAsia="Times New Roman" w:hAnsi="Times New Roman" w:cs="Times New Roman"/>
          <w:snapToGrid w:val="0"/>
          <w:color w:val="000000"/>
        </w:rPr>
        <w:t xml:space="preserve"> Daugiau informacijos apie rabdomiolizę pateikiama 4 skyriuje.</w:t>
      </w:r>
    </w:p>
    <w:p w14:paraId="71EC072F" w14:textId="77777777" w:rsidR="00CE6C59" w:rsidRPr="003E1719" w:rsidRDefault="00CE6C59"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Geriamieji kontraceptikai</w:t>
      </w:r>
      <w:r w:rsidR="00DE3361" w:rsidRPr="003E1719">
        <w:rPr>
          <w:rFonts w:ascii="Times New Roman" w:eastAsia="Times New Roman" w:hAnsi="Times New Roman" w:cs="Times New Roman"/>
          <w:bCs/>
          <w:snapToGrid w:val="0"/>
          <w:color w:val="000000"/>
        </w:rPr>
        <w:t>.</w:t>
      </w:r>
    </w:p>
    <w:p w14:paraId="06DC83C6" w14:textId="77777777" w:rsidR="000D7B89" w:rsidRPr="003E1719" w:rsidRDefault="000D7B89" w:rsidP="000D7B89">
      <w:pPr>
        <w:widowControl w:val="0"/>
        <w:numPr>
          <w:ilvl w:val="0"/>
          <w:numId w:val="16"/>
        </w:numPr>
        <w:tabs>
          <w:tab w:val="left" w:pos="567"/>
        </w:tabs>
        <w:spacing w:after="0" w:line="240" w:lineRule="auto"/>
        <w:ind w:left="567" w:hanging="567"/>
        <w:rPr>
          <w:rFonts w:ascii="Times New Roman" w:eastAsia="Times New Roman" w:hAnsi="Times New Roman" w:cs="Times New Roman"/>
          <w:bCs/>
          <w:snapToGrid w:val="0"/>
          <w:color w:val="000000"/>
        </w:rPr>
      </w:pPr>
      <w:r w:rsidRPr="003E1719">
        <w:rPr>
          <w:rFonts w:ascii="Times New Roman" w:eastAsia="Times New Roman" w:hAnsi="Times New Roman" w:cs="Times New Roman"/>
          <w:bCs/>
          <w:snapToGrid w:val="0"/>
          <w:color w:val="000000"/>
        </w:rPr>
        <w:t>Hormonų pakeičiamajam gydymui vartojami vaistai.</w:t>
      </w:r>
    </w:p>
    <w:p w14:paraId="54B7F368" w14:textId="77777777" w:rsidR="00CE6C59" w:rsidRPr="003E1719" w:rsidRDefault="00CE6C59" w:rsidP="00CE6C59">
      <w:pPr>
        <w:widowControl w:val="0"/>
        <w:tabs>
          <w:tab w:val="left" w:pos="567"/>
        </w:tabs>
        <w:spacing w:after="0" w:line="240" w:lineRule="auto"/>
        <w:rPr>
          <w:rFonts w:ascii="Times New Roman" w:eastAsia="Times New Roman" w:hAnsi="Times New Roman" w:cs="Times New Roman"/>
          <w:bCs/>
          <w:color w:val="000000"/>
          <w:lang w:eastAsia="sl-SI"/>
        </w:rPr>
      </w:pPr>
    </w:p>
    <w:p w14:paraId="3001CAA1" w14:textId="77777777" w:rsidR="00CE6C59" w:rsidRPr="003E1719" w:rsidRDefault="00953BD4" w:rsidP="00CE6C59">
      <w:pPr>
        <w:widowControl w:val="0"/>
        <w:tabs>
          <w:tab w:val="left" w:pos="567"/>
        </w:tabs>
        <w:spacing w:after="0" w:line="240" w:lineRule="auto"/>
        <w:rPr>
          <w:rFonts w:ascii="Times New Roman" w:eastAsia="Times New Roman" w:hAnsi="Times New Roman" w:cs="Times New Roman"/>
          <w:color w:val="000000"/>
          <w:lang w:eastAsia="sl-SI"/>
        </w:rPr>
      </w:pPr>
      <w:r w:rsidRPr="00953BD4">
        <w:rPr>
          <w:rFonts w:ascii="Times New Roman" w:eastAsia="Times New Roman" w:hAnsi="Times New Roman" w:cs="Times New Roman"/>
          <w:bCs/>
          <w:color w:val="000000"/>
          <w:lang w:eastAsia="sl-SI"/>
        </w:rPr>
        <w:t xml:space="preserve">Jeigu Jūs esate </w:t>
      </w:r>
      <w:r w:rsidR="00CE6C59" w:rsidRPr="00953BD4">
        <w:rPr>
          <w:rFonts w:ascii="Times New Roman" w:eastAsia="Times New Roman" w:hAnsi="Times New Roman" w:cs="Times New Roman"/>
          <w:bCs/>
          <w:color w:val="000000"/>
          <w:lang w:eastAsia="sl-SI"/>
        </w:rPr>
        <w:t>gul</w:t>
      </w:r>
      <w:r w:rsidRPr="00953BD4">
        <w:rPr>
          <w:rFonts w:ascii="Times New Roman" w:eastAsia="Times New Roman" w:hAnsi="Times New Roman" w:cs="Times New Roman"/>
          <w:bCs/>
          <w:color w:val="000000"/>
          <w:lang w:eastAsia="sl-SI"/>
        </w:rPr>
        <w:t>domas</w:t>
      </w:r>
      <w:r w:rsidR="00CE6C59" w:rsidRPr="00953BD4">
        <w:rPr>
          <w:rFonts w:ascii="Times New Roman" w:eastAsia="Times New Roman" w:hAnsi="Times New Roman" w:cs="Times New Roman"/>
          <w:bCs/>
          <w:color w:val="000000"/>
          <w:lang w:eastAsia="sl-SI"/>
        </w:rPr>
        <w:t xml:space="preserve"> į ligoninę arba </w:t>
      </w:r>
      <w:r w:rsidRPr="00953BD4">
        <w:rPr>
          <w:rFonts w:ascii="Times New Roman" w:eastAsia="Times New Roman" w:hAnsi="Times New Roman" w:cs="Times New Roman"/>
          <w:bCs/>
          <w:color w:val="000000"/>
          <w:lang w:eastAsia="sl-SI"/>
        </w:rPr>
        <w:t>gydotės dėl ki</w:t>
      </w:r>
      <w:r w:rsidR="00CE6C59" w:rsidRPr="00953BD4">
        <w:rPr>
          <w:rFonts w:ascii="Times New Roman" w:eastAsia="Times New Roman" w:hAnsi="Times New Roman" w:cs="Times New Roman"/>
          <w:bCs/>
          <w:color w:val="000000"/>
          <w:lang w:eastAsia="sl-SI"/>
        </w:rPr>
        <w:t>tos ligos</w:t>
      </w:r>
      <w:r w:rsidRPr="00953BD4">
        <w:rPr>
          <w:rFonts w:ascii="Times New Roman" w:eastAsia="Times New Roman" w:hAnsi="Times New Roman" w:cs="Times New Roman"/>
          <w:bCs/>
          <w:color w:val="000000"/>
          <w:lang w:eastAsia="sl-SI"/>
        </w:rPr>
        <w:t>,</w:t>
      </w:r>
      <w:r w:rsidR="00CE6C59" w:rsidRPr="00953BD4">
        <w:rPr>
          <w:rFonts w:ascii="Times New Roman" w:eastAsia="Times New Roman" w:hAnsi="Times New Roman" w:cs="Times New Roman"/>
          <w:bCs/>
          <w:color w:val="000000"/>
          <w:lang w:eastAsia="sl-SI"/>
        </w:rPr>
        <w:t xml:space="preserve"> pasakykite</w:t>
      </w:r>
      <w:r w:rsidRPr="00953BD4">
        <w:rPr>
          <w:rFonts w:ascii="Times New Roman" w:eastAsia="Times New Roman" w:hAnsi="Times New Roman" w:cs="Times New Roman"/>
          <w:bCs/>
          <w:color w:val="000000"/>
          <w:lang w:eastAsia="sl-SI"/>
        </w:rPr>
        <w:t xml:space="preserve"> medicinos personalui</w:t>
      </w:r>
      <w:r w:rsidR="00CE6C59" w:rsidRPr="00953BD4">
        <w:rPr>
          <w:rFonts w:ascii="Times New Roman" w:eastAsia="Times New Roman" w:hAnsi="Times New Roman" w:cs="Times New Roman"/>
          <w:bCs/>
          <w:color w:val="000000"/>
          <w:lang w:eastAsia="sl-SI"/>
        </w:rPr>
        <w:t xml:space="preserve">, kad vartojate </w:t>
      </w:r>
      <w:r w:rsidR="00AF3800">
        <w:rPr>
          <w:rFonts w:ascii="Times New Roman" w:eastAsia="Times New Roman" w:hAnsi="Times New Roman" w:cs="Times New Roman"/>
          <w:color w:val="000000"/>
          <w:lang w:eastAsia="sl-SI"/>
        </w:rPr>
        <w:t>Rosuvastatin/Ezetimibe Teva</w:t>
      </w:r>
      <w:r w:rsidR="00CE6C59" w:rsidRPr="00953BD4">
        <w:rPr>
          <w:rFonts w:ascii="Times New Roman" w:eastAsia="Times New Roman" w:hAnsi="Times New Roman" w:cs="Times New Roman"/>
          <w:color w:val="000000"/>
          <w:lang w:eastAsia="sl-SI"/>
        </w:rPr>
        <w:t>.</w:t>
      </w:r>
    </w:p>
    <w:p w14:paraId="4FC740E7" w14:textId="77777777" w:rsidR="000D7B89" w:rsidRPr="003E1719" w:rsidRDefault="000D7B89" w:rsidP="000D7B89">
      <w:pPr>
        <w:widowControl w:val="0"/>
        <w:numPr>
          <w:ilvl w:val="12"/>
          <w:numId w:val="0"/>
        </w:numPr>
        <w:spacing w:after="0" w:line="240" w:lineRule="auto"/>
        <w:ind w:right="-2"/>
        <w:rPr>
          <w:rFonts w:ascii="Times New Roman" w:eastAsia="Times New Roman" w:hAnsi="Times New Roman" w:cs="Times New Roman"/>
          <w:color w:val="000000"/>
          <w:lang w:eastAsia="sl-SI"/>
        </w:rPr>
      </w:pPr>
    </w:p>
    <w:p w14:paraId="2A11C386" w14:textId="77777777" w:rsidR="000D7B89" w:rsidRPr="003E1719" w:rsidRDefault="000D7B89" w:rsidP="009C3414">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Nėštumas ir žindymo laikotarpis</w:t>
      </w:r>
    </w:p>
    <w:p w14:paraId="0686AAD9" w14:textId="77777777" w:rsidR="000D7B89" w:rsidRPr="003E1719" w:rsidRDefault="00821EE6" w:rsidP="00FF4691">
      <w:pPr>
        <w:numPr>
          <w:ilvl w:val="12"/>
          <w:numId w:val="0"/>
        </w:numPr>
        <w:spacing w:after="0" w:line="240" w:lineRule="auto"/>
        <w:rPr>
          <w:rFonts w:ascii="Times New Roman" w:eastAsia="Times New Roman" w:hAnsi="Times New Roman" w:cs="Times New Roman"/>
          <w:snapToGrid w:val="0"/>
          <w:color w:val="000000"/>
        </w:rPr>
      </w:pPr>
      <w:r w:rsidRPr="00821EE6">
        <w:rPr>
          <w:rFonts w:ascii="Times New Roman" w:hAnsi="Times New Roman" w:cs="Times New Roman"/>
          <w:szCs w:val="24"/>
        </w:rPr>
        <w:t>Jeigu esate nėščia, manote, kad galbūt esate nėščia, arba planuojate pas</w:t>
      </w:r>
      <w:r>
        <w:rPr>
          <w:rFonts w:ascii="Times New Roman" w:hAnsi="Times New Roman" w:cs="Times New Roman"/>
          <w:szCs w:val="24"/>
        </w:rPr>
        <w:t xml:space="preserve">toti, nevartokite </w:t>
      </w:r>
      <w:r w:rsidR="00AF3800">
        <w:rPr>
          <w:rFonts w:ascii="Times New Roman" w:eastAsia="Times New Roman" w:hAnsi="Times New Roman" w:cs="Times New Roman"/>
          <w:color w:val="000000"/>
          <w:lang w:eastAsia="sl-SI"/>
        </w:rPr>
        <w:t>Rosuvastatin/Ezetimibe Teva</w:t>
      </w:r>
      <w:r>
        <w:rPr>
          <w:rFonts w:ascii="Times New Roman" w:hAnsi="Times New Roman" w:cs="Times New Roman"/>
          <w:szCs w:val="24"/>
        </w:rPr>
        <w:t xml:space="preserve">. </w:t>
      </w:r>
      <w:r w:rsidR="000D7B89" w:rsidRPr="003E1719">
        <w:rPr>
          <w:rFonts w:ascii="Times New Roman" w:eastAsia="Times New Roman" w:hAnsi="Times New Roman" w:cs="Times New Roman"/>
          <w:snapToGrid w:val="0"/>
          <w:color w:val="000000"/>
        </w:rPr>
        <w:t xml:space="preserve">Jei gydymo </w:t>
      </w:r>
      <w:r w:rsidR="00AF3800">
        <w:rPr>
          <w:rFonts w:ascii="Times New Roman" w:eastAsia="Times New Roman" w:hAnsi="Times New Roman" w:cs="Times New Roman"/>
          <w:bCs/>
          <w:snapToGrid w:val="0"/>
          <w:color w:val="000000"/>
        </w:rPr>
        <w:t>Rosuvastatin/Ezetimibe Teva</w:t>
      </w:r>
      <w:r w:rsidR="000D7B89" w:rsidRPr="003E1719">
        <w:rPr>
          <w:rFonts w:ascii="Times New Roman" w:eastAsia="Times New Roman" w:hAnsi="Times New Roman" w:cs="Times New Roman"/>
          <w:bCs/>
          <w:snapToGrid w:val="0"/>
          <w:color w:val="000000"/>
        </w:rPr>
        <w:t xml:space="preserve"> </w:t>
      </w:r>
      <w:r w:rsidR="000D7B89" w:rsidRPr="003E1719">
        <w:rPr>
          <w:rFonts w:ascii="Times New Roman" w:eastAsia="Times New Roman" w:hAnsi="Times New Roman" w:cs="Times New Roman"/>
          <w:snapToGrid w:val="0"/>
          <w:color w:val="000000"/>
        </w:rPr>
        <w:t>metu pasto</w:t>
      </w:r>
      <w:r>
        <w:rPr>
          <w:rFonts w:ascii="Times New Roman" w:eastAsia="Times New Roman" w:hAnsi="Times New Roman" w:cs="Times New Roman"/>
          <w:snapToGrid w:val="0"/>
          <w:color w:val="000000"/>
        </w:rPr>
        <w:t>jote</w:t>
      </w:r>
      <w:r w:rsidR="000D7B89" w:rsidRPr="003E1719">
        <w:rPr>
          <w:rFonts w:ascii="Times New Roman" w:eastAsia="Times New Roman" w:hAnsi="Times New Roman" w:cs="Times New Roman"/>
          <w:snapToGrid w:val="0"/>
          <w:color w:val="000000"/>
        </w:rPr>
        <w:t xml:space="preserve">, </w:t>
      </w:r>
      <w:r w:rsidR="000D7B89" w:rsidRPr="003E1719">
        <w:rPr>
          <w:rFonts w:ascii="Times New Roman" w:eastAsia="Times New Roman" w:hAnsi="Times New Roman" w:cs="Times New Roman"/>
          <w:b/>
          <w:snapToGrid w:val="0"/>
          <w:color w:val="000000"/>
        </w:rPr>
        <w:t>nedelsdama nutraukite jo vartojimą</w:t>
      </w:r>
      <w:r w:rsidR="000D7B89" w:rsidRPr="003E1719">
        <w:rPr>
          <w:rFonts w:ascii="Times New Roman" w:eastAsia="Times New Roman" w:hAnsi="Times New Roman" w:cs="Times New Roman"/>
          <w:bCs/>
          <w:snapToGrid w:val="0"/>
          <w:color w:val="000000"/>
        </w:rPr>
        <w:t xml:space="preserve"> </w:t>
      </w:r>
      <w:r w:rsidR="000D7B89" w:rsidRPr="003E1719">
        <w:rPr>
          <w:rFonts w:ascii="Times New Roman" w:eastAsia="Times New Roman" w:hAnsi="Times New Roman" w:cs="Times New Roman"/>
          <w:snapToGrid w:val="0"/>
          <w:color w:val="000000"/>
        </w:rPr>
        <w:t xml:space="preserve">ir kreipkitės į gydytoją. Gydymo </w:t>
      </w:r>
      <w:r w:rsidR="00AF3800">
        <w:rPr>
          <w:rFonts w:ascii="Times New Roman" w:eastAsia="Times New Roman" w:hAnsi="Times New Roman" w:cs="Times New Roman"/>
          <w:bCs/>
          <w:snapToGrid w:val="0"/>
          <w:color w:val="000000"/>
        </w:rPr>
        <w:t>Rosuvastatin/Ezetimibe Teva</w:t>
      </w:r>
      <w:r w:rsidR="000D7B89" w:rsidRPr="003E1719">
        <w:rPr>
          <w:rFonts w:ascii="Times New Roman" w:eastAsia="Times New Roman" w:hAnsi="Times New Roman" w:cs="Times New Roman"/>
          <w:bCs/>
          <w:snapToGrid w:val="0"/>
          <w:color w:val="000000"/>
        </w:rPr>
        <w:t xml:space="preserve"> </w:t>
      </w:r>
      <w:r w:rsidR="000D7B89" w:rsidRPr="003E1719">
        <w:rPr>
          <w:rFonts w:ascii="Times New Roman" w:eastAsia="Times New Roman" w:hAnsi="Times New Roman" w:cs="Times New Roman"/>
          <w:snapToGrid w:val="0"/>
          <w:color w:val="000000"/>
        </w:rPr>
        <w:t>metu moterys turi naudoti tinkamą kontracepcijos metodą.</w:t>
      </w:r>
    </w:p>
    <w:p w14:paraId="7754FF06" w14:textId="77777777" w:rsidR="00DE3361" w:rsidRPr="003E1719" w:rsidRDefault="00DE3361" w:rsidP="009C3414">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r w:rsidRPr="003E1719">
        <w:rPr>
          <w:rFonts w:ascii="Times New Roman" w:eastAsia="Times New Roman" w:hAnsi="Times New Roman" w:cs="Times New Roman"/>
          <w:snapToGrid w:val="0"/>
          <w:color w:val="000000"/>
        </w:rPr>
        <w:t>Nevartokite šio vaisto, jei</w:t>
      </w:r>
      <w:r w:rsidR="00821EE6">
        <w:rPr>
          <w:rFonts w:ascii="Times New Roman" w:eastAsia="Times New Roman" w:hAnsi="Times New Roman" w:cs="Times New Roman"/>
          <w:snapToGrid w:val="0"/>
          <w:color w:val="000000"/>
        </w:rPr>
        <w:t>g</w:t>
      </w:r>
      <w:r w:rsidRPr="003E1719">
        <w:rPr>
          <w:rFonts w:ascii="Times New Roman" w:eastAsia="Times New Roman" w:hAnsi="Times New Roman" w:cs="Times New Roman"/>
          <w:snapToGrid w:val="0"/>
          <w:color w:val="000000"/>
        </w:rPr>
        <w:t>u žindote kūdikį, nes nežinoma, ar vaisto patenka į žindyvės pieną.</w:t>
      </w:r>
    </w:p>
    <w:p w14:paraId="12C8923A" w14:textId="77777777" w:rsidR="00DE3361" w:rsidRPr="003E1719" w:rsidRDefault="00DE3361" w:rsidP="000D7B89">
      <w:pPr>
        <w:widowControl w:val="0"/>
        <w:numPr>
          <w:ilvl w:val="12"/>
          <w:numId w:val="0"/>
        </w:numPr>
        <w:tabs>
          <w:tab w:val="left" w:pos="567"/>
        </w:tabs>
        <w:spacing w:after="0" w:line="240" w:lineRule="auto"/>
        <w:rPr>
          <w:rFonts w:ascii="Times New Roman" w:eastAsia="Times New Roman" w:hAnsi="Times New Roman" w:cs="Times New Roman"/>
          <w:snapToGrid w:val="0"/>
          <w:color w:val="000000"/>
        </w:rPr>
      </w:pPr>
    </w:p>
    <w:p w14:paraId="339E7717"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Vairavimas ir mechanizmų valdymas</w:t>
      </w:r>
    </w:p>
    <w:p w14:paraId="614B73C9" w14:textId="53014A38" w:rsidR="000D7B89" w:rsidRPr="003E1719" w:rsidRDefault="00DE3361"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 xml:space="preserve">Manoma, kad šis vaistas neturės įtakos Jūsų gebėjimui </w:t>
      </w:r>
      <w:r w:rsidR="000D7B89" w:rsidRPr="003E1719">
        <w:rPr>
          <w:rFonts w:ascii="Times New Roman" w:eastAsia="Times New Roman" w:hAnsi="Times New Roman" w:cs="Times New Roman"/>
          <w:lang w:eastAsia="sl-SI"/>
        </w:rPr>
        <w:t xml:space="preserve">vairuoti automobilį </w:t>
      </w:r>
      <w:r w:rsidRPr="003E1719">
        <w:rPr>
          <w:rFonts w:ascii="Times New Roman" w:eastAsia="Times New Roman" w:hAnsi="Times New Roman" w:cs="Times New Roman"/>
          <w:lang w:eastAsia="sl-SI"/>
        </w:rPr>
        <w:t>ar valdyti mechanizmus</w:t>
      </w:r>
      <w:r w:rsidR="000D7B89" w:rsidRPr="003E1719">
        <w:rPr>
          <w:rFonts w:ascii="Times New Roman" w:eastAsia="Times New Roman" w:hAnsi="Times New Roman" w:cs="Times New Roman"/>
          <w:lang w:eastAsia="sl-SI"/>
        </w:rPr>
        <w:t>. Vis dėlto</w:t>
      </w:r>
      <w:r w:rsidRPr="003E1719">
        <w:rPr>
          <w:rFonts w:ascii="Times New Roman" w:eastAsia="Times New Roman" w:hAnsi="Times New Roman" w:cs="Times New Roman"/>
          <w:lang w:eastAsia="sl-SI"/>
        </w:rPr>
        <w:t>, reikia įvertinti, kad</w:t>
      </w:r>
      <w:r w:rsidR="000D7B89" w:rsidRPr="003E1719">
        <w:rPr>
          <w:rFonts w:ascii="Times New Roman" w:eastAsia="Times New Roman" w:hAnsi="Times New Roman" w:cs="Times New Roman"/>
          <w:lang w:eastAsia="sl-SI"/>
        </w:rPr>
        <w:t xml:space="preserve"> kai kuriems žmonėms </w:t>
      </w:r>
      <w:r w:rsidR="00821EE6">
        <w:rPr>
          <w:rFonts w:ascii="Times New Roman" w:eastAsia="Times New Roman" w:hAnsi="Times New Roman" w:cs="Times New Roman"/>
          <w:lang w:eastAsia="sl-SI"/>
        </w:rPr>
        <w:t>vartojant š</w:t>
      </w:r>
      <w:r w:rsidR="00CB0585">
        <w:rPr>
          <w:rFonts w:ascii="Times New Roman" w:eastAsia="Times New Roman" w:hAnsi="Times New Roman" w:cs="Times New Roman"/>
          <w:lang w:eastAsia="sl-SI"/>
        </w:rPr>
        <w:t>io</w:t>
      </w:r>
      <w:r w:rsidR="00821EE6">
        <w:rPr>
          <w:rFonts w:ascii="Times New Roman" w:eastAsia="Times New Roman" w:hAnsi="Times New Roman" w:cs="Times New Roman"/>
          <w:lang w:eastAsia="sl-SI"/>
        </w:rPr>
        <w:t xml:space="preserve"> vaist</w:t>
      </w:r>
      <w:r w:rsidR="00CB0585">
        <w:rPr>
          <w:rFonts w:ascii="Times New Roman" w:eastAsia="Times New Roman" w:hAnsi="Times New Roman" w:cs="Times New Roman"/>
          <w:lang w:eastAsia="sl-SI"/>
        </w:rPr>
        <w:t>o</w:t>
      </w:r>
      <w:r w:rsidR="000D7B89" w:rsidRPr="003E1719">
        <w:rPr>
          <w:rFonts w:ascii="Times New Roman" w:eastAsia="Times New Roman" w:hAnsi="Times New Roman" w:cs="Times New Roman"/>
          <w:lang w:eastAsia="sl-SI"/>
        </w:rPr>
        <w:t xml:space="preserve"> pasireiškia svaigulys. Jei jaučiate svaigulį, </w:t>
      </w:r>
      <w:r w:rsidR="00821EE6">
        <w:rPr>
          <w:rFonts w:ascii="Times New Roman" w:eastAsia="Times New Roman" w:hAnsi="Times New Roman" w:cs="Times New Roman"/>
          <w:lang w:eastAsia="sl-SI"/>
        </w:rPr>
        <w:t>nevairuokite</w:t>
      </w:r>
      <w:r w:rsidRPr="003E1719">
        <w:rPr>
          <w:rFonts w:ascii="Times New Roman" w:eastAsia="Times New Roman" w:hAnsi="Times New Roman" w:cs="Times New Roman"/>
          <w:lang w:eastAsia="sl-SI"/>
        </w:rPr>
        <w:t xml:space="preserve"> ir nev</w:t>
      </w:r>
      <w:r w:rsidR="000D7B89" w:rsidRPr="003E1719">
        <w:rPr>
          <w:rFonts w:ascii="Times New Roman" w:eastAsia="Times New Roman" w:hAnsi="Times New Roman" w:cs="Times New Roman"/>
          <w:lang w:eastAsia="sl-SI"/>
        </w:rPr>
        <w:t>aldy</w:t>
      </w:r>
      <w:r w:rsidRPr="003E1719">
        <w:rPr>
          <w:rFonts w:ascii="Times New Roman" w:eastAsia="Times New Roman" w:hAnsi="Times New Roman" w:cs="Times New Roman"/>
          <w:lang w:eastAsia="sl-SI"/>
        </w:rPr>
        <w:t>kite</w:t>
      </w:r>
      <w:r w:rsidR="000D7B89" w:rsidRPr="003E1719">
        <w:rPr>
          <w:rFonts w:ascii="Times New Roman" w:eastAsia="Times New Roman" w:hAnsi="Times New Roman" w:cs="Times New Roman"/>
          <w:lang w:eastAsia="sl-SI"/>
        </w:rPr>
        <w:t xml:space="preserve"> mechanizm</w:t>
      </w:r>
      <w:r w:rsidRPr="003E1719">
        <w:rPr>
          <w:rFonts w:ascii="Times New Roman" w:eastAsia="Times New Roman" w:hAnsi="Times New Roman" w:cs="Times New Roman"/>
          <w:lang w:eastAsia="sl-SI"/>
        </w:rPr>
        <w:t>ų</w:t>
      </w:r>
      <w:r w:rsidR="000D7B89" w:rsidRPr="003E1719">
        <w:rPr>
          <w:rFonts w:ascii="Times New Roman" w:eastAsia="Times New Roman" w:hAnsi="Times New Roman" w:cs="Times New Roman"/>
          <w:lang w:eastAsia="sl-SI"/>
        </w:rPr>
        <w:t>.</w:t>
      </w:r>
    </w:p>
    <w:p w14:paraId="26A5DC55"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4027B73" w14:textId="77777777" w:rsidR="000D7B89" w:rsidRPr="003E1719" w:rsidRDefault="00AF3800" w:rsidP="000D7B8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r w:rsidR="000D7B89" w:rsidRPr="003E1719">
        <w:rPr>
          <w:rFonts w:ascii="Times New Roman" w:eastAsia="Times New Roman" w:hAnsi="Times New Roman" w:cs="Times New Roman"/>
          <w:b/>
          <w:lang w:eastAsia="sl-SI"/>
        </w:rPr>
        <w:t xml:space="preserve">sudėtyje yra laktozės </w:t>
      </w:r>
    </w:p>
    <w:p w14:paraId="2E46CB10" w14:textId="77777777" w:rsidR="000D7B89" w:rsidRPr="003E1719" w:rsidRDefault="000D7B89" w:rsidP="000D7B89">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sidRPr="003E1719">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6CE8E7F2" w14:textId="77777777" w:rsidR="00DE3361" w:rsidRPr="003E1719" w:rsidRDefault="00DE3361" w:rsidP="000D7B89">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p>
    <w:p w14:paraId="3E172587" w14:textId="77777777" w:rsidR="00DE3361" w:rsidRPr="003E1719" w:rsidRDefault="00AF3800" w:rsidP="00DE3361">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Rosuvastatin/Ezetimibe Teva</w:t>
      </w:r>
      <w:r w:rsidR="00DE3361" w:rsidRPr="003E1719">
        <w:rPr>
          <w:rFonts w:ascii="Times New Roman" w:eastAsia="Times New Roman" w:hAnsi="Times New Roman" w:cs="Times New Roman"/>
          <w:b/>
          <w:lang w:eastAsia="sl-SI"/>
        </w:rPr>
        <w:t xml:space="preserve"> sudėtyje yra natrio</w:t>
      </w:r>
    </w:p>
    <w:p w14:paraId="19077434" w14:textId="77777777" w:rsidR="000D7B89" w:rsidRPr="003E1719" w:rsidRDefault="000D7B89" w:rsidP="000D7B89">
      <w:pPr>
        <w:widowControl w:val="0"/>
        <w:numPr>
          <w:ilvl w:val="12"/>
          <w:numId w:val="0"/>
        </w:numPr>
        <w:tabs>
          <w:tab w:val="left" w:pos="567"/>
        </w:tabs>
        <w:spacing w:after="0" w:line="240" w:lineRule="auto"/>
        <w:ind w:right="-2"/>
        <w:outlineLvl w:val="0"/>
        <w:rPr>
          <w:rFonts w:ascii="Times New Roman" w:eastAsia="Times New Roman" w:hAnsi="Times New Roman" w:cs="Times New Roman"/>
          <w:snapToGrid w:val="0"/>
        </w:rPr>
      </w:pPr>
      <w:r w:rsidRPr="003E1719">
        <w:rPr>
          <w:rFonts w:ascii="Times New Roman" w:eastAsia="Times New Roman" w:hAnsi="Times New Roman" w:cs="Times New Roman"/>
          <w:snapToGrid w:val="0"/>
        </w:rPr>
        <w:t>Šio vaisto tabletėje yra mažiau kaip 1 mmol (23 mg) natrio, t. y. jis beveik neturi reikšmės.</w:t>
      </w:r>
    </w:p>
    <w:p w14:paraId="4E019F4B"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2F48E72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AD7792A"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3.</w:t>
      </w:r>
      <w:r w:rsidRPr="003E1719">
        <w:rPr>
          <w:rFonts w:ascii="Times New Roman" w:eastAsia="Times New Roman" w:hAnsi="Times New Roman" w:cs="Times New Roman"/>
          <w:b/>
          <w:lang w:eastAsia="sl-SI"/>
        </w:rPr>
        <w:tab/>
        <w:t xml:space="preserve">Kaip vartoti </w:t>
      </w:r>
      <w:r w:rsidR="00AF3800">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p>
    <w:p w14:paraId="574FFF1F"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2FB315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14:paraId="699F96D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A6B7D18" w14:textId="77777777" w:rsidR="00DE3361" w:rsidRPr="00FF4691" w:rsidRDefault="00DE3361" w:rsidP="00DE3361">
      <w:pPr>
        <w:widowControl w:val="0"/>
        <w:tabs>
          <w:tab w:val="left" w:pos="567"/>
        </w:tabs>
        <w:spacing w:after="0" w:line="240" w:lineRule="auto"/>
        <w:ind w:right="-2"/>
        <w:rPr>
          <w:rFonts w:ascii="Times New Roman" w:eastAsia="Times New Roman" w:hAnsi="Times New Roman" w:cs="Times New Roman"/>
          <w:u w:val="single"/>
        </w:rPr>
      </w:pPr>
      <w:r w:rsidRPr="00FF4691">
        <w:rPr>
          <w:rFonts w:ascii="Times New Roman" w:eastAsia="Times New Roman" w:hAnsi="Times New Roman" w:cs="Times New Roman"/>
          <w:u w:val="single"/>
        </w:rPr>
        <w:t>V</w:t>
      </w:r>
      <w:r w:rsidR="000D7B89" w:rsidRPr="00FF4691">
        <w:rPr>
          <w:rFonts w:ascii="Times New Roman" w:eastAsia="Times New Roman" w:hAnsi="Times New Roman" w:cs="Times New Roman"/>
          <w:u w:val="single"/>
        </w:rPr>
        <w:t>arto</w:t>
      </w:r>
      <w:r w:rsidRPr="00FF4691">
        <w:rPr>
          <w:rFonts w:ascii="Times New Roman" w:eastAsia="Times New Roman" w:hAnsi="Times New Roman" w:cs="Times New Roman"/>
          <w:u w:val="single"/>
        </w:rPr>
        <w:t>jant</w:t>
      </w:r>
      <w:r w:rsidR="000D7B89" w:rsidRPr="00FF4691">
        <w:rPr>
          <w:rFonts w:ascii="Times New Roman" w:eastAsia="Times New Roman" w:hAnsi="Times New Roman" w:cs="Times New Roman"/>
          <w:u w:val="single"/>
        </w:rPr>
        <w:t xml:space="preserve"> </w:t>
      </w:r>
      <w:r w:rsidR="00AF3800" w:rsidRPr="00FF4691">
        <w:rPr>
          <w:rFonts w:ascii="Times New Roman" w:eastAsia="Times New Roman" w:hAnsi="Times New Roman" w:cs="Times New Roman"/>
          <w:u w:val="single"/>
        </w:rPr>
        <w:t>Rosuvastatin/Ezetimibe Teva</w:t>
      </w:r>
      <w:r w:rsidR="000D7B89" w:rsidRPr="00FF4691">
        <w:rPr>
          <w:rFonts w:ascii="Times New Roman" w:eastAsia="Times New Roman" w:hAnsi="Times New Roman" w:cs="Times New Roman"/>
          <w:u w:val="single"/>
        </w:rPr>
        <w:t xml:space="preserve">, turite </w:t>
      </w:r>
      <w:r w:rsidR="00821EE6" w:rsidRPr="00FF4691">
        <w:rPr>
          <w:rFonts w:ascii="Times New Roman" w:eastAsia="Times New Roman" w:hAnsi="Times New Roman" w:cs="Times New Roman"/>
          <w:u w:val="single"/>
        </w:rPr>
        <w:t xml:space="preserve">ir toliau </w:t>
      </w:r>
      <w:r w:rsidR="000D7B89" w:rsidRPr="00FF4691">
        <w:rPr>
          <w:rFonts w:ascii="Times New Roman" w:eastAsia="Times New Roman" w:hAnsi="Times New Roman" w:cs="Times New Roman"/>
          <w:u w:val="single"/>
        </w:rPr>
        <w:t xml:space="preserve">laikytis cholesterolio kiekį mažinančios dietos ir </w:t>
      </w:r>
      <w:r w:rsidRPr="00FF4691">
        <w:rPr>
          <w:rFonts w:ascii="Times New Roman" w:eastAsia="Times New Roman" w:hAnsi="Times New Roman" w:cs="Times New Roman"/>
          <w:u w:val="single"/>
        </w:rPr>
        <w:t>užsiimti fiziniu aktyvumu.</w:t>
      </w:r>
    </w:p>
    <w:p w14:paraId="78AACF44"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rPr>
      </w:pPr>
    </w:p>
    <w:p w14:paraId="4BDE63D5" w14:textId="77777777" w:rsidR="00BF4897" w:rsidRPr="00FF4691" w:rsidRDefault="000D7B89" w:rsidP="000D7B89">
      <w:pPr>
        <w:widowControl w:val="0"/>
        <w:spacing w:after="0" w:line="240" w:lineRule="auto"/>
        <w:rPr>
          <w:rFonts w:ascii="Times New Roman" w:eastAsia="Times New Roman" w:hAnsi="Times New Roman" w:cs="Times New Roman"/>
          <w:b/>
          <w:bCs/>
        </w:rPr>
      </w:pPr>
      <w:r w:rsidRPr="00FF4691">
        <w:rPr>
          <w:rFonts w:ascii="Times New Roman" w:eastAsia="Times New Roman" w:hAnsi="Times New Roman" w:cs="Times New Roman"/>
          <w:b/>
          <w:bCs/>
          <w:lang w:eastAsia="sl-SI"/>
        </w:rPr>
        <w:t xml:space="preserve">Rekomenduojama </w:t>
      </w:r>
      <w:r w:rsidR="00AF3800" w:rsidRPr="00FF4691">
        <w:rPr>
          <w:rFonts w:ascii="Times New Roman" w:eastAsia="Times New Roman" w:hAnsi="Times New Roman" w:cs="Times New Roman"/>
          <w:b/>
          <w:bCs/>
        </w:rPr>
        <w:t>Rosuvastatin/Ezetimibe Teva</w:t>
      </w:r>
      <w:r w:rsidR="004042B8" w:rsidRPr="00FF4691">
        <w:rPr>
          <w:rFonts w:ascii="Times New Roman" w:eastAsia="Times New Roman" w:hAnsi="Times New Roman" w:cs="Times New Roman"/>
          <w:b/>
          <w:bCs/>
        </w:rPr>
        <w:t xml:space="preserve"> </w:t>
      </w:r>
      <w:r w:rsidR="00BF4897" w:rsidRPr="00FF4691">
        <w:rPr>
          <w:rFonts w:ascii="Times New Roman" w:eastAsia="Times New Roman" w:hAnsi="Times New Roman" w:cs="Times New Roman"/>
          <w:b/>
          <w:bCs/>
          <w:lang w:eastAsia="sl-SI"/>
        </w:rPr>
        <w:t xml:space="preserve">dozė yra viena tabletė </w:t>
      </w:r>
      <w:r w:rsidRPr="00FF4691">
        <w:rPr>
          <w:rFonts w:ascii="Times New Roman" w:eastAsia="Times New Roman" w:hAnsi="Times New Roman" w:cs="Times New Roman"/>
          <w:b/>
          <w:bCs/>
          <w:lang w:eastAsia="sl-SI"/>
        </w:rPr>
        <w:t>kartą per parą</w:t>
      </w:r>
      <w:r w:rsidRPr="00FF4691">
        <w:rPr>
          <w:rFonts w:ascii="Times New Roman" w:eastAsia="Times New Roman" w:hAnsi="Times New Roman" w:cs="Times New Roman"/>
          <w:b/>
          <w:bCs/>
        </w:rPr>
        <w:t xml:space="preserve">. </w:t>
      </w:r>
    </w:p>
    <w:p w14:paraId="2DA8AD3C" w14:textId="77777777" w:rsidR="00BF4897" w:rsidRPr="003E1719" w:rsidRDefault="000D7B89" w:rsidP="000D7B89">
      <w:pPr>
        <w:widowControl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Tabletę galima gerti bet kuriuo dienos metu, v</w:t>
      </w:r>
      <w:r w:rsidR="00BF4897" w:rsidRPr="003E1719">
        <w:rPr>
          <w:rFonts w:ascii="Times New Roman" w:eastAsia="Times New Roman" w:hAnsi="Times New Roman" w:cs="Times New Roman"/>
        </w:rPr>
        <w:t>algant arba nevalgant. T</w:t>
      </w:r>
      <w:r w:rsidRPr="003E1719">
        <w:rPr>
          <w:rFonts w:ascii="Times New Roman" w:eastAsia="Times New Roman" w:hAnsi="Times New Roman" w:cs="Times New Roman"/>
        </w:rPr>
        <w:t xml:space="preserve">abletę reikia nuryti visą, užgeriant vandeniu. </w:t>
      </w:r>
    </w:p>
    <w:p w14:paraId="3B0A9BE2" w14:textId="77777777" w:rsidR="000D7B89" w:rsidRPr="003E1719" w:rsidRDefault="00BF4897" w:rsidP="000D7B89">
      <w:pPr>
        <w:widowControl w:val="0"/>
        <w:spacing w:after="0" w:line="240" w:lineRule="auto"/>
        <w:rPr>
          <w:rFonts w:ascii="Times New Roman" w:eastAsia="Times New Roman" w:hAnsi="Times New Roman" w:cs="Times New Roman"/>
        </w:rPr>
      </w:pPr>
      <w:r w:rsidRPr="003E1719">
        <w:rPr>
          <w:rFonts w:ascii="Times New Roman" w:eastAsia="Times New Roman" w:hAnsi="Times New Roman" w:cs="Times New Roman"/>
        </w:rPr>
        <w:t>Stenkitės v</w:t>
      </w:r>
      <w:r w:rsidR="000D7B89" w:rsidRPr="003E1719">
        <w:rPr>
          <w:rFonts w:ascii="Times New Roman" w:eastAsia="Times New Roman" w:hAnsi="Times New Roman" w:cs="Times New Roman"/>
        </w:rPr>
        <w:t>aistą reikia kasdien vartoti tuo pačiu metu</w:t>
      </w:r>
      <w:r w:rsidRPr="003E1719">
        <w:rPr>
          <w:rFonts w:ascii="Times New Roman" w:eastAsia="Times New Roman" w:hAnsi="Times New Roman" w:cs="Times New Roman"/>
        </w:rPr>
        <w:t>, kad būtų lengviau prisiminti</w:t>
      </w:r>
      <w:r w:rsidR="000D7B89" w:rsidRPr="003E1719">
        <w:rPr>
          <w:rFonts w:ascii="Times New Roman" w:eastAsia="Times New Roman" w:hAnsi="Times New Roman" w:cs="Times New Roman"/>
        </w:rPr>
        <w:t>.</w:t>
      </w:r>
    </w:p>
    <w:p w14:paraId="210AF2B6" w14:textId="77777777" w:rsidR="000D7B89" w:rsidRPr="003E1719" w:rsidRDefault="000D7B89" w:rsidP="000D7B89">
      <w:pPr>
        <w:widowControl w:val="0"/>
        <w:numPr>
          <w:ilvl w:val="12"/>
          <w:numId w:val="0"/>
        </w:numPr>
        <w:tabs>
          <w:tab w:val="left" w:pos="567"/>
        </w:tabs>
        <w:spacing w:after="0" w:line="240" w:lineRule="auto"/>
        <w:ind w:right="-2"/>
        <w:rPr>
          <w:rFonts w:ascii="Times New Roman" w:eastAsia="Times New Roman" w:hAnsi="Times New Roman" w:cs="Times New Roman"/>
        </w:rPr>
      </w:pPr>
    </w:p>
    <w:p w14:paraId="3C0E0024" w14:textId="77777777" w:rsidR="00BF4897" w:rsidRPr="003E1719" w:rsidRDefault="00BF4897" w:rsidP="00BF489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3E1719">
        <w:rPr>
          <w:rFonts w:ascii="Times New Roman" w:eastAsia="Times New Roman" w:hAnsi="Times New Roman" w:cs="Times New Roman"/>
          <w:snapToGrid w:val="0"/>
        </w:rPr>
        <w:t xml:space="preserve">Šis vaistas netinka gydymo pradžiai. Pradėti gydymą arba, jei reikia, koreguoti dozę galima tik vartojant </w:t>
      </w:r>
      <w:r w:rsidR="00821EE6">
        <w:rPr>
          <w:rFonts w:ascii="Times New Roman" w:eastAsia="Times New Roman" w:hAnsi="Times New Roman" w:cs="Times New Roman"/>
          <w:snapToGrid w:val="0"/>
        </w:rPr>
        <w:t xml:space="preserve">atskiras </w:t>
      </w:r>
      <w:r w:rsidRPr="003E1719">
        <w:rPr>
          <w:rFonts w:ascii="Times New Roman" w:eastAsia="Times New Roman" w:hAnsi="Times New Roman" w:cs="Times New Roman"/>
          <w:snapToGrid w:val="0"/>
        </w:rPr>
        <w:t xml:space="preserve">veikliąsas medžiagas, o nustačius tinkamas dozes galima pereiti prie tinkamo </w:t>
      </w:r>
      <w:r w:rsidR="00AF3800">
        <w:rPr>
          <w:rFonts w:ascii="Times New Roman" w:eastAsia="Times New Roman" w:hAnsi="Times New Roman" w:cs="Times New Roman"/>
        </w:rPr>
        <w:t>Rosuvastatin/Ezetimibe Teva</w:t>
      </w:r>
      <w:r w:rsidRPr="003E1719">
        <w:rPr>
          <w:rFonts w:ascii="Times New Roman" w:eastAsia="Times New Roman" w:hAnsi="Times New Roman" w:cs="Times New Roman"/>
        </w:rPr>
        <w:t xml:space="preserve"> stiprumo tablečių.</w:t>
      </w:r>
    </w:p>
    <w:p w14:paraId="00283E9F" w14:textId="77777777" w:rsidR="00BF4897" w:rsidRPr="003E1719" w:rsidRDefault="00BF4897" w:rsidP="000D7B89">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22F70F90" w14:textId="77777777" w:rsidR="00BF4897" w:rsidRPr="003E1719" w:rsidRDefault="00BF4897" w:rsidP="00BF489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21EE6">
        <w:rPr>
          <w:rFonts w:ascii="Times New Roman" w:eastAsia="Times New Roman" w:hAnsi="Times New Roman" w:cs="Times New Roman"/>
          <w:snapToGrid w:val="0"/>
        </w:rPr>
        <w:t xml:space="preserve">Jeigu gydytojas paskyrė </w:t>
      </w:r>
      <w:r w:rsidR="00AF3800">
        <w:rPr>
          <w:rFonts w:ascii="Times New Roman" w:eastAsia="Times New Roman" w:hAnsi="Times New Roman" w:cs="Times New Roman"/>
        </w:rPr>
        <w:t>Rosuvastatin/Ezetimibe Teva</w:t>
      </w:r>
      <w:r w:rsidRPr="00821EE6">
        <w:rPr>
          <w:rFonts w:ascii="Times New Roman" w:eastAsia="Times New Roman" w:hAnsi="Times New Roman" w:cs="Times New Roman"/>
        </w:rPr>
        <w:t xml:space="preserve"> kartu su kitu cholesterolio kiekį mažinančiu vaistu, kurio sudėtyje yra veikliosios medžiagos kolestiramino</w:t>
      </w:r>
      <w:r w:rsidRPr="00821EE6">
        <w:rPr>
          <w:rFonts w:ascii="Times New Roman" w:eastAsia="Times New Roman" w:hAnsi="Times New Roman" w:cs="Times New Roman"/>
          <w:b/>
          <w:snapToGrid w:val="0"/>
        </w:rPr>
        <w:t xml:space="preserve"> </w:t>
      </w:r>
      <w:r w:rsidRPr="00821EE6">
        <w:rPr>
          <w:rFonts w:ascii="Times New Roman" w:eastAsia="Times New Roman" w:hAnsi="Times New Roman" w:cs="Times New Roman"/>
          <w:snapToGrid w:val="0"/>
        </w:rPr>
        <w:t xml:space="preserve">arba bet kokiu kitu vaistu, kurio sudėtyje yra tulžies rūgščių </w:t>
      </w:r>
      <w:r w:rsidR="000D4EDB" w:rsidRPr="00821EE6">
        <w:rPr>
          <w:rFonts w:ascii="Times New Roman" w:eastAsia="Times New Roman" w:hAnsi="Times New Roman" w:cs="Times New Roman"/>
          <w:snapToGrid w:val="0"/>
          <w:lang w:eastAsia="sl-SI"/>
        </w:rPr>
        <w:t>surišančių dervų</w:t>
      </w:r>
      <w:r w:rsidRPr="00821EE6">
        <w:rPr>
          <w:rFonts w:ascii="Times New Roman" w:eastAsia="Times New Roman" w:hAnsi="Times New Roman" w:cs="Times New Roman"/>
          <w:snapToGrid w:val="0"/>
        </w:rPr>
        <w:t xml:space="preserve">, </w:t>
      </w:r>
      <w:r w:rsidR="00AF3800">
        <w:rPr>
          <w:rFonts w:ascii="Times New Roman" w:eastAsia="Times New Roman" w:hAnsi="Times New Roman" w:cs="Times New Roman"/>
        </w:rPr>
        <w:t>Rosuvastatin/Ezetimibe Teva</w:t>
      </w:r>
      <w:r w:rsidRPr="00821EE6">
        <w:rPr>
          <w:rFonts w:ascii="Times New Roman" w:eastAsia="Times New Roman" w:hAnsi="Times New Roman" w:cs="Times New Roman"/>
        </w:rPr>
        <w:t xml:space="preserve"> turite vartoti mažiausiai 2 valandas prieš arba 4 valandas po tulžies </w:t>
      </w:r>
      <w:r w:rsidR="000D4EDB" w:rsidRPr="00821EE6">
        <w:rPr>
          <w:rFonts w:ascii="Times New Roman" w:eastAsia="Times New Roman" w:hAnsi="Times New Roman" w:cs="Times New Roman"/>
        </w:rPr>
        <w:t xml:space="preserve">rūgštis surišančių dervų </w:t>
      </w:r>
      <w:r w:rsidRPr="00821EE6">
        <w:rPr>
          <w:rFonts w:ascii="Times New Roman" w:eastAsia="Times New Roman" w:hAnsi="Times New Roman" w:cs="Times New Roman"/>
        </w:rPr>
        <w:t>vartojimo</w:t>
      </w:r>
      <w:r w:rsidR="000D4EDB" w:rsidRPr="00821EE6">
        <w:rPr>
          <w:rFonts w:ascii="Times New Roman" w:eastAsia="Times New Roman" w:hAnsi="Times New Roman" w:cs="Times New Roman"/>
        </w:rPr>
        <w:t>.</w:t>
      </w:r>
    </w:p>
    <w:p w14:paraId="7B1CCAD2" w14:textId="77777777" w:rsidR="000D7B89" w:rsidRPr="003E1719" w:rsidRDefault="000D7B89" w:rsidP="000D7B89">
      <w:pPr>
        <w:widowControl w:val="0"/>
        <w:spacing w:after="0" w:line="240" w:lineRule="auto"/>
        <w:rPr>
          <w:rFonts w:ascii="Times New Roman" w:eastAsia="Times New Roman" w:hAnsi="Times New Roman" w:cs="Times New Roman"/>
          <w:color w:val="000000"/>
          <w:lang w:eastAsia="sl-SI"/>
        </w:rPr>
      </w:pPr>
    </w:p>
    <w:p w14:paraId="1A9DDBC5" w14:textId="77777777" w:rsidR="000D7B89" w:rsidRPr="003E1719" w:rsidRDefault="000D7B89" w:rsidP="000D7B89">
      <w:pPr>
        <w:widowControl w:val="0"/>
        <w:spacing w:after="0" w:line="240" w:lineRule="auto"/>
        <w:rPr>
          <w:rFonts w:ascii="Times New Roman" w:eastAsia="Times New Roman" w:hAnsi="Times New Roman" w:cs="Times New Roman"/>
          <w:b/>
          <w:color w:val="000000"/>
          <w:lang w:eastAsia="sl-SI"/>
        </w:rPr>
      </w:pPr>
      <w:r w:rsidRPr="003E1719">
        <w:rPr>
          <w:rFonts w:ascii="Times New Roman" w:eastAsia="Times New Roman" w:hAnsi="Times New Roman" w:cs="Times New Roman"/>
          <w:b/>
          <w:color w:val="000000"/>
          <w:lang w:eastAsia="sl-SI"/>
        </w:rPr>
        <w:t>Reguliarus cholesterolio kiekio tikrinimas</w:t>
      </w:r>
    </w:p>
    <w:p w14:paraId="3504C33F"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snapToGrid w:val="0"/>
        </w:rPr>
      </w:pPr>
      <w:r w:rsidRPr="003E1719">
        <w:rPr>
          <w:rFonts w:ascii="Times New Roman" w:eastAsia="Times New Roman" w:hAnsi="Times New Roman" w:cs="Times New Roman"/>
          <w:snapToGrid w:val="0"/>
        </w:rPr>
        <w:t>Svarbu reguliariai lankytis pas gydytoją, kad jis galėtų patikrinti, ar cholesterolio kiekis kraujyje pasiekė reikiamą lygį ir ar toks išliko.</w:t>
      </w:r>
    </w:p>
    <w:p w14:paraId="12C327F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63E04382" w14:textId="73891C49"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Ką daryti pavartojus per didelę </w:t>
      </w:r>
      <w:r w:rsidR="00AF3800">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r w:rsidRPr="003E1719">
        <w:rPr>
          <w:rFonts w:ascii="Times New Roman" w:eastAsia="Times New Roman" w:hAnsi="Times New Roman" w:cs="Times New Roman"/>
          <w:b/>
          <w:lang w:eastAsia="sl-SI"/>
        </w:rPr>
        <w:t>dozę</w:t>
      </w:r>
    </w:p>
    <w:p w14:paraId="2D8AAED7" w14:textId="77777777" w:rsidR="007A535D"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Kreipkitės į gydytoją arba artimiausią ligoninę</w:t>
      </w:r>
      <w:r w:rsidR="007A535D" w:rsidRPr="003E1719">
        <w:rPr>
          <w:rFonts w:ascii="Times New Roman" w:eastAsia="Times New Roman" w:hAnsi="Times New Roman" w:cs="Times New Roman"/>
          <w:lang w:eastAsia="sl-SI"/>
        </w:rPr>
        <w:t>, nes gali būti reikalinga medicininė pagalba.</w:t>
      </w:r>
    </w:p>
    <w:p w14:paraId="3C62351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E9A812E"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Pamiršus pavartoti </w:t>
      </w:r>
      <w:r w:rsidR="00AF3800">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p>
    <w:p w14:paraId="285A7770" w14:textId="77777777" w:rsidR="000D7B89" w:rsidRPr="003E1719" w:rsidRDefault="000D7B89" w:rsidP="000D7B89">
      <w:pPr>
        <w:widowControl w:val="0"/>
        <w:numPr>
          <w:ilvl w:val="12"/>
          <w:numId w:val="0"/>
        </w:numPr>
        <w:spacing w:after="0" w:line="240" w:lineRule="auto"/>
        <w:ind w:right="-2"/>
        <w:rPr>
          <w:rFonts w:ascii="Times New Roman" w:eastAsia="Times New Roman" w:hAnsi="Times New Roman" w:cs="Times New Roman"/>
          <w:snapToGrid w:val="0"/>
        </w:rPr>
      </w:pPr>
      <w:r w:rsidRPr="003E1719">
        <w:rPr>
          <w:rFonts w:ascii="Times New Roman" w:eastAsia="Times New Roman" w:hAnsi="Times New Roman" w:cs="Times New Roman"/>
          <w:snapToGrid w:val="0"/>
        </w:rPr>
        <w:t>Nesijaudinkite ir kitą dozę gerkite numatytu laiku. Negalima vartoti dvigubos dozės norint kompensuoti praleistą dozę.</w:t>
      </w:r>
    </w:p>
    <w:p w14:paraId="31A4C03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86F6849"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 xml:space="preserve">Nustojus vartoti </w:t>
      </w:r>
      <w:r w:rsidR="00AF3800">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p>
    <w:p w14:paraId="05006BA0" w14:textId="77777777" w:rsidR="000D7B89" w:rsidRPr="003E1719" w:rsidRDefault="000D7B89" w:rsidP="000D7B89">
      <w:pPr>
        <w:widowControl w:val="0"/>
        <w:tabs>
          <w:tab w:val="left" w:pos="567"/>
        </w:tabs>
        <w:autoSpaceDE w:val="0"/>
        <w:autoSpaceDN w:val="0"/>
        <w:adjustRightInd w:val="0"/>
        <w:spacing w:after="0" w:line="240" w:lineRule="auto"/>
        <w:rPr>
          <w:rFonts w:ascii="Times New Roman" w:eastAsia="SimSun" w:hAnsi="Times New Roman" w:cs="Times New Roman"/>
          <w:color w:val="000000"/>
          <w:lang w:eastAsia="zh-CN"/>
        </w:rPr>
      </w:pPr>
      <w:r w:rsidRPr="003E1719">
        <w:rPr>
          <w:rFonts w:ascii="Times New Roman" w:eastAsia="SimSun" w:hAnsi="Times New Roman" w:cs="Times New Roman"/>
          <w:color w:val="000000"/>
          <w:lang w:eastAsia="zh-CN"/>
        </w:rPr>
        <w:t xml:space="preserve">Jei norite nutraukti </w:t>
      </w:r>
      <w:r w:rsidR="00AF3800">
        <w:rPr>
          <w:rFonts w:ascii="Times New Roman" w:eastAsia="SimSun" w:hAnsi="Times New Roman" w:cs="Times New Roman"/>
          <w:color w:val="000000"/>
          <w:lang w:eastAsia="zh-CN"/>
        </w:rPr>
        <w:t>Rosuvastatin/Ezetimibe Teva</w:t>
      </w:r>
      <w:r w:rsidRPr="003E1719">
        <w:rPr>
          <w:rFonts w:ascii="Times New Roman" w:eastAsia="SimSun" w:hAnsi="Times New Roman" w:cs="Times New Roman"/>
          <w:color w:val="000000"/>
        </w:rPr>
        <w:t xml:space="preserve"> vartojimą, pasitarkite su gydytoju</w:t>
      </w:r>
      <w:r w:rsidRPr="003E1719">
        <w:rPr>
          <w:rFonts w:ascii="Times New Roman" w:eastAsia="SimSun" w:hAnsi="Times New Roman" w:cs="Times New Roman"/>
          <w:color w:val="000000"/>
          <w:lang w:eastAsia="zh-CN"/>
        </w:rPr>
        <w:t xml:space="preserve">. Jei nutrauksite </w:t>
      </w:r>
      <w:r w:rsidR="007A535D" w:rsidRPr="003E1719">
        <w:rPr>
          <w:rFonts w:ascii="Times New Roman" w:eastAsia="SimSun" w:hAnsi="Times New Roman" w:cs="Times New Roman"/>
          <w:color w:val="000000"/>
          <w:lang w:eastAsia="zh-CN"/>
        </w:rPr>
        <w:t xml:space="preserve">šio vaisto </w:t>
      </w:r>
      <w:r w:rsidRPr="003E1719">
        <w:rPr>
          <w:rFonts w:ascii="Times New Roman" w:eastAsia="SimSun" w:hAnsi="Times New Roman" w:cs="Times New Roman"/>
          <w:color w:val="000000"/>
        </w:rPr>
        <w:t>vartojimą</w:t>
      </w:r>
      <w:r w:rsidRPr="003E1719">
        <w:rPr>
          <w:rFonts w:ascii="Times New Roman" w:eastAsia="SimSun" w:hAnsi="Times New Roman" w:cs="Times New Roman"/>
          <w:color w:val="000000"/>
          <w:lang w:eastAsia="zh-CN"/>
        </w:rPr>
        <w:t>, cholesterolio kiekis gali vėl padidėti.</w:t>
      </w:r>
    </w:p>
    <w:p w14:paraId="7C2D87F4" w14:textId="77777777" w:rsidR="000D7B89" w:rsidRPr="003E1719" w:rsidRDefault="000D7B89" w:rsidP="000D7B89">
      <w:pPr>
        <w:widowControl w:val="0"/>
        <w:numPr>
          <w:ilvl w:val="12"/>
          <w:numId w:val="0"/>
        </w:numPr>
        <w:spacing w:after="0" w:line="240" w:lineRule="auto"/>
        <w:ind w:right="-2"/>
        <w:rPr>
          <w:rFonts w:ascii="Times New Roman" w:eastAsia="Times New Roman" w:hAnsi="Times New Roman" w:cs="Times New Roman"/>
          <w:lang w:eastAsia="sl-SI"/>
        </w:rPr>
      </w:pPr>
    </w:p>
    <w:p w14:paraId="79C589A2"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kiltų daugiau klausimų dėl šio vaisto vartojimo, kreipkitės į gydytoją arba vaistininką.</w:t>
      </w:r>
    </w:p>
    <w:p w14:paraId="2A3DFE92" w14:textId="77777777" w:rsidR="000D7B89" w:rsidRPr="00212A78" w:rsidRDefault="000D7B89" w:rsidP="000D7B89">
      <w:pPr>
        <w:widowControl w:val="0"/>
        <w:spacing w:after="0" w:line="240" w:lineRule="auto"/>
        <w:rPr>
          <w:rFonts w:ascii="Times New Roman" w:eastAsia="Times New Roman" w:hAnsi="Times New Roman" w:cs="Times New Roman"/>
          <w:lang w:eastAsia="sl-SI"/>
        </w:rPr>
      </w:pPr>
    </w:p>
    <w:p w14:paraId="275BDE1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0A64C56C"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4.</w:t>
      </w:r>
      <w:r w:rsidRPr="003E1719">
        <w:rPr>
          <w:rFonts w:ascii="Times New Roman" w:eastAsia="Times New Roman" w:hAnsi="Times New Roman" w:cs="Times New Roman"/>
          <w:b/>
          <w:lang w:eastAsia="sl-SI"/>
        </w:rPr>
        <w:tab/>
        <w:t>Galimas šalutinis poveikis</w:t>
      </w:r>
    </w:p>
    <w:p w14:paraId="56F66D44"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6CAA9E9" w14:textId="77777777" w:rsidR="000D7B89" w:rsidRPr="003E1719" w:rsidRDefault="000D7B89" w:rsidP="000D7B89">
      <w:pPr>
        <w:widowControl w:val="0"/>
        <w:spacing w:after="0" w:line="240" w:lineRule="auto"/>
        <w:rPr>
          <w:rFonts w:ascii="Times New Roman" w:eastAsia="Times New Roman" w:hAnsi="Times New Roman" w:cs="Times New Roman"/>
          <w:color w:val="000000"/>
        </w:rPr>
      </w:pPr>
      <w:r w:rsidRPr="003E1719">
        <w:rPr>
          <w:rFonts w:ascii="Times New Roman" w:eastAsia="Times New Roman" w:hAnsi="Times New Roman" w:cs="Times New Roman"/>
          <w:lang w:eastAsia="sl-SI"/>
        </w:rPr>
        <w:t>Šis vaistas, kaip ir visi kiti, gali sukelti šalutinį poveikį, nors jis pasireiškia ne visiems žmonėms.</w:t>
      </w:r>
      <w:r w:rsidR="00F07F1C" w:rsidRPr="003E1719">
        <w:rPr>
          <w:rFonts w:ascii="Times New Roman" w:eastAsia="Times New Roman" w:hAnsi="Times New Roman" w:cs="Times New Roman"/>
          <w:lang w:eastAsia="sl-SI"/>
        </w:rPr>
        <w:t xml:space="preserve"> </w:t>
      </w:r>
      <w:r w:rsidRPr="003E1719">
        <w:rPr>
          <w:rFonts w:ascii="Times New Roman" w:eastAsia="Times New Roman" w:hAnsi="Times New Roman" w:cs="Times New Roman"/>
          <w:color w:val="000000"/>
          <w:lang w:eastAsia="sl-SI"/>
        </w:rPr>
        <w:t xml:space="preserve">Svarbu, kad žinotumėte, koks šalutinis poveikis gali pasireikšti. </w:t>
      </w:r>
    </w:p>
    <w:p w14:paraId="67E5322C" w14:textId="77777777" w:rsidR="000D7B89" w:rsidRPr="003E1719" w:rsidRDefault="000D7B89" w:rsidP="000D7B89">
      <w:pPr>
        <w:widowControl w:val="0"/>
        <w:numPr>
          <w:ilvl w:val="12"/>
          <w:numId w:val="0"/>
        </w:numPr>
        <w:spacing w:after="0" w:line="240" w:lineRule="auto"/>
        <w:ind w:right="-29"/>
        <w:rPr>
          <w:rFonts w:ascii="Times New Roman" w:eastAsia="Times New Roman" w:hAnsi="Times New Roman" w:cs="Times New Roman"/>
          <w:color w:val="000000"/>
          <w:lang w:eastAsia="sl-SI"/>
        </w:rPr>
      </w:pPr>
    </w:p>
    <w:p w14:paraId="5EC2BCB7" w14:textId="77777777" w:rsidR="000D7B89" w:rsidRPr="003E1719" w:rsidRDefault="000D7B89" w:rsidP="000D7B89">
      <w:pPr>
        <w:widowControl w:val="0"/>
        <w:spacing w:after="0" w:line="240" w:lineRule="auto"/>
        <w:rPr>
          <w:rFonts w:ascii="Times New Roman" w:eastAsia="Times New Roman" w:hAnsi="Times New Roman" w:cs="Times New Roman"/>
          <w:b/>
          <w:color w:val="000000"/>
          <w:lang w:eastAsia="sl-SI"/>
        </w:rPr>
      </w:pPr>
      <w:r w:rsidRPr="003E1719">
        <w:rPr>
          <w:rFonts w:ascii="Times New Roman" w:eastAsia="Times New Roman" w:hAnsi="Times New Roman" w:cs="Times New Roman"/>
          <w:b/>
          <w:color w:val="000000"/>
          <w:lang w:eastAsia="sl-SI"/>
        </w:rPr>
        <w:t xml:space="preserve">Nutraukite </w:t>
      </w:r>
      <w:r w:rsidR="00AF3800">
        <w:rPr>
          <w:rFonts w:ascii="Times New Roman" w:eastAsia="Times New Roman" w:hAnsi="Times New Roman" w:cs="Times New Roman"/>
          <w:b/>
          <w:bCs/>
          <w:color w:val="000000"/>
        </w:rPr>
        <w:t>Rosuvastatin/Ezetimibe Teva</w:t>
      </w:r>
      <w:r w:rsidRPr="003E1719">
        <w:rPr>
          <w:rFonts w:ascii="Times New Roman" w:eastAsia="Times New Roman" w:hAnsi="Times New Roman" w:cs="Times New Roman"/>
          <w:b/>
          <w:bCs/>
          <w:color w:val="000000"/>
        </w:rPr>
        <w:t xml:space="preserve"> </w:t>
      </w:r>
      <w:r w:rsidRPr="003E1719">
        <w:rPr>
          <w:rFonts w:ascii="Times New Roman" w:eastAsia="Times New Roman" w:hAnsi="Times New Roman" w:cs="Times New Roman"/>
          <w:b/>
          <w:color w:val="000000"/>
          <w:lang w:eastAsia="sl-SI"/>
        </w:rPr>
        <w:t>varto</w:t>
      </w:r>
      <w:r w:rsidR="00640E25">
        <w:rPr>
          <w:rFonts w:ascii="Times New Roman" w:eastAsia="Times New Roman" w:hAnsi="Times New Roman" w:cs="Times New Roman"/>
          <w:b/>
          <w:color w:val="000000"/>
          <w:lang w:eastAsia="sl-SI"/>
        </w:rPr>
        <w:t xml:space="preserve">jimą ir nedelsdami kreipkitės </w:t>
      </w:r>
      <w:r w:rsidRPr="003E1719">
        <w:rPr>
          <w:rFonts w:ascii="Times New Roman" w:eastAsia="Times New Roman" w:hAnsi="Times New Roman" w:cs="Times New Roman"/>
          <w:b/>
          <w:color w:val="000000"/>
          <w:lang w:eastAsia="sl-SI"/>
        </w:rPr>
        <w:t>medi</w:t>
      </w:r>
      <w:r w:rsidR="00F07F1C" w:rsidRPr="003E1719">
        <w:rPr>
          <w:rFonts w:ascii="Times New Roman" w:eastAsia="Times New Roman" w:hAnsi="Times New Roman" w:cs="Times New Roman"/>
          <w:b/>
          <w:color w:val="000000"/>
          <w:lang w:eastAsia="sl-SI"/>
        </w:rPr>
        <w:t>cininės pagalbos</w:t>
      </w:r>
      <w:r w:rsidRPr="003E1719">
        <w:rPr>
          <w:rFonts w:ascii="Times New Roman" w:eastAsia="Times New Roman" w:hAnsi="Times New Roman" w:cs="Times New Roman"/>
          <w:b/>
          <w:color w:val="000000"/>
          <w:lang w:eastAsia="sl-SI"/>
        </w:rPr>
        <w:t>, jei pasireikš bet kuri</w:t>
      </w:r>
      <w:r w:rsidR="00F07F1C" w:rsidRPr="003E1719">
        <w:rPr>
          <w:rFonts w:ascii="Times New Roman" w:eastAsia="Times New Roman" w:hAnsi="Times New Roman" w:cs="Times New Roman"/>
          <w:b/>
          <w:color w:val="000000"/>
          <w:lang w:eastAsia="sl-SI"/>
        </w:rPr>
        <w:t>s</w:t>
      </w:r>
      <w:r w:rsidRPr="003E1719">
        <w:rPr>
          <w:rFonts w:ascii="Times New Roman" w:eastAsia="Times New Roman" w:hAnsi="Times New Roman" w:cs="Times New Roman"/>
          <w:b/>
          <w:color w:val="000000"/>
          <w:lang w:eastAsia="sl-SI"/>
        </w:rPr>
        <w:t xml:space="preserve"> toliau paminėta</w:t>
      </w:r>
      <w:r w:rsidR="00F07F1C" w:rsidRPr="003E1719">
        <w:rPr>
          <w:rFonts w:ascii="Times New Roman" w:eastAsia="Times New Roman" w:hAnsi="Times New Roman" w:cs="Times New Roman"/>
          <w:b/>
          <w:color w:val="000000"/>
          <w:lang w:eastAsia="sl-SI"/>
        </w:rPr>
        <w:t>s simptomas</w:t>
      </w:r>
      <w:r w:rsidRPr="003E1719">
        <w:rPr>
          <w:rFonts w:ascii="Times New Roman" w:eastAsia="Times New Roman" w:hAnsi="Times New Roman" w:cs="Times New Roman"/>
          <w:b/>
          <w:color w:val="000000"/>
          <w:lang w:eastAsia="sl-SI"/>
        </w:rPr>
        <w:t>:</w:t>
      </w:r>
    </w:p>
    <w:p w14:paraId="6FCEA68C" w14:textId="77777777" w:rsidR="00F07F1C" w:rsidRPr="003E1719" w:rsidRDefault="005D7868" w:rsidP="000D7B89">
      <w:pPr>
        <w:widowControl w:val="0"/>
        <w:numPr>
          <w:ilvl w:val="0"/>
          <w:numId w:val="17"/>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b</w:t>
      </w:r>
      <w:r w:rsidR="00F07F1C" w:rsidRPr="003E1719">
        <w:rPr>
          <w:rFonts w:ascii="Times New Roman" w:eastAsia="Times New Roman" w:hAnsi="Times New Roman" w:cs="Times New Roman"/>
          <w:color w:val="000000"/>
          <w:lang w:eastAsia="sl-SI"/>
        </w:rPr>
        <w:t>et koks netikėtas raumenų skausmas, jautrumas arba silpnumas, kuris trunka ilgiau nei tikėtasi. Tai gali būti raumenų pažeidimas, įskaitant raumenų irimą, kuris sukelia inkstų nepakankamumą ir gali būti sunki būklė, pavojinga gyvybei (rabdomiolizė). Tai reta būklė (gali pasireikšti rečiau kaip 1 iš 1000 asmenų)</w:t>
      </w:r>
      <w:r w:rsidRPr="003E1719">
        <w:rPr>
          <w:rFonts w:ascii="Times New Roman" w:eastAsia="Times New Roman" w:hAnsi="Times New Roman" w:cs="Times New Roman"/>
          <w:color w:val="000000"/>
          <w:lang w:eastAsia="sl-SI"/>
        </w:rPr>
        <w:t>;</w:t>
      </w:r>
    </w:p>
    <w:p w14:paraId="65D8428A" w14:textId="77777777" w:rsidR="005D7868" w:rsidRPr="003E1719" w:rsidRDefault="005D7868" w:rsidP="005D7868">
      <w:pPr>
        <w:widowControl w:val="0"/>
        <w:numPr>
          <w:ilvl w:val="0"/>
          <w:numId w:val="17"/>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sunki alerginė reakcija (angioneurozinė edema) - veido, lūpų, liežuvio ir (arba) gerklės patinimas, galintis sukelti rijimo pasunkėjim, dusulį ir stiprų odos niežulį (su iškilusiais gumbeliais). Tai reta būklė (gali pasireikšti rečiau kaip 1 iš 1000 asmenų);</w:t>
      </w:r>
    </w:p>
    <w:p w14:paraId="347DA7BD" w14:textId="77777777" w:rsidR="005D7868" w:rsidRPr="003E1719" w:rsidRDefault="005D7868" w:rsidP="005D7868">
      <w:pPr>
        <w:widowControl w:val="0"/>
        <w:numPr>
          <w:ilvl w:val="0"/>
          <w:numId w:val="24"/>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raudonosios vilkligės pobūdžio sindromas (įskaitant išbėrimą, sąnarių sutrikimus ir poveikį kraujo ląstelėms). Tai reta būklė (gali pasireikšti rečiau kaip 1 iš 1000 asmenų);</w:t>
      </w:r>
    </w:p>
    <w:p w14:paraId="5398BDF3" w14:textId="77777777" w:rsidR="005D7868" w:rsidRPr="003E1719" w:rsidRDefault="005D7868" w:rsidP="005D7868">
      <w:pPr>
        <w:widowControl w:val="0"/>
        <w:numPr>
          <w:ilvl w:val="0"/>
          <w:numId w:val="24"/>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raumenų plyšimas. Tai reta būklė (gali pasireikšti rečiau kaip 1 iš 1000 asmenų);</w:t>
      </w:r>
    </w:p>
    <w:p w14:paraId="25BBE746" w14:textId="77777777" w:rsidR="000D7B89" w:rsidRPr="003E1719" w:rsidRDefault="005D7868" w:rsidP="005D7868">
      <w:pPr>
        <w:pStyle w:val="Sraopastraipa"/>
        <w:numPr>
          <w:ilvl w:val="0"/>
          <w:numId w:val="25"/>
        </w:numPr>
        <w:tabs>
          <w:tab w:val="left" w:pos="567"/>
        </w:tabs>
        <w:ind w:left="567" w:right="-29" w:hanging="567"/>
        <w:rPr>
          <w:rFonts w:eastAsiaTheme="minorHAnsi"/>
          <w:bCs/>
          <w:sz w:val="22"/>
          <w:szCs w:val="22"/>
        </w:rPr>
      </w:pPr>
      <w:r w:rsidRPr="003E1719">
        <w:rPr>
          <w:color w:val="000000"/>
          <w:sz w:val="22"/>
          <w:szCs w:val="22"/>
          <w:lang w:eastAsia="sl-SI"/>
        </w:rPr>
        <w:t>r</w:t>
      </w:r>
      <w:r w:rsidR="000D7B89" w:rsidRPr="003E1719">
        <w:rPr>
          <w:color w:val="000000"/>
          <w:sz w:val="22"/>
          <w:szCs w:val="22"/>
          <w:lang w:eastAsia="sl-SI"/>
        </w:rPr>
        <w:t>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 –Džonsono [</w:t>
      </w:r>
      <w:r w:rsidR="000D7B89" w:rsidRPr="003E1719">
        <w:rPr>
          <w:i/>
          <w:iCs/>
          <w:color w:val="000000"/>
          <w:sz w:val="22"/>
          <w:szCs w:val="22"/>
          <w:lang w:eastAsia="sl-SI"/>
        </w:rPr>
        <w:t>Stevens-Johnson</w:t>
      </w:r>
      <w:r w:rsidR="000D7B89" w:rsidRPr="003E1719">
        <w:rPr>
          <w:color w:val="000000"/>
          <w:sz w:val="22"/>
          <w:szCs w:val="22"/>
          <w:lang w:eastAsia="sl-SI"/>
        </w:rPr>
        <w:t>] sindromas).</w:t>
      </w:r>
      <w:r w:rsidRPr="003E1719">
        <w:rPr>
          <w:color w:val="000000"/>
          <w:sz w:val="22"/>
          <w:szCs w:val="22"/>
          <w:lang w:eastAsia="sl-SI"/>
        </w:rPr>
        <w:t xml:space="preserve"> Šio sutrikimo dažnis nežinomas (</w:t>
      </w:r>
      <w:r w:rsidRPr="003E1719">
        <w:rPr>
          <w:bCs/>
          <w:sz w:val="22"/>
          <w:szCs w:val="22"/>
        </w:rPr>
        <w:t>negali būti apskaičiuotas pagal turimus duomenis);</w:t>
      </w:r>
    </w:p>
    <w:p w14:paraId="34A433A9" w14:textId="77777777" w:rsidR="005D7868" w:rsidRPr="003E1719" w:rsidRDefault="005D7868" w:rsidP="005D7868">
      <w:pPr>
        <w:pStyle w:val="Sraopastraipa"/>
        <w:numPr>
          <w:ilvl w:val="0"/>
          <w:numId w:val="26"/>
        </w:numPr>
        <w:tabs>
          <w:tab w:val="left" w:pos="567"/>
        </w:tabs>
        <w:ind w:left="567" w:right="-29" w:hanging="567"/>
        <w:rPr>
          <w:rFonts w:eastAsiaTheme="minorHAnsi"/>
          <w:bCs/>
          <w:sz w:val="22"/>
          <w:szCs w:val="22"/>
        </w:rPr>
      </w:pPr>
      <w:r w:rsidRPr="003E1719">
        <w:rPr>
          <w:color w:val="000000"/>
          <w:sz w:val="22"/>
          <w:szCs w:val="22"/>
          <w:lang w:eastAsia="sl-SI"/>
        </w:rPr>
        <w:t>i</w:t>
      </w:r>
      <w:r w:rsidR="000D7B89" w:rsidRPr="003E1719">
        <w:rPr>
          <w:color w:val="000000"/>
          <w:sz w:val="22"/>
          <w:szCs w:val="22"/>
          <w:lang w:eastAsia="sl-SI"/>
        </w:rPr>
        <w:t>šplitęs išbėrimas, aukšta kūno temperatūra ir padidėję limfmazgiai (</w:t>
      </w:r>
      <w:r w:rsidR="000D7B89" w:rsidRPr="003E1719">
        <w:rPr>
          <w:i/>
          <w:color w:val="000000"/>
          <w:sz w:val="22"/>
          <w:szCs w:val="22"/>
          <w:lang w:eastAsia="sl-SI"/>
        </w:rPr>
        <w:t>DRESS</w:t>
      </w:r>
      <w:r w:rsidR="000D7B89" w:rsidRPr="003E1719">
        <w:rPr>
          <w:color w:val="000000"/>
          <w:sz w:val="22"/>
          <w:szCs w:val="22"/>
          <w:lang w:eastAsia="sl-SI"/>
        </w:rPr>
        <w:t xml:space="preserve"> sindromas arba padidėjusio jautrumo vaistui sindromas).</w:t>
      </w:r>
      <w:r w:rsidRPr="003E1719">
        <w:rPr>
          <w:color w:val="000000"/>
          <w:sz w:val="22"/>
          <w:szCs w:val="22"/>
          <w:lang w:eastAsia="sl-SI"/>
        </w:rPr>
        <w:t xml:space="preserve"> Šio sutrikimo dažnis nežinomas (</w:t>
      </w:r>
      <w:r w:rsidRPr="003E1719">
        <w:rPr>
          <w:bCs/>
          <w:sz w:val="22"/>
          <w:szCs w:val="22"/>
        </w:rPr>
        <w:t>negali būti apskaičiuotas pagal turimus duomenis).</w:t>
      </w:r>
    </w:p>
    <w:p w14:paraId="1A5E9BF6" w14:textId="77777777" w:rsidR="000D7B89" w:rsidRPr="003E1719" w:rsidRDefault="000D7B89" w:rsidP="000D7B89">
      <w:pPr>
        <w:widowControl w:val="0"/>
        <w:numPr>
          <w:ilvl w:val="12"/>
          <w:numId w:val="0"/>
        </w:numPr>
        <w:spacing w:after="0" w:line="240" w:lineRule="auto"/>
        <w:rPr>
          <w:rFonts w:ascii="Times New Roman" w:eastAsia="Times New Roman" w:hAnsi="Times New Roman" w:cs="Times New Roman"/>
        </w:rPr>
      </w:pPr>
    </w:p>
    <w:p w14:paraId="3A91DD5F" w14:textId="77777777" w:rsidR="005D7868" w:rsidRPr="003E1719" w:rsidRDefault="005D7868" w:rsidP="000D7B89">
      <w:pPr>
        <w:widowControl w:val="0"/>
        <w:numPr>
          <w:ilvl w:val="12"/>
          <w:numId w:val="0"/>
        </w:numPr>
        <w:spacing w:after="0" w:line="240" w:lineRule="auto"/>
        <w:rPr>
          <w:rFonts w:ascii="Times New Roman" w:eastAsia="Times New Roman" w:hAnsi="Times New Roman" w:cs="Times New Roman"/>
          <w:b/>
        </w:rPr>
      </w:pPr>
      <w:r w:rsidRPr="003E1719">
        <w:rPr>
          <w:rFonts w:ascii="Times New Roman" w:eastAsia="Times New Roman" w:hAnsi="Times New Roman" w:cs="Times New Roman"/>
          <w:b/>
        </w:rPr>
        <w:t>Kitas žinomas šalutinis poveikis</w:t>
      </w:r>
    </w:p>
    <w:p w14:paraId="08E65769" w14:textId="77777777" w:rsidR="005D7868" w:rsidRPr="003E1719" w:rsidRDefault="005D7868" w:rsidP="000D7B89">
      <w:pPr>
        <w:widowControl w:val="0"/>
        <w:numPr>
          <w:ilvl w:val="12"/>
          <w:numId w:val="0"/>
        </w:numPr>
        <w:spacing w:after="0" w:line="240" w:lineRule="auto"/>
        <w:rPr>
          <w:rFonts w:ascii="Times New Roman" w:eastAsia="Times New Roman" w:hAnsi="Times New Roman" w:cs="Times New Roman"/>
          <w:b/>
        </w:rPr>
      </w:pPr>
    </w:p>
    <w:p w14:paraId="07B41F14" w14:textId="77777777" w:rsidR="000D7B89" w:rsidRPr="003E1719" w:rsidRDefault="000D7B89" w:rsidP="000D7B89">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Dažni šalutinio poveikio reiškiniai (gali pasireikšti rečiau kaip 1 iš 10 asmenų):</w:t>
      </w:r>
    </w:p>
    <w:p w14:paraId="24190421" w14:textId="77777777" w:rsidR="000D7B89" w:rsidRPr="003E1719" w:rsidRDefault="005D7868"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g</w:t>
      </w:r>
      <w:r w:rsidR="000D7B89" w:rsidRPr="003E1719">
        <w:rPr>
          <w:rFonts w:ascii="Times New Roman" w:eastAsia="Times New Roman" w:hAnsi="Times New Roman" w:cs="Times New Roman"/>
          <w:color w:val="000000"/>
          <w:lang w:eastAsia="sl-SI"/>
        </w:rPr>
        <w:t>alvos skausmas</w:t>
      </w:r>
      <w:r w:rsidRPr="003E1719">
        <w:rPr>
          <w:rFonts w:ascii="Times New Roman" w:eastAsia="Times New Roman" w:hAnsi="Times New Roman" w:cs="Times New Roman"/>
          <w:color w:val="000000"/>
          <w:lang w:eastAsia="sl-SI"/>
        </w:rPr>
        <w:t>,</w:t>
      </w:r>
    </w:p>
    <w:p w14:paraId="6EC032DD" w14:textId="77777777" w:rsidR="000D7B89" w:rsidRPr="003E1719" w:rsidRDefault="005D7868"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v</w:t>
      </w:r>
      <w:r w:rsidR="000D7B89" w:rsidRPr="003E1719">
        <w:rPr>
          <w:rFonts w:ascii="Times New Roman" w:eastAsia="Times New Roman" w:hAnsi="Times New Roman" w:cs="Times New Roman"/>
          <w:color w:val="000000"/>
          <w:lang w:eastAsia="sl-SI"/>
        </w:rPr>
        <w:t>idurių užkietėjimas</w:t>
      </w:r>
      <w:r w:rsidR="007D2ECF" w:rsidRPr="003E1719">
        <w:rPr>
          <w:rFonts w:ascii="Times New Roman" w:eastAsia="Times New Roman" w:hAnsi="Times New Roman" w:cs="Times New Roman"/>
          <w:color w:val="000000"/>
          <w:lang w:eastAsia="sl-SI"/>
        </w:rPr>
        <w:t>,</w:t>
      </w:r>
    </w:p>
    <w:p w14:paraId="5E6C300F" w14:textId="77777777" w:rsidR="000D7B89"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p</w:t>
      </w:r>
      <w:r w:rsidR="000D7B89" w:rsidRPr="003E1719">
        <w:rPr>
          <w:rFonts w:ascii="Times New Roman" w:eastAsia="Times New Roman" w:hAnsi="Times New Roman" w:cs="Times New Roman"/>
          <w:color w:val="000000"/>
          <w:lang w:eastAsia="sl-SI"/>
        </w:rPr>
        <w:t>ykinimas</w:t>
      </w:r>
      <w:r w:rsidRPr="003E1719">
        <w:rPr>
          <w:rFonts w:ascii="Times New Roman" w:eastAsia="Times New Roman" w:hAnsi="Times New Roman" w:cs="Times New Roman"/>
          <w:color w:val="000000"/>
          <w:lang w:eastAsia="sl-SI"/>
        </w:rPr>
        <w:t>,</w:t>
      </w:r>
    </w:p>
    <w:p w14:paraId="777C9F50" w14:textId="77777777" w:rsidR="000D7B89"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w:t>
      </w:r>
      <w:r w:rsidR="000D7B89" w:rsidRPr="003E1719">
        <w:rPr>
          <w:rFonts w:ascii="Times New Roman" w:eastAsia="Times New Roman" w:hAnsi="Times New Roman" w:cs="Times New Roman"/>
          <w:color w:val="000000"/>
          <w:lang w:eastAsia="sl-SI"/>
        </w:rPr>
        <w:t>aumenų skausmas</w:t>
      </w:r>
      <w:r w:rsidRPr="003E1719">
        <w:rPr>
          <w:rFonts w:ascii="Times New Roman" w:eastAsia="Times New Roman" w:hAnsi="Times New Roman" w:cs="Times New Roman"/>
          <w:color w:val="000000"/>
          <w:lang w:eastAsia="sl-SI"/>
        </w:rPr>
        <w:t>,</w:t>
      </w:r>
    </w:p>
    <w:p w14:paraId="02F8C789" w14:textId="77777777" w:rsidR="000D7B89"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w:t>
      </w:r>
      <w:r w:rsidR="000D7B89" w:rsidRPr="003E1719">
        <w:rPr>
          <w:rFonts w:ascii="Times New Roman" w:eastAsia="Times New Roman" w:hAnsi="Times New Roman" w:cs="Times New Roman"/>
          <w:color w:val="000000"/>
          <w:lang w:eastAsia="sl-SI"/>
        </w:rPr>
        <w:t>ilpnumo pojūtis</w:t>
      </w:r>
      <w:r w:rsidRPr="003E1719">
        <w:rPr>
          <w:rFonts w:ascii="Times New Roman" w:eastAsia="Times New Roman" w:hAnsi="Times New Roman" w:cs="Times New Roman"/>
          <w:color w:val="000000"/>
          <w:lang w:eastAsia="sl-SI"/>
        </w:rPr>
        <w:t>,</w:t>
      </w:r>
    </w:p>
    <w:p w14:paraId="1D0B95D5" w14:textId="77777777" w:rsidR="000D7B89"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w:t>
      </w:r>
      <w:r w:rsidR="000D7B89" w:rsidRPr="003E1719">
        <w:rPr>
          <w:rFonts w:ascii="Times New Roman" w:eastAsia="Times New Roman" w:hAnsi="Times New Roman" w:cs="Times New Roman"/>
          <w:color w:val="000000"/>
          <w:lang w:eastAsia="sl-SI"/>
        </w:rPr>
        <w:t>vaigulys</w:t>
      </w:r>
      <w:r w:rsidRPr="003E1719">
        <w:rPr>
          <w:rFonts w:ascii="Times New Roman" w:eastAsia="Times New Roman" w:hAnsi="Times New Roman" w:cs="Times New Roman"/>
          <w:color w:val="000000"/>
          <w:lang w:eastAsia="sl-SI"/>
        </w:rPr>
        <w:t>,</w:t>
      </w:r>
    </w:p>
    <w:p w14:paraId="607FD5A9" w14:textId="77777777" w:rsidR="000D7B89"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c</w:t>
      </w:r>
      <w:r w:rsidR="000D7B89" w:rsidRPr="003E1719">
        <w:rPr>
          <w:rFonts w:ascii="Times New Roman" w:eastAsia="Times New Roman" w:hAnsi="Times New Roman" w:cs="Times New Roman"/>
          <w:color w:val="000000"/>
          <w:lang w:eastAsia="sl-SI"/>
        </w:rPr>
        <w:t>ukrinis diabetas. Tokio poveikio tikimybė didesnė, jei cukraus ir riebalų kiekis Jūsų kraujyje yra didelis, yra per didelis kūno svoris arba didelis kraujospūdis. Gydytojas stebės Jus vaisto vartojimo laikotarpiu</w:t>
      </w:r>
      <w:r w:rsidRPr="003E1719">
        <w:rPr>
          <w:rFonts w:ascii="Times New Roman" w:eastAsia="Times New Roman" w:hAnsi="Times New Roman" w:cs="Times New Roman"/>
          <w:color w:val="000000"/>
          <w:lang w:eastAsia="sl-SI"/>
        </w:rPr>
        <w:t>,</w:t>
      </w:r>
    </w:p>
    <w:p w14:paraId="2334979A" w14:textId="77777777" w:rsidR="007D2ECF"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skrandžio skausmas, </w:t>
      </w:r>
    </w:p>
    <w:p w14:paraId="33A8B54E"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viduriavimas, </w:t>
      </w:r>
    </w:p>
    <w:p w14:paraId="6A403A50"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vidurių pūtimas (dujų susikaupimas virškinimo trakte),</w:t>
      </w:r>
    </w:p>
    <w:p w14:paraId="3D0A0C1E"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nuovargio pojūtis,</w:t>
      </w:r>
    </w:p>
    <w:p w14:paraId="457FBACF" w14:textId="77777777" w:rsidR="000D7B89"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t</w:t>
      </w:r>
      <w:r w:rsidR="000D7B89" w:rsidRPr="003E1719">
        <w:rPr>
          <w:rFonts w:ascii="Times New Roman" w:eastAsia="Times New Roman" w:hAnsi="Times New Roman" w:cs="Times New Roman"/>
          <w:color w:val="000000"/>
          <w:lang w:eastAsia="sl-SI"/>
        </w:rPr>
        <w:t>am tikrų laboratorinių kraujo tyrimų, atspindinčių kepenų funkciją (transaminazių), rodmenų padidėjimas</w:t>
      </w:r>
      <w:r w:rsidRPr="003E1719">
        <w:rPr>
          <w:rFonts w:ascii="Times New Roman" w:eastAsia="Times New Roman" w:hAnsi="Times New Roman" w:cs="Times New Roman"/>
          <w:color w:val="000000"/>
          <w:lang w:eastAsia="sl-SI"/>
        </w:rPr>
        <w:t>.</w:t>
      </w:r>
    </w:p>
    <w:p w14:paraId="502E5DDB" w14:textId="77777777" w:rsidR="000D7B89" w:rsidRPr="003E1719" w:rsidRDefault="000D7B89" w:rsidP="000D7B89">
      <w:pPr>
        <w:widowControl w:val="0"/>
        <w:spacing w:after="0" w:line="240" w:lineRule="auto"/>
        <w:rPr>
          <w:rFonts w:ascii="Times New Roman" w:eastAsia="Times New Roman" w:hAnsi="Times New Roman" w:cs="Times New Roman"/>
          <w:color w:val="000000"/>
          <w:lang w:eastAsia="sl-SI"/>
        </w:rPr>
      </w:pPr>
    </w:p>
    <w:p w14:paraId="1DD37F6A" w14:textId="77777777" w:rsidR="000D7B89" w:rsidRPr="003E1719" w:rsidRDefault="000D7B89" w:rsidP="000D7B89">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Nedažni šalutinio poveikio reiškiniai (gali pasireikšti rečiau kaip 1 iš 100 asmenų):</w:t>
      </w:r>
    </w:p>
    <w:p w14:paraId="55CBCBB7" w14:textId="77777777" w:rsidR="000D7B89"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i</w:t>
      </w:r>
      <w:r w:rsidR="000D7B89" w:rsidRPr="003E1719">
        <w:rPr>
          <w:rFonts w:ascii="Times New Roman" w:eastAsia="Times New Roman" w:hAnsi="Times New Roman" w:cs="Times New Roman"/>
          <w:color w:val="000000"/>
          <w:lang w:eastAsia="sl-SI"/>
        </w:rPr>
        <w:t>šbėrimas, n</w:t>
      </w:r>
      <w:r w:rsidRPr="003E1719">
        <w:rPr>
          <w:rFonts w:ascii="Times New Roman" w:eastAsia="Times New Roman" w:hAnsi="Times New Roman" w:cs="Times New Roman"/>
          <w:color w:val="000000"/>
          <w:lang w:eastAsia="sl-SI"/>
        </w:rPr>
        <w:t>iežulys ar kitos odos reakcijos,</w:t>
      </w:r>
    </w:p>
    <w:p w14:paraId="06530CE4"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tam tikrų laboratorinių kraujo tyrimų, atspindinčių raumenų funkciją (kreatinkinazės), rodmenų padidėjimas,</w:t>
      </w:r>
    </w:p>
    <w:p w14:paraId="3B223F66"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kosulys,</w:t>
      </w:r>
    </w:p>
    <w:p w14:paraId="2BE70B37"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nevirškinimas,</w:t>
      </w:r>
    </w:p>
    <w:p w14:paraId="59A60AAE"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rėmuo,</w:t>
      </w:r>
    </w:p>
    <w:p w14:paraId="51F49CE9"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sąnarių skausmas,</w:t>
      </w:r>
    </w:p>
    <w:p w14:paraId="30347F78"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raumenų spazmai,</w:t>
      </w:r>
    </w:p>
    <w:p w14:paraId="690AFCDA"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kaklo skausmas,</w:t>
      </w:r>
    </w:p>
    <w:p w14:paraId="6593245D"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sumažėjęs apetitas,</w:t>
      </w:r>
    </w:p>
    <w:p w14:paraId="58E6F693"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skausmas,</w:t>
      </w:r>
    </w:p>
    <w:p w14:paraId="2F8E49BC"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krūtinės skausmas,</w:t>
      </w:r>
    </w:p>
    <w:p w14:paraId="00AF6D18"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lang w:eastAsia="sl-SI"/>
        </w:rPr>
        <w:t>paraudimas su karščio pojūčiu,</w:t>
      </w:r>
    </w:p>
    <w:p w14:paraId="64F8E33F"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aukštas kraujospūdis,</w:t>
      </w:r>
    </w:p>
    <w:p w14:paraId="3B32C433"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dilgčiojimo pojūtis,</w:t>
      </w:r>
    </w:p>
    <w:p w14:paraId="259DB571"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burnos džiūvimas,</w:t>
      </w:r>
    </w:p>
    <w:p w14:paraId="2E466C85"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skrandžio gleivinės uždegimas,</w:t>
      </w:r>
    </w:p>
    <w:p w14:paraId="5EBDF432"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nugaros skausmas,</w:t>
      </w:r>
    </w:p>
    <w:p w14:paraId="384DFFC0"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 xml:space="preserve">raumenų silpnumas, </w:t>
      </w:r>
    </w:p>
    <w:p w14:paraId="23593D92"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rankų ir kojų skausmas,</w:t>
      </w:r>
    </w:p>
    <w:p w14:paraId="319BD531" w14:textId="77777777" w:rsidR="007D2ECF" w:rsidRPr="003E1719" w:rsidRDefault="007D2ECF" w:rsidP="007D2ECF">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patinimas, ypač plaštakų ir pėdų</w:t>
      </w:r>
    </w:p>
    <w:p w14:paraId="424E99C2" w14:textId="77777777" w:rsidR="000D7B89" w:rsidRPr="003E1719" w:rsidRDefault="007D2ECF"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color w:val="000000"/>
          <w:lang w:eastAsia="sl-SI"/>
        </w:rPr>
      </w:pPr>
      <w:r w:rsidRPr="003E1719">
        <w:rPr>
          <w:rFonts w:ascii="Times New Roman" w:eastAsia="Times New Roman" w:hAnsi="Times New Roman" w:cs="Times New Roman"/>
          <w:color w:val="000000"/>
          <w:lang w:eastAsia="sl-SI"/>
        </w:rPr>
        <w:t>b</w:t>
      </w:r>
      <w:r w:rsidR="000D7B89" w:rsidRPr="003E1719">
        <w:rPr>
          <w:rFonts w:ascii="Times New Roman" w:eastAsia="Times New Roman" w:hAnsi="Times New Roman" w:cs="Times New Roman"/>
          <w:color w:val="000000"/>
          <w:lang w:eastAsia="sl-SI"/>
        </w:rPr>
        <w:t xml:space="preserve">altymo kiekio šlapime padidėjimas. Vaisto vartojant toliau, šis pokytis dažniausiai išnyksta savaime ir </w:t>
      </w:r>
      <w:r w:rsidR="00AF3800">
        <w:rPr>
          <w:rFonts w:ascii="Times New Roman" w:eastAsia="Times New Roman" w:hAnsi="Times New Roman" w:cs="Times New Roman"/>
          <w:color w:val="000000"/>
          <w:lang w:eastAsia="sl-SI"/>
        </w:rPr>
        <w:t>Rosuvastatin/Ezetimibe Teva</w:t>
      </w:r>
      <w:r w:rsidR="000D7B89" w:rsidRPr="003E1719">
        <w:rPr>
          <w:rFonts w:ascii="Times New Roman" w:eastAsia="Times New Roman" w:hAnsi="Times New Roman" w:cs="Times New Roman"/>
          <w:color w:val="000000"/>
          <w:lang w:eastAsia="sl-SI"/>
        </w:rPr>
        <w:t xml:space="preserve"> tableči</w:t>
      </w:r>
      <w:r w:rsidR="00050413" w:rsidRPr="003E1719">
        <w:rPr>
          <w:rFonts w:ascii="Times New Roman" w:eastAsia="Times New Roman" w:hAnsi="Times New Roman" w:cs="Times New Roman"/>
          <w:color w:val="000000"/>
          <w:lang w:eastAsia="sl-SI"/>
        </w:rPr>
        <w:t>ų vartojimo nutraukti nereikia</w:t>
      </w:r>
      <w:r w:rsidR="000D7B89" w:rsidRPr="003E1719">
        <w:rPr>
          <w:rFonts w:ascii="Times New Roman" w:eastAsia="Times New Roman" w:hAnsi="Times New Roman" w:cs="Times New Roman"/>
          <w:color w:val="000000"/>
          <w:lang w:eastAsia="sl-SI"/>
        </w:rPr>
        <w:t>.</w:t>
      </w:r>
    </w:p>
    <w:p w14:paraId="5C6D82F6" w14:textId="77777777" w:rsidR="000D7B89" w:rsidRPr="003E1719" w:rsidRDefault="000D7B89" w:rsidP="000D7B89">
      <w:pPr>
        <w:widowControl w:val="0"/>
        <w:spacing w:after="0" w:line="240" w:lineRule="auto"/>
        <w:rPr>
          <w:rFonts w:ascii="Times New Roman" w:eastAsia="Times New Roman" w:hAnsi="Times New Roman" w:cs="Times New Roman"/>
          <w:color w:val="000000"/>
          <w:lang w:eastAsia="sl-SI"/>
        </w:rPr>
      </w:pPr>
    </w:p>
    <w:p w14:paraId="70460F40" w14:textId="77777777" w:rsidR="000D7B89" w:rsidRPr="003E1719" w:rsidRDefault="000D7B89" w:rsidP="000D7B89">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Reti šalutinio poveikio reiškiniai (gali pasireikšti rečiau kaip 1 iš 1 000 asmenų):</w:t>
      </w:r>
    </w:p>
    <w:p w14:paraId="4AC3FC11" w14:textId="77777777" w:rsidR="000D7B89" w:rsidRPr="003E1719" w:rsidRDefault="00050413" w:rsidP="000D7B89">
      <w:pPr>
        <w:widowControl w:val="0"/>
        <w:numPr>
          <w:ilvl w:val="0"/>
          <w:numId w:val="11"/>
        </w:numPr>
        <w:shd w:val="clear" w:color="auto" w:fill="FFFFFF"/>
        <w:tabs>
          <w:tab w:val="num" w:pos="567"/>
        </w:tabs>
        <w:spacing w:after="0" w:line="240" w:lineRule="auto"/>
        <w:ind w:left="567" w:hanging="567"/>
        <w:outlineLvl w:val="0"/>
        <w:rPr>
          <w:rFonts w:ascii="Times New Roman" w:eastAsia="Times New Roman" w:hAnsi="Times New Roman" w:cs="Times New Roman"/>
          <w:bCs/>
          <w:color w:val="000000"/>
        </w:rPr>
      </w:pPr>
      <w:r w:rsidRPr="003E1719">
        <w:rPr>
          <w:rFonts w:ascii="Times New Roman" w:eastAsia="Times New Roman" w:hAnsi="Times New Roman" w:cs="Times New Roman"/>
          <w:color w:val="000000"/>
          <w:lang w:eastAsia="sl-SI"/>
        </w:rPr>
        <w:t>kasos uždegimas, sukeliantis stiprų pilvo skausmą, kuris plinta į nugarą,</w:t>
      </w:r>
    </w:p>
    <w:p w14:paraId="5BA9EEB7" w14:textId="77777777" w:rsidR="000D7B89" w:rsidRPr="003E1719" w:rsidRDefault="00050413" w:rsidP="000D7B89">
      <w:pPr>
        <w:widowControl w:val="0"/>
        <w:numPr>
          <w:ilvl w:val="0"/>
          <w:numId w:val="11"/>
        </w:numPr>
        <w:shd w:val="clear" w:color="auto" w:fill="FFFFFF"/>
        <w:tabs>
          <w:tab w:val="num" w:pos="567"/>
        </w:tabs>
        <w:spacing w:after="0" w:line="240" w:lineRule="auto"/>
        <w:ind w:left="567" w:hanging="567"/>
        <w:outlineLvl w:val="0"/>
        <w:rPr>
          <w:rFonts w:ascii="Times New Roman" w:eastAsia="Times New Roman" w:hAnsi="Times New Roman" w:cs="Times New Roman"/>
          <w:bCs/>
          <w:color w:val="000000"/>
        </w:rPr>
      </w:pPr>
      <w:r w:rsidRPr="003E1719">
        <w:rPr>
          <w:rFonts w:ascii="Times New Roman" w:eastAsia="Times New Roman" w:hAnsi="Times New Roman" w:cs="Times New Roman"/>
          <w:lang w:eastAsia="sl-SI"/>
        </w:rPr>
        <w:t>k</w:t>
      </w:r>
      <w:r w:rsidR="000D7B89" w:rsidRPr="003E1719">
        <w:rPr>
          <w:rFonts w:ascii="Times New Roman" w:eastAsia="Times New Roman" w:hAnsi="Times New Roman" w:cs="Times New Roman"/>
          <w:lang w:eastAsia="sl-SI"/>
        </w:rPr>
        <w:t>raujo ląstelių kiekio sumažėjimas, galintis sukelti kraujavimą ar kraujosruvų atsiradimą (trombocitopenija).</w:t>
      </w:r>
    </w:p>
    <w:p w14:paraId="2137DAD1" w14:textId="77777777" w:rsidR="000D7B89" w:rsidRPr="003E1719" w:rsidRDefault="000D7B89" w:rsidP="000D7B89">
      <w:pPr>
        <w:widowControl w:val="0"/>
        <w:shd w:val="clear" w:color="auto" w:fill="FFFFFF"/>
        <w:spacing w:after="0" w:line="240" w:lineRule="auto"/>
        <w:outlineLvl w:val="2"/>
        <w:rPr>
          <w:rFonts w:ascii="Times New Roman" w:eastAsia="Times New Roman" w:hAnsi="Times New Roman" w:cs="Times New Roman"/>
          <w:b/>
          <w:color w:val="000000"/>
          <w:lang w:eastAsia="sl-SI"/>
        </w:rPr>
      </w:pPr>
    </w:p>
    <w:p w14:paraId="76D252D2" w14:textId="77777777" w:rsidR="000D7B89" w:rsidRPr="003E1719" w:rsidRDefault="000D7B89" w:rsidP="000D7B89">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Labai reti šalutinio poveikio reiškiniai (gali pasireikšti rečiau kaip 1 iš 10 000 asmenų):</w:t>
      </w:r>
    </w:p>
    <w:p w14:paraId="7DC04CC1" w14:textId="77777777" w:rsidR="000D7B89" w:rsidRPr="003E1719" w:rsidRDefault="00050413" w:rsidP="000D7B89">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g</w:t>
      </w:r>
      <w:r w:rsidR="000D7B89" w:rsidRPr="003E1719">
        <w:rPr>
          <w:rFonts w:ascii="Times New Roman" w:eastAsia="Times New Roman" w:hAnsi="Times New Roman" w:cs="Times New Roman"/>
          <w:bCs/>
          <w:color w:val="000000"/>
          <w:lang w:eastAsia="sl-SI"/>
        </w:rPr>
        <w:t>elta (odos ir akių pageltimas)</w:t>
      </w:r>
      <w:r w:rsidRPr="003E1719">
        <w:rPr>
          <w:rFonts w:ascii="Times New Roman" w:eastAsia="Times New Roman" w:hAnsi="Times New Roman" w:cs="Times New Roman"/>
          <w:bCs/>
          <w:color w:val="000000"/>
          <w:lang w:eastAsia="sl-SI"/>
        </w:rPr>
        <w:t>,</w:t>
      </w:r>
    </w:p>
    <w:p w14:paraId="554D7BBA" w14:textId="77777777" w:rsidR="000D7B89" w:rsidRPr="003E1719" w:rsidRDefault="00050413" w:rsidP="000D7B89">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h</w:t>
      </w:r>
      <w:r w:rsidR="000D7B89" w:rsidRPr="003E1719">
        <w:rPr>
          <w:rFonts w:ascii="Times New Roman" w:eastAsia="Times New Roman" w:hAnsi="Times New Roman" w:cs="Times New Roman"/>
          <w:bCs/>
          <w:color w:val="000000"/>
          <w:lang w:eastAsia="sl-SI"/>
        </w:rPr>
        <w:t>epatitas (kepenų uždegimas)</w:t>
      </w:r>
      <w:r w:rsidRPr="003E1719">
        <w:rPr>
          <w:rFonts w:ascii="Times New Roman" w:eastAsia="Times New Roman" w:hAnsi="Times New Roman" w:cs="Times New Roman"/>
          <w:bCs/>
          <w:color w:val="000000"/>
          <w:lang w:eastAsia="sl-SI"/>
        </w:rPr>
        <w:t>,</w:t>
      </w:r>
    </w:p>
    <w:p w14:paraId="189072E7" w14:textId="77777777" w:rsidR="000D7B89" w:rsidRPr="003E1719" w:rsidRDefault="00050413" w:rsidP="000D7B89">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k</w:t>
      </w:r>
      <w:r w:rsidR="000D7B89" w:rsidRPr="003E1719">
        <w:rPr>
          <w:rFonts w:ascii="Times New Roman" w:eastAsia="Times New Roman" w:hAnsi="Times New Roman" w:cs="Times New Roman"/>
          <w:bCs/>
          <w:color w:val="000000"/>
          <w:lang w:eastAsia="sl-SI"/>
        </w:rPr>
        <w:t>raujo pėdsakai šlapime</w:t>
      </w:r>
      <w:r w:rsidRPr="003E1719">
        <w:rPr>
          <w:rFonts w:ascii="Times New Roman" w:eastAsia="Times New Roman" w:hAnsi="Times New Roman" w:cs="Times New Roman"/>
          <w:bCs/>
          <w:color w:val="000000"/>
          <w:lang w:eastAsia="sl-SI"/>
        </w:rPr>
        <w:t>,</w:t>
      </w:r>
    </w:p>
    <w:p w14:paraId="7894C3B5" w14:textId="77777777" w:rsidR="000D7B89" w:rsidRPr="003E1719" w:rsidRDefault="00050413" w:rsidP="000D7B89">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k</w:t>
      </w:r>
      <w:r w:rsidR="000D7B89" w:rsidRPr="003E1719">
        <w:rPr>
          <w:rFonts w:ascii="Times New Roman" w:eastAsia="Times New Roman" w:hAnsi="Times New Roman" w:cs="Times New Roman"/>
          <w:bCs/>
          <w:color w:val="000000"/>
          <w:lang w:eastAsia="sl-SI"/>
        </w:rPr>
        <w:t>ojų ir rankų nervų pažeidimas (pvz., pasireiškiantis tirpimu)</w:t>
      </w:r>
      <w:r w:rsidRPr="003E1719">
        <w:rPr>
          <w:rFonts w:ascii="Times New Roman" w:eastAsia="Times New Roman" w:hAnsi="Times New Roman" w:cs="Times New Roman"/>
          <w:bCs/>
          <w:color w:val="000000"/>
          <w:lang w:eastAsia="sl-SI"/>
        </w:rPr>
        <w:t>,</w:t>
      </w:r>
    </w:p>
    <w:p w14:paraId="7E24F501" w14:textId="77777777" w:rsidR="000D7B89" w:rsidRPr="003E1719" w:rsidRDefault="00050413" w:rsidP="000D7B89">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a</w:t>
      </w:r>
      <w:r w:rsidR="000D7B89" w:rsidRPr="003E1719">
        <w:rPr>
          <w:rFonts w:ascii="Times New Roman" w:eastAsia="Times New Roman" w:hAnsi="Times New Roman" w:cs="Times New Roman"/>
          <w:bCs/>
          <w:color w:val="000000"/>
          <w:lang w:eastAsia="sl-SI"/>
        </w:rPr>
        <w:t>tminties netekimas</w:t>
      </w:r>
      <w:r w:rsidRPr="003E1719">
        <w:rPr>
          <w:rFonts w:ascii="Times New Roman" w:eastAsia="Times New Roman" w:hAnsi="Times New Roman" w:cs="Times New Roman"/>
          <w:bCs/>
          <w:color w:val="000000"/>
          <w:lang w:eastAsia="sl-SI"/>
        </w:rPr>
        <w:t>,</w:t>
      </w:r>
    </w:p>
    <w:p w14:paraId="6AD82A1C" w14:textId="77777777" w:rsidR="000D7B89" w:rsidRPr="003E1719" w:rsidRDefault="00050413" w:rsidP="000D7B89">
      <w:pPr>
        <w:widowControl w:val="0"/>
        <w:numPr>
          <w:ilvl w:val="0"/>
          <w:numId w:val="10"/>
        </w:numPr>
        <w:tabs>
          <w:tab w:val="num" w:pos="567"/>
        </w:tabs>
        <w:autoSpaceDE w:val="0"/>
        <w:autoSpaceDN w:val="0"/>
        <w:adjustRightInd w:val="0"/>
        <w:spacing w:after="0" w:line="240" w:lineRule="auto"/>
        <w:ind w:left="567" w:hanging="567"/>
        <w:rPr>
          <w:rFonts w:ascii="Times New Roman" w:eastAsia="Times New Roman" w:hAnsi="Times New Roman" w:cs="Times New Roman"/>
          <w:bCs/>
          <w:color w:val="000000"/>
          <w:lang w:eastAsia="sl-SI"/>
        </w:rPr>
      </w:pPr>
      <w:r w:rsidRPr="003E1719">
        <w:rPr>
          <w:rFonts w:ascii="Times New Roman" w:eastAsia="Times New Roman" w:hAnsi="Times New Roman" w:cs="Times New Roman"/>
          <w:bCs/>
          <w:color w:val="000000"/>
          <w:lang w:eastAsia="sl-SI"/>
        </w:rPr>
        <w:t>k</w:t>
      </w:r>
      <w:r w:rsidR="000D7B89" w:rsidRPr="003E1719">
        <w:rPr>
          <w:rFonts w:ascii="Times New Roman" w:eastAsia="Times New Roman" w:hAnsi="Times New Roman" w:cs="Times New Roman"/>
          <w:bCs/>
          <w:color w:val="000000"/>
          <w:lang w:eastAsia="sl-SI"/>
        </w:rPr>
        <w:t>rūtų padidėjimas vyrams (ginekomastija)</w:t>
      </w:r>
      <w:r w:rsidRPr="003E1719">
        <w:rPr>
          <w:rFonts w:ascii="Times New Roman" w:eastAsia="Times New Roman" w:hAnsi="Times New Roman" w:cs="Times New Roman"/>
          <w:bCs/>
          <w:color w:val="000000"/>
          <w:lang w:eastAsia="sl-SI"/>
        </w:rPr>
        <w:t>.</w:t>
      </w:r>
    </w:p>
    <w:p w14:paraId="01D47308" w14:textId="77777777" w:rsidR="000D7B89" w:rsidRPr="003E1719" w:rsidRDefault="000D7B89" w:rsidP="000D7B89">
      <w:pPr>
        <w:widowControl w:val="0"/>
        <w:spacing w:after="0" w:line="240" w:lineRule="auto"/>
        <w:outlineLvl w:val="0"/>
        <w:rPr>
          <w:rFonts w:ascii="Times New Roman" w:eastAsia="Times New Roman" w:hAnsi="Times New Roman" w:cs="Times New Roman"/>
          <w:b/>
          <w:bCs/>
          <w:color w:val="000000"/>
          <w:lang w:eastAsia="sl-SI"/>
        </w:rPr>
      </w:pPr>
    </w:p>
    <w:p w14:paraId="4E4D9AF3" w14:textId="77777777" w:rsidR="000D7B89" w:rsidRPr="003E1719" w:rsidRDefault="000D7B89" w:rsidP="000D7B89">
      <w:pPr>
        <w:widowControl w:val="0"/>
        <w:spacing w:after="0" w:line="240" w:lineRule="auto"/>
        <w:outlineLvl w:val="0"/>
        <w:rPr>
          <w:rFonts w:ascii="Times New Roman" w:eastAsia="Times New Roman" w:hAnsi="Times New Roman" w:cs="Times New Roman"/>
          <w:b/>
          <w:bCs/>
          <w:color w:val="000000"/>
          <w:lang w:eastAsia="sl-SI"/>
        </w:rPr>
      </w:pPr>
      <w:r w:rsidRPr="003E1719">
        <w:rPr>
          <w:rFonts w:ascii="Times New Roman" w:eastAsia="Times New Roman" w:hAnsi="Times New Roman" w:cs="Times New Roman"/>
          <w:b/>
          <w:bCs/>
          <w:color w:val="000000"/>
          <w:lang w:eastAsia="sl-SI"/>
        </w:rPr>
        <w:t>Šalutinio poveikio reiškiniai, kurių dažnis nežinomas (negali būti apskaičiuotas pagal turimus duomenis):</w:t>
      </w:r>
    </w:p>
    <w:p w14:paraId="123E3A18" w14:textId="77777777" w:rsidR="00050413" w:rsidRPr="003E1719" w:rsidRDefault="00050413" w:rsidP="00050413">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kvėpavimo sutrikimas (dusulys),</w:t>
      </w:r>
    </w:p>
    <w:p w14:paraId="78475EB7" w14:textId="77777777" w:rsidR="00050413" w:rsidRPr="003E1719" w:rsidRDefault="00050413" w:rsidP="00050413">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patinimas (edema),</w:t>
      </w:r>
    </w:p>
    <w:p w14:paraId="650994EE" w14:textId="77777777" w:rsidR="000D7B89" w:rsidRPr="003E1719" w:rsidRDefault="00050413"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m</w:t>
      </w:r>
      <w:r w:rsidR="000D7B89" w:rsidRPr="003E1719">
        <w:rPr>
          <w:rFonts w:ascii="Times New Roman" w:eastAsia="Times New Roman" w:hAnsi="Times New Roman" w:cs="Times New Roman"/>
          <w:snapToGrid w:val="0"/>
          <w:lang w:eastAsia="sl-SI"/>
        </w:rPr>
        <w:t>iego sutrikimai, įskaitant nemigą ir košmariškus sapnus</w:t>
      </w:r>
      <w:r w:rsidRPr="003E1719">
        <w:rPr>
          <w:rFonts w:ascii="Times New Roman" w:eastAsia="Times New Roman" w:hAnsi="Times New Roman" w:cs="Times New Roman"/>
          <w:snapToGrid w:val="0"/>
          <w:lang w:eastAsia="sl-SI"/>
        </w:rPr>
        <w:t>,</w:t>
      </w:r>
    </w:p>
    <w:p w14:paraId="3BA35171" w14:textId="77777777" w:rsidR="000D7B89" w:rsidRPr="003E1719" w:rsidRDefault="00050413"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l</w:t>
      </w:r>
      <w:r w:rsidR="000D7B89" w:rsidRPr="003E1719">
        <w:rPr>
          <w:rFonts w:ascii="Times New Roman" w:eastAsia="Times New Roman" w:hAnsi="Times New Roman" w:cs="Times New Roman"/>
          <w:snapToGrid w:val="0"/>
          <w:lang w:eastAsia="sl-SI"/>
        </w:rPr>
        <w:t>ytinės veiklos sutrikimas</w:t>
      </w:r>
      <w:r w:rsidRPr="003E1719">
        <w:rPr>
          <w:rFonts w:ascii="Times New Roman" w:eastAsia="Times New Roman" w:hAnsi="Times New Roman" w:cs="Times New Roman"/>
          <w:snapToGrid w:val="0"/>
          <w:lang w:eastAsia="sl-SI"/>
        </w:rPr>
        <w:t>,</w:t>
      </w:r>
    </w:p>
    <w:p w14:paraId="037833DF" w14:textId="77777777" w:rsidR="000D7B89" w:rsidRPr="003E1719" w:rsidRDefault="00050413"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d</w:t>
      </w:r>
      <w:r w:rsidR="000D7B89" w:rsidRPr="003E1719">
        <w:rPr>
          <w:rFonts w:ascii="Times New Roman" w:eastAsia="Times New Roman" w:hAnsi="Times New Roman" w:cs="Times New Roman"/>
          <w:snapToGrid w:val="0"/>
          <w:lang w:eastAsia="sl-SI"/>
        </w:rPr>
        <w:t>epresija</w:t>
      </w:r>
      <w:r w:rsidRPr="003E1719">
        <w:rPr>
          <w:rFonts w:ascii="Times New Roman" w:eastAsia="Times New Roman" w:hAnsi="Times New Roman" w:cs="Times New Roman"/>
          <w:snapToGrid w:val="0"/>
          <w:lang w:eastAsia="sl-SI"/>
        </w:rPr>
        <w:t>,</w:t>
      </w:r>
    </w:p>
    <w:p w14:paraId="356AA0FE" w14:textId="77777777" w:rsidR="00050413" w:rsidRPr="003E1719" w:rsidRDefault="00050413"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kvėpavimo sutrikimas įskaitant nuolatinį kosulį ir (arba) dusulį ir karščiavimą,</w:t>
      </w:r>
    </w:p>
    <w:p w14:paraId="56AF05D7" w14:textId="399B11F0" w:rsidR="000D7B89" w:rsidRPr="003E1719" w:rsidRDefault="00050413"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sausgyslių</w:t>
      </w:r>
      <w:r w:rsidR="000D7B89" w:rsidRPr="003E1719">
        <w:rPr>
          <w:rFonts w:ascii="Times New Roman" w:eastAsia="Times New Roman" w:hAnsi="Times New Roman" w:cs="Times New Roman"/>
          <w:snapToGrid w:val="0"/>
          <w:lang w:eastAsia="sl-SI"/>
        </w:rPr>
        <w:t xml:space="preserve"> pažeidimas</w:t>
      </w:r>
      <w:r w:rsidR="00660588">
        <w:rPr>
          <w:rFonts w:ascii="Times New Roman" w:eastAsia="Times New Roman" w:hAnsi="Times New Roman" w:cs="Times New Roman"/>
          <w:snapToGrid w:val="0"/>
          <w:lang w:eastAsia="sl-SI"/>
        </w:rPr>
        <w:t>,</w:t>
      </w:r>
    </w:p>
    <w:p w14:paraId="137FF395" w14:textId="77777777" w:rsidR="000D7B89" w:rsidRPr="003E1719" w:rsidRDefault="00050413"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pastovus</w:t>
      </w:r>
      <w:r w:rsidR="000D7B89" w:rsidRPr="003E1719">
        <w:rPr>
          <w:rFonts w:ascii="Times New Roman" w:eastAsia="Times New Roman" w:hAnsi="Times New Roman" w:cs="Times New Roman"/>
          <w:snapToGrid w:val="0"/>
          <w:lang w:eastAsia="sl-SI"/>
        </w:rPr>
        <w:t xml:space="preserve"> raumenų silpnumas</w:t>
      </w:r>
      <w:r w:rsidRPr="003E1719">
        <w:rPr>
          <w:rFonts w:ascii="Times New Roman" w:eastAsia="Times New Roman" w:hAnsi="Times New Roman" w:cs="Times New Roman"/>
          <w:snapToGrid w:val="0"/>
          <w:lang w:eastAsia="sl-SI"/>
        </w:rPr>
        <w:t>,</w:t>
      </w:r>
    </w:p>
    <w:p w14:paraId="2EB052E0" w14:textId="77777777" w:rsidR="000D7B89" w:rsidRPr="003E1719" w:rsidRDefault="00050413"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i</w:t>
      </w:r>
      <w:r w:rsidR="000D7B89" w:rsidRPr="003E1719">
        <w:rPr>
          <w:rFonts w:ascii="Times New Roman" w:eastAsia="Times New Roman" w:hAnsi="Times New Roman" w:cs="Times New Roman"/>
          <w:snapToGrid w:val="0"/>
          <w:lang w:eastAsia="sl-SI"/>
        </w:rPr>
        <w:t>škilas raudonas išbėrimas, kartais su taikinio formos pažeidimai</w:t>
      </w:r>
      <w:r w:rsidRPr="003E1719">
        <w:rPr>
          <w:rFonts w:ascii="Times New Roman" w:eastAsia="Times New Roman" w:hAnsi="Times New Roman" w:cs="Times New Roman"/>
          <w:snapToGrid w:val="0"/>
          <w:lang w:eastAsia="sl-SI"/>
        </w:rPr>
        <w:t>s (daugiaformė raudonė</w:t>
      </w:r>
      <w:r w:rsidR="000D7B89" w:rsidRPr="003E1719">
        <w:rPr>
          <w:rFonts w:ascii="Times New Roman" w:eastAsia="Times New Roman" w:hAnsi="Times New Roman" w:cs="Times New Roman"/>
          <w:snapToGrid w:val="0"/>
          <w:lang w:eastAsia="sl-SI"/>
        </w:rPr>
        <w:t>)</w:t>
      </w:r>
      <w:r w:rsidRPr="003E1719">
        <w:rPr>
          <w:rFonts w:ascii="Times New Roman" w:eastAsia="Times New Roman" w:hAnsi="Times New Roman" w:cs="Times New Roman"/>
          <w:snapToGrid w:val="0"/>
          <w:lang w:eastAsia="sl-SI"/>
        </w:rPr>
        <w:t>,</w:t>
      </w:r>
    </w:p>
    <w:p w14:paraId="502DCC03" w14:textId="77777777" w:rsidR="00660588" w:rsidRDefault="00050413"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3E1719">
        <w:rPr>
          <w:rFonts w:ascii="Times New Roman" w:eastAsia="Times New Roman" w:hAnsi="Times New Roman" w:cs="Times New Roman"/>
          <w:snapToGrid w:val="0"/>
          <w:lang w:eastAsia="sl-SI"/>
        </w:rPr>
        <w:t>t</w:t>
      </w:r>
      <w:r w:rsidR="000D7B89" w:rsidRPr="003E1719">
        <w:rPr>
          <w:rFonts w:ascii="Times New Roman" w:eastAsia="Times New Roman" w:hAnsi="Times New Roman" w:cs="Times New Roman"/>
          <w:snapToGrid w:val="0"/>
          <w:lang w:eastAsia="sl-SI"/>
        </w:rPr>
        <w:t>ulžies akmenys ar tulžies pūslės uždegimas (tai gali sukelti pilvo skausmą, pykinimą ar vėmimą)</w:t>
      </w:r>
      <w:r w:rsidR="00660588">
        <w:rPr>
          <w:rFonts w:ascii="Times New Roman" w:eastAsia="Times New Roman" w:hAnsi="Times New Roman" w:cs="Times New Roman"/>
          <w:snapToGrid w:val="0"/>
          <w:lang w:eastAsia="sl-SI"/>
        </w:rPr>
        <w:t>,</w:t>
      </w:r>
    </w:p>
    <w:p w14:paraId="3D683A9C" w14:textId="4940DF70" w:rsidR="000D7B89" w:rsidRPr="003E1719" w:rsidRDefault="000456E9" w:rsidP="000D7B89">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lang w:eastAsia="sl-SI"/>
        </w:rPr>
      </w:pPr>
      <w:r w:rsidRPr="000456E9">
        <w:rPr>
          <w:rFonts w:ascii="Times New Roman" w:hAnsi="Times New Roman" w:cs="Times New Roman"/>
        </w:rPr>
        <w:t>sunkioji miastenija (liga, sukelianti bendrą raumenų, įskaitant kai kuriais atvejais, kvėpuojant naudojamus raumenis, silpnumą); akių miastenija (akių raumenų silpnumą sukelianti liga). Pasitarkite su gydytoju, jei jaučiate rankų ar kojų silpnumą, kuris pasunkėja aktyviau pajudėjus, jei dvejinasi akyse arba užkrenta akių vokai, sunku ryti arba pasireiškia dusulys.</w:t>
      </w:r>
    </w:p>
    <w:p w14:paraId="629D475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46C6B82F"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Pranešimas apie šalutinį poveikį</w:t>
      </w:r>
    </w:p>
    <w:p w14:paraId="5094CC46" w14:textId="77777777" w:rsidR="00050413" w:rsidRPr="003E1719" w:rsidRDefault="000D7B89" w:rsidP="00050413">
      <w:pPr>
        <w:tabs>
          <w:tab w:val="left" w:pos="567"/>
        </w:tabs>
        <w:spacing w:line="260" w:lineRule="exact"/>
        <w:ind w:right="-1"/>
        <w:rPr>
          <w:rFonts w:ascii="Times New Roman" w:hAnsi="Times New Roman" w:cs="Times New Roman"/>
        </w:rPr>
      </w:pPr>
      <w:r w:rsidRPr="003E1719">
        <w:rPr>
          <w:rFonts w:ascii="Times New Roman" w:eastAsia="Times New Roman" w:hAnsi="Times New Roman" w:cs="Times New Roman"/>
          <w:lang w:eastAsia="sl-SI"/>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w:t>
      </w:r>
      <w:r w:rsidR="00050413" w:rsidRPr="003E1719">
        <w:rPr>
          <w:rFonts w:ascii="Times New Roman" w:hAnsi="Times New Roman" w:cs="Times New Roman"/>
        </w:rPr>
        <w:t xml:space="preserve">Lietuvos Respublikos sveikatos apsaugos ministerijos Vaistinių preparatų informacinėje sistemoje </w:t>
      </w:r>
      <w:r w:rsidR="00050413" w:rsidRPr="003E1719">
        <w:rPr>
          <w:rFonts w:ascii="Times New Roman" w:hAnsi="Times New Roman" w:cs="Times New Roman"/>
          <w:color w:val="0000FF"/>
          <w:u w:val="single"/>
        </w:rPr>
        <w:t>https://vapris.vvkt.lt/vvkt-web/public/nrv</w:t>
      </w:r>
      <w:r w:rsidR="00050413" w:rsidRPr="003E1719">
        <w:rPr>
          <w:rFonts w:ascii="Times New Roman" w:hAnsi="Times New Roman" w:cs="Times New Roman"/>
        </w:rPr>
        <w:t xml:space="preserve"> arba užpildant Paciento pranešimo apie įtariamą nepageidaujamą reakciją (ĮNR) formą, kuri skelbiama </w:t>
      </w:r>
      <w:r w:rsidR="00050413" w:rsidRPr="003E1719">
        <w:rPr>
          <w:rFonts w:ascii="Times New Roman" w:hAnsi="Times New Roman" w:cs="Times New Roman"/>
          <w:color w:val="0000FF"/>
          <w:u w:val="single"/>
        </w:rPr>
        <w:t>https://www.vvkt.lt/index.php?4004286486</w:t>
      </w:r>
      <w:r w:rsidR="00050413" w:rsidRPr="003E1719">
        <w:rPr>
          <w:rFonts w:ascii="Times New Roman" w:hAnsi="Times New Roman" w:cs="Times New Roman"/>
        </w:rPr>
        <w:t xml:space="preserve">, ir atsiunčiant elektroniniu paštu (adresu </w:t>
      </w:r>
      <w:r w:rsidR="00050413" w:rsidRPr="003E1719">
        <w:rPr>
          <w:rFonts w:ascii="Times New Roman" w:hAnsi="Times New Roman" w:cs="Times New Roman"/>
          <w:color w:val="0000FF"/>
          <w:u w:val="single"/>
        </w:rPr>
        <w:t>NepageidaujamaR@vvkt.lt</w:t>
      </w:r>
      <w:r w:rsidR="00050413" w:rsidRPr="003E1719">
        <w:rPr>
          <w:rFonts w:ascii="Times New Roman" w:hAnsi="Times New Roman" w:cs="Times New Roman"/>
        </w:rPr>
        <w:t>) arba nemokamu telefonu 8 800 73 568. Pranešdami apie šalutinį poveikį galite mums padėti gauti daugiau informacijos apie šio vaisto saugumą.</w:t>
      </w:r>
    </w:p>
    <w:p w14:paraId="776D742A" w14:textId="45828358" w:rsidR="003E1719" w:rsidRDefault="003E1719" w:rsidP="000D7B89">
      <w:pPr>
        <w:widowControl w:val="0"/>
        <w:spacing w:after="0" w:line="240" w:lineRule="auto"/>
        <w:ind w:left="567" w:hanging="567"/>
        <w:rPr>
          <w:rFonts w:ascii="Times New Roman" w:eastAsia="Times New Roman" w:hAnsi="Times New Roman" w:cs="Times New Roman"/>
          <w:b/>
          <w:lang w:eastAsia="sl-SI"/>
        </w:rPr>
      </w:pPr>
    </w:p>
    <w:p w14:paraId="3AF58EAD" w14:textId="77777777" w:rsidR="00FF4691" w:rsidRDefault="00FF4691" w:rsidP="000D7B89">
      <w:pPr>
        <w:widowControl w:val="0"/>
        <w:spacing w:after="0" w:line="240" w:lineRule="auto"/>
        <w:ind w:left="567" w:hanging="567"/>
        <w:rPr>
          <w:rFonts w:ascii="Times New Roman" w:eastAsia="Times New Roman" w:hAnsi="Times New Roman" w:cs="Times New Roman"/>
          <w:b/>
          <w:lang w:eastAsia="sl-SI"/>
        </w:rPr>
      </w:pPr>
    </w:p>
    <w:p w14:paraId="3D0E6E30"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5.</w:t>
      </w:r>
      <w:r w:rsidRPr="003E1719">
        <w:rPr>
          <w:rFonts w:ascii="Times New Roman" w:eastAsia="Times New Roman" w:hAnsi="Times New Roman" w:cs="Times New Roman"/>
          <w:b/>
          <w:lang w:eastAsia="sl-SI"/>
        </w:rPr>
        <w:tab/>
        <w:t xml:space="preserve">Kaip laikyti </w:t>
      </w:r>
      <w:r w:rsidR="00AF3800">
        <w:rPr>
          <w:rFonts w:ascii="Times New Roman" w:eastAsia="Times New Roman" w:hAnsi="Times New Roman" w:cs="Times New Roman"/>
          <w:b/>
          <w:lang w:eastAsia="sl-SI"/>
        </w:rPr>
        <w:t>Rosuvastatin/Ezetimibe Teva</w:t>
      </w:r>
      <w:r w:rsidR="004042B8" w:rsidRPr="003E1719">
        <w:rPr>
          <w:rFonts w:ascii="Times New Roman" w:eastAsia="Times New Roman" w:hAnsi="Times New Roman" w:cs="Times New Roman"/>
          <w:b/>
          <w:lang w:eastAsia="sl-SI"/>
        </w:rPr>
        <w:t xml:space="preserve"> </w:t>
      </w:r>
    </w:p>
    <w:p w14:paraId="6DA5F5E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2D6E62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Šį vaistą laikykite vaikams nepastebimoje ir nepasiekiamoje vietoje.</w:t>
      </w:r>
    </w:p>
    <w:p w14:paraId="5947196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17A5DAE9" w14:textId="77777777" w:rsidR="000D7B89" w:rsidRPr="003E1719" w:rsidRDefault="000D7B89" w:rsidP="000D7B89">
      <w:pPr>
        <w:widowControl w:val="0"/>
        <w:spacing w:after="0" w:line="240" w:lineRule="auto"/>
        <w:jc w:val="both"/>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Ant dėžutės ir lizdinės plokštelės po „EXP“ nurodytam tinkamumo laikui pasibaigus, šio vaisto vartoti negalima. Vaistas tinkamas vartoti iki paskutinės nurodyto mėnesio dienos.</w:t>
      </w:r>
    </w:p>
    <w:p w14:paraId="50CBDE5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81E2E5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Laikyti gamintojo pakuotėje, kad vaistas būtų apsaugotas nuo šviesos ir drėgmės.</w:t>
      </w:r>
    </w:p>
    <w:p w14:paraId="78E56F70"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Šio vaisto laikymui specialių temperatūros sąlygų nereikalaujama.</w:t>
      </w:r>
    </w:p>
    <w:p w14:paraId="14F10ABC"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7E358943"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6DFCDAB"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32E1FC8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22A2887D" w14:textId="77777777" w:rsidR="000D7B89" w:rsidRPr="003E1719" w:rsidRDefault="000D7B89" w:rsidP="000D7B89">
      <w:pPr>
        <w:widowControl w:val="0"/>
        <w:spacing w:after="0" w:line="240" w:lineRule="auto"/>
        <w:ind w:left="567" w:hanging="567"/>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6.</w:t>
      </w:r>
      <w:r w:rsidRPr="003E1719">
        <w:rPr>
          <w:rFonts w:ascii="Times New Roman" w:eastAsia="Times New Roman" w:hAnsi="Times New Roman" w:cs="Times New Roman"/>
          <w:b/>
          <w:lang w:eastAsia="sl-SI"/>
        </w:rPr>
        <w:tab/>
        <w:t>Pakuotės turinys ir kita informacija</w:t>
      </w:r>
    </w:p>
    <w:p w14:paraId="505AE007" w14:textId="77777777" w:rsidR="000D7B89" w:rsidRPr="003E1719" w:rsidRDefault="000D7B89" w:rsidP="000D7B89">
      <w:pPr>
        <w:widowControl w:val="0"/>
        <w:tabs>
          <w:tab w:val="left" w:pos="567"/>
        </w:tabs>
        <w:spacing w:after="0" w:line="240" w:lineRule="auto"/>
        <w:rPr>
          <w:rFonts w:ascii="Times New Roman" w:eastAsia="Times New Roman" w:hAnsi="Times New Roman" w:cs="Times New Roman"/>
          <w:lang w:eastAsia="sl-SI"/>
        </w:rPr>
      </w:pPr>
    </w:p>
    <w:p w14:paraId="4951445C" w14:textId="6143A95E" w:rsidR="000D7B89" w:rsidRPr="003E1719" w:rsidRDefault="00AF3800" w:rsidP="000D7B8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Rosuvastatin/Ezetimibe Teva</w:t>
      </w:r>
      <w:r w:rsidR="000D7B89" w:rsidRPr="003E1719">
        <w:rPr>
          <w:rFonts w:ascii="Times New Roman" w:eastAsia="Times New Roman" w:hAnsi="Times New Roman" w:cs="Times New Roman"/>
          <w:b/>
          <w:lang w:eastAsia="sl-SI"/>
        </w:rPr>
        <w:t xml:space="preserve"> sudėtis</w:t>
      </w:r>
    </w:p>
    <w:p w14:paraId="4DB852C4" w14:textId="77777777" w:rsidR="000D7B89" w:rsidRPr="003E1719" w:rsidRDefault="000D7B89" w:rsidP="000D7B89">
      <w:pPr>
        <w:widowControl w:val="0"/>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sl-SI"/>
        </w:rPr>
      </w:pPr>
      <w:r w:rsidRPr="003E1719">
        <w:rPr>
          <w:rFonts w:ascii="Times New Roman" w:eastAsia="Times New Roman" w:hAnsi="Times New Roman" w:cs="Times New Roman"/>
        </w:rPr>
        <w:t>Veikliosios medžiagos yra rozuvastatinas</w:t>
      </w:r>
      <w:r w:rsidR="00FD3237">
        <w:rPr>
          <w:rFonts w:ascii="Times New Roman" w:eastAsia="Times New Roman" w:hAnsi="Times New Roman" w:cs="Times New Roman"/>
        </w:rPr>
        <w:t xml:space="preserve"> (</w:t>
      </w:r>
      <w:r w:rsidR="00FD3237" w:rsidRPr="003E1719">
        <w:rPr>
          <w:rFonts w:ascii="Times New Roman" w:eastAsia="Times New Roman" w:hAnsi="Times New Roman" w:cs="Times New Roman"/>
        </w:rPr>
        <w:t>rozuvastatino kalcio druskos pavidalu</w:t>
      </w:r>
      <w:r w:rsidR="00FD3237">
        <w:rPr>
          <w:rFonts w:ascii="Times New Roman" w:eastAsia="Times New Roman" w:hAnsi="Times New Roman" w:cs="Times New Roman"/>
        </w:rPr>
        <w:t>)</w:t>
      </w:r>
      <w:r w:rsidRPr="003E1719">
        <w:rPr>
          <w:rFonts w:ascii="Times New Roman" w:eastAsia="Times New Roman" w:hAnsi="Times New Roman" w:cs="Times New Roman"/>
        </w:rPr>
        <w:t xml:space="preserve"> ir ezetimibas.</w:t>
      </w:r>
    </w:p>
    <w:p w14:paraId="334BFEC6" w14:textId="23727388" w:rsidR="000D7B89" w:rsidRPr="003E1719" w:rsidRDefault="00AF3800" w:rsidP="000D7B89">
      <w:pPr>
        <w:widowControl w:val="0"/>
        <w:autoSpaceDE w:val="0"/>
        <w:autoSpaceDN w:val="0"/>
        <w:adjustRightInd w:val="0"/>
        <w:spacing w:after="0" w:line="240" w:lineRule="auto"/>
        <w:ind w:left="567"/>
        <w:rPr>
          <w:rFonts w:ascii="Times New Roman" w:eastAsia="Times New Roman" w:hAnsi="Times New Roman" w:cs="Times New Roman"/>
        </w:rPr>
      </w:pPr>
      <w:r>
        <w:rPr>
          <w:rFonts w:ascii="Times New Roman" w:eastAsia="SimSun" w:hAnsi="Times New Roman" w:cs="Times New Roman"/>
          <w:color w:val="000000"/>
          <w:lang w:eastAsia="zh-CN"/>
        </w:rPr>
        <w:t>Rosuvastatin/Ezetimibe Teva</w:t>
      </w:r>
      <w:r w:rsidR="003E1719">
        <w:rPr>
          <w:rFonts w:ascii="Times New Roman" w:eastAsia="SimSun" w:hAnsi="Times New Roman" w:cs="Times New Roman"/>
          <w:color w:val="000000"/>
        </w:rPr>
        <w:t xml:space="preserve"> </w:t>
      </w:r>
      <w:r w:rsidR="000D7B89" w:rsidRPr="003E1719">
        <w:rPr>
          <w:rFonts w:ascii="Times New Roman" w:eastAsia="Times New Roman" w:hAnsi="Times New Roman" w:cs="Times New Roman"/>
        </w:rPr>
        <w:t xml:space="preserve">10 mg/10 mg: </w:t>
      </w:r>
      <w:r w:rsidR="000D7B89" w:rsidRPr="003E1719">
        <w:rPr>
          <w:rFonts w:ascii="Times New Roman" w:eastAsia="Times New Roman" w:hAnsi="Times New Roman" w:cs="Times New Roman"/>
          <w:lang w:eastAsia="sl-SI"/>
        </w:rPr>
        <w:t xml:space="preserve">kiekvienoje plėvele dengtoje tabletėje yra </w:t>
      </w:r>
      <w:r w:rsidR="000D7B89" w:rsidRPr="003E1719">
        <w:rPr>
          <w:rFonts w:ascii="Times New Roman" w:eastAsia="Times New Roman" w:hAnsi="Times New Roman" w:cs="Times New Roman"/>
        </w:rPr>
        <w:t xml:space="preserve">rozuvastatino </w:t>
      </w:r>
      <w:r w:rsidR="003E1719">
        <w:rPr>
          <w:rFonts w:ascii="Times New Roman" w:eastAsia="Times New Roman" w:hAnsi="Times New Roman" w:cs="Times New Roman"/>
        </w:rPr>
        <w:t>kalcio</w:t>
      </w:r>
      <w:r w:rsidR="00FD3237">
        <w:rPr>
          <w:rFonts w:ascii="Times New Roman" w:eastAsia="Times New Roman" w:hAnsi="Times New Roman" w:cs="Times New Roman"/>
        </w:rPr>
        <w:t xml:space="preserve"> druskos</w:t>
      </w:r>
      <w:r w:rsidR="003E1719">
        <w:rPr>
          <w:rFonts w:ascii="Times New Roman" w:eastAsia="Times New Roman" w:hAnsi="Times New Roman" w:cs="Times New Roman"/>
        </w:rPr>
        <w:t>, atitinkančio</w:t>
      </w:r>
      <w:r w:rsidR="00FD3237">
        <w:rPr>
          <w:rFonts w:ascii="Times New Roman" w:eastAsia="Times New Roman" w:hAnsi="Times New Roman" w:cs="Times New Roman"/>
        </w:rPr>
        <w:t>s</w:t>
      </w:r>
      <w:r w:rsidR="003E1719">
        <w:rPr>
          <w:rFonts w:ascii="Times New Roman" w:eastAsia="Times New Roman" w:hAnsi="Times New Roman" w:cs="Times New Roman"/>
        </w:rPr>
        <w:t xml:space="preserve"> 10 mg </w:t>
      </w:r>
      <w:r w:rsidR="000D7B89" w:rsidRPr="003E1719">
        <w:rPr>
          <w:rFonts w:ascii="Times New Roman" w:eastAsia="Times New Roman" w:hAnsi="Times New Roman" w:cs="Times New Roman"/>
        </w:rPr>
        <w:t>rozuvastatino ir 10 mg ezetimibo.</w:t>
      </w:r>
    </w:p>
    <w:p w14:paraId="29497BBF" w14:textId="6E0F0378" w:rsidR="00B47A4C" w:rsidRPr="003E1719" w:rsidRDefault="00AF3800" w:rsidP="00FF4691">
      <w:pPr>
        <w:widowControl w:val="0"/>
        <w:autoSpaceDE w:val="0"/>
        <w:autoSpaceDN w:val="0"/>
        <w:adjustRightInd w:val="0"/>
        <w:spacing w:after="0" w:line="240" w:lineRule="auto"/>
        <w:ind w:left="567"/>
        <w:rPr>
          <w:rFonts w:ascii="Times New Roman" w:eastAsia="Times New Roman" w:hAnsi="Times New Roman" w:cs="Times New Roman"/>
        </w:rPr>
      </w:pPr>
      <w:r w:rsidRPr="00FF4691">
        <w:rPr>
          <w:rFonts w:ascii="Times New Roman" w:eastAsia="SimSun" w:hAnsi="Times New Roman" w:cs="Times New Roman"/>
          <w:color w:val="000000"/>
          <w:highlight w:val="lightGray"/>
          <w:lang w:eastAsia="zh-CN"/>
        </w:rPr>
        <w:t>Rosuvastatin/Ezetimibe Teva</w:t>
      </w:r>
      <w:r w:rsidR="003E1719" w:rsidRPr="00FF4691">
        <w:rPr>
          <w:rFonts w:ascii="Times New Roman" w:eastAsia="SimSun" w:hAnsi="Times New Roman" w:cs="Times New Roman"/>
          <w:color w:val="000000"/>
          <w:highlight w:val="lightGray"/>
        </w:rPr>
        <w:t xml:space="preserve"> </w:t>
      </w:r>
      <w:r w:rsidR="000D7B89" w:rsidRPr="00FF4691">
        <w:rPr>
          <w:rFonts w:ascii="Times New Roman" w:eastAsia="Times New Roman" w:hAnsi="Times New Roman" w:cs="Times New Roman"/>
          <w:highlight w:val="lightGray"/>
        </w:rPr>
        <w:t xml:space="preserve">20 mg/10 mg: </w:t>
      </w:r>
      <w:r w:rsidR="000D7B89" w:rsidRPr="00FF4691">
        <w:rPr>
          <w:rFonts w:ascii="Times New Roman" w:eastAsia="Times New Roman" w:hAnsi="Times New Roman" w:cs="Times New Roman"/>
          <w:highlight w:val="lightGray"/>
          <w:lang w:eastAsia="sl-SI"/>
        </w:rPr>
        <w:t xml:space="preserve">kiekvienoje plėvele dengtoje tabletėje yra </w:t>
      </w:r>
      <w:r w:rsidR="000D7B89" w:rsidRPr="00FF4691">
        <w:rPr>
          <w:rFonts w:ascii="Times New Roman" w:eastAsia="Times New Roman" w:hAnsi="Times New Roman" w:cs="Times New Roman"/>
          <w:highlight w:val="lightGray"/>
        </w:rPr>
        <w:t xml:space="preserve">rozuvastatino </w:t>
      </w:r>
      <w:r w:rsidR="003E1719" w:rsidRPr="00FF4691">
        <w:rPr>
          <w:rFonts w:ascii="Times New Roman" w:eastAsia="Times New Roman" w:hAnsi="Times New Roman" w:cs="Times New Roman"/>
          <w:highlight w:val="lightGray"/>
        </w:rPr>
        <w:t>kalcio</w:t>
      </w:r>
      <w:r w:rsidR="009C3414">
        <w:rPr>
          <w:rFonts w:ascii="Times New Roman" w:eastAsia="Times New Roman" w:hAnsi="Times New Roman" w:cs="Times New Roman"/>
          <w:highlight w:val="lightGray"/>
        </w:rPr>
        <w:t xml:space="preserve"> druskos</w:t>
      </w:r>
      <w:r w:rsidR="003E1719" w:rsidRPr="00FF4691">
        <w:rPr>
          <w:rFonts w:ascii="Times New Roman" w:eastAsia="Times New Roman" w:hAnsi="Times New Roman" w:cs="Times New Roman"/>
          <w:highlight w:val="lightGray"/>
        </w:rPr>
        <w:t>, atitinkančio</w:t>
      </w:r>
      <w:r w:rsidR="00B10141">
        <w:rPr>
          <w:rFonts w:ascii="Times New Roman" w:eastAsia="Times New Roman" w:hAnsi="Times New Roman" w:cs="Times New Roman"/>
          <w:highlight w:val="lightGray"/>
        </w:rPr>
        <w:t>s</w:t>
      </w:r>
      <w:r w:rsidR="003E1719" w:rsidRPr="00FF4691">
        <w:rPr>
          <w:rFonts w:ascii="Times New Roman" w:eastAsia="Times New Roman" w:hAnsi="Times New Roman" w:cs="Times New Roman"/>
          <w:highlight w:val="lightGray"/>
        </w:rPr>
        <w:t xml:space="preserve"> 20 mg rozuvastatino </w:t>
      </w:r>
      <w:r w:rsidR="000D7B89" w:rsidRPr="00FF4691">
        <w:rPr>
          <w:rFonts w:ascii="Times New Roman" w:eastAsia="Times New Roman" w:hAnsi="Times New Roman" w:cs="Times New Roman"/>
          <w:highlight w:val="lightGray"/>
        </w:rPr>
        <w:t>ir 10 mg ezetimibo.</w:t>
      </w:r>
    </w:p>
    <w:p w14:paraId="0CFCFD65" w14:textId="77777777" w:rsidR="00375D9D" w:rsidRDefault="0016005B" w:rsidP="00EC0E8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0D7B89" w:rsidRPr="004B1D9C">
        <w:rPr>
          <w:rFonts w:ascii="Times New Roman" w:eastAsia="Times New Roman" w:hAnsi="Times New Roman" w:cs="Times New Roman"/>
        </w:rPr>
        <w:t>Pagalbinės</w:t>
      </w:r>
      <w:r w:rsidR="00375D9D">
        <w:rPr>
          <w:rFonts w:ascii="Times New Roman" w:eastAsia="Times New Roman" w:hAnsi="Times New Roman" w:cs="Times New Roman"/>
        </w:rPr>
        <w:t xml:space="preserve"> medžiagos yra:</w:t>
      </w:r>
    </w:p>
    <w:p w14:paraId="63D8F911" w14:textId="484209CA" w:rsidR="00375D9D" w:rsidRDefault="00375D9D" w:rsidP="00EC0E8B">
      <w:pPr>
        <w:widowControl w:val="0"/>
        <w:spacing w:after="0" w:line="240" w:lineRule="auto"/>
        <w:rPr>
          <w:rFonts w:ascii="Times New Roman" w:eastAsia="Times New Roman" w:hAnsi="Times New Roman" w:cs="Times New Roman"/>
          <w:i/>
        </w:rPr>
      </w:pPr>
      <w:r w:rsidRPr="00FF4691">
        <w:rPr>
          <w:rFonts w:ascii="Times New Roman" w:eastAsia="Times New Roman" w:hAnsi="Times New Roman" w:cs="Times New Roman"/>
          <w:i/>
        </w:rPr>
        <w:t>T</w:t>
      </w:r>
      <w:r w:rsidR="000D7B89" w:rsidRPr="00FF4691">
        <w:rPr>
          <w:rFonts w:ascii="Times New Roman" w:eastAsia="Times New Roman" w:hAnsi="Times New Roman" w:cs="Times New Roman"/>
          <w:i/>
        </w:rPr>
        <w:t>abletės branduol</w:t>
      </w:r>
      <w:r w:rsidR="00B10141">
        <w:rPr>
          <w:rFonts w:ascii="Times New Roman" w:eastAsia="Times New Roman" w:hAnsi="Times New Roman" w:cs="Times New Roman"/>
          <w:i/>
        </w:rPr>
        <w:t>ys:</w:t>
      </w:r>
    </w:p>
    <w:p w14:paraId="031D0743" w14:textId="480284E7" w:rsidR="004B1D9C" w:rsidRDefault="00375D9D" w:rsidP="00EC0E8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w:t>
      </w:r>
      <w:r w:rsidR="008F01E3" w:rsidRPr="004B1D9C">
        <w:rPr>
          <w:rFonts w:ascii="Times New Roman" w:eastAsia="Times New Roman" w:hAnsi="Times New Roman" w:cs="Times New Roman"/>
        </w:rPr>
        <w:t>aktozė monohidratas</w:t>
      </w:r>
      <w:r w:rsidR="00F845C5">
        <w:rPr>
          <w:rFonts w:ascii="Times New Roman" w:eastAsia="Times New Roman" w:hAnsi="Times New Roman" w:cs="Times New Roman"/>
        </w:rPr>
        <w:t xml:space="preserve"> (žr. skyrių 2 </w:t>
      </w:r>
      <w:r w:rsidR="00F845C5" w:rsidRPr="00787A7D">
        <w:rPr>
          <w:rFonts w:ascii="Times New Roman" w:eastAsia="Times New Roman" w:hAnsi="Times New Roman" w:cs="Times New Roman"/>
        </w:rPr>
        <w:t>,,</w:t>
      </w:r>
      <w:r w:rsidR="00F845C5" w:rsidRPr="00FF4691">
        <w:rPr>
          <w:rFonts w:ascii="Times New Roman" w:hAnsi="Times New Roman" w:cs="Times New Roman"/>
        </w:rPr>
        <w:t>Rosuvastatin/Ezetimibe Teva</w:t>
      </w:r>
      <w:r w:rsidR="00EC0E8B" w:rsidRPr="00FF4691">
        <w:rPr>
          <w:rFonts w:ascii="Times New Roman" w:hAnsi="Times New Roman" w:cs="Times New Roman"/>
        </w:rPr>
        <w:t xml:space="preserve"> </w:t>
      </w:r>
      <w:r w:rsidR="00487BAD" w:rsidRPr="00FF4691">
        <w:rPr>
          <w:rFonts w:ascii="Times New Roman" w:hAnsi="Times New Roman" w:cs="Times New Roman"/>
        </w:rPr>
        <w:t>sudėtyje yra laktozės“),</w:t>
      </w:r>
      <w:r w:rsidR="00487BAD">
        <w:rPr>
          <w:rFonts w:ascii="Times New Roman" w:hAnsi="Times New Roman" w:cs="Times New Roman"/>
          <w:sz w:val="24"/>
          <w:szCs w:val="24"/>
        </w:rPr>
        <w:t xml:space="preserve"> </w:t>
      </w:r>
      <w:r w:rsidR="008F01E3" w:rsidRPr="004B1D9C">
        <w:rPr>
          <w:rFonts w:ascii="Times New Roman" w:eastAsia="Times New Roman" w:hAnsi="Times New Roman" w:cs="Times New Roman"/>
        </w:rPr>
        <w:t xml:space="preserve">kroskarmeliozės natrio druska, </w:t>
      </w:r>
      <w:r w:rsidR="004B1D9C" w:rsidRPr="004B1D9C">
        <w:rPr>
          <w:rFonts w:ascii="Times New Roman" w:eastAsia="Times New Roman" w:hAnsi="Times New Roman" w:cs="Times New Roman"/>
        </w:rPr>
        <w:t xml:space="preserve">natrio laurilsulfatas, </w:t>
      </w:r>
      <w:r w:rsidR="008F01E3" w:rsidRPr="004B1D9C">
        <w:rPr>
          <w:rFonts w:ascii="Times New Roman" w:eastAsia="Times New Roman" w:hAnsi="Times New Roman" w:cs="Times New Roman"/>
        </w:rPr>
        <w:t xml:space="preserve">povidonas K-29/32, </w:t>
      </w:r>
      <w:r w:rsidR="000D7B89" w:rsidRPr="004B1D9C">
        <w:rPr>
          <w:rFonts w:ascii="Times New Roman" w:eastAsia="Times New Roman" w:hAnsi="Times New Roman" w:cs="Times New Roman"/>
        </w:rPr>
        <w:t xml:space="preserve">mikrokristalinė celiuliozė </w:t>
      </w:r>
      <w:r w:rsidR="004B1D9C">
        <w:rPr>
          <w:rFonts w:ascii="Times New Roman" w:eastAsia="Times New Roman" w:hAnsi="Times New Roman" w:cs="Times New Roman"/>
        </w:rPr>
        <w:t>102,</w:t>
      </w:r>
      <w:r w:rsidR="000D7B89" w:rsidRPr="004B1D9C">
        <w:rPr>
          <w:rFonts w:ascii="Times New Roman" w:eastAsia="Times New Roman" w:hAnsi="Times New Roman" w:cs="Times New Roman"/>
        </w:rPr>
        <w:t xml:space="preserve"> </w:t>
      </w:r>
      <w:r w:rsidR="004B1D9C" w:rsidRPr="004B1D9C">
        <w:rPr>
          <w:rFonts w:ascii="Times New Roman" w:eastAsia="Times New Roman" w:hAnsi="Times New Roman" w:cs="Times New Roman"/>
        </w:rPr>
        <w:t>hipr</w:t>
      </w:r>
      <w:r w:rsidR="008F01E3" w:rsidRPr="004B1D9C">
        <w:rPr>
          <w:rFonts w:ascii="Times New Roman" w:eastAsia="Times New Roman" w:hAnsi="Times New Roman" w:cs="Times New Roman"/>
        </w:rPr>
        <w:t>omeliozė</w:t>
      </w:r>
      <w:r w:rsidR="004B1D9C">
        <w:rPr>
          <w:rFonts w:ascii="Times New Roman" w:eastAsia="Times New Roman" w:hAnsi="Times New Roman" w:cs="Times New Roman"/>
        </w:rPr>
        <w:t xml:space="preserve"> 2910</w:t>
      </w:r>
      <w:r w:rsidR="008F01E3" w:rsidRPr="004B1D9C">
        <w:rPr>
          <w:rFonts w:ascii="Times New Roman" w:eastAsia="Times New Roman" w:hAnsi="Times New Roman" w:cs="Times New Roman"/>
        </w:rPr>
        <w:t xml:space="preserve">, </w:t>
      </w:r>
      <w:r w:rsidR="008F01E3" w:rsidRPr="004B1D9C">
        <w:rPr>
          <w:rFonts w:ascii="Times New Roman" w:eastAsia="Times New Roman" w:hAnsi="Times New Roman" w:cs="Times New Roman"/>
          <w:lang w:eastAsia="sl-SI"/>
        </w:rPr>
        <w:t>bevandenis koloidinis silicio dioksidas</w:t>
      </w:r>
      <w:r w:rsidR="008F01E3" w:rsidRPr="004B1D9C">
        <w:rPr>
          <w:rFonts w:ascii="Times New Roman" w:eastAsia="Times New Roman" w:hAnsi="Times New Roman" w:cs="Times New Roman"/>
        </w:rPr>
        <w:t>, magnio stearatas</w:t>
      </w:r>
      <w:r w:rsidR="004B1D9C">
        <w:rPr>
          <w:rFonts w:ascii="Times New Roman" w:eastAsia="Times New Roman" w:hAnsi="Times New Roman" w:cs="Times New Roman"/>
        </w:rPr>
        <w:t>.</w:t>
      </w:r>
    </w:p>
    <w:p w14:paraId="414D966B" w14:textId="6B70E143" w:rsidR="00375D9D" w:rsidRDefault="00375D9D" w:rsidP="00BE4A1E">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FF4691">
        <w:rPr>
          <w:rFonts w:ascii="Times New Roman" w:eastAsia="Times New Roman" w:hAnsi="Times New Roman" w:cs="Times New Roman"/>
          <w:i/>
        </w:rPr>
        <w:t>T</w:t>
      </w:r>
      <w:r w:rsidR="000D7B89" w:rsidRPr="00FF4691">
        <w:rPr>
          <w:rFonts w:ascii="Times New Roman" w:eastAsia="Times New Roman" w:hAnsi="Times New Roman" w:cs="Times New Roman"/>
          <w:i/>
        </w:rPr>
        <w:t>abletės plėvelė</w:t>
      </w:r>
      <w:r w:rsidRPr="00BE4A1E">
        <w:rPr>
          <w:rFonts w:ascii="Times New Roman" w:eastAsia="Times New Roman" w:hAnsi="Times New Roman" w:cs="Times New Roman"/>
          <w:i/>
        </w:rPr>
        <w:t>:</w:t>
      </w:r>
    </w:p>
    <w:p w14:paraId="6AABF485" w14:textId="3A8A1323" w:rsidR="001A48E8" w:rsidRDefault="00AF3800" w:rsidP="00FF4691">
      <w:pPr>
        <w:widowControl w:val="0"/>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SimSun" w:hAnsi="Times New Roman" w:cs="Times New Roman"/>
          <w:color w:val="000000"/>
          <w:lang w:eastAsia="zh-CN"/>
        </w:rPr>
        <w:t>Rosuvastatin/Ezetimibe Teva</w:t>
      </w:r>
      <w:r w:rsidR="004B1D9C">
        <w:rPr>
          <w:rFonts w:ascii="Times New Roman" w:eastAsia="SimSun" w:hAnsi="Times New Roman" w:cs="Times New Roman"/>
          <w:color w:val="000000"/>
        </w:rPr>
        <w:t xml:space="preserve"> 10 mg/10 mg</w:t>
      </w:r>
      <w:r w:rsidR="001A48E8">
        <w:rPr>
          <w:rFonts w:ascii="Times New Roman" w:eastAsia="Times New Roman" w:hAnsi="Times New Roman" w:cs="Times New Roman"/>
          <w:color w:val="000000"/>
          <w:lang w:eastAsia="zh-CN"/>
        </w:rPr>
        <w:t>:</w:t>
      </w:r>
      <w:r w:rsidR="004B1D9C">
        <w:rPr>
          <w:rFonts w:ascii="Times New Roman" w:eastAsia="SimSun" w:hAnsi="Times New Roman" w:cs="Times New Roman"/>
          <w:color w:val="000000"/>
        </w:rPr>
        <w:t xml:space="preserve"> </w:t>
      </w:r>
      <w:r w:rsidR="001A48E8" w:rsidRPr="004B1D9C">
        <w:rPr>
          <w:rFonts w:ascii="Times New Roman" w:eastAsia="Times New Roman" w:hAnsi="Times New Roman" w:cs="Times New Roman"/>
        </w:rPr>
        <w:t>hipromeliozė</w:t>
      </w:r>
      <w:r w:rsidR="001A48E8">
        <w:rPr>
          <w:rFonts w:ascii="Times New Roman" w:eastAsia="Times New Roman" w:hAnsi="Times New Roman" w:cs="Times New Roman"/>
        </w:rPr>
        <w:t xml:space="preserve"> 2910</w:t>
      </w:r>
      <w:r w:rsidR="001A48E8" w:rsidRPr="004B1D9C">
        <w:rPr>
          <w:rFonts w:ascii="Times New Roman" w:eastAsia="Times New Roman" w:hAnsi="Times New Roman" w:cs="Times New Roman"/>
        </w:rPr>
        <w:t>,</w:t>
      </w:r>
      <w:r w:rsidR="001A48E8">
        <w:rPr>
          <w:rFonts w:ascii="Times New Roman" w:eastAsia="Times New Roman" w:hAnsi="Times New Roman" w:cs="Times New Roman"/>
        </w:rPr>
        <w:t xml:space="preserve"> </w:t>
      </w:r>
      <w:r w:rsidR="001A48E8" w:rsidRPr="004B1D9C">
        <w:rPr>
          <w:rFonts w:ascii="Times New Roman" w:eastAsia="Times New Roman" w:hAnsi="Times New Roman" w:cs="Times New Roman"/>
          <w:color w:val="000000"/>
          <w:lang w:eastAsia="zh-CN"/>
        </w:rPr>
        <w:t xml:space="preserve">titano dioksidas (E171), </w:t>
      </w:r>
      <w:r w:rsidR="001A48E8" w:rsidRPr="004B1D9C">
        <w:rPr>
          <w:rFonts w:ascii="Times New Roman" w:eastAsia="Times New Roman" w:hAnsi="Times New Roman" w:cs="Times New Roman"/>
        </w:rPr>
        <w:t>g</w:t>
      </w:r>
      <w:r w:rsidR="001A48E8" w:rsidRPr="004B1D9C">
        <w:rPr>
          <w:rFonts w:ascii="Times New Roman" w:eastAsia="Times New Roman" w:hAnsi="Times New Roman" w:cs="Times New Roman"/>
          <w:lang w:eastAsia="sl-SI"/>
        </w:rPr>
        <w:t>eltonasis geležies oksidas (E172)</w:t>
      </w:r>
      <w:r w:rsidR="001A48E8">
        <w:rPr>
          <w:rFonts w:ascii="Times New Roman" w:eastAsia="Times New Roman" w:hAnsi="Times New Roman" w:cs="Times New Roman"/>
          <w:lang w:eastAsia="sl-SI"/>
        </w:rPr>
        <w:t>,</w:t>
      </w:r>
      <w:r w:rsidR="001A48E8" w:rsidRPr="004B1D9C">
        <w:rPr>
          <w:rFonts w:ascii="Times New Roman" w:eastAsia="Times New Roman" w:hAnsi="Times New Roman" w:cs="Times New Roman"/>
          <w:lang w:eastAsia="sl-SI"/>
        </w:rPr>
        <w:t xml:space="preserve"> </w:t>
      </w:r>
      <w:r w:rsidR="001A48E8">
        <w:rPr>
          <w:rFonts w:ascii="Times New Roman" w:eastAsia="Times New Roman" w:hAnsi="Times New Roman" w:cs="Times New Roman"/>
          <w:lang w:eastAsia="sl-SI"/>
        </w:rPr>
        <w:t>makrogolis 4000</w:t>
      </w:r>
      <w:r w:rsidR="00B47A4C">
        <w:rPr>
          <w:rFonts w:ascii="Times New Roman" w:eastAsia="Times New Roman" w:hAnsi="Times New Roman" w:cs="Times New Roman"/>
          <w:lang w:eastAsia="sl-SI"/>
        </w:rPr>
        <w:t xml:space="preserve"> (E1521), talkas (E553b)</w:t>
      </w:r>
    </w:p>
    <w:p w14:paraId="61D09282" w14:textId="77777777" w:rsidR="00B47A4C" w:rsidRDefault="00B47A4C" w:rsidP="00B47A4C">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19916DFB" w14:textId="3455B5AB" w:rsidR="001A48E8" w:rsidRPr="00FF4691" w:rsidRDefault="00AF3800" w:rsidP="00FF4691">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rPr>
      </w:pPr>
      <w:r w:rsidRPr="00FF4691">
        <w:rPr>
          <w:rFonts w:ascii="Times New Roman" w:eastAsia="SimSun" w:hAnsi="Times New Roman" w:cs="Times New Roman"/>
          <w:color w:val="000000"/>
          <w:highlight w:val="lightGray"/>
          <w:lang w:eastAsia="zh-CN"/>
        </w:rPr>
        <w:t>Rosuvastatin/Ezetimibe Teva</w:t>
      </w:r>
      <w:r w:rsidR="001A48E8" w:rsidRPr="00FF4691">
        <w:rPr>
          <w:rFonts w:ascii="Times New Roman" w:eastAsia="SimSun" w:hAnsi="Times New Roman" w:cs="Times New Roman"/>
          <w:color w:val="000000"/>
          <w:highlight w:val="lightGray"/>
        </w:rPr>
        <w:t xml:space="preserve"> </w:t>
      </w:r>
      <w:r w:rsidR="00B47A4C" w:rsidRPr="00FF4691">
        <w:rPr>
          <w:rFonts w:ascii="Times New Roman" w:eastAsia="SimSun" w:hAnsi="Times New Roman" w:cs="Times New Roman"/>
          <w:color w:val="000000"/>
          <w:highlight w:val="lightGray"/>
        </w:rPr>
        <w:t>2</w:t>
      </w:r>
      <w:r w:rsidR="001A48E8" w:rsidRPr="00FF4691">
        <w:rPr>
          <w:rFonts w:ascii="Times New Roman" w:eastAsia="SimSun" w:hAnsi="Times New Roman" w:cs="Times New Roman"/>
          <w:color w:val="000000"/>
          <w:highlight w:val="lightGray"/>
        </w:rPr>
        <w:t>0 mg/10 mg</w:t>
      </w:r>
      <w:r w:rsidR="001A48E8" w:rsidRPr="00FF4691">
        <w:rPr>
          <w:rFonts w:ascii="Times New Roman" w:eastAsia="Times New Roman" w:hAnsi="Times New Roman" w:cs="Times New Roman"/>
          <w:color w:val="000000"/>
          <w:highlight w:val="lightGray"/>
          <w:lang w:eastAsia="zh-CN"/>
        </w:rPr>
        <w:t>:</w:t>
      </w:r>
      <w:r w:rsidR="001A48E8" w:rsidRPr="00FF4691">
        <w:rPr>
          <w:rFonts w:ascii="Times New Roman" w:eastAsia="SimSun" w:hAnsi="Times New Roman" w:cs="Times New Roman"/>
          <w:color w:val="000000"/>
          <w:highlight w:val="lightGray"/>
        </w:rPr>
        <w:t xml:space="preserve"> </w:t>
      </w:r>
      <w:r w:rsidR="001A48E8" w:rsidRPr="00FF4691">
        <w:rPr>
          <w:rFonts w:ascii="Times New Roman" w:eastAsia="Times New Roman" w:hAnsi="Times New Roman" w:cs="Times New Roman"/>
          <w:highlight w:val="lightGray"/>
        </w:rPr>
        <w:t xml:space="preserve">hipromeliozė </w:t>
      </w:r>
      <w:r w:rsidR="00B47A4C" w:rsidRPr="00FF4691">
        <w:rPr>
          <w:rFonts w:ascii="Times New Roman" w:eastAsia="Times New Roman" w:hAnsi="Times New Roman" w:cs="Times New Roman"/>
          <w:highlight w:val="lightGray"/>
        </w:rPr>
        <w:t>6</w:t>
      </w:r>
      <w:r w:rsidR="001A48E8" w:rsidRPr="00FF4691">
        <w:rPr>
          <w:rFonts w:ascii="Times New Roman" w:eastAsia="Times New Roman" w:hAnsi="Times New Roman" w:cs="Times New Roman"/>
          <w:highlight w:val="lightGray"/>
        </w:rPr>
        <w:t xml:space="preserve">, </w:t>
      </w:r>
      <w:r w:rsidR="001A48E8" w:rsidRPr="00FF4691">
        <w:rPr>
          <w:rFonts w:ascii="Times New Roman" w:eastAsia="Times New Roman" w:hAnsi="Times New Roman" w:cs="Times New Roman"/>
          <w:color w:val="000000"/>
          <w:highlight w:val="lightGray"/>
          <w:lang w:eastAsia="zh-CN"/>
        </w:rPr>
        <w:t xml:space="preserve">titano dioksidas (E171), </w:t>
      </w:r>
      <w:r w:rsidR="001A48E8" w:rsidRPr="00FF4691">
        <w:rPr>
          <w:rFonts w:ascii="Times New Roman" w:eastAsia="Times New Roman" w:hAnsi="Times New Roman" w:cs="Times New Roman"/>
          <w:highlight w:val="lightGray"/>
        </w:rPr>
        <w:t>g</w:t>
      </w:r>
      <w:r w:rsidR="001A48E8" w:rsidRPr="00FF4691">
        <w:rPr>
          <w:rFonts w:ascii="Times New Roman" w:eastAsia="Times New Roman" w:hAnsi="Times New Roman" w:cs="Times New Roman"/>
          <w:highlight w:val="lightGray"/>
          <w:lang w:eastAsia="sl-SI"/>
        </w:rPr>
        <w:t>eltonasis geležies oksidas (E172), makrogolis 4000</w:t>
      </w:r>
      <w:r w:rsidR="00B47A4C" w:rsidRPr="00FF4691">
        <w:rPr>
          <w:rFonts w:ascii="Times New Roman" w:eastAsia="Times New Roman" w:hAnsi="Times New Roman" w:cs="Times New Roman"/>
          <w:highlight w:val="lightGray"/>
          <w:lang w:eastAsia="sl-SI"/>
        </w:rPr>
        <w:t xml:space="preserve"> (E1521)</w:t>
      </w:r>
      <w:r w:rsidR="001A48E8" w:rsidRPr="00FF4691">
        <w:rPr>
          <w:rFonts w:ascii="Times New Roman" w:eastAsia="Times New Roman" w:hAnsi="Times New Roman" w:cs="Times New Roman"/>
          <w:highlight w:val="lightGray"/>
          <w:lang w:eastAsia="sl-SI"/>
        </w:rPr>
        <w:t>, talkas</w:t>
      </w:r>
      <w:r w:rsidR="00B47A4C" w:rsidRPr="00FF4691">
        <w:rPr>
          <w:rFonts w:ascii="Times New Roman" w:eastAsia="Times New Roman" w:hAnsi="Times New Roman" w:cs="Times New Roman"/>
          <w:highlight w:val="lightGray"/>
          <w:lang w:eastAsia="sl-SI"/>
        </w:rPr>
        <w:t xml:space="preserve"> (E553b)</w:t>
      </w:r>
    </w:p>
    <w:p w14:paraId="7B34E71C" w14:textId="77777777" w:rsidR="001A48E8" w:rsidRDefault="001A48E8" w:rsidP="00B47A4C">
      <w:pPr>
        <w:widowControl w:val="0"/>
        <w:tabs>
          <w:tab w:val="left" w:pos="567"/>
        </w:tabs>
        <w:autoSpaceDE w:val="0"/>
        <w:autoSpaceDN w:val="0"/>
        <w:adjustRightInd w:val="0"/>
        <w:spacing w:after="0" w:line="240" w:lineRule="auto"/>
        <w:ind w:left="567"/>
        <w:rPr>
          <w:rFonts w:ascii="Times New Roman" w:eastAsia="Times New Roman" w:hAnsi="Times New Roman" w:cs="Times New Roman"/>
        </w:rPr>
      </w:pPr>
    </w:p>
    <w:p w14:paraId="37930E77" w14:textId="77777777" w:rsidR="008F01E3" w:rsidRDefault="008F01E3" w:rsidP="008F01E3">
      <w:pPr>
        <w:widowControl w:val="0"/>
        <w:spacing w:after="0" w:line="240" w:lineRule="auto"/>
        <w:outlineLvl w:val="0"/>
        <w:rPr>
          <w:rFonts w:ascii="Times New Roman" w:eastAsia="Times New Roman" w:hAnsi="Times New Roman" w:cs="Times New Roman"/>
        </w:rPr>
      </w:pPr>
    </w:p>
    <w:p w14:paraId="1F9EB749" w14:textId="7E36D65E" w:rsidR="000D7B89" w:rsidRPr="00640E25" w:rsidRDefault="00AF3800" w:rsidP="000D7B89">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Rosuvastatin/Ezetimibe Teva</w:t>
      </w:r>
      <w:r w:rsidR="000D7B89" w:rsidRPr="00640E25">
        <w:rPr>
          <w:rFonts w:ascii="Times New Roman" w:eastAsia="Times New Roman" w:hAnsi="Times New Roman" w:cs="Times New Roman"/>
          <w:b/>
          <w:lang w:eastAsia="sl-SI"/>
        </w:rPr>
        <w:t xml:space="preserve"> išvaizda ir kiekis pakuotėje</w:t>
      </w:r>
    </w:p>
    <w:p w14:paraId="26EA2D02" w14:textId="7556CA27" w:rsidR="00640E25" w:rsidRDefault="00AF3800" w:rsidP="00640E25">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Rosuvastatin/Ezetimibe Teva</w:t>
      </w:r>
      <w:r w:rsidR="00640E25">
        <w:rPr>
          <w:rFonts w:ascii="Times New Roman" w:eastAsia="Times New Roman" w:hAnsi="Times New Roman" w:cs="Times New Roman"/>
        </w:rPr>
        <w:t xml:space="preserve"> 10 mg/10 mg plėvele dengtos tabletės: smėlio spalvos, apvalios, abipus išgaubtos plėvele dengtos tabletės, maždaug 10 mm skersmens, vienoje tabletės pusėje </w:t>
      </w:r>
      <w:r w:rsidR="0023749A">
        <w:rPr>
          <w:rFonts w:ascii="Times New Roman" w:eastAsia="Times New Roman" w:hAnsi="Times New Roman" w:cs="Times New Roman"/>
        </w:rPr>
        <w:t xml:space="preserve">yra </w:t>
      </w:r>
      <w:r w:rsidR="00640E25">
        <w:rPr>
          <w:rFonts w:ascii="Times New Roman" w:eastAsia="Times New Roman" w:hAnsi="Times New Roman" w:cs="Times New Roman"/>
        </w:rPr>
        <w:t xml:space="preserve">įspaudas „EL 4“. </w:t>
      </w:r>
    </w:p>
    <w:p w14:paraId="00CD7621" w14:textId="77777777" w:rsidR="00640E25" w:rsidRDefault="00640E25" w:rsidP="00640E25">
      <w:pPr>
        <w:widowControl w:val="0"/>
        <w:tabs>
          <w:tab w:val="left" w:pos="567"/>
        </w:tabs>
        <w:spacing w:after="0" w:line="240" w:lineRule="auto"/>
        <w:rPr>
          <w:rFonts w:ascii="Times New Roman" w:eastAsia="Times New Roman" w:hAnsi="Times New Roman" w:cs="Times New Roman"/>
        </w:rPr>
      </w:pPr>
    </w:p>
    <w:p w14:paraId="65397FA4" w14:textId="5727260E" w:rsidR="00640E25" w:rsidRDefault="00AF3800" w:rsidP="00640E25">
      <w:pPr>
        <w:shd w:val="clear" w:color="auto" w:fill="FFFFFF"/>
        <w:spacing w:after="0" w:line="240" w:lineRule="auto"/>
        <w:rPr>
          <w:rFonts w:ascii="Times New Roman" w:eastAsia="Times New Roman" w:hAnsi="Times New Roman" w:cs="Times New Roman"/>
        </w:rPr>
      </w:pPr>
      <w:r w:rsidRPr="00FF4691">
        <w:rPr>
          <w:rFonts w:ascii="Times New Roman" w:eastAsia="Times New Roman" w:hAnsi="Times New Roman" w:cs="Times New Roman"/>
          <w:highlight w:val="lightGray"/>
        </w:rPr>
        <w:t>Rosuvastatin/Ezetimibe Teva</w:t>
      </w:r>
      <w:r w:rsidR="00640E25" w:rsidRPr="00FF4691">
        <w:rPr>
          <w:rFonts w:ascii="Times New Roman" w:eastAsia="Times New Roman" w:hAnsi="Times New Roman" w:cs="Times New Roman"/>
          <w:highlight w:val="lightGray"/>
        </w:rPr>
        <w:t xml:space="preserve"> 20 mg/10 mg plėvele dengtos tabletės: geltonos, apvalios, abipus išgaubtos plėvele dengtos tabletės, maždaug 10 mm skersmens, vienoje tabletės pusėje </w:t>
      </w:r>
      <w:r w:rsidR="0023749A">
        <w:rPr>
          <w:rFonts w:ascii="Times New Roman" w:eastAsia="Times New Roman" w:hAnsi="Times New Roman" w:cs="Times New Roman"/>
          <w:highlight w:val="lightGray"/>
        </w:rPr>
        <w:t xml:space="preserve">yra </w:t>
      </w:r>
      <w:r w:rsidR="00640E25" w:rsidRPr="00FF4691">
        <w:rPr>
          <w:rFonts w:ascii="Times New Roman" w:eastAsia="Times New Roman" w:hAnsi="Times New Roman" w:cs="Times New Roman"/>
          <w:highlight w:val="lightGray"/>
        </w:rPr>
        <w:t>įspau</w:t>
      </w:r>
      <w:r w:rsidR="00B94D0E" w:rsidRPr="00FF4691">
        <w:rPr>
          <w:rFonts w:ascii="Times New Roman" w:eastAsia="Times New Roman" w:hAnsi="Times New Roman" w:cs="Times New Roman"/>
          <w:highlight w:val="lightGray"/>
        </w:rPr>
        <w:t>das</w:t>
      </w:r>
      <w:r w:rsidR="00640E25" w:rsidRPr="00FF4691">
        <w:rPr>
          <w:rFonts w:ascii="Times New Roman" w:eastAsia="Times New Roman" w:hAnsi="Times New Roman" w:cs="Times New Roman"/>
          <w:highlight w:val="lightGray"/>
        </w:rPr>
        <w:t xml:space="preserve"> „EL 3“.</w:t>
      </w:r>
      <w:r w:rsidR="00640E25">
        <w:rPr>
          <w:rFonts w:ascii="Times New Roman" w:eastAsia="Times New Roman" w:hAnsi="Times New Roman" w:cs="Times New Roman"/>
        </w:rPr>
        <w:t xml:space="preserve"> </w:t>
      </w:r>
    </w:p>
    <w:p w14:paraId="69E2A47F" w14:textId="77777777" w:rsidR="000D7B89" w:rsidRPr="005325F4" w:rsidRDefault="000D7B89" w:rsidP="000D7B89">
      <w:pPr>
        <w:widowControl w:val="0"/>
        <w:tabs>
          <w:tab w:val="left" w:pos="567"/>
        </w:tabs>
        <w:spacing w:after="0" w:line="240" w:lineRule="auto"/>
        <w:rPr>
          <w:rFonts w:ascii="Times New Roman" w:eastAsia="Times New Roman" w:hAnsi="Times New Roman" w:cs="Times New Roman"/>
        </w:rPr>
      </w:pPr>
    </w:p>
    <w:p w14:paraId="36CD9359" w14:textId="413CE1B7" w:rsidR="00640E25" w:rsidRPr="005325F4" w:rsidRDefault="00AF3800" w:rsidP="000D7B89">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Rosuvastatin/Ezetimibe Teva</w:t>
      </w:r>
      <w:r w:rsidR="004042B8" w:rsidRPr="005325F4">
        <w:rPr>
          <w:rFonts w:ascii="Times New Roman" w:eastAsia="Times New Roman" w:hAnsi="Times New Roman" w:cs="Times New Roman"/>
          <w:lang w:eastAsia="sl-SI"/>
        </w:rPr>
        <w:t xml:space="preserve"> </w:t>
      </w:r>
      <w:r w:rsidR="000D7B89" w:rsidRPr="005325F4">
        <w:rPr>
          <w:rFonts w:ascii="Times New Roman" w:eastAsia="Times New Roman" w:hAnsi="Times New Roman" w:cs="Times New Roman"/>
          <w:lang w:eastAsia="sl-SI"/>
        </w:rPr>
        <w:t xml:space="preserve">tabletės tiekiamos </w:t>
      </w:r>
      <w:r w:rsidR="005325F4" w:rsidRPr="005325F4">
        <w:rPr>
          <w:rFonts w:ascii="Times New Roman" w:eastAsia="Times New Roman" w:hAnsi="Times New Roman" w:cs="Times New Roman"/>
          <w:lang w:eastAsia="sl-SI"/>
        </w:rPr>
        <w:t>po 10, 28, 30</w:t>
      </w:r>
      <w:r w:rsidR="0051045D">
        <w:rPr>
          <w:rFonts w:ascii="Times New Roman" w:eastAsia="Times New Roman" w:hAnsi="Times New Roman" w:cs="Times New Roman"/>
          <w:lang w:eastAsia="sl-SI"/>
        </w:rPr>
        <w:t xml:space="preserve">, </w:t>
      </w:r>
      <w:r w:rsidR="005325F4" w:rsidRPr="005325F4">
        <w:rPr>
          <w:rFonts w:ascii="Times New Roman" w:eastAsia="Times New Roman" w:hAnsi="Times New Roman" w:cs="Times New Roman"/>
          <w:lang w:eastAsia="sl-SI"/>
        </w:rPr>
        <w:t>60</w:t>
      </w:r>
      <w:r w:rsidR="0051045D">
        <w:rPr>
          <w:rFonts w:ascii="Times New Roman" w:eastAsia="Times New Roman" w:hAnsi="Times New Roman" w:cs="Times New Roman"/>
          <w:lang w:eastAsia="sl-SI"/>
        </w:rPr>
        <w:t>, 90</w:t>
      </w:r>
      <w:r w:rsidR="005325F4" w:rsidRPr="005325F4">
        <w:rPr>
          <w:rFonts w:ascii="Times New Roman" w:eastAsia="Times New Roman" w:hAnsi="Times New Roman" w:cs="Times New Roman"/>
          <w:lang w:eastAsia="sl-SI"/>
        </w:rPr>
        <w:t xml:space="preserve"> plėvele dengtų tablečių </w:t>
      </w:r>
      <w:r w:rsidR="00640E25" w:rsidRPr="005325F4">
        <w:rPr>
          <w:rFonts w:ascii="Times New Roman" w:eastAsia="Times New Roman" w:hAnsi="Times New Roman" w:cs="Times New Roman"/>
          <w:lang w:eastAsia="sl-SI"/>
        </w:rPr>
        <w:t>OPA/Al/PVC/Al lizdin</w:t>
      </w:r>
      <w:r w:rsidR="005325F4" w:rsidRPr="005325F4">
        <w:rPr>
          <w:rFonts w:ascii="Times New Roman" w:eastAsia="Times New Roman" w:hAnsi="Times New Roman" w:cs="Times New Roman"/>
          <w:lang w:eastAsia="sl-SI"/>
        </w:rPr>
        <w:t>ė</w:t>
      </w:r>
      <w:r w:rsidR="00640E25" w:rsidRPr="005325F4">
        <w:rPr>
          <w:rFonts w:ascii="Times New Roman" w:eastAsia="Times New Roman" w:hAnsi="Times New Roman" w:cs="Times New Roman"/>
          <w:lang w:eastAsia="sl-SI"/>
        </w:rPr>
        <w:t xml:space="preserve">se </w:t>
      </w:r>
      <w:r w:rsidR="005325F4" w:rsidRPr="005325F4">
        <w:rPr>
          <w:rFonts w:ascii="Times New Roman" w:eastAsia="Times New Roman" w:hAnsi="Times New Roman" w:cs="Times New Roman"/>
          <w:lang w:eastAsia="sl-SI"/>
        </w:rPr>
        <w:t>plokštelėse</w:t>
      </w:r>
      <w:r w:rsidR="00063465">
        <w:rPr>
          <w:rFonts w:ascii="Times New Roman" w:eastAsia="Times New Roman" w:hAnsi="Times New Roman" w:cs="Times New Roman"/>
          <w:lang w:eastAsia="sl-SI"/>
        </w:rPr>
        <w:t>.</w:t>
      </w:r>
    </w:p>
    <w:p w14:paraId="079A96CD" w14:textId="77777777" w:rsidR="00640E25" w:rsidRDefault="00640E25" w:rsidP="000D7B89">
      <w:pPr>
        <w:widowControl w:val="0"/>
        <w:spacing w:after="0" w:line="240" w:lineRule="auto"/>
        <w:rPr>
          <w:rFonts w:ascii="Times New Roman" w:eastAsia="Times New Roman" w:hAnsi="Times New Roman" w:cs="Times New Roman"/>
          <w:highlight w:val="yellow"/>
          <w:lang w:eastAsia="sl-SI"/>
        </w:rPr>
      </w:pPr>
    </w:p>
    <w:p w14:paraId="5097E54D"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r w:rsidRPr="005325F4">
        <w:rPr>
          <w:rFonts w:ascii="Times New Roman" w:eastAsia="Times New Roman" w:hAnsi="Times New Roman" w:cs="Times New Roman"/>
          <w:lang w:eastAsia="sl-SI"/>
        </w:rPr>
        <w:t>Gali būti tiekiamos ne visų dydžių pakuotės.</w:t>
      </w:r>
    </w:p>
    <w:p w14:paraId="6E44A8F7" w14:textId="77777777" w:rsidR="000D7B89" w:rsidRPr="003E1719" w:rsidRDefault="000D7B89" w:rsidP="000D7B89">
      <w:pPr>
        <w:widowControl w:val="0"/>
        <w:spacing w:after="0" w:line="240" w:lineRule="auto"/>
        <w:rPr>
          <w:rFonts w:ascii="Times New Roman" w:eastAsia="Times New Roman" w:hAnsi="Times New Roman" w:cs="Times New Roman"/>
          <w:lang w:eastAsia="sl-SI"/>
        </w:rPr>
      </w:pPr>
    </w:p>
    <w:p w14:paraId="5B12FE72"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Registruotojas ir gamintojas</w:t>
      </w:r>
    </w:p>
    <w:p w14:paraId="02B838DB" w14:textId="77777777" w:rsidR="000D7B89" w:rsidRPr="005325F4" w:rsidRDefault="005325F4" w:rsidP="000D7B89">
      <w:pPr>
        <w:widowControl w:val="0"/>
        <w:spacing w:after="0" w:line="240" w:lineRule="auto"/>
        <w:rPr>
          <w:rFonts w:ascii="Times New Roman" w:eastAsia="Times New Roman" w:hAnsi="Times New Roman" w:cs="Times New Roman"/>
          <w:i/>
          <w:lang w:eastAsia="sl-SI"/>
        </w:rPr>
      </w:pPr>
      <w:r w:rsidRPr="005325F4">
        <w:rPr>
          <w:rFonts w:ascii="Times New Roman" w:eastAsia="Times New Roman" w:hAnsi="Times New Roman" w:cs="Times New Roman"/>
          <w:i/>
          <w:lang w:eastAsia="sl-SI"/>
        </w:rPr>
        <w:t>Registruotojas</w:t>
      </w:r>
    </w:p>
    <w:p w14:paraId="7069CA13" w14:textId="274FAF3C" w:rsidR="00BB68AD" w:rsidRPr="003E1719" w:rsidRDefault="00BB68AD" w:rsidP="00BB68AD">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Teva B.V</w:t>
      </w:r>
      <w:r w:rsidR="00174A45">
        <w:rPr>
          <w:rFonts w:ascii="Times New Roman" w:eastAsia="Times New Roman" w:hAnsi="Times New Roman" w:cs="Times New Roman"/>
          <w:lang w:val="en-GB"/>
        </w:rPr>
        <w:t>.</w:t>
      </w:r>
    </w:p>
    <w:p w14:paraId="257A34AA" w14:textId="77777777" w:rsidR="00BB68AD" w:rsidRPr="003E1719" w:rsidRDefault="00BB68AD" w:rsidP="00BB68AD">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Swensweg 5</w:t>
      </w:r>
    </w:p>
    <w:p w14:paraId="5C432E9B" w14:textId="77777777" w:rsidR="00BB68AD" w:rsidRPr="003E1719" w:rsidRDefault="00BB68AD" w:rsidP="00BB68AD">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2031 GA Haarlem</w:t>
      </w:r>
    </w:p>
    <w:p w14:paraId="185FC9C7" w14:textId="77777777" w:rsidR="00BB68AD" w:rsidRPr="003E1719" w:rsidRDefault="00BB68AD" w:rsidP="00BB68AD">
      <w:pPr>
        <w:shd w:val="clear" w:color="auto" w:fill="FFFFFF"/>
        <w:spacing w:after="0" w:line="240" w:lineRule="auto"/>
        <w:rPr>
          <w:rFonts w:ascii="Times New Roman" w:eastAsia="Times New Roman" w:hAnsi="Times New Roman" w:cs="Times New Roman"/>
          <w:lang w:val="en-US"/>
        </w:rPr>
      </w:pPr>
      <w:r w:rsidRPr="003E1719">
        <w:rPr>
          <w:rFonts w:ascii="Times New Roman" w:eastAsia="Times New Roman" w:hAnsi="Times New Roman" w:cs="Times New Roman"/>
          <w:lang w:val="en-GB"/>
        </w:rPr>
        <w:t>Nyderlandai</w:t>
      </w:r>
    </w:p>
    <w:p w14:paraId="2DCC8620" w14:textId="77777777" w:rsidR="000D7B89" w:rsidRPr="003E1719" w:rsidRDefault="000D7B89" w:rsidP="000D7B89">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1A424142" w14:textId="77777777" w:rsidR="000D7B89" w:rsidRPr="003E1719" w:rsidRDefault="000D7B89" w:rsidP="000D7B89">
      <w:pPr>
        <w:widowControl w:val="0"/>
        <w:numPr>
          <w:ilvl w:val="12"/>
          <w:numId w:val="0"/>
        </w:numPr>
        <w:tabs>
          <w:tab w:val="left" w:pos="1296"/>
        </w:tabs>
        <w:snapToGrid w:val="0"/>
        <w:spacing w:after="0" w:line="240" w:lineRule="auto"/>
        <w:ind w:right="-2"/>
        <w:rPr>
          <w:rFonts w:ascii="Times New Roman" w:eastAsia="Times New Roman" w:hAnsi="Times New Roman" w:cs="Times New Roman"/>
          <w:i/>
        </w:rPr>
      </w:pPr>
      <w:r w:rsidRPr="003E1719">
        <w:rPr>
          <w:rFonts w:ascii="Times New Roman" w:eastAsia="Times New Roman" w:hAnsi="Times New Roman" w:cs="Times New Roman"/>
          <w:i/>
        </w:rPr>
        <w:t>Gamintojas</w:t>
      </w:r>
    </w:p>
    <w:p w14:paraId="7ACE4D53" w14:textId="77777777" w:rsidR="00BB68AD" w:rsidRPr="008B4659" w:rsidRDefault="00BB68AD" w:rsidP="00BB68AD">
      <w:pPr>
        <w:shd w:val="clear" w:color="auto" w:fill="FFFFFF"/>
        <w:spacing w:after="0" w:line="240" w:lineRule="auto"/>
        <w:rPr>
          <w:rFonts w:ascii="Times New Roman" w:eastAsia="Times New Roman" w:hAnsi="Times New Roman" w:cs="Times New Roman"/>
          <w:lang w:val="en-US"/>
        </w:rPr>
      </w:pPr>
      <w:r w:rsidRPr="008B4659">
        <w:rPr>
          <w:rFonts w:ascii="Times New Roman" w:eastAsia="Times New Roman" w:hAnsi="Times New Roman" w:cs="Times New Roman"/>
          <w:lang w:val="en-GB"/>
        </w:rPr>
        <w:t>ELPEN Pharmaceutical Co. Inc.</w:t>
      </w:r>
    </w:p>
    <w:p w14:paraId="57796CE0" w14:textId="77777777" w:rsidR="00BB68AD" w:rsidRPr="008B4659" w:rsidRDefault="00BB68AD" w:rsidP="00BB68AD">
      <w:pPr>
        <w:shd w:val="clear" w:color="auto" w:fill="FFFFFF"/>
        <w:spacing w:after="0" w:line="240" w:lineRule="auto"/>
        <w:rPr>
          <w:rFonts w:ascii="Times New Roman" w:eastAsia="Times New Roman" w:hAnsi="Times New Roman" w:cs="Times New Roman"/>
          <w:lang w:val="en-US"/>
        </w:rPr>
      </w:pPr>
      <w:r w:rsidRPr="008B4659">
        <w:rPr>
          <w:rFonts w:ascii="Times New Roman" w:eastAsia="Times New Roman" w:hAnsi="Times New Roman" w:cs="Times New Roman"/>
          <w:lang w:val="en-GB"/>
        </w:rPr>
        <w:t>95 Marathonos Ave</w:t>
      </w:r>
    </w:p>
    <w:p w14:paraId="6852B3CD" w14:textId="77777777" w:rsidR="00BB68AD" w:rsidRPr="008B4659" w:rsidRDefault="00BB68AD" w:rsidP="00BB68AD">
      <w:pPr>
        <w:shd w:val="clear" w:color="auto" w:fill="FFFFFF"/>
        <w:spacing w:after="0" w:line="240" w:lineRule="auto"/>
        <w:rPr>
          <w:rFonts w:ascii="Times New Roman" w:eastAsia="Times New Roman" w:hAnsi="Times New Roman" w:cs="Times New Roman"/>
          <w:lang w:val="en-US"/>
        </w:rPr>
      </w:pPr>
      <w:r w:rsidRPr="008B4659">
        <w:rPr>
          <w:rFonts w:ascii="Times New Roman" w:eastAsia="Times New Roman" w:hAnsi="Times New Roman" w:cs="Times New Roman"/>
          <w:lang w:val="en-GB"/>
        </w:rPr>
        <w:t>19009 Pikermi, Attiki</w:t>
      </w:r>
    </w:p>
    <w:p w14:paraId="47C8A4ED" w14:textId="77777777" w:rsidR="00BB68AD" w:rsidRPr="003E1719" w:rsidRDefault="00BB68AD" w:rsidP="00BB68AD">
      <w:pPr>
        <w:shd w:val="clear" w:color="auto" w:fill="FFFFFF"/>
        <w:spacing w:after="0" w:line="240" w:lineRule="auto"/>
        <w:rPr>
          <w:rFonts w:ascii="Times New Roman" w:eastAsia="Times New Roman" w:hAnsi="Times New Roman" w:cs="Times New Roman"/>
          <w:lang w:val="en-US"/>
        </w:rPr>
      </w:pPr>
      <w:r w:rsidRPr="008B4659">
        <w:rPr>
          <w:rFonts w:ascii="Times New Roman" w:eastAsia="Times New Roman" w:hAnsi="Times New Roman" w:cs="Times New Roman"/>
          <w:lang w:val="en-GB"/>
        </w:rPr>
        <w:t>Graikija</w:t>
      </w:r>
    </w:p>
    <w:p w14:paraId="776BEFB0" w14:textId="77777777" w:rsidR="000D7B89" w:rsidRDefault="000D7B89" w:rsidP="000D7B89">
      <w:pPr>
        <w:widowControl w:val="0"/>
        <w:spacing w:after="0" w:line="240" w:lineRule="auto"/>
        <w:rPr>
          <w:rFonts w:ascii="Times New Roman" w:eastAsia="Times New Roman" w:hAnsi="Times New Roman" w:cs="Times New Roman"/>
          <w:lang w:eastAsia="sl-SI"/>
        </w:rPr>
      </w:pPr>
    </w:p>
    <w:p w14:paraId="414B508D" w14:textId="77777777" w:rsidR="00617E1A" w:rsidRPr="00D31C57" w:rsidRDefault="00617E1A" w:rsidP="00617E1A">
      <w:pPr>
        <w:widowControl w:val="0"/>
        <w:spacing w:after="0" w:line="240" w:lineRule="auto"/>
        <w:rPr>
          <w:rFonts w:ascii="Times New Roman" w:eastAsia="Times New Roman" w:hAnsi="Times New Roman" w:cs="Times New Roman"/>
          <w:lang w:val="en-GB"/>
        </w:rPr>
      </w:pPr>
      <w:r w:rsidRPr="00D31C57">
        <w:rPr>
          <w:rFonts w:ascii="Times New Roman" w:eastAsia="Times New Roman" w:hAnsi="Times New Roman" w:cs="Times New Roman"/>
          <w:lang w:val="en-GB"/>
        </w:rPr>
        <w:t>Arba</w:t>
      </w:r>
    </w:p>
    <w:p w14:paraId="015E0419" w14:textId="77777777" w:rsidR="00617E1A" w:rsidRPr="00D31C57" w:rsidRDefault="00617E1A" w:rsidP="00617E1A">
      <w:pPr>
        <w:widowControl w:val="0"/>
        <w:spacing w:after="0" w:line="240" w:lineRule="auto"/>
        <w:rPr>
          <w:rFonts w:ascii="Times New Roman" w:eastAsia="Times New Roman" w:hAnsi="Times New Roman" w:cs="Times New Roman"/>
          <w:lang w:val="en-GB"/>
        </w:rPr>
      </w:pPr>
    </w:p>
    <w:p w14:paraId="0ECFE284" w14:textId="77777777" w:rsidR="00617E1A" w:rsidRPr="00D31C57" w:rsidRDefault="00617E1A" w:rsidP="00617E1A">
      <w:pPr>
        <w:widowControl w:val="0"/>
        <w:spacing w:after="0" w:line="240" w:lineRule="auto"/>
        <w:rPr>
          <w:rFonts w:ascii="Times New Roman" w:eastAsia="Times New Roman" w:hAnsi="Times New Roman" w:cs="Times New Roman"/>
          <w:lang w:val="en-GB"/>
        </w:rPr>
      </w:pPr>
      <w:r w:rsidRPr="00D31C57">
        <w:rPr>
          <w:rFonts w:ascii="Times New Roman" w:eastAsia="Times New Roman" w:hAnsi="Times New Roman" w:cs="Times New Roman"/>
          <w:lang w:val="en-GB"/>
        </w:rPr>
        <w:t>ELPEN Pharmaceutical Co. Inc.</w:t>
      </w:r>
    </w:p>
    <w:p w14:paraId="5831949B" w14:textId="77777777" w:rsidR="00617E1A" w:rsidRPr="00D31C57" w:rsidRDefault="00617E1A" w:rsidP="00617E1A">
      <w:pPr>
        <w:widowControl w:val="0"/>
        <w:spacing w:after="0" w:line="240" w:lineRule="auto"/>
        <w:rPr>
          <w:rFonts w:ascii="Times New Roman" w:eastAsia="Times New Roman" w:hAnsi="Times New Roman" w:cs="Times New Roman"/>
          <w:lang w:val="en-GB"/>
        </w:rPr>
      </w:pPr>
      <w:r w:rsidRPr="00D31C57">
        <w:rPr>
          <w:rFonts w:ascii="Times New Roman" w:eastAsia="Times New Roman" w:hAnsi="Times New Roman" w:cs="Times New Roman"/>
          <w:lang w:val="en-GB"/>
        </w:rPr>
        <w:t>Zapani, Block 1048,</w:t>
      </w:r>
    </w:p>
    <w:p w14:paraId="011EDB90" w14:textId="77777777" w:rsidR="00617E1A" w:rsidRPr="00D31C57" w:rsidRDefault="00617E1A" w:rsidP="00617E1A">
      <w:pPr>
        <w:widowControl w:val="0"/>
        <w:spacing w:after="0" w:line="240" w:lineRule="auto"/>
        <w:rPr>
          <w:rFonts w:ascii="Times New Roman" w:eastAsia="Times New Roman" w:hAnsi="Times New Roman" w:cs="Times New Roman"/>
          <w:lang w:val="en-GB"/>
        </w:rPr>
      </w:pPr>
      <w:r w:rsidRPr="00D31C57">
        <w:rPr>
          <w:rFonts w:ascii="Times New Roman" w:eastAsia="Times New Roman" w:hAnsi="Times New Roman" w:cs="Times New Roman"/>
          <w:lang w:val="en-GB"/>
        </w:rPr>
        <w:t>19001 Keratea</w:t>
      </w:r>
    </w:p>
    <w:p w14:paraId="17D9C5A2" w14:textId="77777777" w:rsidR="00617E1A" w:rsidRPr="00D31C57" w:rsidRDefault="00617E1A" w:rsidP="00617E1A">
      <w:pPr>
        <w:widowControl w:val="0"/>
        <w:spacing w:after="0" w:line="240" w:lineRule="auto"/>
        <w:rPr>
          <w:rFonts w:ascii="Times New Roman" w:eastAsia="Times New Roman" w:hAnsi="Times New Roman" w:cs="Times New Roman"/>
          <w:lang w:val="en-GB"/>
        </w:rPr>
      </w:pPr>
      <w:r w:rsidRPr="00D31C57">
        <w:rPr>
          <w:rFonts w:ascii="Times New Roman" w:eastAsia="Times New Roman" w:hAnsi="Times New Roman" w:cs="Times New Roman"/>
          <w:lang w:val="en-GB"/>
        </w:rPr>
        <w:t>Graikija</w:t>
      </w:r>
    </w:p>
    <w:p w14:paraId="77911F25" w14:textId="77777777" w:rsidR="00617E1A" w:rsidRDefault="00617E1A" w:rsidP="000D7B89">
      <w:pPr>
        <w:widowControl w:val="0"/>
        <w:spacing w:after="0" w:line="240" w:lineRule="auto"/>
        <w:rPr>
          <w:rFonts w:ascii="Times New Roman" w:eastAsia="Times New Roman" w:hAnsi="Times New Roman" w:cs="Times New Roman"/>
          <w:lang w:eastAsia="sl-SI"/>
        </w:rPr>
      </w:pPr>
    </w:p>
    <w:p w14:paraId="046DA3E0" w14:textId="77777777" w:rsidR="00617E1A" w:rsidRDefault="00617E1A" w:rsidP="000D7B89">
      <w:pPr>
        <w:widowControl w:val="0"/>
        <w:spacing w:after="0" w:line="240" w:lineRule="auto"/>
        <w:rPr>
          <w:rFonts w:ascii="Times New Roman" w:eastAsia="Times New Roman" w:hAnsi="Times New Roman" w:cs="Times New Roman"/>
          <w:lang w:eastAsia="sl-SI"/>
        </w:rPr>
      </w:pPr>
    </w:p>
    <w:p w14:paraId="27853DD6" w14:textId="77777777" w:rsidR="00617E1A" w:rsidRPr="003E1719" w:rsidRDefault="00617E1A" w:rsidP="000D7B89">
      <w:pPr>
        <w:widowControl w:val="0"/>
        <w:spacing w:after="0" w:line="240" w:lineRule="auto"/>
        <w:rPr>
          <w:rFonts w:ascii="Times New Roman" w:eastAsia="Times New Roman" w:hAnsi="Times New Roman" w:cs="Times New Roman"/>
          <w:lang w:eastAsia="sl-SI"/>
        </w:rPr>
      </w:pPr>
    </w:p>
    <w:p w14:paraId="02D719BE" w14:textId="77777777" w:rsidR="000D7B89" w:rsidRDefault="000D7B89" w:rsidP="000D7B89">
      <w:pPr>
        <w:widowControl w:val="0"/>
        <w:spacing w:after="0" w:line="240" w:lineRule="auto"/>
        <w:rPr>
          <w:rFonts w:ascii="Times New Roman" w:eastAsia="Times New Roman" w:hAnsi="Times New Roman" w:cs="Times New Roman"/>
          <w:lang w:eastAsia="sl-SI"/>
        </w:rPr>
      </w:pPr>
      <w:r w:rsidRPr="003E1719">
        <w:rPr>
          <w:rFonts w:ascii="Times New Roman" w:eastAsia="Times New Roman" w:hAnsi="Times New Roman" w:cs="Times New Roman"/>
          <w:lang w:eastAsia="sl-SI"/>
        </w:rPr>
        <w:t>Jeigu apie šį vaistą norite sužinoti daugiau, kreipkitės į vietinį registruotojo atstovą.</w:t>
      </w:r>
    </w:p>
    <w:p w14:paraId="11034998" w14:textId="77777777" w:rsidR="006137E6" w:rsidRDefault="006137E6" w:rsidP="006137E6">
      <w:pPr>
        <w:spacing w:after="0" w:line="240" w:lineRule="auto"/>
        <w:rPr>
          <w:rFonts w:ascii="Times New Roman" w:hAnsi="Times New Roman"/>
        </w:rPr>
      </w:pPr>
    </w:p>
    <w:p w14:paraId="462B0F35" w14:textId="77777777" w:rsidR="006137E6" w:rsidRDefault="006137E6" w:rsidP="006137E6">
      <w:pPr>
        <w:spacing w:after="0" w:line="240" w:lineRule="auto"/>
      </w:pPr>
      <w:r>
        <w:rPr>
          <w:rFonts w:ascii="Times New Roman" w:hAnsi="Times New Roman"/>
        </w:rPr>
        <w:t>UAB Teva Baltics</w:t>
      </w:r>
    </w:p>
    <w:p w14:paraId="7CF33D91" w14:textId="77777777" w:rsidR="006137E6" w:rsidRDefault="006137E6" w:rsidP="006137E6">
      <w:pPr>
        <w:spacing w:after="0" w:line="240" w:lineRule="auto"/>
      </w:pPr>
      <w:r>
        <w:rPr>
          <w:rFonts w:ascii="Times New Roman" w:hAnsi="Times New Roman"/>
        </w:rPr>
        <w:t>Molėtų pl. 5</w:t>
      </w:r>
    </w:p>
    <w:p w14:paraId="1A8DD14C" w14:textId="77777777" w:rsidR="006137E6" w:rsidRDefault="006137E6" w:rsidP="006137E6">
      <w:pPr>
        <w:spacing w:after="0" w:line="240" w:lineRule="auto"/>
      </w:pPr>
      <w:r>
        <w:rPr>
          <w:rFonts w:ascii="Times New Roman" w:hAnsi="Times New Roman"/>
        </w:rPr>
        <w:t>LT-08409 Vilnius</w:t>
      </w:r>
    </w:p>
    <w:p w14:paraId="4DA3208F" w14:textId="77777777" w:rsidR="006137E6" w:rsidRDefault="006137E6" w:rsidP="006137E6">
      <w:pPr>
        <w:spacing w:after="0" w:line="240" w:lineRule="auto"/>
      </w:pPr>
      <w:r>
        <w:rPr>
          <w:rFonts w:ascii="Times New Roman" w:hAnsi="Times New Roman"/>
        </w:rPr>
        <w:t>Tel.: +370 5 266 02 03</w:t>
      </w:r>
    </w:p>
    <w:p w14:paraId="0624E086" w14:textId="77777777" w:rsidR="006137E6" w:rsidRPr="003E1719" w:rsidRDefault="006137E6" w:rsidP="000D7B89">
      <w:pPr>
        <w:widowControl w:val="0"/>
        <w:spacing w:after="0" w:line="240" w:lineRule="auto"/>
        <w:rPr>
          <w:rFonts w:ascii="Times New Roman" w:eastAsia="Times New Roman" w:hAnsi="Times New Roman" w:cs="Times New Roman"/>
          <w:lang w:eastAsia="sl-SI"/>
        </w:rPr>
      </w:pPr>
    </w:p>
    <w:p w14:paraId="4FC62E99"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p>
    <w:p w14:paraId="00F68D16" w14:textId="77777777" w:rsidR="000D7B89" w:rsidRPr="003E1719" w:rsidRDefault="000D7B89" w:rsidP="000D7B89">
      <w:pPr>
        <w:widowControl w:val="0"/>
        <w:spacing w:after="0" w:line="240" w:lineRule="auto"/>
        <w:rPr>
          <w:rFonts w:ascii="Times New Roman" w:eastAsia="Times New Roman" w:hAnsi="Times New Roman" w:cs="Times New Roman"/>
          <w:b/>
          <w:lang w:eastAsia="sl-SI"/>
        </w:rPr>
      </w:pPr>
      <w:r w:rsidRPr="003E1719">
        <w:rPr>
          <w:rFonts w:ascii="Times New Roman" w:eastAsia="Times New Roman" w:hAnsi="Times New Roman" w:cs="Times New Roman"/>
          <w:b/>
          <w:lang w:eastAsia="sl-SI"/>
        </w:rPr>
        <w:t>Šis vaistas Europos ekonominės erdvės valstybėse narėse registruotas</w:t>
      </w:r>
      <w:r w:rsidRPr="003E1719" w:rsidDel="00DC45A6">
        <w:rPr>
          <w:rFonts w:ascii="Times New Roman" w:eastAsia="Times New Roman" w:hAnsi="Times New Roman" w:cs="Times New Roman"/>
          <w:b/>
          <w:lang w:eastAsia="sl-SI"/>
        </w:rPr>
        <w:t xml:space="preserve"> </w:t>
      </w:r>
      <w:r w:rsidRPr="003E1719">
        <w:rPr>
          <w:rFonts w:ascii="Times New Roman" w:eastAsia="Times New Roman" w:hAnsi="Times New Roman" w:cs="Times New Roman"/>
          <w:b/>
          <w:lang w:eastAsia="sl-SI"/>
        </w:rPr>
        <w:t>tokiais pavadinimais:</w:t>
      </w:r>
    </w:p>
    <w:p w14:paraId="0D8F2EE1" w14:textId="2F8E6D18" w:rsidR="000D7B89" w:rsidRPr="008B4659" w:rsidRDefault="00063465" w:rsidP="008B4659">
      <w:pPr>
        <w:autoSpaceDE w:val="0"/>
        <w:autoSpaceDN w:val="0"/>
        <w:adjustRightInd w:val="0"/>
        <w:spacing w:after="0" w:line="240" w:lineRule="auto"/>
        <w:rPr>
          <w:rFonts w:ascii="Times New Roman" w:eastAsia="Times New Roman" w:hAnsi="Times New Roman" w:cs="Times New Roman"/>
          <w:lang w:eastAsia="sl-SI"/>
        </w:rPr>
      </w:pPr>
      <w:r w:rsidRPr="00063465">
        <w:rPr>
          <w:rFonts w:ascii="Times New Roman" w:eastAsia="Times New Roman" w:hAnsi="Times New Roman" w:cs="Times New Roman"/>
          <w:b/>
          <w:lang w:eastAsia="sl-SI"/>
        </w:rPr>
        <w:t xml:space="preserve">Čekija: </w:t>
      </w:r>
      <w:r w:rsidRPr="008B4659">
        <w:rPr>
          <w:rFonts w:ascii="Times New Roman" w:eastAsia="Times New Roman" w:hAnsi="Times New Roman" w:cs="Times New Roman"/>
          <w:lang w:eastAsia="sl-SI"/>
        </w:rPr>
        <w:t>Rosuvastatin/Ezetimibe Teva CR</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b/>
          <w:lang w:eastAsia="sl-SI"/>
        </w:rPr>
        <w:t>Ispanija:</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Rosuvastatina/Ezetimiba Teva 10 mg/10 mg</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comprimidos recubiertos con pel</w:t>
      </w:r>
      <w:r w:rsidRPr="008B4659">
        <w:rPr>
          <w:rFonts w:ascii="Times New Roman" w:eastAsia="Times New Roman" w:hAnsi="Times New Roman" w:cs="Times New Roman" w:hint="eastAsia"/>
          <w:lang w:eastAsia="sl-SI"/>
        </w:rPr>
        <w:t>í</w:t>
      </w:r>
      <w:r w:rsidRPr="008B4659">
        <w:rPr>
          <w:rFonts w:ascii="Times New Roman" w:eastAsia="Times New Roman" w:hAnsi="Times New Roman" w:cs="Times New Roman"/>
          <w:lang w:eastAsia="sl-SI"/>
        </w:rPr>
        <w:t>cula, Rosuvastatina/Ezetimiba Teva 20 mg/10 mg</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comprimidos recubiertos con pel</w:t>
      </w:r>
      <w:r w:rsidRPr="008B4659">
        <w:rPr>
          <w:rFonts w:ascii="Times New Roman" w:eastAsia="Times New Roman" w:hAnsi="Times New Roman" w:cs="Times New Roman" w:hint="eastAsia"/>
          <w:lang w:eastAsia="sl-SI"/>
        </w:rPr>
        <w:t>í</w:t>
      </w:r>
      <w:r w:rsidRPr="008B4659">
        <w:rPr>
          <w:rFonts w:ascii="Times New Roman" w:eastAsia="Times New Roman" w:hAnsi="Times New Roman" w:cs="Times New Roman"/>
          <w:lang w:eastAsia="sl-SI"/>
        </w:rPr>
        <w:t>cula</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b/>
          <w:lang w:eastAsia="sl-SI"/>
        </w:rPr>
        <w:t>Portugalija:</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Rosuvastatina + Ezetimiba ratiopharm</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b/>
          <w:lang w:eastAsia="sl-SI"/>
        </w:rPr>
        <w:t>Estija:</w:t>
      </w:r>
      <w:r>
        <w:rPr>
          <w:rFonts w:ascii="Times New Roman" w:eastAsia="Times New Roman" w:hAnsi="Times New Roman" w:cs="Times New Roman"/>
          <w:b/>
          <w:lang w:eastAsia="sl-SI"/>
        </w:rPr>
        <w:t xml:space="preserve"> </w:t>
      </w:r>
      <w:r w:rsidRPr="008B4659">
        <w:rPr>
          <w:rFonts w:ascii="Times New Roman" w:eastAsia="Times New Roman" w:hAnsi="Times New Roman" w:cs="Times New Roman"/>
          <w:lang w:eastAsia="sl-SI"/>
        </w:rPr>
        <w:t>Rosuvastatin/ Ezetimibe Teva</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b/>
          <w:lang w:eastAsia="sl-SI"/>
        </w:rPr>
        <w:t>Latvia:</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Rosuvastatin/ Ezetimibe Teva 10</w:t>
      </w:r>
      <w:r w:rsidR="00212A78">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mg/10</w:t>
      </w:r>
      <w:r w:rsidR="00212A78">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mg</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apvalkot</w:t>
      </w:r>
      <w:r w:rsidRPr="008B4659">
        <w:rPr>
          <w:rFonts w:ascii="Times New Roman" w:eastAsia="Times New Roman" w:hAnsi="Times New Roman" w:cs="Times New Roman" w:hint="eastAsia"/>
          <w:lang w:eastAsia="sl-SI"/>
        </w:rPr>
        <w:t>ā</w:t>
      </w:r>
      <w:r w:rsidRPr="008B4659">
        <w:rPr>
          <w:rFonts w:ascii="Times New Roman" w:eastAsia="Times New Roman" w:hAnsi="Times New Roman" w:cs="Times New Roman"/>
          <w:lang w:eastAsia="sl-SI"/>
        </w:rPr>
        <w:t>s tabletes, Rosuvastatin/Ezetimibe Teva 20</w:t>
      </w:r>
      <w:r w:rsidR="00212A78">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mg/10</w:t>
      </w:r>
      <w:r w:rsidR="00212A78">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mg</w:t>
      </w:r>
      <w:r>
        <w:rPr>
          <w:rFonts w:ascii="Times New Roman" w:eastAsia="Times New Roman" w:hAnsi="Times New Roman" w:cs="Times New Roman"/>
          <w:lang w:eastAsia="sl-SI"/>
        </w:rPr>
        <w:t xml:space="preserve"> </w:t>
      </w:r>
      <w:r w:rsidRPr="008B4659">
        <w:rPr>
          <w:rFonts w:ascii="Times New Roman" w:eastAsia="Times New Roman" w:hAnsi="Times New Roman" w:cs="Times New Roman"/>
          <w:lang w:eastAsia="sl-SI"/>
        </w:rPr>
        <w:t>apvalkot</w:t>
      </w:r>
      <w:r w:rsidRPr="008B4659">
        <w:rPr>
          <w:rFonts w:ascii="Times New Roman" w:eastAsia="Times New Roman" w:hAnsi="Times New Roman" w:cs="Times New Roman" w:hint="eastAsia"/>
          <w:lang w:eastAsia="sl-SI"/>
        </w:rPr>
        <w:t>ā</w:t>
      </w:r>
      <w:r w:rsidRPr="008B4659">
        <w:rPr>
          <w:rFonts w:ascii="Times New Roman" w:eastAsia="Times New Roman" w:hAnsi="Times New Roman" w:cs="Times New Roman"/>
          <w:lang w:eastAsia="sl-SI"/>
        </w:rPr>
        <w:t>s tabletes</w:t>
      </w:r>
    </w:p>
    <w:p w14:paraId="490635D2" w14:textId="77777777" w:rsidR="000D7B89" w:rsidRPr="003E1719" w:rsidRDefault="000D7B89" w:rsidP="000D7B89">
      <w:pPr>
        <w:widowControl w:val="0"/>
        <w:numPr>
          <w:ilvl w:val="12"/>
          <w:numId w:val="0"/>
        </w:numPr>
        <w:spacing w:after="0" w:line="240" w:lineRule="auto"/>
        <w:ind w:right="-2"/>
        <w:rPr>
          <w:rFonts w:ascii="Times New Roman" w:eastAsia="Times New Roman" w:hAnsi="Times New Roman" w:cs="Times New Roman"/>
          <w:b/>
          <w:lang w:eastAsia="sl-SI"/>
        </w:rPr>
      </w:pPr>
    </w:p>
    <w:p w14:paraId="0E4B9498" w14:textId="2311B232" w:rsidR="003E7227" w:rsidRDefault="000D7B89" w:rsidP="003E7227">
      <w:pPr>
        <w:numPr>
          <w:ilvl w:val="12"/>
          <w:numId w:val="0"/>
        </w:numPr>
        <w:ind w:right="-2"/>
        <w:rPr>
          <w:b/>
        </w:rPr>
      </w:pPr>
      <w:r w:rsidRPr="003E1719">
        <w:rPr>
          <w:rFonts w:ascii="Times New Roman" w:eastAsia="Times New Roman" w:hAnsi="Times New Roman" w:cs="Times New Roman"/>
          <w:b/>
          <w:lang w:eastAsia="sl-SI"/>
        </w:rPr>
        <w:t xml:space="preserve">Šis pakuotės lapelis paskutinį kartą peržiūrėtas </w:t>
      </w:r>
      <w:r w:rsidR="00D613B0">
        <w:rPr>
          <w:rFonts w:ascii="Times New Roman" w:eastAsia="Times New Roman" w:hAnsi="Times New Roman" w:cs="Times New Roman"/>
          <w:b/>
          <w:lang w:eastAsia="sl-SI"/>
        </w:rPr>
        <w:t>2023-11-20.</w:t>
      </w:r>
    </w:p>
    <w:p w14:paraId="0490382E" w14:textId="77777777" w:rsidR="000D7B89" w:rsidRPr="003E1719" w:rsidRDefault="000D7B89" w:rsidP="003E7227">
      <w:pPr>
        <w:rPr>
          <w:rFonts w:ascii="Times New Roman" w:eastAsia="Times New Roman" w:hAnsi="Times New Roman" w:cs="Times New Roman"/>
          <w:lang w:eastAsia="sl-SI"/>
        </w:rPr>
      </w:pPr>
    </w:p>
    <w:p w14:paraId="2BC7EF97" w14:textId="77777777" w:rsidR="000D7B89" w:rsidRPr="003E1719" w:rsidRDefault="000D7B89" w:rsidP="000D7B89">
      <w:pPr>
        <w:widowControl w:val="0"/>
        <w:spacing w:after="0" w:line="240" w:lineRule="auto"/>
        <w:rPr>
          <w:rFonts w:ascii="Times New Roman" w:eastAsia="Times New Roman" w:hAnsi="Times New Roman" w:cs="Times New Roman"/>
          <w:u w:val="single"/>
          <w:lang w:eastAsia="sl-SI"/>
        </w:rPr>
      </w:pPr>
      <w:r w:rsidRPr="003E1719">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3E1719">
        <w:rPr>
          <w:rFonts w:ascii="Times New Roman" w:eastAsia="Times New Roman" w:hAnsi="Times New Roman" w:cs="Times New Roman"/>
          <w:i/>
          <w:lang w:eastAsia="sl-SI"/>
        </w:rPr>
        <w:t xml:space="preserve"> </w:t>
      </w:r>
      <w:hyperlink r:id="rId9" w:history="1">
        <w:r w:rsidRPr="003E1719">
          <w:rPr>
            <w:rFonts w:ascii="Times New Roman" w:eastAsia="SimSun" w:hAnsi="Times New Roman" w:cs="Times New Roman"/>
            <w:snapToGrid w:val="0"/>
            <w:color w:val="0000FF"/>
            <w:u w:val="single"/>
          </w:rPr>
          <w:t>http://www.vvkt.lt/</w:t>
        </w:r>
      </w:hyperlink>
    </w:p>
    <w:p w14:paraId="303F3425" w14:textId="77777777" w:rsidR="000D7B89" w:rsidRPr="003E1719" w:rsidRDefault="000D7B89" w:rsidP="000D7B89">
      <w:pPr>
        <w:rPr>
          <w:rFonts w:ascii="Times New Roman" w:hAnsi="Times New Roman" w:cs="Times New Roman"/>
        </w:rPr>
      </w:pPr>
    </w:p>
    <w:p w14:paraId="03C04371" w14:textId="77777777" w:rsidR="00447A78" w:rsidRPr="003E1719" w:rsidRDefault="00447A78">
      <w:pPr>
        <w:rPr>
          <w:rFonts w:ascii="Times New Roman" w:hAnsi="Times New Roman" w:cs="Times New Roman"/>
        </w:rPr>
      </w:pPr>
    </w:p>
    <w:sectPr w:rsidR="00447A78" w:rsidRPr="003E1719" w:rsidSect="008A5296">
      <w:headerReference w:type="default" r:id="rId10"/>
      <w:footerReference w:type="even" r:id="rId11"/>
      <w:footerReference w:type="defaul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5665F" w14:textId="77777777" w:rsidR="00D613B0" w:rsidRDefault="00D613B0">
      <w:pPr>
        <w:spacing w:after="0" w:line="240" w:lineRule="auto"/>
      </w:pPr>
      <w:r>
        <w:separator/>
      </w:r>
    </w:p>
  </w:endnote>
  <w:endnote w:type="continuationSeparator" w:id="0">
    <w:p w14:paraId="275253E2" w14:textId="77777777" w:rsidR="00D613B0" w:rsidRDefault="00D613B0">
      <w:pPr>
        <w:spacing w:after="0" w:line="240" w:lineRule="auto"/>
      </w:pPr>
      <w:r>
        <w:continuationSeparator/>
      </w:r>
    </w:p>
  </w:endnote>
  <w:endnote w:type="continuationNotice" w:id="1">
    <w:p w14:paraId="7DFE6391" w14:textId="77777777" w:rsidR="00D613B0" w:rsidRDefault="00D61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PSMT">
    <w:altName w:val="Malgun Gothic Semilight"/>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29D9" w14:textId="77777777" w:rsidR="00632C26" w:rsidRDefault="00632C26" w:rsidP="008A52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8845C5" w14:textId="77777777" w:rsidR="00632C26" w:rsidRDefault="00632C26" w:rsidP="008A52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012781"/>
      <w:docPartObj>
        <w:docPartGallery w:val="Page Numbers (Bottom of Page)"/>
        <w:docPartUnique/>
      </w:docPartObj>
    </w:sdtPr>
    <w:sdtEndPr>
      <w:rPr>
        <w:noProof/>
      </w:rPr>
    </w:sdtEndPr>
    <w:sdtContent>
      <w:p w14:paraId="27CF3FDC" w14:textId="2E7103DB" w:rsidR="00632C26" w:rsidRDefault="00632C26">
        <w:pPr>
          <w:pStyle w:val="Porat"/>
          <w:jc w:val="right"/>
        </w:pPr>
        <w:r>
          <w:fldChar w:fldCharType="begin"/>
        </w:r>
        <w:r>
          <w:instrText xml:space="preserve"> PAGE   \* MERGEFORMAT </w:instrText>
        </w:r>
        <w:r>
          <w:fldChar w:fldCharType="separate"/>
        </w:r>
        <w:r w:rsidR="000806CC">
          <w:rPr>
            <w:noProof/>
          </w:rPr>
          <w:t>24</w:t>
        </w:r>
        <w:r>
          <w:rPr>
            <w:noProof/>
          </w:rPr>
          <w:fldChar w:fldCharType="end"/>
        </w:r>
      </w:p>
    </w:sdtContent>
  </w:sdt>
  <w:p w14:paraId="54D1B3A3" w14:textId="77777777" w:rsidR="00632C26" w:rsidRDefault="00632C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76AF9" w14:textId="77777777" w:rsidR="00D613B0" w:rsidRDefault="00D613B0">
      <w:pPr>
        <w:spacing w:after="0" w:line="240" w:lineRule="auto"/>
      </w:pPr>
      <w:r>
        <w:separator/>
      </w:r>
    </w:p>
  </w:footnote>
  <w:footnote w:type="continuationSeparator" w:id="0">
    <w:p w14:paraId="583C61B1" w14:textId="77777777" w:rsidR="00D613B0" w:rsidRDefault="00D613B0">
      <w:pPr>
        <w:spacing w:after="0" w:line="240" w:lineRule="auto"/>
      </w:pPr>
      <w:r>
        <w:continuationSeparator/>
      </w:r>
    </w:p>
  </w:footnote>
  <w:footnote w:type="continuationNotice" w:id="1">
    <w:p w14:paraId="0AA26B59" w14:textId="77777777" w:rsidR="00D613B0" w:rsidRDefault="00D613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FF17" w14:textId="36398E69" w:rsidR="00E11CCA" w:rsidRPr="00B27168" w:rsidRDefault="00E11CCA" w:rsidP="00B27168">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52E"/>
    <w:multiLevelType w:val="hybridMultilevel"/>
    <w:tmpl w:val="E820C0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A47107"/>
    <w:multiLevelType w:val="hybridMultilevel"/>
    <w:tmpl w:val="F8BCDCE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CC2C56"/>
    <w:multiLevelType w:val="hybridMultilevel"/>
    <w:tmpl w:val="5A282282"/>
    <w:lvl w:ilvl="0" w:tplc="D450914A">
      <w:start w:val="1"/>
      <w:numFmt w:val="bullet"/>
      <w:lvlText w:val="-"/>
      <w:lvlJc w:val="left"/>
      <w:pPr>
        <w:ind w:left="787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8F500D"/>
    <w:multiLevelType w:val="hybridMultilevel"/>
    <w:tmpl w:val="4ABEDEC0"/>
    <w:lvl w:ilvl="0" w:tplc="FFFFFFFF">
      <w:start w:val="4"/>
      <w:numFmt w:val="bullet"/>
      <w:lvlText w:val="-"/>
      <w:lvlJc w:val="left"/>
      <w:pPr>
        <w:ind w:left="5606" w:hanging="360"/>
      </w:pPr>
      <w:rPr>
        <w:rFonts w:ascii="Times New Roman" w:eastAsia="Times New Roman" w:hAnsi="Times New Roman" w:cs="Times New Roman" w:hint="default"/>
      </w:rPr>
    </w:lvl>
    <w:lvl w:ilvl="1" w:tplc="04090003" w:tentative="1">
      <w:start w:val="1"/>
      <w:numFmt w:val="bullet"/>
      <w:lvlText w:val="o"/>
      <w:lvlJc w:val="left"/>
      <w:pPr>
        <w:ind w:left="6326" w:hanging="360"/>
      </w:pPr>
      <w:rPr>
        <w:rFonts w:ascii="Courier New" w:hAnsi="Courier New" w:cs="Courier New" w:hint="default"/>
      </w:rPr>
    </w:lvl>
    <w:lvl w:ilvl="2" w:tplc="04090005" w:tentative="1">
      <w:start w:val="1"/>
      <w:numFmt w:val="bullet"/>
      <w:lvlText w:val=""/>
      <w:lvlJc w:val="left"/>
      <w:pPr>
        <w:ind w:left="7046" w:hanging="360"/>
      </w:pPr>
      <w:rPr>
        <w:rFonts w:ascii="Wingdings" w:hAnsi="Wingdings" w:hint="default"/>
      </w:rPr>
    </w:lvl>
    <w:lvl w:ilvl="3" w:tplc="04090001" w:tentative="1">
      <w:start w:val="1"/>
      <w:numFmt w:val="bullet"/>
      <w:lvlText w:val=""/>
      <w:lvlJc w:val="left"/>
      <w:pPr>
        <w:ind w:left="7766" w:hanging="360"/>
      </w:pPr>
      <w:rPr>
        <w:rFonts w:ascii="Symbol" w:hAnsi="Symbol" w:hint="default"/>
      </w:rPr>
    </w:lvl>
    <w:lvl w:ilvl="4" w:tplc="04090003" w:tentative="1">
      <w:start w:val="1"/>
      <w:numFmt w:val="bullet"/>
      <w:lvlText w:val="o"/>
      <w:lvlJc w:val="left"/>
      <w:pPr>
        <w:ind w:left="8486" w:hanging="360"/>
      </w:pPr>
      <w:rPr>
        <w:rFonts w:ascii="Courier New" w:hAnsi="Courier New" w:cs="Courier New" w:hint="default"/>
      </w:rPr>
    </w:lvl>
    <w:lvl w:ilvl="5" w:tplc="04090005" w:tentative="1">
      <w:start w:val="1"/>
      <w:numFmt w:val="bullet"/>
      <w:lvlText w:val=""/>
      <w:lvlJc w:val="left"/>
      <w:pPr>
        <w:ind w:left="9206" w:hanging="360"/>
      </w:pPr>
      <w:rPr>
        <w:rFonts w:ascii="Wingdings" w:hAnsi="Wingdings" w:hint="default"/>
      </w:rPr>
    </w:lvl>
    <w:lvl w:ilvl="6" w:tplc="04090001" w:tentative="1">
      <w:start w:val="1"/>
      <w:numFmt w:val="bullet"/>
      <w:lvlText w:val=""/>
      <w:lvlJc w:val="left"/>
      <w:pPr>
        <w:ind w:left="9926" w:hanging="360"/>
      </w:pPr>
      <w:rPr>
        <w:rFonts w:ascii="Symbol" w:hAnsi="Symbol" w:hint="default"/>
      </w:rPr>
    </w:lvl>
    <w:lvl w:ilvl="7" w:tplc="04090003" w:tentative="1">
      <w:start w:val="1"/>
      <w:numFmt w:val="bullet"/>
      <w:lvlText w:val="o"/>
      <w:lvlJc w:val="left"/>
      <w:pPr>
        <w:ind w:left="10646" w:hanging="360"/>
      </w:pPr>
      <w:rPr>
        <w:rFonts w:ascii="Courier New" w:hAnsi="Courier New" w:cs="Courier New" w:hint="default"/>
      </w:rPr>
    </w:lvl>
    <w:lvl w:ilvl="8" w:tplc="04090005" w:tentative="1">
      <w:start w:val="1"/>
      <w:numFmt w:val="bullet"/>
      <w:lvlText w:val=""/>
      <w:lvlJc w:val="left"/>
      <w:pPr>
        <w:ind w:left="11366" w:hanging="360"/>
      </w:pPr>
      <w:rPr>
        <w:rFonts w:ascii="Wingdings" w:hAnsi="Wingdings" w:hint="default"/>
      </w:rPr>
    </w:lvl>
  </w:abstractNum>
  <w:abstractNum w:abstractNumId="9"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432083"/>
    <w:multiLevelType w:val="hybridMultilevel"/>
    <w:tmpl w:val="0178DA7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1B7E98"/>
    <w:multiLevelType w:val="hybridMultilevel"/>
    <w:tmpl w:val="BA5A96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F384D"/>
    <w:multiLevelType w:val="hybridMultilevel"/>
    <w:tmpl w:val="6562D1A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EE0FAA"/>
    <w:multiLevelType w:val="hybridMultilevel"/>
    <w:tmpl w:val="20560F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B0E55"/>
    <w:multiLevelType w:val="hybridMultilevel"/>
    <w:tmpl w:val="99E0C84C"/>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20"/>
  </w:num>
  <w:num w:numId="5">
    <w:abstractNumId w:val="16"/>
  </w:num>
  <w:num w:numId="6">
    <w:abstractNumId w:val="1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9"/>
  </w:num>
  <w:num w:numId="11">
    <w:abstractNumId w:val="4"/>
  </w:num>
  <w:num w:numId="12">
    <w:abstractNumId w:val="7"/>
  </w:num>
  <w:num w:numId="13">
    <w:abstractNumId w:val="2"/>
  </w:num>
  <w:num w:numId="14">
    <w:abstractNumId w:val="5"/>
  </w:num>
  <w:num w:numId="15">
    <w:abstractNumId w:val="3"/>
  </w:num>
  <w:num w:numId="16">
    <w:abstractNumId w:val="21"/>
  </w:num>
  <w:num w:numId="17">
    <w:abstractNumId w:val="1"/>
  </w:num>
  <w:num w:numId="18">
    <w:abstractNumId w:val="12"/>
  </w:num>
  <w:num w:numId="19">
    <w:abstractNumId w:val="16"/>
  </w:num>
  <w:num w:numId="20">
    <w:abstractNumId w:val="13"/>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1"/>
  </w:num>
  <w:num w:numId="25">
    <w:abstractNumId w:val="1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89"/>
    <w:rsid w:val="00014888"/>
    <w:rsid w:val="0003506E"/>
    <w:rsid w:val="000456E9"/>
    <w:rsid w:val="00050413"/>
    <w:rsid w:val="00061E1F"/>
    <w:rsid w:val="00063465"/>
    <w:rsid w:val="00063673"/>
    <w:rsid w:val="000806CC"/>
    <w:rsid w:val="000835A8"/>
    <w:rsid w:val="00085791"/>
    <w:rsid w:val="000A2458"/>
    <w:rsid w:val="000B502A"/>
    <w:rsid w:val="000D4EDB"/>
    <w:rsid w:val="000D7B89"/>
    <w:rsid w:val="001028D7"/>
    <w:rsid w:val="00117EB2"/>
    <w:rsid w:val="001235A4"/>
    <w:rsid w:val="00131154"/>
    <w:rsid w:val="0016005B"/>
    <w:rsid w:val="0016282D"/>
    <w:rsid w:val="00174A45"/>
    <w:rsid w:val="001877DB"/>
    <w:rsid w:val="001A1411"/>
    <w:rsid w:val="001A48E8"/>
    <w:rsid w:val="001C01E5"/>
    <w:rsid w:val="001C1825"/>
    <w:rsid w:val="001E2BF3"/>
    <w:rsid w:val="001F765F"/>
    <w:rsid w:val="001F7838"/>
    <w:rsid w:val="00202172"/>
    <w:rsid w:val="00212A78"/>
    <w:rsid w:val="00214B02"/>
    <w:rsid w:val="0023749A"/>
    <w:rsid w:val="00246480"/>
    <w:rsid w:val="0025054B"/>
    <w:rsid w:val="002621BC"/>
    <w:rsid w:val="00265E26"/>
    <w:rsid w:val="002663CC"/>
    <w:rsid w:val="002700BB"/>
    <w:rsid w:val="00285B7E"/>
    <w:rsid w:val="002860C1"/>
    <w:rsid w:val="002905FE"/>
    <w:rsid w:val="00297FD4"/>
    <w:rsid w:val="002A7A99"/>
    <w:rsid w:val="002D79D3"/>
    <w:rsid w:val="002E09BF"/>
    <w:rsid w:val="002E45E6"/>
    <w:rsid w:val="00301188"/>
    <w:rsid w:val="00326CA2"/>
    <w:rsid w:val="00340038"/>
    <w:rsid w:val="00375D9D"/>
    <w:rsid w:val="00376117"/>
    <w:rsid w:val="00390D6B"/>
    <w:rsid w:val="0039300C"/>
    <w:rsid w:val="00396E96"/>
    <w:rsid w:val="003A3C14"/>
    <w:rsid w:val="003E15FA"/>
    <w:rsid w:val="003E1719"/>
    <w:rsid w:val="003E7227"/>
    <w:rsid w:val="003F07B6"/>
    <w:rsid w:val="004042B8"/>
    <w:rsid w:val="00421000"/>
    <w:rsid w:val="0042691E"/>
    <w:rsid w:val="00447A78"/>
    <w:rsid w:val="004708E6"/>
    <w:rsid w:val="00476AFC"/>
    <w:rsid w:val="00487BAD"/>
    <w:rsid w:val="004A3CA2"/>
    <w:rsid w:val="004B1D9C"/>
    <w:rsid w:val="004B5202"/>
    <w:rsid w:val="004C2D3B"/>
    <w:rsid w:val="004E055B"/>
    <w:rsid w:val="004E6A27"/>
    <w:rsid w:val="0051045D"/>
    <w:rsid w:val="005325F4"/>
    <w:rsid w:val="00563426"/>
    <w:rsid w:val="0056598A"/>
    <w:rsid w:val="00573D24"/>
    <w:rsid w:val="0057404E"/>
    <w:rsid w:val="00597048"/>
    <w:rsid w:val="005A04BF"/>
    <w:rsid w:val="005B0496"/>
    <w:rsid w:val="005C0E3C"/>
    <w:rsid w:val="005D7868"/>
    <w:rsid w:val="005E2441"/>
    <w:rsid w:val="0060426E"/>
    <w:rsid w:val="00604AD6"/>
    <w:rsid w:val="00610B55"/>
    <w:rsid w:val="006137E6"/>
    <w:rsid w:val="0061576A"/>
    <w:rsid w:val="00617E1A"/>
    <w:rsid w:val="0063178F"/>
    <w:rsid w:val="00632C26"/>
    <w:rsid w:val="00640E25"/>
    <w:rsid w:val="00660588"/>
    <w:rsid w:val="00665E57"/>
    <w:rsid w:val="00686710"/>
    <w:rsid w:val="006906FA"/>
    <w:rsid w:val="006930F7"/>
    <w:rsid w:val="006958A9"/>
    <w:rsid w:val="006A6F6F"/>
    <w:rsid w:val="006B7C18"/>
    <w:rsid w:val="006E5772"/>
    <w:rsid w:val="006F7E68"/>
    <w:rsid w:val="007026D6"/>
    <w:rsid w:val="0070781A"/>
    <w:rsid w:val="007114AE"/>
    <w:rsid w:val="007119D5"/>
    <w:rsid w:val="00787A7D"/>
    <w:rsid w:val="00794437"/>
    <w:rsid w:val="007A535D"/>
    <w:rsid w:val="007C7336"/>
    <w:rsid w:val="007D2ECF"/>
    <w:rsid w:val="007D5858"/>
    <w:rsid w:val="007F39B8"/>
    <w:rsid w:val="00821EE6"/>
    <w:rsid w:val="00823899"/>
    <w:rsid w:val="00891F73"/>
    <w:rsid w:val="008A5296"/>
    <w:rsid w:val="008B4659"/>
    <w:rsid w:val="008B4FC2"/>
    <w:rsid w:val="008D5E3A"/>
    <w:rsid w:val="008D7E47"/>
    <w:rsid w:val="008F01E3"/>
    <w:rsid w:val="008F5608"/>
    <w:rsid w:val="009019B5"/>
    <w:rsid w:val="00953BD4"/>
    <w:rsid w:val="00954A79"/>
    <w:rsid w:val="009707B3"/>
    <w:rsid w:val="00974C37"/>
    <w:rsid w:val="009A34B9"/>
    <w:rsid w:val="009C3414"/>
    <w:rsid w:val="009C569A"/>
    <w:rsid w:val="009D4411"/>
    <w:rsid w:val="009E4CC0"/>
    <w:rsid w:val="009E773A"/>
    <w:rsid w:val="00A00070"/>
    <w:rsid w:val="00A10E6D"/>
    <w:rsid w:val="00A1221A"/>
    <w:rsid w:val="00A72C0F"/>
    <w:rsid w:val="00A8693D"/>
    <w:rsid w:val="00AA60B5"/>
    <w:rsid w:val="00AB5EAB"/>
    <w:rsid w:val="00AC7CC7"/>
    <w:rsid w:val="00AD180C"/>
    <w:rsid w:val="00AF3800"/>
    <w:rsid w:val="00B009C1"/>
    <w:rsid w:val="00B10141"/>
    <w:rsid w:val="00B1609A"/>
    <w:rsid w:val="00B16F53"/>
    <w:rsid w:val="00B20BF8"/>
    <w:rsid w:val="00B23565"/>
    <w:rsid w:val="00B27168"/>
    <w:rsid w:val="00B30E5B"/>
    <w:rsid w:val="00B3735E"/>
    <w:rsid w:val="00B47A4C"/>
    <w:rsid w:val="00B7312C"/>
    <w:rsid w:val="00B8515C"/>
    <w:rsid w:val="00B85988"/>
    <w:rsid w:val="00B85D52"/>
    <w:rsid w:val="00B94D0E"/>
    <w:rsid w:val="00BA4804"/>
    <w:rsid w:val="00BA759E"/>
    <w:rsid w:val="00BB68AD"/>
    <w:rsid w:val="00BE4A1E"/>
    <w:rsid w:val="00BF4897"/>
    <w:rsid w:val="00BF5DAF"/>
    <w:rsid w:val="00C36A3E"/>
    <w:rsid w:val="00C378E9"/>
    <w:rsid w:val="00C42574"/>
    <w:rsid w:val="00C50133"/>
    <w:rsid w:val="00C65EAF"/>
    <w:rsid w:val="00C7125F"/>
    <w:rsid w:val="00C7524D"/>
    <w:rsid w:val="00CB0585"/>
    <w:rsid w:val="00CB23E0"/>
    <w:rsid w:val="00CC4468"/>
    <w:rsid w:val="00CE01C0"/>
    <w:rsid w:val="00CE6C59"/>
    <w:rsid w:val="00D27244"/>
    <w:rsid w:val="00D3763F"/>
    <w:rsid w:val="00D43343"/>
    <w:rsid w:val="00D4378F"/>
    <w:rsid w:val="00D613B0"/>
    <w:rsid w:val="00D7371A"/>
    <w:rsid w:val="00D7744E"/>
    <w:rsid w:val="00DC762A"/>
    <w:rsid w:val="00DD5F18"/>
    <w:rsid w:val="00DE3361"/>
    <w:rsid w:val="00DF43C6"/>
    <w:rsid w:val="00E11CCA"/>
    <w:rsid w:val="00E15D2A"/>
    <w:rsid w:val="00E16F8F"/>
    <w:rsid w:val="00E40060"/>
    <w:rsid w:val="00E4405B"/>
    <w:rsid w:val="00E567DD"/>
    <w:rsid w:val="00E5772D"/>
    <w:rsid w:val="00E81FF9"/>
    <w:rsid w:val="00E93F12"/>
    <w:rsid w:val="00E94601"/>
    <w:rsid w:val="00EA0171"/>
    <w:rsid w:val="00EC0BD2"/>
    <w:rsid w:val="00EC0E8B"/>
    <w:rsid w:val="00ED3C1E"/>
    <w:rsid w:val="00ED48DF"/>
    <w:rsid w:val="00EF123B"/>
    <w:rsid w:val="00F026F8"/>
    <w:rsid w:val="00F04C1F"/>
    <w:rsid w:val="00F07F1C"/>
    <w:rsid w:val="00F41B96"/>
    <w:rsid w:val="00F621AA"/>
    <w:rsid w:val="00F72942"/>
    <w:rsid w:val="00F73B16"/>
    <w:rsid w:val="00F81416"/>
    <w:rsid w:val="00F82197"/>
    <w:rsid w:val="00F845C5"/>
    <w:rsid w:val="00F95431"/>
    <w:rsid w:val="00FA1751"/>
    <w:rsid w:val="00FB0B3C"/>
    <w:rsid w:val="00FB10D2"/>
    <w:rsid w:val="00FB4C2D"/>
    <w:rsid w:val="00FD3237"/>
    <w:rsid w:val="00FF4691"/>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5B76"/>
  <w15:docId w15:val="{8E4390F4-DC89-4406-A54C-E3F421C3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EDB"/>
    <w:pPr>
      <w:spacing w:line="256" w:lineRule="auto"/>
    </w:pPr>
    <w:rPr>
      <w:lang w:val="lt-LT"/>
    </w:rPr>
  </w:style>
  <w:style w:type="paragraph" w:styleId="Antrat1">
    <w:name w:val="heading 1"/>
    <w:basedOn w:val="prastasis"/>
    <w:next w:val="prastasis"/>
    <w:link w:val="Antrat1Diagrama"/>
    <w:qFormat/>
    <w:rsid w:val="000D7B89"/>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0D7B89"/>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0D7B89"/>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0D7B89"/>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0D7B89"/>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0D7B89"/>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0D7B8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0D7B89"/>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0D7B89"/>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pPr>
      <w:spacing w:after="0" w:line="240" w:lineRule="auto"/>
    </w:pPr>
    <w:rPr>
      <w:rFonts w:ascii="Times New Roman" w:eastAsia="Times New Roman" w:hAnsi="Times New Roman" w:cs="Times New Roman"/>
      <w:szCs w:val="20"/>
    </w:rPr>
  </w:style>
  <w:style w:type="character" w:customStyle="1" w:styleId="Antrat1Diagrama">
    <w:name w:val="Antraštė 1 Diagrama"/>
    <w:basedOn w:val="Numatytasispastraiposriftas"/>
    <w:link w:val="Antrat1"/>
    <w:rsid w:val="000D7B8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rsid w:val="000D7B8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0D7B8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0D7B8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0D7B8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0D7B8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D7B8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D7B8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D7B8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0D7B89"/>
  </w:style>
  <w:style w:type="paragraph" w:styleId="Porat">
    <w:name w:val="footer"/>
    <w:basedOn w:val="prastasis"/>
    <w:link w:val="PoratDiagrama"/>
    <w:uiPriority w:val="99"/>
    <w:rsid w:val="000D7B89"/>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0D7B89"/>
    <w:rPr>
      <w:rFonts w:ascii="Times New Roman" w:eastAsia="Times New Roman" w:hAnsi="Times New Roman" w:cs="Times New Roman"/>
      <w:snapToGrid w:val="0"/>
      <w:szCs w:val="20"/>
      <w:lang w:val="en-GB" w:eastAsia="x-none"/>
    </w:rPr>
  </w:style>
  <w:style w:type="character" w:customStyle="1" w:styleId="HeaderChar">
    <w:name w:val="Header Char"/>
    <w:rsid w:val="000D7B89"/>
    <w:rPr>
      <w:snapToGrid w:val="0"/>
      <w:sz w:val="22"/>
      <w:lang w:val="en-GB" w:eastAsia="en-US"/>
    </w:rPr>
  </w:style>
  <w:style w:type="character" w:styleId="Puslapionumeris">
    <w:name w:val="page number"/>
    <w:rsid w:val="000D7B89"/>
    <w:rPr>
      <w:rFonts w:cs="Times New Roman"/>
    </w:rPr>
  </w:style>
  <w:style w:type="character" w:styleId="Hipersaitas">
    <w:name w:val="Hyperlink"/>
    <w:rsid w:val="000D7B89"/>
    <w:rPr>
      <w:color w:val="0000FF"/>
      <w:u w:val="single"/>
    </w:rPr>
  </w:style>
  <w:style w:type="paragraph" w:customStyle="1" w:styleId="BodytextAgency">
    <w:name w:val="Body text (Agency)"/>
    <w:basedOn w:val="prastasis"/>
    <w:link w:val="BodytextAgencyChar"/>
    <w:uiPriority w:val="99"/>
    <w:rsid w:val="000D7B89"/>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0D7B8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0D7B8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0D7B89"/>
    <w:rPr>
      <w:rFonts w:ascii="Courier New" w:hAnsi="Courier New"/>
      <w:color w:val="00FF00"/>
      <w:sz w:val="40"/>
    </w:rPr>
  </w:style>
  <w:style w:type="character" w:customStyle="1" w:styleId="tw4winTerm">
    <w:name w:val="tw4winTerm"/>
    <w:uiPriority w:val="99"/>
    <w:rsid w:val="000D7B89"/>
    <w:rPr>
      <w:color w:val="0000FF"/>
    </w:rPr>
  </w:style>
  <w:style w:type="character" w:customStyle="1" w:styleId="tw4winPopup">
    <w:name w:val="tw4winPopup"/>
    <w:uiPriority w:val="99"/>
    <w:rsid w:val="000D7B89"/>
    <w:rPr>
      <w:rFonts w:ascii="Courier New" w:hAnsi="Courier New"/>
      <w:noProof/>
      <w:color w:val="008000"/>
    </w:rPr>
  </w:style>
  <w:style w:type="character" w:customStyle="1" w:styleId="tw4winJump">
    <w:name w:val="tw4winJump"/>
    <w:uiPriority w:val="99"/>
    <w:rsid w:val="000D7B89"/>
    <w:rPr>
      <w:rFonts w:ascii="Courier New" w:hAnsi="Courier New"/>
      <w:noProof/>
      <w:color w:val="008080"/>
    </w:rPr>
  </w:style>
  <w:style w:type="character" w:customStyle="1" w:styleId="tw4winExternal">
    <w:name w:val="tw4winExternal"/>
    <w:uiPriority w:val="99"/>
    <w:rsid w:val="000D7B89"/>
    <w:rPr>
      <w:rFonts w:ascii="Courier New" w:hAnsi="Courier New"/>
      <w:noProof/>
      <w:color w:val="808080"/>
    </w:rPr>
  </w:style>
  <w:style w:type="character" w:customStyle="1" w:styleId="tw4winInternal">
    <w:name w:val="tw4winInternal"/>
    <w:uiPriority w:val="99"/>
    <w:rsid w:val="000D7B89"/>
    <w:rPr>
      <w:rFonts w:ascii="Courier New" w:hAnsi="Courier New"/>
      <w:noProof/>
      <w:color w:val="FF0000"/>
    </w:rPr>
  </w:style>
  <w:style w:type="character" w:customStyle="1" w:styleId="DONOTTRANSLATE">
    <w:name w:val="DO_NOT_TRANSLATE"/>
    <w:uiPriority w:val="99"/>
    <w:rsid w:val="000D7B89"/>
    <w:rPr>
      <w:rFonts w:ascii="Courier New" w:hAnsi="Courier New"/>
      <w:noProof/>
      <w:color w:val="800000"/>
    </w:rPr>
  </w:style>
  <w:style w:type="paragraph" w:styleId="Debesliotekstas">
    <w:name w:val="Balloon Text"/>
    <w:basedOn w:val="prastasis"/>
    <w:link w:val="DebesliotekstasDiagrama"/>
    <w:rsid w:val="000D7B89"/>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0D7B89"/>
    <w:rPr>
      <w:rFonts w:ascii="Tahoma" w:eastAsia="Times New Roman" w:hAnsi="Tahoma" w:cs="Times New Roman"/>
      <w:snapToGrid w:val="0"/>
      <w:sz w:val="16"/>
      <w:szCs w:val="16"/>
      <w:lang w:val="en-GB" w:eastAsia="x-none"/>
    </w:rPr>
  </w:style>
  <w:style w:type="character" w:styleId="Komentaronuoroda">
    <w:name w:val="annotation reference"/>
    <w:rsid w:val="000D7B89"/>
    <w:rPr>
      <w:sz w:val="16"/>
      <w:szCs w:val="16"/>
    </w:rPr>
  </w:style>
  <w:style w:type="paragraph" w:styleId="Komentarotekstas">
    <w:name w:val="annotation text"/>
    <w:basedOn w:val="prastasis"/>
    <w:link w:val="KomentarotekstasDiagrama"/>
    <w:rsid w:val="000D7B89"/>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0D7B8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0D7B89"/>
    <w:rPr>
      <w:b/>
      <w:bCs/>
    </w:rPr>
  </w:style>
  <w:style w:type="character" w:customStyle="1" w:styleId="KomentarotemaDiagrama">
    <w:name w:val="Komentaro tema Diagrama"/>
    <w:basedOn w:val="KomentarotekstasDiagrama"/>
    <w:link w:val="Komentarotema"/>
    <w:rsid w:val="000D7B8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0D7B8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0D7B8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0D7B89"/>
    <w:rPr>
      <w:rFonts w:ascii="Courier New" w:hAnsi="Courier New"/>
      <w:vanish/>
      <w:color w:val="800080"/>
      <w:sz w:val="24"/>
      <w:vertAlign w:val="subscript"/>
    </w:rPr>
  </w:style>
  <w:style w:type="paragraph" w:styleId="Antrats">
    <w:name w:val="header"/>
    <w:basedOn w:val="prastasis"/>
    <w:link w:val="AntratsDiagrama"/>
    <w:rsid w:val="000D7B89"/>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0D7B89"/>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0D7B8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0D7B8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D7B8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0D7B8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D7B8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0D7B8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D7B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0D7B89"/>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0D7B89"/>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0D7B8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0D7B8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0D7B8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D7B8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D7B89"/>
    <w:pPr>
      <w:tabs>
        <w:tab w:val="clear" w:pos="720"/>
        <w:tab w:val="num" w:pos="360"/>
      </w:tabs>
      <w:ind w:left="709" w:hanging="425"/>
    </w:pPr>
    <w:rPr>
      <w:sz w:val="22"/>
    </w:rPr>
  </w:style>
  <w:style w:type="paragraph" w:customStyle="1" w:styleId="AHeader3">
    <w:name w:val="AHeader 3"/>
    <w:basedOn w:val="AHeader2"/>
    <w:uiPriority w:val="99"/>
    <w:rsid w:val="000D7B89"/>
    <w:pPr>
      <w:ind w:left="1276" w:hanging="567"/>
    </w:pPr>
  </w:style>
  <w:style w:type="paragraph" w:customStyle="1" w:styleId="AHeader2abc">
    <w:name w:val="AHeader 2 abc"/>
    <w:basedOn w:val="AHeader3"/>
    <w:uiPriority w:val="99"/>
    <w:rsid w:val="000D7B89"/>
    <w:pPr>
      <w:jc w:val="both"/>
    </w:pPr>
    <w:rPr>
      <w:b w:val="0"/>
      <w:bCs w:val="0"/>
    </w:rPr>
  </w:style>
  <w:style w:type="paragraph" w:customStyle="1" w:styleId="AHeader3abc">
    <w:name w:val="AHeader 3 abc"/>
    <w:basedOn w:val="AHeader2abc"/>
    <w:uiPriority w:val="99"/>
    <w:rsid w:val="000D7B89"/>
    <w:pPr>
      <w:ind w:left="1701" w:hanging="425"/>
    </w:pPr>
  </w:style>
  <w:style w:type="paragraph" w:styleId="Pagrindiniotekstotrauka3">
    <w:name w:val="Body Text Indent 3"/>
    <w:basedOn w:val="prastasis"/>
    <w:link w:val="Pagrindiniotekstotrauka3Diagrama"/>
    <w:uiPriority w:val="99"/>
    <w:rsid w:val="000D7B8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0D7B89"/>
    <w:rPr>
      <w:rFonts w:ascii="Times New Roman" w:eastAsia="SimSun" w:hAnsi="Times New Roman" w:cs="Times New Roman"/>
      <w:szCs w:val="21"/>
      <w:lang w:val="en-GB"/>
    </w:rPr>
  </w:style>
  <w:style w:type="character" w:styleId="Perirtashipersaitas">
    <w:name w:val="FollowedHyperlink"/>
    <w:rsid w:val="000D7B89"/>
    <w:rPr>
      <w:rFonts w:cs="Times New Roman"/>
      <w:color w:val="800080"/>
      <w:u w:val="single"/>
    </w:rPr>
  </w:style>
  <w:style w:type="character" w:styleId="Grietas">
    <w:name w:val="Strong"/>
    <w:qFormat/>
    <w:rsid w:val="000D7B89"/>
    <w:rPr>
      <w:rFonts w:cs="Times New Roman"/>
      <w:b/>
      <w:bCs/>
    </w:rPr>
  </w:style>
  <w:style w:type="character" w:customStyle="1" w:styleId="BodytextAgencyChar">
    <w:name w:val="Body text (Agency) Char"/>
    <w:link w:val="BodytextAgency"/>
    <w:uiPriority w:val="99"/>
    <w:locked/>
    <w:rsid w:val="000D7B8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0D7B8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D7B89"/>
    <w:pPr>
      <w:keepNext/>
    </w:pPr>
    <w:rPr>
      <w:rFonts w:eastAsia="SimSun" w:cs="Verdana"/>
      <w:b/>
      <w:snapToGrid/>
      <w:szCs w:val="18"/>
      <w:lang w:eastAsia="en-GB"/>
    </w:rPr>
  </w:style>
  <w:style w:type="character" w:customStyle="1" w:styleId="NormalAgencyChar">
    <w:name w:val="Normal (Agency) Char"/>
    <w:link w:val="NormalAgency"/>
    <w:uiPriority w:val="99"/>
    <w:locked/>
    <w:rsid w:val="000D7B8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0D7B8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0D7B89"/>
    <w:rPr>
      <w:rFonts w:ascii="Courier New" w:eastAsia="SimSun" w:hAnsi="Courier New" w:cs="Times New Roman"/>
      <w:sz w:val="20"/>
      <w:szCs w:val="20"/>
    </w:rPr>
  </w:style>
  <w:style w:type="paragraph" w:customStyle="1" w:styleId="Default">
    <w:name w:val="Default"/>
    <w:rsid w:val="000D7B8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qFormat/>
    <w:rsid w:val="000D7B89"/>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0D7B89"/>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0D7B89"/>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0D7B89"/>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0D7B89"/>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0D7B89"/>
    <w:rPr>
      <w:rFonts w:ascii="Times New Roman" w:eastAsia="SimSun" w:hAnsi="Times New Roman" w:cs="Times New Roman"/>
      <w:noProof/>
      <w:sz w:val="20"/>
      <w:szCs w:val="20"/>
      <w:lang w:val="x-none" w:eastAsia="x-none"/>
    </w:rPr>
  </w:style>
  <w:style w:type="character" w:customStyle="1" w:styleId="CharChar12">
    <w:name w:val="Char Char12"/>
    <w:locked/>
    <w:rsid w:val="000D7B89"/>
    <w:rPr>
      <w:snapToGrid w:val="0"/>
      <w:lang w:val="en-GB" w:eastAsia="en-US" w:bidi="ar-SA"/>
    </w:rPr>
  </w:style>
  <w:style w:type="table" w:styleId="Lentelstinklelis">
    <w:name w:val="Table Grid"/>
    <w:basedOn w:val="prastojilentel"/>
    <w:uiPriority w:val="59"/>
    <w:rsid w:val="000D7B89"/>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Sraonra"/>
    <w:uiPriority w:val="99"/>
    <w:semiHidden/>
    <w:unhideWhenUsed/>
    <w:rsid w:val="000D7B89"/>
  </w:style>
  <w:style w:type="table" w:customStyle="1" w:styleId="Lentelstinklelis1">
    <w:name w:val="Lentelės tinklelis1"/>
    <w:basedOn w:val="prastojilentel"/>
    <w:next w:val="Lentelstinklelis"/>
    <w:rsid w:val="000D7B8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0D7B8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0D7B89"/>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0D7B89"/>
    <w:pPr>
      <w:spacing w:before="120" w:after="0" w:line="240" w:lineRule="auto"/>
    </w:pPr>
    <w:rPr>
      <w:rFonts w:ascii="Times New Roman" w:eastAsia="Times New Roman" w:hAnsi="Times New Roman" w:cs="Times New Roman"/>
      <w:b/>
      <w:bCs/>
      <w:i/>
      <w:iCs/>
      <w:sz w:val="24"/>
      <w:szCs w:val="28"/>
      <w:lang w:val="sl-SI" w:eastAsia="sl-SI"/>
    </w:rPr>
  </w:style>
  <w:style w:type="numbering" w:customStyle="1" w:styleId="Sraonra111">
    <w:name w:val="Sąrašo nėra111"/>
    <w:next w:val="Sraonra"/>
    <w:semiHidden/>
    <w:rsid w:val="000D7B89"/>
  </w:style>
  <w:style w:type="numbering" w:customStyle="1" w:styleId="Brezseznama1">
    <w:name w:val="Brez seznama1"/>
    <w:next w:val="Sraonra"/>
    <w:semiHidden/>
    <w:rsid w:val="000D7B89"/>
  </w:style>
  <w:style w:type="numbering" w:customStyle="1" w:styleId="Brezseznama2">
    <w:name w:val="Brez seznama2"/>
    <w:next w:val="Sraonra"/>
    <w:semiHidden/>
    <w:rsid w:val="000D7B89"/>
  </w:style>
  <w:style w:type="numbering" w:customStyle="1" w:styleId="Brezseznama3">
    <w:name w:val="Brez seznama3"/>
    <w:next w:val="Sraonra"/>
    <w:semiHidden/>
    <w:rsid w:val="000D7B89"/>
  </w:style>
  <w:style w:type="numbering" w:customStyle="1" w:styleId="Brezseznama4">
    <w:name w:val="Brez seznama4"/>
    <w:next w:val="Sraonra"/>
    <w:semiHidden/>
    <w:rsid w:val="000D7B89"/>
  </w:style>
  <w:style w:type="paragraph" w:customStyle="1" w:styleId="TTEMEASMCA">
    <w:name w:val="TT EMEA_SMCA"/>
    <w:basedOn w:val="Antrat1"/>
    <w:link w:val="TTEMEASMCAChar"/>
    <w:autoRedefine/>
    <w:rsid w:val="000D7B89"/>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0D7B89"/>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0D7B89"/>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0D7B89"/>
    <w:rPr>
      <w:rFonts w:eastAsia="Times New Roman"/>
      <w:noProof w:val="0"/>
      <w:sz w:val="22"/>
      <w:szCs w:val="22"/>
      <w:u w:val="single"/>
      <w:lang w:val="lt-LT" w:eastAsia="en-US"/>
    </w:rPr>
  </w:style>
  <w:style w:type="paragraph" w:customStyle="1" w:styleId="PI-2EMEASMCA">
    <w:name w:val="PI-2 EMEA_SMCA"/>
    <w:basedOn w:val="Antrat3"/>
    <w:autoRedefine/>
    <w:rsid w:val="000D7B89"/>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0D7B8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rsid w:val="000D7B89"/>
    <w:pPr>
      <w:numPr>
        <w:numId w:val="2"/>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0D7B89"/>
    <w:rPr>
      <w:rFonts w:eastAsia="Times New Roman"/>
      <w:b/>
      <w:noProof w:val="0"/>
      <w:sz w:val="22"/>
      <w:szCs w:val="22"/>
      <w:lang w:val="lt-LT" w:eastAsia="en-US"/>
    </w:rPr>
  </w:style>
  <w:style w:type="paragraph" w:customStyle="1" w:styleId="PI-3EMEASMCA">
    <w:name w:val="PI-3 EMEA_SMCA"/>
    <w:basedOn w:val="prastasis"/>
    <w:autoRedefine/>
    <w:rsid w:val="000D7B89"/>
    <w:pPr>
      <w:spacing w:after="0" w:line="220" w:lineRule="exact"/>
    </w:pPr>
    <w:rPr>
      <w:rFonts w:ascii="Times New Roman" w:eastAsia="Times New Roman" w:hAnsi="Times New Roman" w:cs="Times New Roman"/>
      <w:b/>
      <w:bCs/>
    </w:rPr>
  </w:style>
  <w:style w:type="character" w:customStyle="1" w:styleId="PI-1labEMEASMCAChar">
    <w:name w:val="PI-1_lab EMEA_SMCA Char"/>
    <w:link w:val="PI-1labEMEASMCA"/>
    <w:rsid w:val="000D7B89"/>
    <w:rPr>
      <w:rFonts w:ascii="Times New Roman" w:eastAsia="Times New Roman" w:hAnsi="Times New Roman" w:cs="Times New Roman"/>
      <w:b/>
      <w:noProof/>
      <w:lang w:val="lt-LT"/>
    </w:rPr>
  </w:style>
  <w:style w:type="paragraph" w:styleId="Paantrat">
    <w:name w:val="Subtitle"/>
    <w:basedOn w:val="prastasis"/>
    <w:link w:val="PaantratDiagrama"/>
    <w:qFormat/>
    <w:rsid w:val="000D7B89"/>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0D7B89"/>
    <w:rPr>
      <w:rFonts w:ascii="TimesNewRoman,Bold" w:eastAsia="Times New Roman" w:hAnsi="TimesNewRoman,Bold" w:cs="Times New Roman"/>
      <w:b/>
      <w:color w:val="000000"/>
      <w:szCs w:val="20"/>
      <w:lang w:eastAsia="lt-LT"/>
    </w:rPr>
  </w:style>
  <w:style w:type="paragraph" w:customStyle="1" w:styleId="SlogObojestranskoPo0pt">
    <w:name w:val="Slog Obojestransko Po:  0 pt"/>
    <w:basedOn w:val="prastasis"/>
    <w:rsid w:val="000D7B89"/>
    <w:pPr>
      <w:spacing w:after="0" w:line="240" w:lineRule="auto"/>
      <w:jc w:val="both"/>
    </w:pPr>
    <w:rPr>
      <w:rFonts w:ascii="Times New Roman" w:eastAsia="Times New Roman" w:hAnsi="Times New Roman" w:cs="Times New Roman"/>
      <w:szCs w:val="20"/>
      <w:lang w:val="en-US"/>
    </w:rPr>
  </w:style>
  <w:style w:type="character" w:customStyle="1" w:styleId="SlogLeee">
    <w:name w:val="Slog Ležeče"/>
    <w:rsid w:val="000D7B89"/>
    <w:rPr>
      <w:iCs/>
    </w:rPr>
  </w:style>
  <w:style w:type="character" w:customStyle="1" w:styleId="TTEMEASMCAChar">
    <w:name w:val="TT EMEA_SMCA Char"/>
    <w:link w:val="TTEMEASMCA"/>
    <w:rsid w:val="000D7B89"/>
    <w:rPr>
      <w:rFonts w:ascii="Times New Roman" w:eastAsia="Times New Roman" w:hAnsi="Times New Roman" w:cs="Times New Roman"/>
      <w:b/>
      <w:caps/>
    </w:rPr>
  </w:style>
  <w:style w:type="paragraph" w:styleId="Sraopastraipa">
    <w:name w:val="List Paragraph"/>
    <w:basedOn w:val="prastasis"/>
    <w:uiPriority w:val="34"/>
    <w:qFormat/>
    <w:rsid w:val="000D7B89"/>
    <w:pPr>
      <w:spacing w:after="0" w:line="240" w:lineRule="auto"/>
      <w:ind w:left="720"/>
      <w:contextualSpacing/>
    </w:pPr>
    <w:rPr>
      <w:rFonts w:ascii="Times New Roman" w:eastAsia="Times New Roman" w:hAnsi="Times New Roman" w:cs="Times New Roman"/>
      <w:sz w:val="24"/>
      <w:szCs w:val="24"/>
    </w:rPr>
  </w:style>
  <w:style w:type="numbering" w:customStyle="1" w:styleId="Brezseznama5">
    <w:name w:val="Brez seznama5"/>
    <w:next w:val="Sraonra"/>
    <w:uiPriority w:val="99"/>
    <w:semiHidden/>
    <w:unhideWhenUsed/>
    <w:rsid w:val="000D7B89"/>
  </w:style>
  <w:style w:type="table" w:customStyle="1" w:styleId="Tabelamrea1">
    <w:name w:val="Tabela – mreža1"/>
    <w:basedOn w:val="prastojilentel"/>
    <w:next w:val="Lentelstinklelis"/>
    <w:rsid w:val="000D7B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Sraonra"/>
    <w:semiHidden/>
    <w:rsid w:val="000D7B89"/>
  </w:style>
  <w:style w:type="numbering" w:customStyle="1" w:styleId="Brezseznama11">
    <w:name w:val="Brez seznama11"/>
    <w:next w:val="Sraonra"/>
    <w:semiHidden/>
    <w:rsid w:val="000D7B89"/>
  </w:style>
  <w:style w:type="numbering" w:customStyle="1" w:styleId="Brezseznama21">
    <w:name w:val="Brez seznama21"/>
    <w:next w:val="Sraonra"/>
    <w:semiHidden/>
    <w:rsid w:val="000D7B89"/>
  </w:style>
  <w:style w:type="numbering" w:customStyle="1" w:styleId="Brezseznama31">
    <w:name w:val="Brez seznama31"/>
    <w:next w:val="Sraonra"/>
    <w:semiHidden/>
    <w:rsid w:val="000D7B89"/>
  </w:style>
  <w:style w:type="numbering" w:customStyle="1" w:styleId="Brezseznama41">
    <w:name w:val="Brez seznama41"/>
    <w:next w:val="Sraonra"/>
    <w:semiHidden/>
    <w:rsid w:val="000D7B89"/>
  </w:style>
  <w:style w:type="paragraph" w:styleId="prastasiniatinklio">
    <w:name w:val="Normal (Web)"/>
    <w:basedOn w:val="prastasis"/>
    <w:rsid w:val="000D7B89"/>
    <w:pPr>
      <w:spacing w:before="100" w:beforeAutospacing="1" w:after="69" w:line="240" w:lineRule="auto"/>
    </w:pPr>
    <w:rPr>
      <w:rFonts w:ascii="Times New Roman" w:eastAsia="Times New Roman" w:hAnsi="Times New Roman" w:cs="Times New Roman"/>
      <w:color w:val="000000"/>
      <w:sz w:val="24"/>
      <w:szCs w:val="24"/>
      <w:lang w:val="en-US"/>
    </w:rPr>
  </w:style>
  <w:style w:type="paragraph" w:customStyle="1" w:styleId="A-TableText">
    <w:name w:val="A-Table Text"/>
    <w:uiPriority w:val="99"/>
    <w:rsid w:val="000D7B89"/>
    <w:pPr>
      <w:spacing w:before="60" w:after="6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205">
      <w:bodyDiv w:val="1"/>
      <w:marLeft w:val="0"/>
      <w:marRight w:val="0"/>
      <w:marTop w:val="0"/>
      <w:marBottom w:val="0"/>
      <w:divBdr>
        <w:top w:val="none" w:sz="0" w:space="0" w:color="auto"/>
        <w:left w:val="none" w:sz="0" w:space="0" w:color="auto"/>
        <w:bottom w:val="none" w:sz="0" w:space="0" w:color="auto"/>
        <w:right w:val="none" w:sz="0" w:space="0" w:color="auto"/>
      </w:divBdr>
    </w:div>
    <w:div w:id="130558930">
      <w:bodyDiv w:val="1"/>
      <w:marLeft w:val="0"/>
      <w:marRight w:val="0"/>
      <w:marTop w:val="0"/>
      <w:marBottom w:val="0"/>
      <w:divBdr>
        <w:top w:val="none" w:sz="0" w:space="0" w:color="auto"/>
        <w:left w:val="none" w:sz="0" w:space="0" w:color="auto"/>
        <w:bottom w:val="none" w:sz="0" w:space="0" w:color="auto"/>
        <w:right w:val="none" w:sz="0" w:space="0" w:color="auto"/>
      </w:divBdr>
    </w:div>
    <w:div w:id="193886863">
      <w:bodyDiv w:val="1"/>
      <w:marLeft w:val="0"/>
      <w:marRight w:val="0"/>
      <w:marTop w:val="0"/>
      <w:marBottom w:val="0"/>
      <w:divBdr>
        <w:top w:val="none" w:sz="0" w:space="0" w:color="auto"/>
        <w:left w:val="none" w:sz="0" w:space="0" w:color="auto"/>
        <w:bottom w:val="none" w:sz="0" w:space="0" w:color="auto"/>
        <w:right w:val="none" w:sz="0" w:space="0" w:color="auto"/>
      </w:divBdr>
    </w:div>
    <w:div w:id="280232230">
      <w:bodyDiv w:val="1"/>
      <w:marLeft w:val="0"/>
      <w:marRight w:val="0"/>
      <w:marTop w:val="0"/>
      <w:marBottom w:val="0"/>
      <w:divBdr>
        <w:top w:val="none" w:sz="0" w:space="0" w:color="auto"/>
        <w:left w:val="none" w:sz="0" w:space="0" w:color="auto"/>
        <w:bottom w:val="none" w:sz="0" w:space="0" w:color="auto"/>
        <w:right w:val="none" w:sz="0" w:space="0" w:color="auto"/>
      </w:divBdr>
    </w:div>
    <w:div w:id="313339959">
      <w:bodyDiv w:val="1"/>
      <w:marLeft w:val="0"/>
      <w:marRight w:val="0"/>
      <w:marTop w:val="0"/>
      <w:marBottom w:val="0"/>
      <w:divBdr>
        <w:top w:val="none" w:sz="0" w:space="0" w:color="auto"/>
        <w:left w:val="none" w:sz="0" w:space="0" w:color="auto"/>
        <w:bottom w:val="none" w:sz="0" w:space="0" w:color="auto"/>
        <w:right w:val="none" w:sz="0" w:space="0" w:color="auto"/>
      </w:divBdr>
    </w:div>
    <w:div w:id="388265511">
      <w:bodyDiv w:val="1"/>
      <w:marLeft w:val="0"/>
      <w:marRight w:val="0"/>
      <w:marTop w:val="0"/>
      <w:marBottom w:val="0"/>
      <w:divBdr>
        <w:top w:val="none" w:sz="0" w:space="0" w:color="auto"/>
        <w:left w:val="none" w:sz="0" w:space="0" w:color="auto"/>
        <w:bottom w:val="none" w:sz="0" w:space="0" w:color="auto"/>
        <w:right w:val="none" w:sz="0" w:space="0" w:color="auto"/>
      </w:divBdr>
    </w:div>
    <w:div w:id="401953262">
      <w:bodyDiv w:val="1"/>
      <w:marLeft w:val="0"/>
      <w:marRight w:val="0"/>
      <w:marTop w:val="0"/>
      <w:marBottom w:val="0"/>
      <w:divBdr>
        <w:top w:val="none" w:sz="0" w:space="0" w:color="auto"/>
        <w:left w:val="none" w:sz="0" w:space="0" w:color="auto"/>
        <w:bottom w:val="none" w:sz="0" w:space="0" w:color="auto"/>
        <w:right w:val="none" w:sz="0" w:space="0" w:color="auto"/>
      </w:divBdr>
    </w:div>
    <w:div w:id="404493147">
      <w:bodyDiv w:val="1"/>
      <w:marLeft w:val="0"/>
      <w:marRight w:val="0"/>
      <w:marTop w:val="0"/>
      <w:marBottom w:val="0"/>
      <w:divBdr>
        <w:top w:val="none" w:sz="0" w:space="0" w:color="auto"/>
        <w:left w:val="none" w:sz="0" w:space="0" w:color="auto"/>
        <w:bottom w:val="none" w:sz="0" w:space="0" w:color="auto"/>
        <w:right w:val="none" w:sz="0" w:space="0" w:color="auto"/>
      </w:divBdr>
    </w:div>
    <w:div w:id="411119895">
      <w:bodyDiv w:val="1"/>
      <w:marLeft w:val="0"/>
      <w:marRight w:val="0"/>
      <w:marTop w:val="0"/>
      <w:marBottom w:val="0"/>
      <w:divBdr>
        <w:top w:val="none" w:sz="0" w:space="0" w:color="auto"/>
        <w:left w:val="none" w:sz="0" w:space="0" w:color="auto"/>
        <w:bottom w:val="none" w:sz="0" w:space="0" w:color="auto"/>
        <w:right w:val="none" w:sz="0" w:space="0" w:color="auto"/>
      </w:divBdr>
    </w:div>
    <w:div w:id="558129003">
      <w:bodyDiv w:val="1"/>
      <w:marLeft w:val="0"/>
      <w:marRight w:val="0"/>
      <w:marTop w:val="0"/>
      <w:marBottom w:val="0"/>
      <w:divBdr>
        <w:top w:val="none" w:sz="0" w:space="0" w:color="auto"/>
        <w:left w:val="none" w:sz="0" w:space="0" w:color="auto"/>
        <w:bottom w:val="none" w:sz="0" w:space="0" w:color="auto"/>
        <w:right w:val="none" w:sz="0" w:space="0" w:color="auto"/>
      </w:divBdr>
    </w:div>
    <w:div w:id="580874331">
      <w:bodyDiv w:val="1"/>
      <w:marLeft w:val="0"/>
      <w:marRight w:val="0"/>
      <w:marTop w:val="0"/>
      <w:marBottom w:val="0"/>
      <w:divBdr>
        <w:top w:val="none" w:sz="0" w:space="0" w:color="auto"/>
        <w:left w:val="none" w:sz="0" w:space="0" w:color="auto"/>
        <w:bottom w:val="none" w:sz="0" w:space="0" w:color="auto"/>
        <w:right w:val="none" w:sz="0" w:space="0" w:color="auto"/>
      </w:divBdr>
    </w:div>
    <w:div w:id="662394368">
      <w:bodyDiv w:val="1"/>
      <w:marLeft w:val="0"/>
      <w:marRight w:val="0"/>
      <w:marTop w:val="0"/>
      <w:marBottom w:val="0"/>
      <w:divBdr>
        <w:top w:val="none" w:sz="0" w:space="0" w:color="auto"/>
        <w:left w:val="none" w:sz="0" w:space="0" w:color="auto"/>
        <w:bottom w:val="none" w:sz="0" w:space="0" w:color="auto"/>
        <w:right w:val="none" w:sz="0" w:space="0" w:color="auto"/>
      </w:divBdr>
    </w:div>
    <w:div w:id="726104785">
      <w:bodyDiv w:val="1"/>
      <w:marLeft w:val="0"/>
      <w:marRight w:val="0"/>
      <w:marTop w:val="0"/>
      <w:marBottom w:val="0"/>
      <w:divBdr>
        <w:top w:val="none" w:sz="0" w:space="0" w:color="auto"/>
        <w:left w:val="none" w:sz="0" w:space="0" w:color="auto"/>
        <w:bottom w:val="none" w:sz="0" w:space="0" w:color="auto"/>
        <w:right w:val="none" w:sz="0" w:space="0" w:color="auto"/>
      </w:divBdr>
    </w:div>
    <w:div w:id="759790354">
      <w:bodyDiv w:val="1"/>
      <w:marLeft w:val="0"/>
      <w:marRight w:val="0"/>
      <w:marTop w:val="0"/>
      <w:marBottom w:val="0"/>
      <w:divBdr>
        <w:top w:val="none" w:sz="0" w:space="0" w:color="auto"/>
        <w:left w:val="none" w:sz="0" w:space="0" w:color="auto"/>
        <w:bottom w:val="none" w:sz="0" w:space="0" w:color="auto"/>
        <w:right w:val="none" w:sz="0" w:space="0" w:color="auto"/>
      </w:divBdr>
    </w:div>
    <w:div w:id="772940838">
      <w:bodyDiv w:val="1"/>
      <w:marLeft w:val="0"/>
      <w:marRight w:val="0"/>
      <w:marTop w:val="0"/>
      <w:marBottom w:val="0"/>
      <w:divBdr>
        <w:top w:val="none" w:sz="0" w:space="0" w:color="auto"/>
        <w:left w:val="none" w:sz="0" w:space="0" w:color="auto"/>
        <w:bottom w:val="none" w:sz="0" w:space="0" w:color="auto"/>
        <w:right w:val="none" w:sz="0" w:space="0" w:color="auto"/>
      </w:divBdr>
    </w:div>
    <w:div w:id="797064193">
      <w:bodyDiv w:val="1"/>
      <w:marLeft w:val="0"/>
      <w:marRight w:val="0"/>
      <w:marTop w:val="0"/>
      <w:marBottom w:val="0"/>
      <w:divBdr>
        <w:top w:val="none" w:sz="0" w:space="0" w:color="auto"/>
        <w:left w:val="none" w:sz="0" w:space="0" w:color="auto"/>
        <w:bottom w:val="none" w:sz="0" w:space="0" w:color="auto"/>
        <w:right w:val="none" w:sz="0" w:space="0" w:color="auto"/>
      </w:divBdr>
    </w:div>
    <w:div w:id="804851950">
      <w:bodyDiv w:val="1"/>
      <w:marLeft w:val="0"/>
      <w:marRight w:val="0"/>
      <w:marTop w:val="0"/>
      <w:marBottom w:val="0"/>
      <w:divBdr>
        <w:top w:val="none" w:sz="0" w:space="0" w:color="auto"/>
        <w:left w:val="none" w:sz="0" w:space="0" w:color="auto"/>
        <w:bottom w:val="none" w:sz="0" w:space="0" w:color="auto"/>
        <w:right w:val="none" w:sz="0" w:space="0" w:color="auto"/>
      </w:divBdr>
    </w:div>
    <w:div w:id="808668597">
      <w:bodyDiv w:val="1"/>
      <w:marLeft w:val="0"/>
      <w:marRight w:val="0"/>
      <w:marTop w:val="0"/>
      <w:marBottom w:val="0"/>
      <w:divBdr>
        <w:top w:val="none" w:sz="0" w:space="0" w:color="auto"/>
        <w:left w:val="none" w:sz="0" w:space="0" w:color="auto"/>
        <w:bottom w:val="none" w:sz="0" w:space="0" w:color="auto"/>
        <w:right w:val="none" w:sz="0" w:space="0" w:color="auto"/>
      </w:divBdr>
    </w:div>
    <w:div w:id="811215266">
      <w:bodyDiv w:val="1"/>
      <w:marLeft w:val="0"/>
      <w:marRight w:val="0"/>
      <w:marTop w:val="0"/>
      <w:marBottom w:val="0"/>
      <w:divBdr>
        <w:top w:val="none" w:sz="0" w:space="0" w:color="auto"/>
        <w:left w:val="none" w:sz="0" w:space="0" w:color="auto"/>
        <w:bottom w:val="none" w:sz="0" w:space="0" w:color="auto"/>
        <w:right w:val="none" w:sz="0" w:space="0" w:color="auto"/>
      </w:divBdr>
    </w:div>
    <w:div w:id="866024176">
      <w:bodyDiv w:val="1"/>
      <w:marLeft w:val="0"/>
      <w:marRight w:val="0"/>
      <w:marTop w:val="0"/>
      <w:marBottom w:val="0"/>
      <w:divBdr>
        <w:top w:val="none" w:sz="0" w:space="0" w:color="auto"/>
        <w:left w:val="none" w:sz="0" w:space="0" w:color="auto"/>
        <w:bottom w:val="none" w:sz="0" w:space="0" w:color="auto"/>
        <w:right w:val="none" w:sz="0" w:space="0" w:color="auto"/>
      </w:divBdr>
    </w:div>
    <w:div w:id="993601827">
      <w:bodyDiv w:val="1"/>
      <w:marLeft w:val="0"/>
      <w:marRight w:val="0"/>
      <w:marTop w:val="0"/>
      <w:marBottom w:val="0"/>
      <w:divBdr>
        <w:top w:val="none" w:sz="0" w:space="0" w:color="auto"/>
        <w:left w:val="none" w:sz="0" w:space="0" w:color="auto"/>
        <w:bottom w:val="none" w:sz="0" w:space="0" w:color="auto"/>
        <w:right w:val="none" w:sz="0" w:space="0" w:color="auto"/>
      </w:divBdr>
    </w:div>
    <w:div w:id="1147942273">
      <w:bodyDiv w:val="1"/>
      <w:marLeft w:val="0"/>
      <w:marRight w:val="0"/>
      <w:marTop w:val="0"/>
      <w:marBottom w:val="0"/>
      <w:divBdr>
        <w:top w:val="none" w:sz="0" w:space="0" w:color="auto"/>
        <w:left w:val="none" w:sz="0" w:space="0" w:color="auto"/>
        <w:bottom w:val="none" w:sz="0" w:space="0" w:color="auto"/>
        <w:right w:val="none" w:sz="0" w:space="0" w:color="auto"/>
      </w:divBdr>
    </w:div>
    <w:div w:id="1172137370">
      <w:bodyDiv w:val="1"/>
      <w:marLeft w:val="0"/>
      <w:marRight w:val="0"/>
      <w:marTop w:val="0"/>
      <w:marBottom w:val="0"/>
      <w:divBdr>
        <w:top w:val="none" w:sz="0" w:space="0" w:color="auto"/>
        <w:left w:val="none" w:sz="0" w:space="0" w:color="auto"/>
        <w:bottom w:val="none" w:sz="0" w:space="0" w:color="auto"/>
        <w:right w:val="none" w:sz="0" w:space="0" w:color="auto"/>
      </w:divBdr>
    </w:div>
    <w:div w:id="1233391681">
      <w:bodyDiv w:val="1"/>
      <w:marLeft w:val="0"/>
      <w:marRight w:val="0"/>
      <w:marTop w:val="0"/>
      <w:marBottom w:val="0"/>
      <w:divBdr>
        <w:top w:val="none" w:sz="0" w:space="0" w:color="auto"/>
        <w:left w:val="none" w:sz="0" w:space="0" w:color="auto"/>
        <w:bottom w:val="none" w:sz="0" w:space="0" w:color="auto"/>
        <w:right w:val="none" w:sz="0" w:space="0" w:color="auto"/>
      </w:divBdr>
    </w:div>
    <w:div w:id="1315646404">
      <w:bodyDiv w:val="1"/>
      <w:marLeft w:val="0"/>
      <w:marRight w:val="0"/>
      <w:marTop w:val="0"/>
      <w:marBottom w:val="0"/>
      <w:divBdr>
        <w:top w:val="none" w:sz="0" w:space="0" w:color="auto"/>
        <w:left w:val="none" w:sz="0" w:space="0" w:color="auto"/>
        <w:bottom w:val="none" w:sz="0" w:space="0" w:color="auto"/>
        <w:right w:val="none" w:sz="0" w:space="0" w:color="auto"/>
      </w:divBdr>
    </w:div>
    <w:div w:id="1449622064">
      <w:bodyDiv w:val="1"/>
      <w:marLeft w:val="0"/>
      <w:marRight w:val="0"/>
      <w:marTop w:val="0"/>
      <w:marBottom w:val="0"/>
      <w:divBdr>
        <w:top w:val="none" w:sz="0" w:space="0" w:color="auto"/>
        <w:left w:val="none" w:sz="0" w:space="0" w:color="auto"/>
        <w:bottom w:val="none" w:sz="0" w:space="0" w:color="auto"/>
        <w:right w:val="none" w:sz="0" w:space="0" w:color="auto"/>
      </w:divBdr>
    </w:div>
    <w:div w:id="1468742785">
      <w:bodyDiv w:val="1"/>
      <w:marLeft w:val="0"/>
      <w:marRight w:val="0"/>
      <w:marTop w:val="0"/>
      <w:marBottom w:val="0"/>
      <w:divBdr>
        <w:top w:val="none" w:sz="0" w:space="0" w:color="auto"/>
        <w:left w:val="none" w:sz="0" w:space="0" w:color="auto"/>
        <w:bottom w:val="none" w:sz="0" w:space="0" w:color="auto"/>
        <w:right w:val="none" w:sz="0" w:space="0" w:color="auto"/>
      </w:divBdr>
    </w:div>
    <w:div w:id="1481002984">
      <w:bodyDiv w:val="1"/>
      <w:marLeft w:val="0"/>
      <w:marRight w:val="0"/>
      <w:marTop w:val="0"/>
      <w:marBottom w:val="0"/>
      <w:divBdr>
        <w:top w:val="none" w:sz="0" w:space="0" w:color="auto"/>
        <w:left w:val="none" w:sz="0" w:space="0" w:color="auto"/>
        <w:bottom w:val="none" w:sz="0" w:space="0" w:color="auto"/>
        <w:right w:val="none" w:sz="0" w:space="0" w:color="auto"/>
      </w:divBdr>
    </w:div>
    <w:div w:id="1617516293">
      <w:bodyDiv w:val="1"/>
      <w:marLeft w:val="0"/>
      <w:marRight w:val="0"/>
      <w:marTop w:val="0"/>
      <w:marBottom w:val="0"/>
      <w:divBdr>
        <w:top w:val="none" w:sz="0" w:space="0" w:color="auto"/>
        <w:left w:val="none" w:sz="0" w:space="0" w:color="auto"/>
        <w:bottom w:val="none" w:sz="0" w:space="0" w:color="auto"/>
        <w:right w:val="none" w:sz="0" w:space="0" w:color="auto"/>
      </w:divBdr>
    </w:div>
    <w:div w:id="1628782017">
      <w:bodyDiv w:val="1"/>
      <w:marLeft w:val="0"/>
      <w:marRight w:val="0"/>
      <w:marTop w:val="0"/>
      <w:marBottom w:val="0"/>
      <w:divBdr>
        <w:top w:val="none" w:sz="0" w:space="0" w:color="auto"/>
        <w:left w:val="none" w:sz="0" w:space="0" w:color="auto"/>
        <w:bottom w:val="none" w:sz="0" w:space="0" w:color="auto"/>
        <w:right w:val="none" w:sz="0" w:space="0" w:color="auto"/>
      </w:divBdr>
    </w:div>
    <w:div w:id="1636839373">
      <w:bodyDiv w:val="1"/>
      <w:marLeft w:val="0"/>
      <w:marRight w:val="0"/>
      <w:marTop w:val="0"/>
      <w:marBottom w:val="0"/>
      <w:divBdr>
        <w:top w:val="none" w:sz="0" w:space="0" w:color="auto"/>
        <w:left w:val="none" w:sz="0" w:space="0" w:color="auto"/>
        <w:bottom w:val="none" w:sz="0" w:space="0" w:color="auto"/>
        <w:right w:val="none" w:sz="0" w:space="0" w:color="auto"/>
      </w:divBdr>
    </w:div>
    <w:div w:id="1742941631">
      <w:bodyDiv w:val="1"/>
      <w:marLeft w:val="0"/>
      <w:marRight w:val="0"/>
      <w:marTop w:val="0"/>
      <w:marBottom w:val="0"/>
      <w:divBdr>
        <w:top w:val="none" w:sz="0" w:space="0" w:color="auto"/>
        <w:left w:val="none" w:sz="0" w:space="0" w:color="auto"/>
        <w:bottom w:val="none" w:sz="0" w:space="0" w:color="auto"/>
        <w:right w:val="none" w:sz="0" w:space="0" w:color="auto"/>
      </w:divBdr>
    </w:div>
    <w:div w:id="1750270272">
      <w:bodyDiv w:val="1"/>
      <w:marLeft w:val="0"/>
      <w:marRight w:val="0"/>
      <w:marTop w:val="0"/>
      <w:marBottom w:val="0"/>
      <w:divBdr>
        <w:top w:val="none" w:sz="0" w:space="0" w:color="auto"/>
        <w:left w:val="none" w:sz="0" w:space="0" w:color="auto"/>
        <w:bottom w:val="none" w:sz="0" w:space="0" w:color="auto"/>
        <w:right w:val="none" w:sz="0" w:space="0" w:color="auto"/>
      </w:divBdr>
    </w:div>
    <w:div w:id="1792939118">
      <w:bodyDiv w:val="1"/>
      <w:marLeft w:val="0"/>
      <w:marRight w:val="0"/>
      <w:marTop w:val="0"/>
      <w:marBottom w:val="0"/>
      <w:divBdr>
        <w:top w:val="none" w:sz="0" w:space="0" w:color="auto"/>
        <w:left w:val="none" w:sz="0" w:space="0" w:color="auto"/>
        <w:bottom w:val="none" w:sz="0" w:space="0" w:color="auto"/>
        <w:right w:val="none" w:sz="0" w:space="0" w:color="auto"/>
      </w:divBdr>
    </w:div>
    <w:div w:id="1810516031">
      <w:bodyDiv w:val="1"/>
      <w:marLeft w:val="0"/>
      <w:marRight w:val="0"/>
      <w:marTop w:val="0"/>
      <w:marBottom w:val="0"/>
      <w:divBdr>
        <w:top w:val="none" w:sz="0" w:space="0" w:color="auto"/>
        <w:left w:val="none" w:sz="0" w:space="0" w:color="auto"/>
        <w:bottom w:val="none" w:sz="0" w:space="0" w:color="auto"/>
        <w:right w:val="none" w:sz="0" w:space="0" w:color="auto"/>
      </w:divBdr>
    </w:div>
    <w:div w:id="1834638405">
      <w:bodyDiv w:val="1"/>
      <w:marLeft w:val="0"/>
      <w:marRight w:val="0"/>
      <w:marTop w:val="0"/>
      <w:marBottom w:val="0"/>
      <w:divBdr>
        <w:top w:val="none" w:sz="0" w:space="0" w:color="auto"/>
        <w:left w:val="none" w:sz="0" w:space="0" w:color="auto"/>
        <w:bottom w:val="none" w:sz="0" w:space="0" w:color="auto"/>
        <w:right w:val="none" w:sz="0" w:space="0" w:color="auto"/>
      </w:divBdr>
    </w:div>
    <w:div w:id="1905095447">
      <w:bodyDiv w:val="1"/>
      <w:marLeft w:val="0"/>
      <w:marRight w:val="0"/>
      <w:marTop w:val="0"/>
      <w:marBottom w:val="0"/>
      <w:divBdr>
        <w:top w:val="none" w:sz="0" w:space="0" w:color="auto"/>
        <w:left w:val="none" w:sz="0" w:space="0" w:color="auto"/>
        <w:bottom w:val="none" w:sz="0" w:space="0" w:color="auto"/>
        <w:right w:val="none" w:sz="0" w:space="0" w:color="auto"/>
      </w:divBdr>
    </w:div>
    <w:div w:id="2019651173">
      <w:bodyDiv w:val="1"/>
      <w:marLeft w:val="0"/>
      <w:marRight w:val="0"/>
      <w:marTop w:val="0"/>
      <w:marBottom w:val="0"/>
      <w:divBdr>
        <w:top w:val="none" w:sz="0" w:space="0" w:color="auto"/>
        <w:left w:val="none" w:sz="0" w:space="0" w:color="auto"/>
        <w:bottom w:val="none" w:sz="0" w:space="0" w:color="auto"/>
        <w:right w:val="none" w:sz="0" w:space="0" w:color="auto"/>
      </w:divBdr>
    </w:div>
    <w:div w:id="2063407855">
      <w:bodyDiv w:val="1"/>
      <w:marLeft w:val="0"/>
      <w:marRight w:val="0"/>
      <w:marTop w:val="0"/>
      <w:marBottom w:val="0"/>
      <w:divBdr>
        <w:top w:val="none" w:sz="0" w:space="0" w:color="auto"/>
        <w:left w:val="none" w:sz="0" w:space="0" w:color="auto"/>
        <w:bottom w:val="none" w:sz="0" w:space="0" w:color="auto"/>
        <w:right w:val="none" w:sz="0" w:space="0" w:color="auto"/>
      </w:divBdr>
    </w:div>
    <w:div w:id="2093891865">
      <w:bodyDiv w:val="1"/>
      <w:marLeft w:val="0"/>
      <w:marRight w:val="0"/>
      <w:marTop w:val="0"/>
      <w:marBottom w:val="0"/>
      <w:divBdr>
        <w:top w:val="none" w:sz="0" w:space="0" w:color="auto"/>
        <w:left w:val="none" w:sz="0" w:space="0" w:color="auto"/>
        <w:bottom w:val="none" w:sz="0" w:space="0" w:color="auto"/>
        <w:right w:val="none" w:sz="0" w:space="0" w:color="auto"/>
      </w:divBdr>
    </w:div>
    <w:div w:id="21135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B67E-B7FD-44D3-83F8-1BA594A9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59594</Words>
  <Characters>33970</Characters>
  <Application>Microsoft Office Word</Application>
  <DocSecurity>4</DocSecurity>
  <Lines>283</Lines>
  <Paragraphs>186</Paragraphs>
  <ScaleCrop>false</ScaleCrop>
  <HeadingPairs>
    <vt:vector size="8" baseType="variant">
      <vt:variant>
        <vt:lpstr>Pavadinimas</vt:lpstr>
      </vt:variant>
      <vt:variant>
        <vt:i4>1</vt:i4>
      </vt:variant>
      <vt:variant>
        <vt:lpstr>Antraštės</vt:lpstr>
      </vt:variant>
      <vt:variant>
        <vt:i4>85</vt:i4>
      </vt:variant>
      <vt:variant>
        <vt:lpstr>Title</vt:lpstr>
      </vt:variant>
      <vt:variant>
        <vt:i4>1</vt:i4>
      </vt:variant>
      <vt:variant>
        <vt:lpstr>Headings</vt:lpstr>
      </vt:variant>
      <vt:variant>
        <vt:i4>85</vt:i4>
      </vt:variant>
    </vt:vector>
  </HeadingPairs>
  <TitlesOfParts>
    <vt:vector size="172" baseType="lpstr">
      <vt:lpstr/>
      <vt:lpstr>I PRIEDAS</vt:lpstr>
      <vt:lpstr>Gydymas rozuvastatino ir ezetimibo deriniu</vt:lpstr>
      <vt:lpstr>Vartojant kartu 10 mg rozuvastatino ir 10 mg ezitimibo hipercholesterolemija ser</vt:lpstr>
      <vt:lpstr/>
      <vt:lpstr>Rozuvastatinas</vt:lpstr>
      <vt:lpstr/>
      <vt:lpstr>Absorbcija</vt:lpstr>
      <vt:lpstr>Biotransformacija</vt:lpstr>
      <vt:lpstr>Ezetimibas</vt:lpstr>
      <vt:lpstr>Tabletės branduolys:</vt:lpstr>
      <vt:lpstr>Laktozė monohidratas</vt:lpstr>
      <vt:lpstr>Kroskarmeliozės natrio druska</vt:lpstr>
      <vt:lpstr>Povidonas K-29/32</vt:lpstr>
      <vt:lpstr>Natrio laurilsulfatas </vt:lpstr>
      <vt:lpstr>Mikrokristalinė celiuliozė 102 </vt:lpstr>
      <vt:lpstr>Hipromeliozė 2910 </vt:lpstr>
      <vt:lpstr>Bevandenis koloidinis silicio dioksidas </vt:lpstr>
      <vt:lpstr>Magnio stearatas </vt:lpstr>
      <vt:lpstr/>
      <vt:lpstr>Tabletės plėvelė:</vt:lpstr>
      <vt:lpstr>Hipromeliozė 2910</vt:lpstr>
      <vt:lpstr>Titano dioksidas (E171)</vt:lpstr>
      <vt:lpstr>Geltonasis geležies oksidas (E172) </vt:lpstr>
      <vt:lpstr>Makrogolis 4000 (E1521)</vt:lpstr>
      <vt:lpstr>Talkas (E553b)</vt:lpstr>
      <vt:lpstr/>
      <vt:lpstr>Rosuvastatin/Ezetimibe Teva 20 mg/10 mg plėvele dengtos tabletės</vt:lpstr>
      <vt:lpstr>Hipromeliozė 6</vt:lpstr>
      <vt:lpstr>Titano dioksidas (E171)</vt:lpstr>
      <vt:lpstr>Talkas (E553b)</vt:lpstr>
      <vt:lpstr>Makrogolis 4000 (E1521)</vt:lpstr>
      <vt:lpstr>Geltonasis geležies oksidas (E172)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17.	UNIKALUS IDENTIFIKATORIUS – 2D BRŪKŠNINIS KODAS</vt:lpstr>
      <vt:lpstr>18.	UNIKALUS IDENTIFIKATORIUS – ŽMONĖMS SUPRANTAMI DUOMENYS</vt:lpstr>
      <vt:lpstr>B. PAKUOTĖS LAPELIS</vt:lpstr>
      <vt:lpstr>    Pakuotės lapelis: informacija pacientui</vt:lpstr>
      <vt:lpstr/>
      <vt:lpstr>Apie ką rašoma šiame lapelyje?</vt:lpstr>
      <vt:lpstr>        Rosuvastatin/Ezetimibe Teva vartojamas, jeigu:</vt:lpstr>
      <vt:lpstr>        kraujyje yra padidėjęs cholesterolio kiekis (pirminė hipercholesterolemija),</vt:lpstr>
      <vt:lpstr>        sergate širdies liga; Rosuvastatin/Ezetimibe Teva sumažina širdies priepuolio, i</vt:lpstr>
      <vt:lpstr>Jeigu gydytojas Jums yra sakęs, kad netoleruojate kokių nors angliavandenių, kre</vt:lpstr>
      <vt:lpstr/>
      <vt:lpstr>Šio vaisto tabletėje yra mažiau kaip 1 mmol (23 mg) natrio, t. y. jis beveik net</vt:lpstr>
      <vt:lpstr>Dažni šalutinio poveikio reiškiniai (gali pasireikšti rečiau kaip 1 iš 10 asmenų</vt:lpstr>
      <vt:lpstr>Nedažni šalutinio poveikio reiškiniai (gali pasireikšti rečiau kaip 1 iš 100 asm</vt:lpstr>
      <vt:lpstr>Reti šalutinio poveikio reiškiniai (gali pasireikšti rečiau kaip 1 iš 1 000 asme</vt:lpstr>
      <vt:lpstr>kasos uždegimas, sukeliantis stiprų pilvo skausmą, kuris plinta į nugarą,</vt:lpstr>
      <vt:lpstr>kraujo ląstelių kiekio sumažėjimas, galintis sukelti kraujavimą ar kraujosruvų a</vt:lpstr>
      <vt:lpstr>        </vt:lpstr>
      <vt:lpstr>Labai reti šalutinio poveikio reiškiniai (gali pasireikšti rečiau kaip 1 iš 10 0</vt:lpstr>
      <vt:lpstr/>
      <vt:lpstr>Šalutinio poveikio reiškiniai, kurių dažnis nežinomas (negali būti apskaičiuotas</vt:lpstr>
      <vt:lpstr/>
      <vt:lpstr/>
      <vt:lpstr>I PRIEDAS</vt:lpstr>
      <vt:lpstr>Gydymas rozuvastatino ir ezetimibo deriniu</vt:lpstr>
      <vt:lpstr>Vartojant kartu 10 mg rozuvastatino ir 10 mg ezitimibo hipercholesterolemija ser</vt:lpstr>
      <vt:lpstr/>
      <vt:lpstr>Rozuvastatinas</vt:lpstr>
      <vt:lpstr/>
      <vt:lpstr>Absorbcija</vt:lpstr>
      <vt:lpstr>Biotransformacija</vt:lpstr>
      <vt:lpstr>Ezetimibas</vt:lpstr>
      <vt:lpstr>Tabletės branduolys:</vt:lpstr>
      <vt:lpstr>Laktozė monohidratas</vt:lpstr>
      <vt:lpstr>Kroskarmeliozės natrio druska</vt:lpstr>
      <vt:lpstr>Povidonas K-29/32</vt:lpstr>
      <vt:lpstr>Natrio laurilsulfatas </vt:lpstr>
      <vt:lpstr>Mikrokristalinė celiuliozė 102 </vt:lpstr>
      <vt:lpstr>Hipromeliozė 2910 </vt:lpstr>
      <vt:lpstr>Bevandenis koloidinis silicio dioksidas </vt:lpstr>
      <vt:lpstr>Magnio stearatas </vt:lpstr>
      <vt:lpstr/>
      <vt:lpstr>Tabletės plėvelė:</vt:lpstr>
      <vt:lpstr>Hipromeliozė 2910</vt:lpstr>
      <vt:lpstr>Titano dioksidas (E171)</vt:lpstr>
      <vt:lpstr>Geltonasis geležies oksidas (E172) </vt:lpstr>
      <vt:lpstr>Makrogolis 4000 (E1521)</vt:lpstr>
      <vt:lpstr>Talkas (E553b)</vt:lpstr>
      <vt:lpstr/>
      <vt:lpstr>Rosuvastatin/Ezetimibe Teva 20 mg/10 mg plėvele dengtos tabletės</vt:lpstr>
      <vt:lpstr>Hipromeliozė 6</vt:lpstr>
      <vt:lpstr>Titano dioksidas (E171)</vt:lpstr>
      <vt:lpstr>Talkas (E553b)</vt:lpstr>
      <vt:lpstr>Makrogolis 4000 (E1521)</vt:lpstr>
      <vt:lpstr>Geltonasis geležies oksidas (E172)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17.	UNIKALUS IDENTIFIKATORIUS – 2D BRŪKŠNINIS KODAS</vt:lpstr>
      <vt:lpstr>18.	UNIKALUS IDENTIFIKATORIUS – ŽMONĖMS SUPRANTAMI DUOMENYS</vt:lpstr>
      <vt:lpstr>B. PAKUOTĖS LAPELIS</vt:lpstr>
      <vt:lpstr>    Pakuotės lapelis: informacija pacientui</vt:lpstr>
      <vt:lpstr/>
      <vt:lpstr>Apie ką rašoma šiame lapelyje?</vt:lpstr>
      <vt:lpstr>        Rosuvastatin/Ezetimibe Teva vartojamas, jeigu:</vt:lpstr>
      <vt:lpstr>        kraujyje yra padidėjęs cholesterolio kiekis (pirminė hipercholesterolemija),</vt:lpstr>
      <vt:lpstr>        sergate širdies liga; Rosuvastatin/Ezetimibe Teva sumažina širdies priepuolio, i</vt:lpstr>
      <vt:lpstr>Jeigu gydytojas Jums yra sakęs, kad netoleruojate kokių nors angliavandenių, kre</vt:lpstr>
      <vt:lpstr/>
      <vt:lpstr>Šio vaisto tabletėje yra mažiau kaip 1 mmol (23 mg) natrio, t. y. jis beveik net</vt:lpstr>
      <vt:lpstr>Dažni šalutinio poveikio reiškiniai (gali pasireikšti rečiau kaip 1 iš 10 asmenų</vt:lpstr>
      <vt:lpstr>Nedažni šalutinio poveikio reiškiniai (gali pasireikšti rečiau kaip 1 iš 100 asm</vt:lpstr>
      <vt:lpstr>Reti šalutinio poveikio reiškiniai (gali pasireikšti rečiau kaip 1 iš 1 000 asme</vt:lpstr>
      <vt:lpstr>kasos uždegimas, sukeliantis stiprų pilvo skausmą, kuris plinta į nugarą,</vt:lpstr>
      <vt:lpstr>kraujo ląstelių kiekio sumažėjimas, galintis sukelti kraujavimą ar kraujosruvų a</vt:lpstr>
      <vt:lpstr>        </vt:lpstr>
      <vt:lpstr>Labai reti šalutinio poveikio reiškiniai (gali pasireikšti rečiau kaip 1 iš 10 0</vt:lpstr>
      <vt:lpstr/>
      <vt:lpstr>Šalutinio poveikio reiškiniai, kurių dažnis nežinomas (negali būti apskaičiuotas</vt:lpstr>
      <vt:lpstr/>
    </vt:vector>
  </TitlesOfParts>
  <Company/>
  <LinksUpToDate>false</LinksUpToDate>
  <CharactersWithSpaces>93378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Burkauskaitė</cp:lastModifiedBy>
  <cp:revision>2</cp:revision>
  <dcterms:created xsi:type="dcterms:W3CDTF">2023-11-27T09:12:00Z</dcterms:created>
  <dcterms:modified xsi:type="dcterms:W3CDTF">2023-11-27T09:12:00Z</dcterms:modified>
</cp:coreProperties>
</file>