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D57" w:rsidRDefault="00BA5D57" w:rsidP="00BA5D57">
      <w:pPr>
        <w:tabs>
          <w:tab w:val="left" w:pos="567"/>
        </w:tabs>
        <w:spacing w:after="0" w:line="240" w:lineRule="auto"/>
        <w:jc w:val="center"/>
        <w:rPr>
          <w:rFonts w:ascii="Times New Roman" w:hAnsi="Times New Roman" w:cs="Times New Roman"/>
          <w:b/>
          <w:caps/>
          <w:lang w:val="lt-LT"/>
        </w:rPr>
      </w:pPr>
      <w:r>
        <w:rPr>
          <w:rFonts w:ascii="Times New Roman" w:hAnsi="Times New Roman" w:cs="Times New Roman"/>
          <w:b/>
          <w:lang w:val="lt-LT"/>
        </w:rPr>
        <w:t>Pakuotės lapelis: informacija vartotojui</w:t>
      </w:r>
    </w:p>
    <w:p w:rsidR="00BA5D57" w:rsidRDefault="00BA5D57" w:rsidP="00BA5D57">
      <w:pPr>
        <w:tabs>
          <w:tab w:val="left" w:pos="567"/>
        </w:tabs>
        <w:spacing w:after="0" w:line="240" w:lineRule="auto"/>
        <w:jc w:val="center"/>
        <w:rPr>
          <w:rFonts w:ascii="Times New Roman" w:eastAsia="Times New Roman" w:hAnsi="Times New Roman" w:cs="Times New Roman"/>
          <w:b/>
          <w:lang w:val="lt-LT" w:eastAsia="lt-LT"/>
        </w:rPr>
      </w:pPr>
    </w:p>
    <w:p w:rsidR="00BA5D57" w:rsidRPr="0008548B" w:rsidRDefault="00BA5D57" w:rsidP="00BA5D57">
      <w:pPr>
        <w:spacing w:after="0" w:line="240" w:lineRule="auto"/>
        <w:jc w:val="center"/>
        <w:rPr>
          <w:rFonts w:ascii="Times New Roman" w:eastAsia="Times New Roman" w:hAnsi="Times New Roman" w:cs="Times New Roman"/>
          <w:b/>
          <w:bCs/>
          <w:lang w:val="lt-LT" w:eastAsia="lt-LT"/>
        </w:rPr>
      </w:pPr>
      <w:proofErr w:type="spellStart"/>
      <w:r w:rsidRPr="0008548B">
        <w:rPr>
          <w:rFonts w:ascii="Times New Roman" w:eastAsia="Times New Roman" w:hAnsi="Times New Roman" w:cs="Times New Roman"/>
          <w:b/>
          <w:bCs/>
          <w:lang w:val="lt-LT" w:eastAsia="lt-LT"/>
        </w:rPr>
        <w:t>Galieve</w:t>
      </w:r>
      <w:proofErr w:type="spellEnd"/>
      <w:r w:rsidRPr="0008548B">
        <w:rPr>
          <w:rFonts w:ascii="Times New Roman" w:eastAsia="Times New Roman" w:hAnsi="Times New Roman" w:cs="Times New Roman"/>
          <w:b/>
          <w:bCs/>
          <w:lang w:val="lt-LT" w:eastAsia="lt-LT"/>
        </w:rPr>
        <w:t xml:space="preserve"> </w:t>
      </w:r>
      <w:r w:rsidRPr="0008548B">
        <w:rPr>
          <w:rFonts w:ascii="Times New Roman" w:eastAsia="Times New Roman" w:hAnsi="Times New Roman" w:cs="Times New Roman"/>
          <w:b/>
          <w:bCs/>
          <w:lang w:val="pt-PT" w:eastAsia="lt-LT"/>
        </w:rPr>
        <w:t xml:space="preserve">500 mg/213 mg/325 mg/10 ml </w:t>
      </w:r>
      <w:r w:rsidRPr="0008548B">
        <w:rPr>
          <w:rFonts w:ascii="Times New Roman" w:eastAsia="Times New Roman" w:hAnsi="Times New Roman" w:cs="Times New Roman"/>
          <w:b/>
          <w:bCs/>
          <w:lang w:val="lt-LT" w:eastAsia="lt-LT"/>
        </w:rPr>
        <w:t>geriamoji suspensija</w:t>
      </w:r>
    </w:p>
    <w:p w:rsidR="00BA5D57" w:rsidRDefault="00BA5D57" w:rsidP="00BA5D57">
      <w:pPr>
        <w:tabs>
          <w:tab w:val="left" w:pos="567"/>
        </w:tabs>
        <w:spacing w:after="0" w:line="240" w:lineRule="auto"/>
        <w:jc w:val="center"/>
        <w:rPr>
          <w:rFonts w:ascii="Times New Roman" w:eastAsia="Times New Roman" w:hAnsi="Times New Roman" w:cs="Times New Roman"/>
          <w:lang w:val="lt-LT" w:eastAsia="lt-LT"/>
        </w:rPr>
      </w:pPr>
      <w:r>
        <w:rPr>
          <w:rFonts w:ascii="Times New Roman" w:hAnsi="Times New Roman" w:cs="Times New Roman"/>
          <w:lang w:val="lt-LT"/>
        </w:rPr>
        <w:t xml:space="preserve">natrio </w:t>
      </w:r>
      <w:proofErr w:type="spellStart"/>
      <w:r>
        <w:rPr>
          <w:rFonts w:ascii="Times New Roman" w:hAnsi="Times New Roman" w:cs="Times New Roman"/>
          <w:lang w:val="lt-LT"/>
        </w:rPr>
        <w:t>alginatas</w:t>
      </w:r>
      <w:proofErr w:type="spellEnd"/>
      <w:r>
        <w:rPr>
          <w:rFonts w:ascii="Times New Roman" w:hAnsi="Times New Roman" w:cs="Times New Roman"/>
          <w:lang w:val="lt-LT"/>
        </w:rPr>
        <w:t>, n</w:t>
      </w:r>
      <w:r>
        <w:rPr>
          <w:rFonts w:ascii="Times New Roman" w:eastAsia="Times New Roman" w:hAnsi="Times New Roman" w:cs="Times New Roman"/>
          <w:lang w:val="lt-LT" w:eastAsia="lt-LT"/>
        </w:rPr>
        <w:t>atrio-vandenilio karbonatas, kalcio karbonatas</w:t>
      </w:r>
    </w:p>
    <w:p w:rsidR="00BA5D57" w:rsidRDefault="00BA5D57" w:rsidP="00BA5D57">
      <w:pPr>
        <w:tabs>
          <w:tab w:val="left" w:pos="567"/>
        </w:tabs>
        <w:spacing w:after="0" w:line="240" w:lineRule="auto"/>
        <w:jc w:val="center"/>
        <w:rPr>
          <w:rFonts w:ascii="Times New Roman" w:hAnsi="Times New Roman" w:cs="Times New Roman"/>
          <w:b/>
          <w:caps/>
          <w:lang w:val="lt-LT"/>
        </w:rPr>
      </w:pPr>
    </w:p>
    <w:p w:rsidR="00BA5D57" w:rsidRDefault="00BA5D57" w:rsidP="00BA5D57">
      <w:pPr>
        <w:pStyle w:val="BTbEMEASMCA"/>
      </w:pPr>
      <w:r>
        <w:t>Atidžiai perskaitykite visą šį lapelį, prieš pradėdami vartoti šį vaistą, nes jame pateikiama Jums svarbi informacija.</w:t>
      </w:r>
    </w:p>
    <w:p w:rsidR="00BA5D57" w:rsidRDefault="00BA5D57" w:rsidP="00BA5D57">
      <w:pPr>
        <w:pStyle w:val="BTbEMEASMCA"/>
        <w:rPr>
          <w:bCs/>
        </w:rPr>
      </w:pPr>
      <w:r w:rsidRPr="00E93CBB">
        <w:rPr>
          <w:b w:val="0"/>
          <w:bCs/>
        </w:rPr>
        <w:t xml:space="preserve">Visada vartokite šį vaistą tiksliai kaip aprašyta šiame lapelyje arba kaip nurodė gydytojas arba vaistininkas. </w:t>
      </w:r>
    </w:p>
    <w:p w:rsidR="00BA5D57" w:rsidRDefault="00BA5D57" w:rsidP="00BA5D57">
      <w:pPr>
        <w:pStyle w:val="BT-EMEASMCA"/>
        <w:tabs>
          <w:tab w:val="num" w:pos="720"/>
        </w:tabs>
      </w:pPr>
      <w:r>
        <w:t>Neišmeskite šio lapelio, nes vėl gali prireikti jį perskaityti.</w:t>
      </w:r>
    </w:p>
    <w:p w:rsidR="00BA5D57" w:rsidRDefault="00BA5D57" w:rsidP="00BA5D57">
      <w:pPr>
        <w:pStyle w:val="BT-EMEASMCA"/>
        <w:tabs>
          <w:tab w:val="num" w:pos="720"/>
        </w:tabs>
      </w:pPr>
      <w:r>
        <w:t>Jeigu norite sužinoti daugiau arba pasitarti, kreipkitės į vaistininką.</w:t>
      </w:r>
    </w:p>
    <w:p w:rsidR="00BA5D57" w:rsidRDefault="00BA5D57" w:rsidP="00BA5D57">
      <w:pPr>
        <w:pStyle w:val="BT-EMEASMCA"/>
        <w:tabs>
          <w:tab w:val="num" w:pos="720"/>
        </w:tabs>
      </w:pPr>
      <w:r>
        <w:t>Jeigu pasireiškė šalutinis poveikis (net jeigu jis šiame lapelyje nenurodytas) kreipkitės į gydytoją arba vaistininką. Žr. 4 skyrių.</w:t>
      </w:r>
    </w:p>
    <w:p w:rsidR="00BA5D57" w:rsidRDefault="00BA5D57" w:rsidP="00BA5D57">
      <w:pPr>
        <w:pStyle w:val="BT-EMEASMCA"/>
        <w:tabs>
          <w:tab w:val="num" w:pos="720"/>
        </w:tabs>
      </w:pPr>
      <w:r>
        <w:t>Jeigu per 7 dienas Jūsų savijauta nepagerėjo arba net pablogėjo, kreipkitės į gydytoją.</w:t>
      </w:r>
    </w:p>
    <w:p w:rsidR="00BA5D57" w:rsidRDefault="00BA5D57" w:rsidP="00BA5D57">
      <w:pPr>
        <w:tabs>
          <w:tab w:val="left" w:pos="567"/>
        </w:tabs>
        <w:spacing w:after="0" w:line="240" w:lineRule="auto"/>
        <w:rPr>
          <w:rFonts w:ascii="Times New Roman" w:hAnsi="Times New Roman" w:cs="Times New Roman"/>
          <w:lang w:val="lt-LT"/>
        </w:rPr>
      </w:pPr>
    </w:p>
    <w:p w:rsidR="00BA5D57" w:rsidRDefault="00BA5D57" w:rsidP="00BA5D57">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Apie ką rašoma šiame lapelyje?</w:t>
      </w:r>
    </w:p>
    <w:p w:rsidR="00BA5D57" w:rsidRDefault="00BA5D57" w:rsidP="00BA5D57">
      <w:pPr>
        <w:tabs>
          <w:tab w:val="left" w:pos="567"/>
        </w:tabs>
        <w:spacing w:after="0" w:line="240" w:lineRule="auto"/>
        <w:rPr>
          <w:rFonts w:ascii="Times New Roman" w:hAnsi="Times New Roman" w:cs="Times New Roman"/>
          <w:b/>
          <w:u w:val="single"/>
          <w:lang w:val="lt-LT"/>
        </w:rPr>
      </w:pPr>
    </w:p>
    <w:p w:rsidR="00BA5D57" w:rsidRDefault="00BA5D57" w:rsidP="00BA5D5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w:t>
      </w:r>
      <w:r>
        <w:rPr>
          <w:rFonts w:ascii="Times New Roman" w:hAnsi="Times New Roman" w:cs="Times New Roman"/>
          <w:lang w:val="lt-LT"/>
        </w:rPr>
        <w:t>ir kam jis vartojamas</w:t>
      </w:r>
    </w:p>
    <w:p w:rsidR="00BA5D57" w:rsidRDefault="00BA5D57" w:rsidP="00BA5D57">
      <w:pPr>
        <w:tabs>
          <w:tab w:val="left" w:pos="567"/>
        </w:tabs>
        <w:spacing w:after="0" w:line="240" w:lineRule="auto"/>
        <w:rPr>
          <w:rFonts w:ascii="Times New Roman" w:eastAsia="Times New Roman" w:hAnsi="Times New Roman" w:cs="Times New Roman"/>
          <w:lang w:val="lt-LT" w:eastAsia="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w:t>
      </w:r>
    </w:p>
    <w:p w:rsidR="00BA5D57" w:rsidRDefault="00BA5D57" w:rsidP="00BA5D5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w:t>
      </w:r>
    </w:p>
    <w:p w:rsidR="00BA5D57" w:rsidRDefault="00BA5D57" w:rsidP="00BA5D5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rsidR="00BA5D57" w:rsidRDefault="00BA5D57" w:rsidP="00BA5D5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w:t>
      </w:r>
    </w:p>
    <w:p w:rsidR="00BA5D57" w:rsidRDefault="00BA5D57" w:rsidP="00BA5D5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rsidR="00BA5D57" w:rsidRDefault="00BA5D57" w:rsidP="00BA5D57">
      <w:pPr>
        <w:tabs>
          <w:tab w:val="left" w:pos="567"/>
        </w:tabs>
        <w:rPr>
          <w:rFonts w:ascii="Times New Roman" w:hAnsi="Times New Roman" w:cs="Times New Roman"/>
          <w:lang w:val="lt-LT"/>
        </w:rPr>
      </w:pPr>
    </w:p>
    <w:p w:rsidR="00BA5D57" w:rsidRDefault="00BA5D57" w:rsidP="00BA5D57">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t xml:space="preserve">Kas yra </w:t>
      </w:r>
      <w:proofErr w:type="spellStart"/>
      <w:r>
        <w:rPr>
          <w:rFonts w:ascii="Times New Roman" w:eastAsia="Times New Roman" w:hAnsi="Times New Roman" w:cs="Times New Roman"/>
          <w:b/>
          <w:lang w:val="lt-LT" w:eastAsia="lt-LT"/>
        </w:rPr>
        <w:t>Galieve</w:t>
      </w:r>
      <w:proofErr w:type="spellEnd"/>
      <w:r>
        <w:rPr>
          <w:rFonts w:ascii="Times New Roman" w:eastAsia="Times New Roman" w:hAnsi="Times New Roman" w:cs="Times New Roman"/>
          <w:b/>
          <w:lang w:val="lt-LT" w:eastAsia="lt-LT"/>
        </w:rPr>
        <w:t xml:space="preserve"> </w:t>
      </w:r>
      <w:r>
        <w:rPr>
          <w:rFonts w:ascii="Times New Roman" w:hAnsi="Times New Roman" w:cs="Times New Roman"/>
          <w:b/>
          <w:lang w:val="lt-LT"/>
        </w:rPr>
        <w:t>ir kam jis vartojamas</w:t>
      </w:r>
    </w:p>
    <w:p w:rsidR="00BA5D57" w:rsidRDefault="00BA5D57" w:rsidP="00BA5D57">
      <w:pPr>
        <w:tabs>
          <w:tab w:val="left" w:pos="567"/>
        </w:tabs>
        <w:spacing w:after="0" w:line="240" w:lineRule="auto"/>
        <w:rPr>
          <w:rFonts w:ascii="Times New Roman" w:hAnsi="Times New Roman" w:cs="Times New Roman"/>
          <w:lang w:val="lt-LT"/>
        </w:rPr>
      </w:pPr>
    </w:p>
    <w:p w:rsidR="00BA5D57" w:rsidRDefault="00BA5D57" w:rsidP="00BA5D57">
      <w:pPr>
        <w:spacing w:after="0" w:line="240" w:lineRule="auto"/>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yra </w:t>
      </w:r>
      <w:proofErr w:type="spellStart"/>
      <w:r>
        <w:rPr>
          <w:rFonts w:ascii="Times New Roman" w:eastAsia="Times New Roman" w:hAnsi="Times New Roman" w:cs="Times New Roman"/>
          <w:lang w:val="lt-LT" w:eastAsia="lt-LT"/>
        </w:rPr>
        <w:t>alginato</w:t>
      </w:r>
      <w:proofErr w:type="spellEnd"/>
      <w:r>
        <w:rPr>
          <w:rFonts w:ascii="Times New Roman" w:eastAsia="Times New Roman" w:hAnsi="Times New Roman" w:cs="Times New Roman"/>
          <w:lang w:val="lt-LT" w:eastAsia="lt-LT"/>
        </w:rPr>
        <w:t xml:space="preserve"> ir dviejų </w:t>
      </w:r>
      <w:proofErr w:type="spellStart"/>
      <w:r>
        <w:rPr>
          <w:rFonts w:ascii="Times New Roman" w:eastAsia="Times New Roman" w:hAnsi="Times New Roman" w:cs="Times New Roman"/>
          <w:lang w:val="lt-LT" w:eastAsia="lt-LT"/>
        </w:rPr>
        <w:t>antacidinių</w:t>
      </w:r>
      <w:proofErr w:type="spellEnd"/>
      <w:r>
        <w:rPr>
          <w:rFonts w:ascii="Times New Roman" w:eastAsia="Times New Roman" w:hAnsi="Times New Roman" w:cs="Times New Roman"/>
          <w:lang w:val="lt-LT" w:eastAsia="lt-LT"/>
        </w:rPr>
        <w:t xml:space="preserve"> vaistų (kalcio karbonato ir natrio-vandenilio karbonato) derinys, kuris turi dvejopą poveikį.</w:t>
      </w:r>
    </w:p>
    <w:p w:rsidR="00BA5D57" w:rsidRDefault="00BA5D57" w:rsidP="00BA5D57">
      <w:pPr>
        <w:spacing w:after="0" w:line="240" w:lineRule="auto"/>
        <w:rPr>
          <w:rFonts w:ascii="Times New Roman" w:eastAsia="Times New Roman" w:hAnsi="Times New Roman" w:cs="Times New Roman"/>
          <w:lang w:val="lt-LT" w:eastAsia="lt-LT"/>
        </w:rPr>
      </w:pPr>
    </w:p>
    <w:p w:rsidR="00BA5D57" w:rsidRDefault="00BA5D57" w:rsidP="00BA5D57">
      <w:pPr>
        <w:pStyle w:val="Sraopastraipa"/>
        <w:numPr>
          <w:ilvl w:val="0"/>
          <w:numId w:val="2"/>
        </w:numPr>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Suformuodamas apsauginį barjerą virš skrandžio turinio, nuramina deginimo skausmą Jūsų krūtinėje, kuris gali trukti iki 4 valandų.</w:t>
      </w:r>
    </w:p>
    <w:p w:rsidR="00BA5D57" w:rsidRDefault="00BA5D57" w:rsidP="00BA5D57">
      <w:pPr>
        <w:pStyle w:val="Sraopastraipa"/>
        <w:numPr>
          <w:ilvl w:val="0"/>
          <w:numId w:val="2"/>
        </w:numPr>
        <w:spacing w:after="0" w:line="240" w:lineRule="auto"/>
        <w:ind w:left="357" w:hanging="357"/>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Neutralizuodamas skrandžio rūgšties perteklių, malšina skausmą bei nemalonius pojūčius.</w:t>
      </w:r>
    </w:p>
    <w:p w:rsidR="00BA5D57" w:rsidRDefault="00BA5D57" w:rsidP="00BA5D57">
      <w:pPr>
        <w:spacing w:after="0" w:line="240" w:lineRule="auto"/>
        <w:rPr>
          <w:rFonts w:ascii="Times New Roman" w:eastAsia="Times New Roman" w:hAnsi="Times New Roman" w:cs="Times New Roman"/>
          <w:lang w:val="lt-LT" w:eastAsia="lt-LT"/>
        </w:rPr>
      </w:pPr>
    </w:p>
    <w:p w:rsidR="00BA5D57" w:rsidRDefault="00BA5D57" w:rsidP="00BA5D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Šis vaistas yra vartojamas su rūgštingumu susijusiems </w:t>
      </w:r>
      <w:proofErr w:type="spellStart"/>
      <w:r>
        <w:rPr>
          <w:rFonts w:ascii="Times New Roman" w:eastAsia="Times New Roman" w:hAnsi="Times New Roman" w:cs="Times New Roman"/>
          <w:lang w:val="lt-LT" w:eastAsia="lt-LT"/>
        </w:rPr>
        <w:t>gastroezofaginio</w:t>
      </w:r>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refliukso</w:t>
      </w:r>
      <w:proofErr w:type="spellEnd"/>
      <w:r>
        <w:rPr>
          <w:rFonts w:ascii="Times New Roman" w:eastAsia="Times New Roman" w:hAnsi="Times New Roman" w:cs="Times New Roman"/>
          <w:lang w:val="lt-LT" w:eastAsia="lt-LT"/>
        </w:rPr>
        <w:t xml:space="preserve"> simptomams, pvz., rėmeniui, rūgšties atpylimui ir virškinimo sutrikimams (pvz., po valgio arba nėštumo metu), suaugusiesiems ir 12 metų bei vyresniems vaikams, gydyti.</w:t>
      </w:r>
    </w:p>
    <w:p w:rsidR="00BA5D57" w:rsidRDefault="00BA5D57" w:rsidP="00BA5D57">
      <w:pPr>
        <w:pStyle w:val="Pagrindinistekstas"/>
        <w:spacing w:after="0"/>
        <w:jc w:val="center"/>
        <w:rPr>
          <w:b/>
          <w:szCs w:val="22"/>
        </w:rPr>
      </w:pPr>
    </w:p>
    <w:p w:rsidR="00BA5D57" w:rsidRDefault="00BA5D57" w:rsidP="00BA5D57">
      <w:pPr>
        <w:pStyle w:val="Pagrindinistekstas"/>
        <w:spacing w:after="0"/>
        <w:jc w:val="center"/>
        <w:rPr>
          <w:b/>
          <w:szCs w:val="22"/>
        </w:rPr>
      </w:pPr>
    </w:p>
    <w:p w:rsidR="00BA5D57" w:rsidRDefault="00BA5D57" w:rsidP="00BA5D57">
      <w:pPr>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 xml:space="preserve">Kas žinotina prieš vartojant </w:t>
      </w:r>
      <w:proofErr w:type="spellStart"/>
      <w:r>
        <w:rPr>
          <w:rFonts w:ascii="Times New Roman" w:eastAsia="Times New Roman" w:hAnsi="Times New Roman" w:cs="Times New Roman"/>
          <w:b/>
          <w:lang w:val="lt-LT" w:eastAsia="lt-LT"/>
        </w:rPr>
        <w:t>Galieve</w:t>
      </w:r>
      <w:proofErr w:type="spellEnd"/>
      <w:r>
        <w:rPr>
          <w:rFonts w:ascii="Times New Roman" w:eastAsia="Times New Roman" w:hAnsi="Times New Roman" w:cs="Times New Roman"/>
          <w:b/>
          <w:lang w:val="lt-LT" w:eastAsia="lt-LT"/>
        </w:rPr>
        <w:t xml:space="preserve"> </w:t>
      </w:r>
    </w:p>
    <w:p w:rsidR="00BA5D57" w:rsidRDefault="00BA5D57" w:rsidP="00BA5D57">
      <w:pPr>
        <w:pStyle w:val="Pagrindinistekstas"/>
        <w:spacing w:after="0"/>
        <w:jc w:val="center"/>
        <w:rPr>
          <w:rFonts w:eastAsia="Times New Roman"/>
          <w:szCs w:val="22"/>
        </w:rPr>
      </w:pPr>
    </w:p>
    <w:p w:rsidR="00BA5D57" w:rsidRDefault="00BA5D57" w:rsidP="00BA5D57">
      <w:pPr>
        <w:pStyle w:val="Pagrindinistekstas"/>
        <w:spacing w:after="0"/>
        <w:rPr>
          <w:rFonts w:eastAsia="Times New Roman"/>
          <w:b/>
          <w:szCs w:val="22"/>
        </w:rPr>
      </w:pPr>
      <w:proofErr w:type="spellStart"/>
      <w:r>
        <w:rPr>
          <w:rFonts w:eastAsia="Times New Roman"/>
          <w:b/>
          <w:szCs w:val="22"/>
        </w:rPr>
        <w:t>Galieve</w:t>
      </w:r>
      <w:proofErr w:type="spellEnd"/>
      <w:r>
        <w:rPr>
          <w:rFonts w:eastAsia="Times New Roman"/>
          <w:b/>
          <w:szCs w:val="22"/>
        </w:rPr>
        <w:t xml:space="preserve"> vartoti draudžiama:</w:t>
      </w:r>
    </w:p>
    <w:p w:rsidR="00BA5D57" w:rsidRDefault="00BA5D57" w:rsidP="00BA5D57">
      <w:pPr>
        <w:pStyle w:val="BT-EMEASMCA"/>
        <w:tabs>
          <w:tab w:val="num" w:pos="720"/>
        </w:tabs>
      </w:pPr>
      <w:r>
        <w:t xml:space="preserve">jeigu yra alergija </w:t>
      </w:r>
      <w:r>
        <w:rPr>
          <w:szCs w:val="24"/>
        </w:rPr>
        <w:t>veikliosioms medžiagoms arba</w:t>
      </w:r>
      <w:r>
        <w:t xml:space="preserve"> bet kuriai pagalbinei šio vaisto medžiagai (jos išvardytos 6 skyriuje).</w:t>
      </w:r>
    </w:p>
    <w:p w:rsidR="00BA5D57" w:rsidRDefault="00BA5D57" w:rsidP="00BA5D57">
      <w:pPr>
        <w:pStyle w:val="BT-EMEASMCA"/>
        <w:numPr>
          <w:ilvl w:val="0"/>
          <w:numId w:val="0"/>
        </w:numPr>
      </w:pPr>
    </w:p>
    <w:p w:rsidR="00BA5D57" w:rsidRDefault="00BA5D57" w:rsidP="00BA5D57">
      <w:pPr>
        <w:pStyle w:val="BT-EMEASMCA"/>
        <w:numPr>
          <w:ilvl w:val="0"/>
          <w:numId w:val="0"/>
        </w:numPr>
      </w:pPr>
      <w:r w:rsidRPr="00E93CBB">
        <w:rPr>
          <w:b/>
          <w:bCs/>
        </w:rPr>
        <w:t>Įspėjimai ir</w:t>
      </w:r>
      <w:r>
        <w:t xml:space="preserve"> </w:t>
      </w:r>
      <w:r w:rsidRPr="00E93CBB">
        <w:rPr>
          <w:b/>
          <w:bCs/>
        </w:rPr>
        <w:t>atsargumo priemonės</w:t>
      </w:r>
    </w:p>
    <w:p w:rsidR="00BA5D57" w:rsidRDefault="00BA5D57" w:rsidP="00BA5D57">
      <w:pPr>
        <w:pStyle w:val="BT-EMEASMCA"/>
        <w:numPr>
          <w:ilvl w:val="0"/>
          <w:numId w:val="0"/>
        </w:numPr>
      </w:pPr>
      <w:r>
        <w:t xml:space="preserve">Pasitarkite su gydytoju arba vaistininku, prieš pradėdami vartoti </w:t>
      </w:r>
      <w:proofErr w:type="spellStart"/>
      <w:r>
        <w:t>Galieve</w:t>
      </w:r>
      <w:proofErr w:type="spellEnd"/>
      <w:r>
        <w:t>, jeigu:</w:t>
      </w:r>
    </w:p>
    <w:p w:rsidR="00BA5D57" w:rsidRDefault="00BA5D57" w:rsidP="00BA5D57">
      <w:pPr>
        <w:pStyle w:val="BT-EMEASMCA"/>
        <w:tabs>
          <w:tab w:val="num" w:pos="720"/>
        </w:tabs>
      </w:pPr>
      <w:r>
        <w:t xml:space="preserve">sirgote arba sergate sunkia </w:t>
      </w:r>
      <w:r>
        <w:rPr>
          <w:b/>
          <w:bCs/>
        </w:rPr>
        <w:t>inkstų ar širdies liga</w:t>
      </w:r>
      <w:r>
        <w:t>, nes tam tikros druskos gali turėti įtakos šių ligų eigai (pasitarkite su gydytoju dėl druskos kiekio);</w:t>
      </w:r>
    </w:p>
    <w:p w:rsidR="00BA5D57" w:rsidRDefault="00BA5D57" w:rsidP="00BA5D57">
      <w:pPr>
        <w:pStyle w:val="BT-EMEASMCA"/>
        <w:tabs>
          <w:tab w:val="num" w:pos="720"/>
        </w:tabs>
      </w:pPr>
      <w:r>
        <w:t xml:space="preserve">Jums yra </w:t>
      </w:r>
      <w:r w:rsidRPr="005A6FE3">
        <w:rPr>
          <w:b/>
          <w:bCs/>
        </w:rPr>
        <w:t>sunkių inkstų</w:t>
      </w:r>
      <w:r>
        <w:rPr>
          <w:b/>
          <w:bCs/>
        </w:rPr>
        <w:t xml:space="preserve"> sutrikimų</w:t>
      </w:r>
      <w:r>
        <w:t>;</w:t>
      </w:r>
    </w:p>
    <w:p w:rsidR="00BA5D57" w:rsidRDefault="00BA5D57" w:rsidP="00BA5D57">
      <w:pPr>
        <w:pStyle w:val="BT-EMEASMCA"/>
        <w:tabs>
          <w:tab w:val="num" w:pos="720"/>
        </w:tabs>
      </w:pPr>
      <w:r>
        <w:t xml:space="preserve">Jums yra elektrolitų balanso sutrikimas, pasireiškiantis </w:t>
      </w:r>
      <w:r w:rsidRPr="00E93CBB">
        <w:rPr>
          <w:b/>
          <w:bCs/>
        </w:rPr>
        <w:t>mažu kiekiu fosfatų</w:t>
      </w:r>
      <w:r>
        <w:t xml:space="preserve"> kraujyje (</w:t>
      </w:r>
      <w:proofErr w:type="spellStart"/>
      <w:r>
        <w:t>hipofosfatemija</w:t>
      </w:r>
      <w:proofErr w:type="spellEnd"/>
      <w:r>
        <w:t>);</w:t>
      </w:r>
    </w:p>
    <w:p w:rsidR="00BA5D57" w:rsidRDefault="00BA5D57" w:rsidP="00BA5D57">
      <w:pPr>
        <w:pStyle w:val="BT-EMEASMCA"/>
        <w:tabs>
          <w:tab w:val="num" w:pos="720"/>
        </w:tabs>
      </w:pPr>
      <w:r>
        <w:lastRenderedPageBreak/>
        <w:t>žinote, kad Jūsų skrandyje yra sumažėjęs skrandžio rūgšties kiekis, nes šis vaistas gali būti mažiau veiksmingas.</w:t>
      </w:r>
    </w:p>
    <w:p w:rsidR="00BA5D57" w:rsidRDefault="00BA5D57" w:rsidP="00BA5D57">
      <w:pPr>
        <w:pStyle w:val="BT-EMEASMCA"/>
        <w:numPr>
          <w:ilvl w:val="0"/>
          <w:numId w:val="0"/>
        </w:numPr>
        <w:ind w:left="567" w:hanging="567"/>
      </w:pPr>
    </w:p>
    <w:p w:rsidR="00BA5D57" w:rsidRDefault="00BA5D57" w:rsidP="00BA5D57">
      <w:pPr>
        <w:pStyle w:val="BT-EMEASMCA"/>
        <w:numPr>
          <w:ilvl w:val="0"/>
          <w:numId w:val="0"/>
        </w:numPr>
      </w:pPr>
      <w:r>
        <w:t xml:space="preserve">Reikia vengti ilgalaikio vartojimo. Kaip ir kitų </w:t>
      </w:r>
      <w:proofErr w:type="spellStart"/>
      <w:r>
        <w:t>antacidinių</w:t>
      </w:r>
      <w:proofErr w:type="spellEnd"/>
      <w:r>
        <w:t xml:space="preserve"> vaistų atvejais, šio vaisto vartojimas gali slėpti kitų sunkesnių, esminių sveikatos sutrikimų simptomus.</w:t>
      </w:r>
    </w:p>
    <w:p w:rsidR="00BA5D57" w:rsidRDefault="00BA5D57" w:rsidP="00BA5D57">
      <w:pPr>
        <w:pStyle w:val="BT-EMEASMCA"/>
        <w:numPr>
          <w:ilvl w:val="0"/>
          <w:numId w:val="0"/>
        </w:numPr>
      </w:pPr>
    </w:p>
    <w:p w:rsidR="00BA5D57" w:rsidRPr="00E93CBB" w:rsidRDefault="00BA5D57" w:rsidP="00BA5D57">
      <w:pPr>
        <w:pStyle w:val="BT-EMEASMCA"/>
        <w:numPr>
          <w:ilvl w:val="0"/>
          <w:numId w:val="0"/>
        </w:numPr>
        <w:rPr>
          <w:noProof/>
          <w:snapToGrid w:val="0"/>
        </w:rPr>
      </w:pPr>
      <w:r w:rsidRPr="006D35F8">
        <w:rPr>
          <w:b/>
          <w:bCs/>
          <w:noProof/>
          <w:snapToGrid w:val="0"/>
        </w:rPr>
        <w:t>Jei po 7 dienų simptomai išlieka, pasitarkite su gydytoju</w:t>
      </w:r>
      <w:r w:rsidRPr="006D35F8">
        <w:rPr>
          <w:noProof/>
          <w:snapToGrid w:val="0"/>
        </w:rPr>
        <w:t>.</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b/>
          <w:szCs w:val="22"/>
        </w:rPr>
      </w:pPr>
      <w:r>
        <w:rPr>
          <w:rFonts w:eastAsia="Times New Roman"/>
          <w:b/>
          <w:szCs w:val="22"/>
        </w:rPr>
        <w:t>Vaikams</w:t>
      </w:r>
    </w:p>
    <w:p w:rsidR="00BA5D57" w:rsidRDefault="00BA5D57" w:rsidP="00BA5D57">
      <w:pPr>
        <w:pStyle w:val="Pagrindinistekstas"/>
        <w:spacing w:after="0"/>
        <w:rPr>
          <w:rFonts w:eastAsia="Times New Roman"/>
          <w:bCs/>
          <w:szCs w:val="22"/>
        </w:rPr>
      </w:pPr>
      <w:r w:rsidRPr="00E93CBB">
        <w:rPr>
          <w:rFonts w:eastAsia="Times New Roman"/>
          <w:bCs/>
          <w:szCs w:val="22"/>
        </w:rPr>
        <w:t>Šio vaisto ne</w:t>
      </w:r>
      <w:r>
        <w:rPr>
          <w:rFonts w:eastAsia="Times New Roman"/>
          <w:bCs/>
          <w:szCs w:val="22"/>
        </w:rPr>
        <w:t>rekomenduojama</w:t>
      </w:r>
      <w:r w:rsidRPr="00E93CBB">
        <w:rPr>
          <w:rFonts w:eastAsia="Times New Roman"/>
          <w:bCs/>
          <w:szCs w:val="22"/>
        </w:rPr>
        <w:t xml:space="preserve"> skirti vaik</w:t>
      </w:r>
      <w:r>
        <w:rPr>
          <w:rFonts w:eastAsia="Times New Roman"/>
          <w:bCs/>
          <w:szCs w:val="22"/>
        </w:rPr>
        <w:t>ams</w:t>
      </w:r>
      <w:r w:rsidRPr="00E93CBB">
        <w:rPr>
          <w:rFonts w:eastAsia="Times New Roman"/>
          <w:bCs/>
          <w:szCs w:val="22"/>
        </w:rPr>
        <w:t xml:space="preserve"> iki 12 metų amžiaus. </w:t>
      </w:r>
    </w:p>
    <w:p w:rsidR="00BA5D57" w:rsidRDefault="00BA5D57" w:rsidP="00BA5D57">
      <w:pPr>
        <w:pStyle w:val="Pagrindinistekstas"/>
        <w:spacing w:after="0"/>
        <w:rPr>
          <w:rFonts w:eastAsia="Times New Roman"/>
          <w:bCs/>
          <w:szCs w:val="22"/>
        </w:rPr>
      </w:pPr>
      <w:r w:rsidRPr="00E93CBB">
        <w:rPr>
          <w:rFonts w:eastAsia="Times New Roman"/>
          <w:bCs/>
          <w:szCs w:val="22"/>
        </w:rPr>
        <w:t>Yra padidėjusio natrio kiekio kraujyje (</w:t>
      </w:r>
      <w:proofErr w:type="spellStart"/>
      <w:r w:rsidRPr="00E93CBB">
        <w:rPr>
          <w:rFonts w:eastAsia="Times New Roman"/>
          <w:bCs/>
          <w:szCs w:val="22"/>
        </w:rPr>
        <w:t>hipernatremijos</w:t>
      </w:r>
      <w:proofErr w:type="spellEnd"/>
      <w:r w:rsidRPr="00E93CBB">
        <w:rPr>
          <w:rFonts w:eastAsia="Times New Roman"/>
          <w:bCs/>
          <w:szCs w:val="22"/>
        </w:rPr>
        <w:t>) rizika vaikams, kuriems yra inkstų sutrikimų arba kuriems yra pilvo ar žarnyno uždegimas (</w:t>
      </w:r>
      <w:proofErr w:type="spellStart"/>
      <w:r w:rsidRPr="00E93CBB">
        <w:rPr>
          <w:rFonts w:eastAsia="Times New Roman"/>
          <w:bCs/>
          <w:szCs w:val="22"/>
        </w:rPr>
        <w:t>gastroenteritas</w:t>
      </w:r>
      <w:proofErr w:type="spellEnd"/>
      <w:r w:rsidRPr="00E93CBB">
        <w:rPr>
          <w:rFonts w:eastAsia="Times New Roman"/>
          <w:bCs/>
          <w:szCs w:val="22"/>
        </w:rPr>
        <w:t xml:space="preserve">). </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b/>
          <w:szCs w:val="22"/>
        </w:rPr>
      </w:pPr>
      <w:r>
        <w:rPr>
          <w:b/>
          <w:szCs w:val="22"/>
        </w:rPr>
        <w:t xml:space="preserve">Kiti vaistai ir </w:t>
      </w:r>
      <w:proofErr w:type="spellStart"/>
      <w:r>
        <w:rPr>
          <w:rFonts w:eastAsia="Times New Roman"/>
          <w:b/>
          <w:szCs w:val="22"/>
        </w:rPr>
        <w:t>Galieve</w:t>
      </w:r>
      <w:proofErr w:type="spellEnd"/>
      <w:r>
        <w:rPr>
          <w:rFonts w:eastAsia="Times New Roman"/>
          <w:b/>
          <w:szCs w:val="22"/>
        </w:rPr>
        <w:t xml:space="preserve"> </w:t>
      </w:r>
    </w:p>
    <w:p w:rsidR="00BA5D57" w:rsidRDefault="00BA5D57" w:rsidP="00BA5D57">
      <w:pPr>
        <w:pStyle w:val="Pagrindinistekstas"/>
        <w:spacing w:after="0"/>
        <w:rPr>
          <w:rFonts w:eastAsia="Times New Roman"/>
          <w:szCs w:val="22"/>
        </w:rPr>
      </w:pPr>
      <w:r>
        <w:rPr>
          <w:rFonts w:eastAsia="Times New Roman"/>
          <w:szCs w:val="22"/>
        </w:rPr>
        <w:t xml:space="preserve">Nevartokite šio vaisto dviejų valandų bėgyje po kitų vaistų, skirtų vartoti per burną, vartojimo, nes tai gali turėti įtakos kai kurių kitų vaistų poveikiui. Tai ypač svarbu, jeigu Jūs vartojate </w:t>
      </w:r>
      <w:proofErr w:type="spellStart"/>
      <w:r>
        <w:rPr>
          <w:rFonts w:eastAsia="Times New Roman"/>
          <w:szCs w:val="22"/>
        </w:rPr>
        <w:t>antihistamininių</w:t>
      </w:r>
      <w:proofErr w:type="spellEnd"/>
      <w:r>
        <w:rPr>
          <w:rFonts w:eastAsia="Times New Roman"/>
          <w:szCs w:val="22"/>
        </w:rPr>
        <w:t xml:space="preserve"> vaistų (alergijos simptomams gydyti), antibiotikų (</w:t>
      </w:r>
      <w:proofErr w:type="spellStart"/>
      <w:r>
        <w:rPr>
          <w:rFonts w:eastAsia="Times New Roman"/>
          <w:szCs w:val="22"/>
        </w:rPr>
        <w:t>tetraciklinų</w:t>
      </w:r>
      <w:proofErr w:type="spellEnd"/>
      <w:r>
        <w:rPr>
          <w:rFonts w:eastAsia="Times New Roman"/>
          <w:szCs w:val="22"/>
        </w:rPr>
        <w:t xml:space="preserve"> ir </w:t>
      </w:r>
      <w:proofErr w:type="spellStart"/>
      <w:r>
        <w:rPr>
          <w:rFonts w:eastAsia="Times New Roman"/>
          <w:szCs w:val="22"/>
        </w:rPr>
        <w:t>chinolonų</w:t>
      </w:r>
      <w:proofErr w:type="spellEnd"/>
      <w:r>
        <w:rPr>
          <w:rFonts w:eastAsia="Times New Roman"/>
          <w:szCs w:val="22"/>
        </w:rPr>
        <w:t xml:space="preserve">, pvz., </w:t>
      </w:r>
      <w:proofErr w:type="spellStart"/>
      <w:r>
        <w:rPr>
          <w:rFonts w:eastAsia="Times New Roman"/>
          <w:szCs w:val="22"/>
        </w:rPr>
        <w:t>norfloksaciną</w:t>
      </w:r>
      <w:proofErr w:type="spellEnd"/>
      <w:r>
        <w:rPr>
          <w:rFonts w:eastAsia="Times New Roman"/>
          <w:szCs w:val="22"/>
        </w:rPr>
        <w:t xml:space="preserve">, bakterinės infekcijos gydymui), geležies vaistų (sutrikimams, susijusiems su geležies trūkumu), skydliaukės hormonų (skydliaukės hormonų trūkumui gydyti), priešgrybelinių vaistų, pvz., </w:t>
      </w:r>
      <w:proofErr w:type="spellStart"/>
      <w:r>
        <w:rPr>
          <w:rFonts w:eastAsia="Times New Roman"/>
          <w:szCs w:val="22"/>
        </w:rPr>
        <w:t>ketokonazolą</w:t>
      </w:r>
      <w:proofErr w:type="spellEnd"/>
      <w:r>
        <w:rPr>
          <w:rFonts w:eastAsia="Times New Roman"/>
          <w:szCs w:val="22"/>
        </w:rPr>
        <w:t xml:space="preserve"> (grybelinių infekcijų gydymui), </w:t>
      </w:r>
      <w:proofErr w:type="spellStart"/>
      <w:r>
        <w:rPr>
          <w:rFonts w:eastAsia="Times New Roman"/>
          <w:szCs w:val="22"/>
        </w:rPr>
        <w:t>digoksino</w:t>
      </w:r>
      <w:proofErr w:type="spellEnd"/>
      <w:r>
        <w:rPr>
          <w:rFonts w:eastAsia="Times New Roman"/>
          <w:szCs w:val="22"/>
        </w:rPr>
        <w:t xml:space="preserve"> ir beta </w:t>
      </w:r>
      <w:proofErr w:type="spellStart"/>
      <w:r>
        <w:rPr>
          <w:rFonts w:eastAsia="Times New Roman"/>
          <w:szCs w:val="22"/>
        </w:rPr>
        <w:t>adrenoreceptorių</w:t>
      </w:r>
      <w:proofErr w:type="spellEnd"/>
      <w:r>
        <w:rPr>
          <w:rFonts w:eastAsia="Times New Roman"/>
          <w:szCs w:val="22"/>
        </w:rPr>
        <w:t xml:space="preserve"> blokatorių (nuo širdies ligų), </w:t>
      </w:r>
      <w:proofErr w:type="spellStart"/>
      <w:r>
        <w:rPr>
          <w:rFonts w:eastAsia="Times New Roman"/>
          <w:szCs w:val="22"/>
        </w:rPr>
        <w:t>neuroleptikų</w:t>
      </w:r>
      <w:proofErr w:type="spellEnd"/>
      <w:r>
        <w:rPr>
          <w:rFonts w:eastAsia="Times New Roman"/>
          <w:szCs w:val="22"/>
        </w:rPr>
        <w:t xml:space="preserve"> (nuo psichikos ligų), </w:t>
      </w:r>
      <w:proofErr w:type="spellStart"/>
      <w:r>
        <w:rPr>
          <w:rFonts w:eastAsia="Times New Roman"/>
          <w:szCs w:val="22"/>
        </w:rPr>
        <w:t>tiroksiną</w:t>
      </w:r>
      <w:proofErr w:type="spellEnd"/>
      <w:r>
        <w:rPr>
          <w:rFonts w:eastAsia="Times New Roman"/>
          <w:szCs w:val="22"/>
        </w:rPr>
        <w:t xml:space="preserve"> (skydliaukės hormonų trūkumo gydymui), </w:t>
      </w:r>
      <w:proofErr w:type="spellStart"/>
      <w:r>
        <w:rPr>
          <w:rFonts w:eastAsia="Times New Roman"/>
          <w:szCs w:val="22"/>
        </w:rPr>
        <w:t>chlorokviną</w:t>
      </w:r>
      <w:proofErr w:type="spellEnd"/>
      <w:r>
        <w:rPr>
          <w:rFonts w:eastAsia="Times New Roman"/>
          <w:szCs w:val="22"/>
        </w:rPr>
        <w:t xml:space="preserve"> (maliarijai gydyti), </w:t>
      </w:r>
      <w:proofErr w:type="spellStart"/>
      <w:r>
        <w:rPr>
          <w:rFonts w:eastAsia="Times New Roman"/>
          <w:szCs w:val="22"/>
        </w:rPr>
        <w:t>bisfosfonatų</w:t>
      </w:r>
      <w:proofErr w:type="spellEnd"/>
      <w:r>
        <w:rPr>
          <w:rFonts w:eastAsia="Times New Roman"/>
          <w:szCs w:val="22"/>
        </w:rPr>
        <w:t xml:space="preserve"> (osteoporozei gydyti) ir </w:t>
      </w:r>
      <w:proofErr w:type="spellStart"/>
      <w:r>
        <w:rPr>
          <w:rFonts w:eastAsia="Times New Roman"/>
          <w:szCs w:val="22"/>
        </w:rPr>
        <w:t>estramustiną</w:t>
      </w:r>
      <w:proofErr w:type="spellEnd"/>
      <w:r>
        <w:rPr>
          <w:rFonts w:eastAsia="Times New Roman"/>
          <w:szCs w:val="22"/>
        </w:rPr>
        <w:t xml:space="preserve"> (nuo prostatos vėžio).</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szCs w:val="22"/>
        </w:rPr>
      </w:pPr>
      <w:r>
        <w:rPr>
          <w:rFonts w:eastAsia="Times New Roman"/>
          <w:szCs w:val="22"/>
        </w:rPr>
        <w:t>Pasakykite savo gydytojui arba vaistininkui, jeigu vartojate arba neseniai vartojote kitų vaistų, įskaitant įsigytus be recepto.</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b/>
          <w:szCs w:val="22"/>
        </w:rPr>
      </w:pPr>
      <w:r>
        <w:rPr>
          <w:b/>
          <w:szCs w:val="22"/>
        </w:rPr>
        <w:t>Nėštumas</w:t>
      </w:r>
      <w:r>
        <w:rPr>
          <w:b/>
          <w:bCs/>
          <w:szCs w:val="22"/>
        </w:rPr>
        <w:t>,</w:t>
      </w:r>
      <w:r>
        <w:rPr>
          <w:b/>
          <w:szCs w:val="22"/>
        </w:rPr>
        <w:t xml:space="preserve"> žindymo laikotarpis ir vaisingumas</w:t>
      </w:r>
    </w:p>
    <w:p w:rsidR="00BA5D57" w:rsidRDefault="00BA5D57" w:rsidP="00BA5D57">
      <w:pPr>
        <w:pStyle w:val="Pagrindinistekstas"/>
        <w:spacing w:after="0"/>
        <w:rPr>
          <w:rFonts w:eastAsia="Times New Roman"/>
          <w:szCs w:val="22"/>
        </w:rPr>
      </w:pPr>
      <w:r>
        <w:rPr>
          <w:rFonts w:eastAsia="Times New Roman"/>
          <w:szCs w:val="22"/>
        </w:rPr>
        <w:t>Jūs galite vartoti šį vaistą, jei esate nėščia, -žindote kūdikį arba planuojate pastoti. Kaip ir visų kitų vaistų, gydymo trukmė turėtų būti kaip galima ribota.</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b/>
          <w:szCs w:val="22"/>
        </w:rPr>
      </w:pPr>
      <w:proofErr w:type="spellStart"/>
      <w:r>
        <w:rPr>
          <w:rFonts w:eastAsia="Times New Roman"/>
          <w:b/>
          <w:szCs w:val="22"/>
        </w:rPr>
        <w:t>Galieve</w:t>
      </w:r>
      <w:proofErr w:type="spellEnd"/>
      <w:r>
        <w:rPr>
          <w:rFonts w:eastAsia="Times New Roman"/>
          <w:b/>
          <w:szCs w:val="22"/>
        </w:rPr>
        <w:t xml:space="preserve"> </w:t>
      </w:r>
      <w:r>
        <w:rPr>
          <w:b/>
          <w:szCs w:val="22"/>
        </w:rPr>
        <w:t xml:space="preserve">sudėtyje yra metilo </w:t>
      </w:r>
      <w:proofErr w:type="spellStart"/>
      <w:r>
        <w:rPr>
          <w:b/>
          <w:szCs w:val="22"/>
        </w:rPr>
        <w:t>parahidroksibenzoato</w:t>
      </w:r>
      <w:proofErr w:type="spellEnd"/>
      <w:r>
        <w:rPr>
          <w:b/>
          <w:szCs w:val="22"/>
        </w:rPr>
        <w:t xml:space="preserve"> (E218) ir </w:t>
      </w:r>
      <w:proofErr w:type="spellStart"/>
      <w:r>
        <w:rPr>
          <w:b/>
          <w:szCs w:val="22"/>
        </w:rPr>
        <w:t>propilo</w:t>
      </w:r>
      <w:proofErr w:type="spellEnd"/>
      <w:r>
        <w:rPr>
          <w:b/>
          <w:szCs w:val="22"/>
        </w:rPr>
        <w:t xml:space="preserve"> </w:t>
      </w:r>
      <w:proofErr w:type="spellStart"/>
      <w:r>
        <w:rPr>
          <w:b/>
          <w:szCs w:val="22"/>
        </w:rPr>
        <w:t>parahidroksibenzoato</w:t>
      </w:r>
      <w:proofErr w:type="spellEnd"/>
      <w:r>
        <w:rPr>
          <w:b/>
          <w:szCs w:val="22"/>
        </w:rPr>
        <w:t xml:space="preserve"> (E216), </w:t>
      </w:r>
      <w:proofErr w:type="spellStart"/>
      <w:r>
        <w:rPr>
          <w:b/>
          <w:szCs w:val="22"/>
        </w:rPr>
        <w:t>propilenglikolio</w:t>
      </w:r>
      <w:proofErr w:type="spellEnd"/>
      <w:r>
        <w:rPr>
          <w:b/>
          <w:szCs w:val="22"/>
        </w:rPr>
        <w:t>, natrio ir kalcio.</w:t>
      </w:r>
    </w:p>
    <w:p w:rsidR="00BA5D57" w:rsidRDefault="00BA5D57" w:rsidP="00BA5D57">
      <w:pPr>
        <w:pStyle w:val="Pagrindiniotekstotrauka"/>
        <w:spacing w:after="0"/>
        <w:ind w:left="0"/>
        <w:rPr>
          <w:szCs w:val="22"/>
        </w:rPr>
      </w:pPr>
      <w:r>
        <w:rPr>
          <w:szCs w:val="22"/>
        </w:rPr>
        <w:t xml:space="preserve">Kiekvienoje šio vaisto 10 ml dozėje yra 40 mg metilo </w:t>
      </w:r>
      <w:proofErr w:type="spellStart"/>
      <w:r>
        <w:rPr>
          <w:szCs w:val="22"/>
        </w:rPr>
        <w:t>parahidroksibenzoato</w:t>
      </w:r>
      <w:proofErr w:type="spellEnd"/>
      <w:r>
        <w:rPr>
          <w:szCs w:val="22"/>
        </w:rPr>
        <w:t xml:space="preserve"> (E218) ir 6 mg </w:t>
      </w:r>
      <w:proofErr w:type="spellStart"/>
      <w:r>
        <w:t>propilo</w:t>
      </w:r>
      <w:proofErr w:type="spellEnd"/>
      <w:r>
        <w:t xml:space="preserve"> </w:t>
      </w:r>
      <w:proofErr w:type="spellStart"/>
      <w:r>
        <w:t>parahidroksibenzoato</w:t>
      </w:r>
      <w:proofErr w:type="spellEnd"/>
      <w:r>
        <w:rPr>
          <w:szCs w:val="22"/>
        </w:rPr>
        <w:t xml:space="preserve"> (E216), kurie gali sukelti alerginių reakcijų (jos gali būti uždelstos).</w:t>
      </w:r>
    </w:p>
    <w:p w:rsidR="00BA5D57" w:rsidRDefault="00BA5D57" w:rsidP="00BA5D57">
      <w:pPr>
        <w:pStyle w:val="Pagrindiniotekstotrauka"/>
        <w:spacing w:after="0"/>
        <w:ind w:left="0"/>
        <w:rPr>
          <w:szCs w:val="22"/>
        </w:rPr>
      </w:pPr>
    </w:p>
    <w:p w:rsidR="00BA5D57" w:rsidRDefault="00BA5D57" w:rsidP="00BA5D57">
      <w:pPr>
        <w:pStyle w:val="Pagrindinistekstas"/>
        <w:spacing w:after="0"/>
        <w:rPr>
          <w:rFonts w:eastAsia="Times New Roman"/>
          <w:szCs w:val="22"/>
        </w:rPr>
      </w:pPr>
      <w:r>
        <w:rPr>
          <w:rFonts w:eastAsia="Times New Roman"/>
          <w:szCs w:val="22"/>
        </w:rPr>
        <w:t xml:space="preserve">Šio vaisto kiekvienoje 10 ml dozėje yra 5,21 mg </w:t>
      </w:r>
      <w:proofErr w:type="spellStart"/>
      <w:r>
        <w:rPr>
          <w:rFonts w:eastAsia="Times New Roman"/>
          <w:szCs w:val="22"/>
        </w:rPr>
        <w:t>propilenglikolio</w:t>
      </w:r>
      <w:proofErr w:type="spellEnd"/>
      <w:r>
        <w:rPr>
          <w:rFonts w:eastAsia="Times New Roman"/>
          <w:szCs w:val="22"/>
        </w:rPr>
        <w:t xml:space="preserve"> (E1520).</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szCs w:val="22"/>
        </w:rPr>
      </w:pPr>
      <w:r>
        <w:rPr>
          <w:rFonts w:eastAsia="Times New Roman"/>
          <w:szCs w:val="22"/>
        </w:rPr>
        <w:t xml:space="preserve">Kiekvienoje šio vaisto 10 ml dozėje yra 128 mg (5,6 </w:t>
      </w:r>
      <w:proofErr w:type="spellStart"/>
      <w:r>
        <w:rPr>
          <w:rFonts w:eastAsia="Times New Roman"/>
          <w:szCs w:val="22"/>
        </w:rPr>
        <w:t>mmol</w:t>
      </w:r>
      <w:proofErr w:type="spellEnd"/>
      <w:r>
        <w:rPr>
          <w:rFonts w:eastAsia="Times New Roman"/>
          <w:szCs w:val="22"/>
        </w:rPr>
        <w:t>) natrio. Didžiausioje rekomenduojamoje šio vaisto paros dozėje yra 1023 mg natrio (</w:t>
      </w:r>
      <w:r w:rsidRPr="00E93CBB">
        <w:t>valgomosios druskos sudedamosios dalies</w:t>
      </w:r>
      <w:r>
        <w:rPr>
          <w:rFonts w:eastAsia="Times New Roman"/>
          <w:szCs w:val="22"/>
        </w:rPr>
        <w:t>). Tai atitinka 51 % didžiausios rekomenduojamos natrio paros normos suaugusiesiems. Pasitarkite su gydytoju arba vaistininku, jei šio vaisto Jums tektų vartoti ilgą laikotarpį kasdien, ypač jei Jums patariama kontroliuoti druskos kiekį maiste.</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szCs w:val="22"/>
        </w:rPr>
      </w:pPr>
      <w:r>
        <w:rPr>
          <w:rFonts w:eastAsia="Times New Roman"/>
          <w:szCs w:val="22"/>
        </w:rPr>
        <w:t xml:space="preserve">Kiekvienoje 10 ml geriamosios suspensijos dozėje taip pat yra 130 mg (3,25 </w:t>
      </w:r>
      <w:proofErr w:type="spellStart"/>
      <w:r>
        <w:rPr>
          <w:rFonts w:eastAsia="Times New Roman"/>
          <w:szCs w:val="22"/>
        </w:rPr>
        <w:t>mmol</w:t>
      </w:r>
      <w:proofErr w:type="spellEnd"/>
      <w:r>
        <w:rPr>
          <w:rFonts w:eastAsia="Times New Roman"/>
          <w:szCs w:val="22"/>
        </w:rPr>
        <w:t>) kalcio. Prieš pradėdami vartoti šį vaistą, pasitarkite su gydytoju, jei Jums yra inkstų akmenų arba padidėjęs kalcio kiekis kraujyje.</w:t>
      </w:r>
    </w:p>
    <w:p w:rsidR="00BA5D57" w:rsidRDefault="00BA5D57" w:rsidP="00BA5D57">
      <w:pPr>
        <w:pStyle w:val="Pagrindinistekstas"/>
        <w:spacing w:after="0"/>
        <w:rPr>
          <w:rFonts w:eastAsia="Times New Roman"/>
          <w:szCs w:val="22"/>
        </w:rPr>
      </w:pPr>
    </w:p>
    <w:p w:rsidR="00BA5D57" w:rsidRDefault="00BA5D57" w:rsidP="00BA5D57">
      <w:pPr>
        <w:pStyle w:val="Pagrindinistekstas"/>
        <w:spacing w:after="0"/>
        <w:rPr>
          <w:rFonts w:eastAsia="Times New Roman"/>
          <w:szCs w:val="22"/>
        </w:rPr>
      </w:pPr>
    </w:p>
    <w:p w:rsidR="00BA5D57" w:rsidRDefault="00BA5D57" w:rsidP="00BA5D57">
      <w:pPr>
        <w:pStyle w:val="Pagrindinistekstas"/>
        <w:numPr>
          <w:ilvl w:val="0"/>
          <w:numId w:val="2"/>
        </w:numPr>
        <w:spacing w:after="0"/>
        <w:ind w:left="567" w:hanging="567"/>
        <w:rPr>
          <w:rFonts w:eastAsia="Times New Roman"/>
          <w:b/>
          <w:szCs w:val="22"/>
        </w:rPr>
      </w:pPr>
      <w:r>
        <w:rPr>
          <w:b/>
          <w:szCs w:val="22"/>
        </w:rPr>
        <w:t xml:space="preserve">Kaip vartoti </w:t>
      </w:r>
      <w:proofErr w:type="spellStart"/>
      <w:r>
        <w:rPr>
          <w:rFonts w:eastAsia="Times New Roman"/>
          <w:b/>
          <w:szCs w:val="22"/>
        </w:rPr>
        <w:t>Galieve</w:t>
      </w:r>
      <w:proofErr w:type="spellEnd"/>
      <w:r>
        <w:rPr>
          <w:rFonts w:eastAsia="Times New Roman"/>
          <w:b/>
          <w:szCs w:val="22"/>
        </w:rPr>
        <w:t xml:space="preserve"> </w:t>
      </w:r>
    </w:p>
    <w:p w:rsidR="00BA5D57" w:rsidRDefault="00BA5D57" w:rsidP="00BA5D57">
      <w:pPr>
        <w:pStyle w:val="Pagrindinistekstas"/>
        <w:spacing w:after="0"/>
        <w:rPr>
          <w:b/>
          <w:szCs w:val="22"/>
        </w:rPr>
      </w:pPr>
    </w:p>
    <w:p w:rsidR="00BA5D57" w:rsidRPr="00E93CBB" w:rsidRDefault="00BA5D57" w:rsidP="00BA5D57">
      <w:pPr>
        <w:spacing w:after="0"/>
        <w:rPr>
          <w:lang w:val="lt-LT"/>
        </w:rPr>
      </w:pPr>
      <w:r w:rsidRPr="00E93CBB">
        <w:rPr>
          <w:rFonts w:ascii="Times New Roman" w:hAnsi="Times New Roman" w:cs="Times New Roman"/>
          <w:lang w:val="lt-LT"/>
        </w:rPr>
        <w:t>Visada vartokite šį vaistą tiksliai</w:t>
      </w:r>
      <w:r>
        <w:rPr>
          <w:rFonts w:ascii="Times New Roman" w:hAnsi="Times New Roman" w:cs="Times New Roman"/>
          <w:lang w:val="lt-LT"/>
        </w:rPr>
        <w:t>,</w:t>
      </w:r>
      <w:r w:rsidRPr="00E93CBB">
        <w:rPr>
          <w:rFonts w:ascii="Times New Roman" w:hAnsi="Times New Roman" w:cs="Times New Roman"/>
          <w:lang w:val="lt-LT"/>
        </w:rPr>
        <w:t xml:space="preserve"> kaip </w:t>
      </w:r>
      <w:r>
        <w:rPr>
          <w:rFonts w:ascii="Times New Roman" w:hAnsi="Times New Roman" w:cs="Times New Roman"/>
          <w:lang w:val="lt-LT"/>
        </w:rPr>
        <w:t>aprašyta</w:t>
      </w:r>
      <w:r w:rsidRPr="00E93CBB">
        <w:rPr>
          <w:rFonts w:ascii="Times New Roman" w:hAnsi="Times New Roman" w:cs="Times New Roman"/>
          <w:lang w:val="lt-LT"/>
        </w:rPr>
        <w:t xml:space="preserve"> šiame lapelyje arba kaip nurodė gydytojas arba vaistininkas. Jeigu abejojate, kreipkitės į gydytoją arba vaistininką.</w:t>
      </w:r>
    </w:p>
    <w:p w:rsidR="00BA5D57" w:rsidRPr="00E93CBB" w:rsidRDefault="00BA5D57" w:rsidP="00BA5D57">
      <w:pPr>
        <w:spacing w:after="0"/>
        <w:rPr>
          <w:lang w:val="lt-LT"/>
        </w:rPr>
      </w:pPr>
    </w:p>
    <w:p w:rsidR="00BA5D57" w:rsidRPr="0008548B" w:rsidRDefault="00BA5D57" w:rsidP="00BA5D57">
      <w:pPr>
        <w:spacing w:after="0"/>
        <w:rPr>
          <w:rFonts w:ascii="Times New Roman" w:hAnsi="Times New Roman" w:cs="Times New Roman"/>
          <w:lang w:val="lt-LT"/>
        </w:rPr>
      </w:pPr>
      <w:r w:rsidRPr="00E93CBB">
        <w:rPr>
          <w:rFonts w:ascii="Times New Roman" w:hAnsi="Times New Roman" w:cs="Times New Roman"/>
          <w:lang w:val="lt-LT"/>
        </w:rPr>
        <w:lastRenderedPageBreak/>
        <w:t xml:space="preserve">Vartoti per burną. </w:t>
      </w:r>
      <w:r w:rsidRPr="0008548B">
        <w:rPr>
          <w:rFonts w:ascii="Times New Roman" w:hAnsi="Times New Roman" w:cs="Times New Roman"/>
          <w:lang w:val="lt-LT"/>
        </w:rPr>
        <w:t>Prieš vartojimą gerai suplakti.</w:t>
      </w:r>
    </w:p>
    <w:p w:rsidR="00BA5D57" w:rsidRPr="005E362C" w:rsidRDefault="00BA5D57" w:rsidP="00BA5D57">
      <w:pPr>
        <w:spacing w:after="0"/>
        <w:rPr>
          <w:rFonts w:ascii="Times New Roman" w:eastAsia="Times New Roman" w:hAnsi="Times New Roman" w:cs="Times New Roman"/>
          <w:lang w:val="lt-LT" w:eastAsia="lt-LT"/>
        </w:rPr>
      </w:pPr>
    </w:p>
    <w:p w:rsidR="00BA5D57" w:rsidRDefault="00BA5D57" w:rsidP="00BA5D57">
      <w:pPr>
        <w:spacing w:after="0"/>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 xml:space="preserve">Suaugusiesiems ir 12 metų bei vyresniems vaikams: </w:t>
      </w:r>
      <w:r w:rsidRPr="0008548B">
        <w:rPr>
          <w:rFonts w:ascii="Times New Roman" w:eastAsia="Times New Roman" w:hAnsi="Times New Roman" w:cs="Times New Roman"/>
          <w:bCs/>
          <w:lang w:val="lt-LT" w:eastAsia="lt-LT"/>
        </w:rPr>
        <w:t xml:space="preserve">pasireiškus </w:t>
      </w:r>
      <w:r>
        <w:rPr>
          <w:rFonts w:ascii="Times New Roman" w:eastAsia="Times New Roman" w:hAnsi="Times New Roman" w:cs="Times New Roman"/>
          <w:bCs/>
          <w:lang w:val="lt-LT" w:eastAsia="lt-LT"/>
        </w:rPr>
        <w:t>simptomams, vartokite po</w:t>
      </w:r>
      <w:r>
        <w:rPr>
          <w:rFonts w:ascii="Times New Roman" w:eastAsia="Times New Roman" w:hAnsi="Times New Roman" w:cs="Times New Roman"/>
          <w:b/>
          <w:lang w:val="lt-LT" w:eastAsia="lt-LT"/>
        </w:rPr>
        <w:t xml:space="preserve"> </w:t>
      </w:r>
      <w:r>
        <w:rPr>
          <w:rFonts w:ascii="Times New Roman" w:eastAsia="Times New Roman" w:hAnsi="Times New Roman" w:cs="Times New Roman"/>
          <w:lang w:val="lt-LT" w:eastAsia="lt-LT"/>
        </w:rPr>
        <w:t>10-20 ml po valgio ir prieš miegą, iki keturių kartų per parą.</w:t>
      </w:r>
    </w:p>
    <w:p w:rsidR="00BA5D57" w:rsidRPr="00E93CBB" w:rsidRDefault="00BA5D57" w:rsidP="00BA5D57">
      <w:pPr>
        <w:spacing w:after="0" w:line="240" w:lineRule="auto"/>
        <w:rPr>
          <w:rFonts w:ascii="Times New Roman" w:eastAsia="Times New Roman" w:hAnsi="Times New Roman" w:cs="Times New Roman"/>
          <w:iCs/>
          <w:lang w:val="lt-LT" w:eastAsia="lt-LT"/>
        </w:rPr>
      </w:pPr>
    </w:p>
    <w:p w:rsidR="00BA5D57" w:rsidRDefault="00BA5D57" w:rsidP="00BA5D57">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b/>
          <w:lang w:val="lt-LT" w:eastAsia="lt-LT"/>
        </w:rPr>
        <w:t>Vaikams iki 12 metų:</w:t>
      </w:r>
      <w:r>
        <w:rPr>
          <w:rFonts w:ascii="Times New Roman" w:eastAsia="Times New Roman" w:hAnsi="Times New Roman" w:cs="Times New Roman"/>
          <w:lang w:val="lt-LT" w:eastAsia="lt-LT"/>
        </w:rPr>
        <w:t xml:space="preserve"> jaunesnių kaip 12 metų vaikų gydyti nerekomenduojama.</w:t>
      </w:r>
    </w:p>
    <w:p w:rsidR="00BA5D57" w:rsidRDefault="00BA5D57" w:rsidP="00BA5D57">
      <w:pPr>
        <w:spacing w:after="0" w:line="240" w:lineRule="auto"/>
        <w:rPr>
          <w:rFonts w:ascii="Times New Roman" w:eastAsia="Times New Roman" w:hAnsi="Times New Roman" w:cs="Times New Roman"/>
          <w:lang w:val="lt-LT" w:eastAsia="lt-LT"/>
        </w:rPr>
      </w:pPr>
    </w:p>
    <w:p w:rsidR="00BA5D57" w:rsidRDefault="00BA5D57" w:rsidP="00BA5D57">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hAnsi="Times New Roman" w:cs="Times New Roman"/>
          <w:b/>
          <w:lang w:val="lt-LT"/>
        </w:rPr>
        <w:t xml:space="preserve">Ką daryti pavartojus per didelę </w:t>
      </w:r>
      <w:proofErr w:type="spellStart"/>
      <w:r>
        <w:rPr>
          <w:rFonts w:ascii="Times New Roman" w:eastAsia="Times New Roman" w:hAnsi="Times New Roman" w:cs="Times New Roman"/>
          <w:b/>
          <w:lang w:val="lt-LT"/>
        </w:rPr>
        <w:t>Galieve</w:t>
      </w:r>
      <w:proofErr w:type="spellEnd"/>
      <w:r>
        <w:rPr>
          <w:rFonts w:ascii="Times New Roman" w:eastAsia="Times New Roman" w:hAnsi="Times New Roman" w:cs="Times New Roman"/>
          <w:b/>
          <w:lang w:val="lt-LT"/>
        </w:rPr>
        <w:t xml:space="preserve"> </w:t>
      </w:r>
      <w:r>
        <w:rPr>
          <w:rFonts w:ascii="Times New Roman" w:hAnsi="Times New Roman" w:cs="Times New Roman"/>
          <w:b/>
          <w:lang w:val="lt-LT"/>
        </w:rPr>
        <w:t>dozę</w:t>
      </w:r>
    </w:p>
    <w:p w:rsidR="00BA5D57" w:rsidRDefault="00BA5D57" w:rsidP="00BA5D57">
      <w:pPr>
        <w:keepNext/>
        <w:tabs>
          <w:tab w:val="left" w:pos="567"/>
        </w:tabs>
        <w:spacing w:after="0" w:line="260" w:lineRule="exact"/>
        <w:jc w:val="both"/>
        <w:outlineLvl w:val="3"/>
        <w:rPr>
          <w:rFonts w:ascii="Times New Roman" w:eastAsia="Times New Roman" w:hAnsi="Times New Roman" w:cs="Times New Roman"/>
          <w:bCs/>
          <w:lang w:val="lt-LT" w:eastAsia="x-none"/>
        </w:rPr>
      </w:pPr>
      <w:r>
        <w:rPr>
          <w:rFonts w:ascii="Times New Roman" w:eastAsia="Times New Roman" w:hAnsi="Times New Roman" w:cs="Times New Roman"/>
          <w:bCs/>
          <w:lang w:val="lt-LT" w:eastAsia="x-none"/>
        </w:rPr>
        <w:t>Jei pavartojote per daug šio vaisto, mažai tikėtina, kad jis Jums pakenks. Tačiau Jūs galite jaustis išsipūtęs bei jausti nemalonius pojūčius pilve. Pasitarkite su savo gydytoju, jei tai nepraeina.</w:t>
      </w:r>
    </w:p>
    <w:p w:rsidR="00BA5D57" w:rsidRDefault="00BA5D57" w:rsidP="00BA5D57">
      <w:pPr>
        <w:keepNext/>
        <w:tabs>
          <w:tab w:val="left" w:pos="567"/>
        </w:tabs>
        <w:spacing w:after="0" w:line="260" w:lineRule="exact"/>
        <w:jc w:val="both"/>
        <w:outlineLvl w:val="3"/>
        <w:rPr>
          <w:rFonts w:ascii="Times New Roman" w:eastAsia="Times New Roman" w:hAnsi="Times New Roman" w:cs="Times New Roman"/>
          <w:b/>
          <w:bCs/>
          <w:lang w:val="lt-LT" w:eastAsia="x-none"/>
        </w:rPr>
      </w:pPr>
    </w:p>
    <w:p w:rsidR="00BA5D57" w:rsidRDefault="00BA5D57" w:rsidP="00BA5D57">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 xml:space="preserve">Pamiršus pavartoti </w:t>
      </w:r>
      <w:proofErr w:type="spellStart"/>
      <w:r>
        <w:rPr>
          <w:rFonts w:ascii="Times New Roman" w:eastAsia="Times New Roman" w:hAnsi="Times New Roman" w:cs="Times New Roman"/>
          <w:b/>
          <w:lang w:val="lt-LT"/>
        </w:rPr>
        <w:t>Galieve</w:t>
      </w:r>
      <w:proofErr w:type="spellEnd"/>
      <w:r>
        <w:rPr>
          <w:rFonts w:ascii="Times New Roman" w:eastAsia="Times New Roman" w:hAnsi="Times New Roman" w:cs="Times New Roman"/>
          <w:b/>
          <w:lang w:val="lt-LT"/>
        </w:rPr>
        <w:t xml:space="preserve"> </w:t>
      </w:r>
    </w:p>
    <w:p w:rsidR="00BA5D57" w:rsidRDefault="00BA5D57" w:rsidP="00BA5D57">
      <w:pPr>
        <w:spacing w:after="0" w:line="240" w:lineRule="auto"/>
        <w:ind w:right="-2"/>
        <w:rPr>
          <w:rFonts w:ascii="Times New Roman" w:eastAsia="Times New Roman" w:hAnsi="Times New Roman" w:cs="Times New Roman"/>
          <w:lang w:val="lt-LT"/>
        </w:rPr>
      </w:pPr>
      <w:r w:rsidRPr="006763EC">
        <w:rPr>
          <w:rFonts w:ascii="Times New Roman" w:eastAsia="Times New Roman" w:hAnsi="Times New Roman" w:cs="Times New Roman"/>
          <w:lang w:val="lt-LT"/>
        </w:rPr>
        <w:t>Negalima vartoti dvigubos dozės norint kompensuoti praleistą dozę.</w:t>
      </w:r>
      <w:r>
        <w:rPr>
          <w:rFonts w:ascii="Times New Roman" w:eastAsia="Times New Roman" w:hAnsi="Times New Roman" w:cs="Times New Roman"/>
          <w:lang w:val="lt-LT"/>
        </w:rPr>
        <w:t xml:space="preserve"> Tiesiog vartokite vaistą kaip ankščiau.</w:t>
      </w: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4.</w:t>
      </w:r>
      <w:r>
        <w:rPr>
          <w:rFonts w:ascii="Times New Roman" w:eastAsia="Times New Roman" w:hAnsi="Times New Roman" w:cs="Times New Roman"/>
          <w:b/>
          <w:bCs/>
          <w:lang w:val="lt-LT" w:eastAsia="x-none"/>
        </w:rPr>
        <w:tab/>
        <w:t>Galimas šalutinis poveikis</w:t>
      </w:r>
    </w:p>
    <w:p w:rsidR="00BA5D57" w:rsidRDefault="00BA5D57" w:rsidP="00BA5D57">
      <w:pPr>
        <w:spacing w:after="0" w:line="240" w:lineRule="auto"/>
        <w:ind w:right="-2"/>
        <w:rPr>
          <w:rFonts w:ascii="Times New Roman" w:hAnsi="Times New Roman" w:cs="Times New Roman"/>
          <w:lang w:val="lt-LT"/>
        </w:rPr>
      </w:pPr>
    </w:p>
    <w:p w:rsidR="00BA5D57" w:rsidRDefault="00BA5D57" w:rsidP="00BA5D57">
      <w:pPr>
        <w:spacing w:after="0" w:line="240" w:lineRule="auto"/>
        <w:ind w:right="-2"/>
        <w:rPr>
          <w:rFonts w:ascii="Times New Roman" w:eastAsia="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w:t>
      </w:r>
    </w:p>
    <w:p w:rsidR="00BA5D57" w:rsidRDefault="00BA5D57" w:rsidP="00BA5D57">
      <w:pPr>
        <w:spacing w:after="0" w:line="240" w:lineRule="auto"/>
        <w:ind w:right="-2"/>
        <w:rPr>
          <w:rFonts w:ascii="Times New Roman" w:hAnsi="Times New Roman" w:cs="Times New Roman"/>
          <w:lang w:val="lt-LT"/>
        </w:rPr>
      </w:pPr>
    </w:p>
    <w:p w:rsidR="00BA5D57" w:rsidRDefault="00BA5D57" w:rsidP="00BA5D57">
      <w:pPr>
        <w:spacing w:after="0" w:line="240" w:lineRule="auto"/>
        <w:ind w:right="-2"/>
        <w:rPr>
          <w:rFonts w:ascii="Times New Roman" w:hAnsi="Times New Roman" w:cs="Times New Roman"/>
          <w:lang w:val="lt-LT"/>
        </w:rPr>
      </w:pPr>
      <w:r>
        <w:rPr>
          <w:rFonts w:ascii="Times New Roman" w:hAnsi="Times New Roman" w:cs="Times New Roman"/>
          <w:lang w:val="lt-LT"/>
        </w:rPr>
        <w:t>Jeigu pasireiškė šie šalutiniai reiškiniai, nutraukite vaisto vartojimą ir nedelsdami kreipkitės į gydytoją.</w:t>
      </w:r>
    </w:p>
    <w:p w:rsidR="00BA5D57" w:rsidRPr="006763EC" w:rsidRDefault="00BA5D57" w:rsidP="00BA5D57">
      <w:pPr>
        <w:pStyle w:val="Sraopastraipa"/>
        <w:numPr>
          <w:ilvl w:val="0"/>
          <w:numId w:val="3"/>
        </w:numPr>
        <w:spacing w:after="0"/>
        <w:rPr>
          <w:rFonts w:ascii="Times New Roman" w:hAnsi="Times New Roman" w:cs="Times New Roman"/>
          <w:b/>
          <w:bCs/>
          <w:lang w:val="lt-LT"/>
        </w:rPr>
      </w:pPr>
      <w:r w:rsidRPr="006763EC">
        <w:rPr>
          <w:rFonts w:ascii="Times New Roman" w:hAnsi="Times New Roman" w:cs="Times New Roman"/>
          <w:lang w:val="lt-LT"/>
        </w:rPr>
        <w:t>Labai reti šalutinio poveikio reiškiniai (gali pasireikšti rečiau kaip 1 iš 10 000 asmenų):</w:t>
      </w:r>
      <w:r w:rsidRPr="006763EC">
        <w:rPr>
          <w:rFonts w:ascii="Times New Roman" w:hAnsi="Times New Roman" w:cs="Times New Roman"/>
          <w:b/>
          <w:bCs/>
          <w:lang w:val="lt-LT"/>
        </w:rPr>
        <w:t xml:space="preserve"> </w:t>
      </w:r>
      <w:r w:rsidRPr="006763EC">
        <w:rPr>
          <w:rFonts w:ascii="Times New Roman" w:hAnsi="Times New Roman" w:cs="Times New Roman"/>
          <w:lang w:val="lt-LT"/>
        </w:rPr>
        <w:t>gali pasireikšti alergin</w:t>
      </w:r>
      <w:r>
        <w:rPr>
          <w:rFonts w:ascii="Times New Roman" w:hAnsi="Times New Roman" w:cs="Times New Roman"/>
          <w:lang w:val="lt-LT"/>
        </w:rPr>
        <w:t>ė</w:t>
      </w:r>
      <w:r w:rsidRPr="006763EC">
        <w:rPr>
          <w:rFonts w:ascii="Times New Roman" w:hAnsi="Times New Roman" w:cs="Times New Roman"/>
          <w:lang w:val="lt-LT"/>
        </w:rPr>
        <w:t xml:space="preserve"> reakcija į sudedamąsias medžiagas. Gali pasireikšti tokie simptomai, kaip, veido, lūpų, liežuvio ar gerklės patinimas ir pasunkėjęs kvėpavimas (anafilaksinė ir </w:t>
      </w:r>
      <w:proofErr w:type="spellStart"/>
      <w:r w:rsidRPr="006763EC">
        <w:rPr>
          <w:rFonts w:ascii="Times New Roman" w:hAnsi="Times New Roman" w:cs="Times New Roman"/>
          <w:lang w:val="lt-LT"/>
        </w:rPr>
        <w:t>anafilaktoidinė</w:t>
      </w:r>
      <w:proofErr w:type="spellEnd"/>
      <w:r w:rsidRPr="006763EC">
        <w:rPr>
          <w:rFonts w:ascii="Times New Roman" w:hAnsi="Times New Roman" w:cs="Times New Roman"/>
          <w:lang w:val="lt-LT"/>
        </w:rPr>
        <w:t xml:space="preserve"> reakcijos) arba niežtintis odos išbėrimas (</w:t>
      </w:r>
      <w:r>
        <w:rPr>
          <w:rFonts w:ascii="Times New Roman" w:hAnsi="Times New Roman" w:cs="Times New Roman"/>
          <w:lang w:val="lt-LT"/>
        </w:rPr>
        <w:t>dilgėlinė</w:t>
      </w:r>
      <w:r w:rsidRPr="006763EC">
        <w:rPr>
          <w:rFonts w:ascii="Times New Roman" w:hAnsi="Times New Roman" w:cs="Times New Roman"/>
          <w:lang w:val="lt-LT"/>
        </w:rPr>
        <w:t>).</w:t>
      </w:r>
    </w:p>
    <w:p w:rsidR="00BA5D57" w:rsidRDefault="00BA5D57" w:rsidP="00BA5D57">
      <w:pPr>
        <w:pStyle w:val="Sraopastraipa"/>
        <w:numPr>
          <w:ilvl w:val="0"/>
          <w:numId w:val="4"/>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Kiti simptomai gali būti pilvo skausmas, viduriavimas, pykinimas, vėmimas, odos niežėjimas arba išbėrimas ir švokštimas (bronchų spazmas).</w:t>
      </w: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Didelio kalcio karbonato kiekio (šio vaisto sudėtyje esančios medžiagos) kiekio pavartojimas per burną gali pasireikšti kraujo pH padidėjimu (</w:t>
      </w:r>
      <w:proofErr w:type="spellStart"/>
      <w:r>
        <w:rPr>
          <w:rFonts w:ascii="Times New Roman" w:eastAsia="Times New Roman" w:hAnsi="Times New Roman" w:cs="Times New Roman"/>
          <w:lang w:val="lt-LT"/>
        </w:rPr>
        <w:t>alkaloze</w:t>
      </w:r>
      <w:proofErr w:type="spellEnd"/>
      <w:r>
        <w:rPr>
          <w:rFonts w:ascii="Times New Roman" w:eastAsia="Times New Roman" w:hAnsi="Times New Roman" w:cs="Times New Roman"/>
          <w:lang w:val="lt-LT"/>
        </w:rPr>
        <w:t>), per dideliu kalcio kiekiu kraujyje (</w:t>
      </w:r>
      <w:proofErr w:type="spellStart"/>
      <w:r>
        <w:rPr>
          <w:rFonts w:ascii="Times New Roman" w:eastAsia="Times New Roman" w:hAnsi="Times New Roman" w:cs="Times New Roman"/>
          <w:lang w:val="lt-LT"/>
        </w:rPr>
        <w:t>hiperkalcemija</w:t>
      </w:r>
      <w:proofErr w:type="spellEnd"/>
      <w:r>
        <w:rPr>
          <w:rFonts w:ascii="Times New Roman" w:eastAsia="Times New Roman" w:hAnsi="Times New Roman" w:cs="Times New Roman"/>
          <w:lang w:val="lt-LT"/>
        </w:rPr>
        <w:t>), padidėjusia skrandžio rūgšties sekrecija ir vidurių užkietėjimu. Šie reiškiniai dažniausiai atsiranda po didesnės negu rekomenduojama dozės pavartojimo.</w:t>
      </w:r>
    </w:p>
    <w:p w:rsidR="00BA5D57" w:rsidRDefault="00BA5D57" w:rsidP="00BA5D57">
      <w:pPr>
        <w:spacing w:after="0" w:line="240" w:lineRule="auto"/>
        <w:ind w:right="-2"/>
        <w:rPr>
          <w:rFonts w:ascii="Times New Roman" w:hAnsi="Times New Roman" w:cs="Times New Roman"/>
          <w:b/>
          <w:lang w:val="lt-LT"/>
        </w:rPr>
      </w:pPr>
    </w:p>
    <w:p w:rsidR="00BA5D57" w:rsidRDefault="00BA5D57" w:rsidP="00BA5D57">
      <w:pPr>
        <w:spacing w:after="0" w:line="240" w:lineRule="auto"/>
        <w:ind w:right="-2"/>
        <w:rPr>
          <w:rFonts w:ascii="Times New Roman" w:eastAsia="Times New Roman" w:hAnsi="Times New Roman" w:cs="Times New Roman"/>
          <w:lang w:val="lt-LT"/>
        </w:rPr>
      </w:pPr>
      <w:r>
        <w:rPr>
          <w:rFonts w:ascii="Times New Roman" w:hAnsi="Times New Roman" w:cs="Times New Roman"/>
          <w:b/>
          <w:lang w:val="lt-LT"/>
        </w:rPr>
        <w:t>Pranešimas apie šalutinį poveikį</w:t>
      </w:r>
    </w:p>
    <w:p w:rsidR="00BA5D57" w:rsidRPr="00E93CBB" w:rsidRDefault="00BA5D57" w:rsidP="00BA5D57">
      <w:pPr>
        <w:tabs>
          <w:tab w:val="left" w:pos="567"/>
        </w:tabs>
        <w:spacing w:after="0" w:line="260" w:lineRule="exact"/>
        <w:ind w:right="-1"/>
        <w:rPr>
          <w:rFonts w:ascii="Times New Roman" w:hAnsi="Times New Roman" w:cs="Times New Roman"/>
          <w:lang w:val="lt-LT"/>
        </w:rPr>
      </w:pPr>
      <w:r w:rsidRPr="00E93CBB">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93CBB">
        <w:rPr>
          <w:rFonts w:ascii="Times New Roman" w:hAnsi="Times New Roman" w:cs="Times New Roman"/>
          <w:color w:val="0000EE"/>
          <w:u w:val="single"/>
          <w:lang w:val="lt-LT" w:eastAsia="lt-LT"/>
        </w:rPr>
        <w:t>https://vvkt.lrv.lt/lt/</w:t>
      </w:r>
      <w:r w:rsidRPr="00E93CBB">
        <w:rPr>
          <w:rFonts w:ascii="Times New Roman" w:hAnsi="Times New Roman" w:cs="Times New Roman"/>
          <w:lang w:val="lt-LT" w:eastAsia="lt-LT"/>
        </w:rPr>
        <w:t xml:space="preserve"> nurodytais būdais arba paskambinti nemokamu telefonu 8 800 73 568. Pranešdami apie šalutinį poveikį galite mums padėti gauti daugiau informacijos apie šio vaisto saugumą</w:t>
      </w:r>
      <w:r w:rsidRPr="00E93CBB">
        <w:rPr>
          <w:rFonts w:ascii="Times New Roman" w:hAnsi="Times New Roman" w:cs="Times New Roman"/>
          <w:lang w:val="lt-LT"/>
        </w:rPr>
        <w:t>.</w:t>
      </w:r>
    </w:p>
    <w:p w:rsidR="00BA5D57" w:rsidRDefault="00BA5D57" w:rsidP="00BA5D57">
      <w:pPr>
        <w:tabs>
          <w:tab w:val="left" w:pos="567"/>
        </w:tabs>
        <w:spacing w:after="0" w:line="260" w:lineRule="exact"/>
        <w:ind w:right="-1"/>
        <w:rPr>
          <w:lang w:val="lt-LT"/>
        </w:rPr>
      </w:pP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keepNext/>
        <w:keepLines/>
        <w:tabs>
          <w:tab w:val="left" w:pos="567"/>
        </w:tabs>
        <w:spacing w:after="0" w:line="240" w:lineRule="auto"/>
        <w:outlineLvl w:val="2"/>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5.</w:t>
      </w:r>
      <w:r>
        <w:rPr>
          <w:rFonts w:ascii="Times New Roman" w:eastAsia="Times New Roman" w:hAnsi="Times New Roman" w:cs="Times New Roman"/>
          <w:b/>
          <w:bCs/>
          <w:lang w:val="lt-LT" w:eastAsia="x-none"/>
        </w:rPr>
        <w:tab/>
        <w:t xml:space="preserve">Kaip laikyti </w:t>
      </w:r>
      <w:proofErr w:type="spellStart"/>
      <w:r>
        <w:rPr>
          <w:rFonts w:ascii="Times New Roman" w:eastAsia="Times New Roman" w:hAnsi="Times New Roman" w:cs="Times New Roman"/>
          <w:b/>
          <w:lang w:val="lt-LT"/>
        </w:rPr>
        <w:t>Galieve</w:t>
      </w:r>
      <w:proofErr w:type="spellEnd"/>
      <w:r>
        <w:rPr>
          <w:rFonts w:ascii="Times New Roman" w:eastAsia="Times New Roman" w:hAnsi="Times New Roman" w:cs="Times New Roman"/>
          <w:b/>
          <w:lang w:val="lt-LT"/>
        </w:rPr>
        <w:t xml:space="preserve"> </w:t>
      </w: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spacing w:after="0" w:line="240" w:lineRule="auto"/>
        <w:ind w:right="-2"/>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rsidR="00BA5D57" w:rsidRDefault="00BA5D57" w:rsidP="00BA5D57">
      <w:pPr>
        <w:spacing w:after="0" w:line="240" w:lineRule="auto"/>
        <w:ind w:right="-2"/>
        <w:rPr>
          <w:rFonts w:ascii="Times New Roman" w:hAnsi="Times New Roman" w:cs="Times New Roman"/>
          <w:lang w:val="lt-LT"/>
        </w:rPr>
      </w:pPr>
    </w:p>
    <w:p w:rsidR="00BA5D57" w:rsidRDefault="00BA5D57" w:rsidP="00BA5D57">
      <w:pPr>
        <w:spacing w:after="0" w:line="240" w:lineRule="auto"/>
        <w:ind w:right="-2"/>
        <w:rPr>
          <w:rFonts w:ascii="Times New Roman" w:hAnsi="Times New Roman" w:cs="Times New Roman"/>
          <w:lang w:val="lt-LT"/>
        </w:rPr>
      </w:pPr>
      <w:r>
        <w:rPr>
          <w:rFonts w:ascii="Times New Roman" w:hAnsi="Times New Roman" w:cs="Times New Roman"/>
          <w:lang w:val="lt-LT"/>
        </w:rPr>
        <w:t>Ant buteliuko po „Tinka iki“ nurodytam tinkamumo laikui pasibaigus, šio vaisto vartoti negalima. Vaistas tinkamas vartoti iki paskutinės nurodyto mėnesio dienos.</w:t>
      </w:r>
    </w:p>
    <w:p w:rsidR="00BA5D57" w:rsidRDefault="00BA5D57" w:rsidP="00BA5D57">
      <w:pPr>
        <w:spacing w:after="0" w:line="240" w:lineRule="auto"/>
        <w:jc w:val="both"/>
        <w:rPr>
          <w:rFonts w:ascii="Times New Roman" w:eastAsia="Times New Roman" w:hAnsi="Times New Roman" w:cs="Times New Roman"/>
          <w:lang w:val="lt-LT" w:eastAsia="lt-LT"/>
        </w:rPr>
      </w:pPr>
    </w:p>
    <w:p w:rsidR="00BA5D57" w:rsidRDefault="00BA5D57" w:rsidP="00BA5D57">
      <w:pPr>
        <w:spacing w:after="0" w:line="240" w:lineRule="auto"/>
        <w:jc w:val="both"/>
        <w:rPr>
          <w:rFonts w:ascii="Times New Roman" w:hAnsi="Times New Roman" w:cs="Times New Roman"/>
          <w:lang w:val="lt-LT"/>
        </w:rPr>
      </w:pPr>
      <w:r>
        <w:rPr>
          <w:rFonts w:ascii="Times New Roman" w:eastAsia="Times New Roman" w:hAnsi="Times New Roman" w:cs="Times New Roman"/>
          <w:b/>
          <w:lang w:val="lt-LT" w:eastAsia="lt-LT"/>
        </w:rPr>
        <w:t>Negalima šaldyti ar užšaldyti</w:t>
      </w:r>
      <w:r>
        <w:rPr>
          <w:rFonts w:ascii="Times New Roman" w:eastAsia="Times New Roman" w:hAnsi="Times New Roman" w:cs="Times New Roman"/>
          <w:lang w:val="lt-LT" w:eastAsia="lt-LT"/>
        </w:rPr>
        <w:t xml:space="preserve">. Pirmą kartą atidarius suvartoti per 6 mėn. </w:t>
      </w:r>
      <w:r>
        <w:rPr>
          <w:rFonts w:ascii="Times New Roman" w:hAnsi="Times New Roman" w:cs="Times New Roman"/>
          <w:lang w:val="lt-LT"/>
        </w:rPr>
        <w:t xml:space="preserve">Prieš pradėdami vartoti šį vaistą, patikrinkite, ar nesugadintas dangtelio </w:t>
      </w:r>
      <w:proofErr w:type="spellStart"/>
      <w:r>
        <w:rPr>
          <w:rFonts w:ascii="Times New Roman" w:hAnsi="Times New Roman" w:cs="Times New Roman"/>
          <w:lang w:val="lt-LT"/>
        </w:rPr>
        <w:t>sandariklis</w:t>
      </w:r>
      <w:proofErr w:type="spellEnd"/>
      <w:r>
        <w:rPr>
          <w:rFonts w:ascii="Times New Roman" w:hAnsi="Times New Roman" w:cs="Times New Roman"/>
          <w:lang w:val="lt-LT"/>
        </w:rPr>
        <w:t>.</w:t>
      </w:r>
    </w:p>
    <w:p w:rsidR="00BA5D57" w:rsidRDefault="00BA5D57" w:rsidP="00BA5D57">
      <w:pPr>
        <w:spacing w:after="0" w:line="240" w:lineRule="auto"/>
        <w:jc w:val="both"/>
        <w:rPr>
          <w:rFonts w:ascii="Times New Roman" w:hAnsi="Times New Roman" w:cs="Times New Roman"/>
          <w:lang w:val="lt-LT"/>
        </w:rPr>
      </w:pPr>
    </w:p>
    <w:p w:rsidR="00BA5D57" w:rsidRDefault="00BA5D57" w:rsidP="00BA5D57">
      <w:p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Vaistų negalima išmesti į kanalizaciją arba su buitinėmis atliekomis. Kaip išmesti nereikalingus vaistus, klauskite vaistininko. Šios priemonės padės apsaugoti aplinką.</w:t>
      </w:r>
    </w:p>
    <w:p w:rsidR="00BA5D57" w:rsidRDefault="00BA5D57" w:rsidP="00BA5D57">
      <w:pPr>
        <w:spacing w:after="0" w:line="240" w:lineRule="auto"/>
        <w:jc w:val="both"/>
        <w:rPr>
          <w:rFonts w:ascii="Times New Roman" w:hAnsi="Times New Roman" w:cs="Times New Roman"/>
          <w:lang w:val="lt-LT"/>
        </w:rPr>
      </w:pPr>
    </w:p>
    <w:p w:rsidR="00BA5D57" w:rsidRDefault="00BA5D57" w:rsidP="00BA5D57">
      <w:pPr>
        <w:spacing w:after="0" w:line="240" w:lineRule="auto"/>
        <w:jc w:val="both"/>
        <w:rPr>
          <w:rFonts w:ascii="Times New Roman" w:hAnsi="Times New Roman" w:cs="Times New Roman"/>
          <w:lang w:val="lt-LT"/>
        </w:rPr>
      </w:pPr>
    </w:p>
    <w:p w:rsidR="00BA5D57" w:rsidRDefault="00BA5D57" w:rsidP="00BA5D57">
      <w:pPr>
        <w:tabs>
          <w:tab w:val="left" w:pos="567"/>
        </w:tabs>
        <w:spacing w:after="0" w:line="240" w:lineRule="auto"/>
        <w:outlineLvl w:val="0"/>
        <w:rPr>
          <w:rFonts w:ascii="Times New Roman" w:hAnsi="Times New Roman" w:cs="Times New Roman"/>
          <w:b/>
          <w:lang w:val="lt-LT"/>
        </w:rPr>
      </w:pPr>
      <w:r>
        <w:rPr>
          <w:rFonts w:ascii="Times New Roman" w:hAnsi="Times New Roman" w:cs="Times New Roman"/>
          <w:b/>
          <w:lang w:val="lt-LT"/>
        </w:rPr>
        <w:t>6.</w:t>
      </w:r>
      <w:r>
        <w:rPr>
          <w:rFonts w:ascii="Times New Roman" w:hAnsi="Times New Roman" w:cs="Times New Roman"/>
          <w:lang w:val="lt-LT"/>
        </w:rPr>
        <w:tab/>
      </w:r>
      <w:r>
        <w:rPr>
          <w:rFonts w:ascii="Times New Roman" w:hAnsi="Times New Roman" w:cs="Times New Roman"/>
          <w:b/>
          <w:lang w:val="lt-LT"/>
        </w:rPr>
        <w:t>Pakuotės turinys ir kita informacija</w:t>
      </w:r>
    </w:p>
    <w:p w:rsidR="00BA5D57" w:rsidRDefault="00BA5D57" w:rsidP="00BA5D57">
      <w:pPr>
        <w:tabs>
          <w:tab w:val="left" w:pos="567"/>
        </w:tabs>
        <w:spacing w:after="0" w:line="240" w:lineRule="auto"/>
        <w:rPr>
          <w:rFonts w:ascii="Times New Roman" w:hAnsi="Times New Roman" w:cs="Times New Roman"/>
          <w:b/>
          <w:lang w:val="lt-LT"/>
        </w:rPr>
      </w:pPr>
    </w:p>
    <w:p w:rsidR="00BA5D57" w:rsidRDefault="00BA5D57" w:rsidP="00BA5D57">
      <w:pPr>
        <w:tabs>
          <w:tab w:val="left" w:pos="567"/>
        </w:tabs>
        <w:spacing w:after="0" w:line="240" w:lineRule="auto"/>
        <w:rPr>
          <w:rFonts w:ascii="Times New Roman" w:hAnsi="Times New Roman" w:cs="Times New Roman"/>
          <w:lang w:val="lt-LT"/>
        </w:rPr>
      </w:pPr>
      <w:proofErr w:type="spellStart"/>
      <w:r>
        <w:rPr>
          <w:rFonts w:ascii="Times New Roman" w:eastAsia="Times New Roman" w:hAnsi="Times New Roman" w:cs="Times New Roman"/>
          <w:b/>
          <w:lang w:val="lt-LT"/>
        </w:rPr>
        <w:t>Galieve</w:t>
      </w:r>
      <w:proofErr w:type="spellEnd"/>
      <w:r>
        <w:rPr>
          <w:rFonts w:ascii="Times New Roman" w:eastAsia="Times New Roman" w:hAnsi="Times New Roman" w:cs="Times New Roman"/>
          <w:b/>
          <w:lang w:val="lt-LT"/>
        </w:rPr>
        <w:t xml:space="preserve"> </w:t>
      </w:r>
      <w:r>
        <w:rPr>
          <w:rFonts w:ascii="Times New Roman" w:hAnsi="Times New Roman" w:cs="Times New Roman"/>
          <w:b/>
          <w:lang w:val="lt-LT"/>
        </w:rPr>
        <w:t>sudėtis</w:t>
      </w:r>
    </w:p>
    <w:p w:rsidR="00BA5D57" w:rsidRDefault="00BA5D57" w:rsidP="00BA5D57">
      <w:pPr>
        <w:pStyle w:val="BT-EMEASMCA"/>
        <w:tabs>
          <w:tab w:val="num" w:pos="720"/>
        </w:tabs>
      </w:pPr>
      <w:r>
        <w:rPr>
          <w:iCs/>
        </w:rPr>
        <w:t>Veikliosios medžiagos</w:t>
      </w:r>
      <w:r>
        <w:t xml:space="preserve"> kiekvienoje 10 ml dozėje yra 500 mg natrio </w:t>
      </w:r>
      <w:proofErr w:type="spellStart"/>
      <w:r>
        <w:t>alginato</w:t>
      </w:r>
      <w:proofErr w:type="spellEnd"/>
      <w:r>
        <w:t>, 213 mg natrio-</w:t>
      </w:r>
    </w:p>
    <w:p w:rsidR="00BA5D57" w:rsidRDefault="00BA5D57" w:rsidP="00BA5D57">
      <w:pPr>
        <w:pStyle w:val="BT-EMEASMCA"/>
        <w:numPr>
          <w:ilvl w:val="0"/>
          <w:numId w:val="0"/>
        </w:numPr>
        <w:ind w:left="567"/>
      </w:pPr>
      <w:r>
        <w:t xml:space="preserve">vandenilio karbonato ir 325 mg kalcio karbonato. </w:t>
      </w:r>
    </w:p>
    <w:p w:rsidR="00BA5D57" w:rsidRDefault="00BA5D57" w:rsidP="00BA5D57">
      <w:pPr>
        <w:pStyle w:val="BT-EMEASMCA"/>
        <w:tabs>
          <w:tab w:val="num" w:pos="720"/>
        </w:tabs>
      </w:pPr>
      <w:r>
        <w:t xml:space="preserve">Pagalbinės medžiagos yra </w:t>
      </w:r>
      <w:proofErr w:type="spellStart"/>
      <w:r>
        <w:t>karbomeras</w:t>
      </w:r>
      <w:proofErr w:type="spellEnd"/>
      <w:r>
        <w:t xml:space="preserve">, metilo </w:t>
      </w:r>
      <w:proofErr w:type="spellStart"/>
      <w:r>
        <w:t>parahidroksibenzoatas</w:t>
      </w:r>
      <w:proofErr w:type="spellEnd"/>
      <w:r>
        <w:t xml:space="preserve"> (E218) ir </w:t>
      </w:r>
      <w:proofErr w:type="spellStart"/>
      <w:r>
        <w:t>propilo</w:t>
      </w:r>
      <w:proofErr w:type="spellEnd"/>
      <w:r>
        <w:t xml:space="preserve"> </w:t>
      </w:r>
      <w:proofErr w:type="spellStart"/>
      <w:r>
        <w:t>parahidroksibenzoatas</w:t>
      </w:r>
      <w:proofErr w:type="spellEnd"/>
      <w:r>
        <w:t xml:space="preserve"> (E216), sacharino natrio druska, pipirmėčių kvapioji medžiaga, natrio </w:t>
      </w:r>
      <w:proofErr w:type="spellStart"/>
      <w:r>
        <w:t>hidroksidas</w:t>
      </w:r>
      <w:proofErr w:type="spellEnd"/>
      <w:r>
        <w:t xml:space="preserve"> ir išgrynintas vanduo. Kvapiųjų medžiagų sudėtyje yra </w:t>
      </w:r>
      <w:proofErr w:type="spellStart"/>
      <w:r>
        <w:t>propilenglikolio</w:t>
      </w:r>
      <w:proofErr w:type="spellEnd"/>
      <w:r>
        <w:t xml:space="preserve"> (E1520).</w:t>
      </w:r>
    </w:p>
    <w:p w:rsidR="00BA5D57" w:rsidRDefault="00BA5D57" w:rsidP="00BA5D57">
      <w:pPr>
        <w:tabs>
          <w:tab w:val="left" w:pos="5597"/>
        </w:tabs>
        <w:spacing w:after="0" w:line="240" w:lineRule="auto"/>
        <w:ind w:left="360"/>
        <w:rPr>
          <w:rFonts w:ascii="Times New Roman" w:hAnsi="Times New Roman" w:cs="Times New Roman"/>
          <w:b/>
          <w:lang w:val="lt-LT"/>
        </w:rPr>
      </w:pPr>
      <w:r>
        <w:rPr>
          <w:rFonts w:ascii="Times New Roman" w:hAnsi="Times New Roman" w:cs="Times New Roman"/>
          <w:b/>
          <w:lang w:val="lt-LT"/>
        </w:rPr>
        <w:tab/>
      </w:r>
    </w:p>
    <w:p w:rsidR="00BA5D57" w:rsidRDefault="00BA5D57" w:rsidP="00BA5D57">
      <w:pPr>
        <w:spacing w:after="0" w:line="240" w:lineRule="auto"/>
        <w:ind w:left="360" w:hanging="360"/>
        <w:rPr>
          <w:rFonts w:ascii="Times New Roman" w:hAnsi="Times New Roman" w:cs="Times New Roman"/>
          <w:b/>
          <w:lang w:val="lt-LT"/>
        </w:rPr>
      </w:pPr>
      <w:proofErr w:type="spellStart"/>
      <w:r>
        <w:rPr>
          <w:rFonts w:ascii="Times New Roman" w:eastAsia="Times New Roman" w:hAnsi="Times New Roman" w:cs="Times New Roman"/>
          <w:b/>
          <w:lang w:val="lt-LT"/>
        </w:rPr>
        <w:t>Galieve</w:t>
      </w:r>
      <w:proofErr w:type="spellEnd"/>
      <w:r>
        <w:rPr>
          <w:rFonts w:ascii="Times New Roman" w:eastAsia="Times New Roman" w:hAnsi="Times New Roman" w:cs="Times New Roman"/>
          <w:b/>
          <w:lang w:val="lt-LT"/>
        </w:rPr>
        <w:t xml:space="preserve"> </w:t>
      </w:r>
      <w:r>
        <w:rPr>
          <w:rFonts w:ascii="Times New Roman" w:hAnsi="Times New Roman" w:cs="Times New Roman"/>
          <w:b/>
          <w:lang w:val="lt-LT"/>
        </w:rPr>
        <w:t>išvaizda ir kiekis pakuotėje</w:t>
      </w:r>
    </w:p>
    <w:p w:rsidR="00BA5D57" w:rsidRDefault="00BA5D57" w:rsidP="00BA5D57">
      <w:pPr>
        <w:spacing w:after="0" w:line="240" w:lineRule="auto"/>
        <w:rPr>
          <w:rFonts w:ascii="Times New Roman" w:hAnsi="Times New Roman" w:cs="Times New Roman"/>
          <w:b/>
          <w:lang w:val="lt-LT"/>
        </w:rPr>
      </w:pP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suspensija yra nepermatoma, nuo balkšvos iki kreminės spalvos, įvairių uogų skonio ir kvapo.</w:t>
      </w:r>
    </w:p>
    <w:p w:rsidR="00BA5D57" w:rsidRDefault="00BA5D57" w:rsidP="00BA5D57">
      <w:pPr>
        <w:spacing w:after="0" w:line="240" w:lineRule="auto"/>
        <w:rPr>
          <w:rFonts w:ascii="Times New Roman" w:eastAsia="Times New Roman" w:hAnsi="Times New Roman" w:cs="Times New Roman"/>
          <w:lang w:val="lt-LT" w:eastAsia="lt-LT"/>
        </w:rPr>
      </w:pPr>
    </w:p>
    <w:p w:rsidR="00BA5D57" w:rsidRDefault="00BA5D57" w:rsidP="00BA5D57">
      <w:pPr>
        <w:spacing w:after="0" w:line="240" w:lineRule="auto"/>
        <w:jc w:val="both"/>
        <w:rPr>
          <w:rFonts w:ascii="Times New Roman" w:hAnsi="Times New Roman" w:cs="Times New Roman"/>
          <w:lang w:val="lt-LT"/>
        </w:rPr>
      </w:pPr>
      <w:proofErr w:type="spellStart"/>
      <w:r>
        <w:rPr>
          <w:rFonts w:ascii="Times New Roman" w:eastAsia="Times New Roman" w:hAnsi="Times New Roman" w:cs="Times New Roman"/>
          <w:lang w:val="lt-LT" w:eastAsia="lt-LT"/>
        </w:rPr>
        <w:t>Galieve</w:t>
      </w:r>
      <w:proofErr w:type="spellEnd"/>
      <w:r>
        <w:rPr>
          <w:rFonts w:ascii="Times New Roman" w:eastAsia="Times New Roman" w:hAnsi="Times New Roman" w:cs="Times New Roman"/>
          <w:lang w:val="lt-LT" w:eastAsia="lt-LT"/>
        </w:rPr>
        <w:t xml:space="preserve"> suspensija yra tiekiama buteliukais po 150 ml, 200 ml, 250 ml, 300 ml, 500 ml arba 600 ml geriamosios suspensijos.</w:t>
      </w:r>
      <w:r>
        <w:rPr>
          <w:rFonts w:ascii="Times New Roman" w:hAnsi="Times New Roman" w:cs="Times New Roman"/>
          <w:lang w:val="lt-LT"/>
        </w:rPr>
        <w:t xml:space="preserve"> Gali būti tiekiama kartono išorinėje dėžutėje. Gali būti tiekiama kartu su matavimo prietaisu (natūralaus polipropileno), kuriame yra 5 ml, 10 ml, 15 ml ir 20 ml gradavimo žymės. </w:t>
      </w:r>
    </w:p>
    <w:p w:rsidR="00BA5D57" w:rsidRDefault="00BA5D57" w:rsidP="00BA5D57">
      <w:pPr>
        <w:spacing w:after="0" w:line="240" w:lineRule="auto"/>
        <w:jc w:val="both"/>
        <w:rPr>
          <w:rFonts w:ascii="Times New Roman" w:eastAsia="Times New Roman" w:hAnsi="Times New Roman" w:cs="Times New Roman"/>
          <w:lang w:val="lt-LT" w:eastAsia="lt-LT"/>
        </w:rPr>
      </w:pPr>
      <w:r>
        <w:rPr>
          <w:rFonts w:ascii="Times New Roman" w:hAnsi="Times New Roman" w:cs="Times New Roman"/>
          <w:lang w:val="lt-LT"/>
        </w:rPr>
        <w:t>Gali būti tiekiamos ne visų dydžių pakuotės. Dėžutė ir matavimo prietaisas gali būti tiekiami ne visose rinkose ir pakuotės dydžiuose.</w:t>
      </w:r>
    </w:p>
    <w:p w:rsidR="00BA5D57" w:rsidRDefault="00BA5D57" w:rsidP="00BA5D57">
      <w:pPr>
        <w:spacing w:after="0" w:line="240" w:lineRule="auto"/>
        <w:jc w:val="both"/>
        <w:rPr>
          <w:rFonts w:ascii="Times New Roman" w:eastAsia="Times New Roman" w:hAnsi="Times New Roman" w:cs="Times New Roman"/>
          <w:lang w:val="lt-LT" w:eastAsia="lt-LT"/>
        </w:rPr>
      </w:pPr>
    </w:p>
    <w:p w:rsidR="00BA5D57" w:rsidRDefault="00BA5D57" w:rsidP="00BA5D57">
      <w:pPr>
        <w:keepNext/>
        <w:tabs>
          <w:tab w:val="left" w:pos="567"/>
        </w:tabs>
        <w:spacing w:after="0" w:line="260" w:lineRule="exact"/>
        <w:jc w:val="both"/>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Registruotojas ir gamintojas</w:t>
      </w:r>
    </w:p>
    <w:p w:rsidR="00BA5D57" w:rsidRDefault="00BA5D57" w:rsidP="00BA5D57">
      <w:pPr>
        <w:spacing w:after="0" w:line="240" w:lineRule="auto"/>
        <w:ind w:right="-2"/>
        <w:rPr>
          <w:rFonts w:ascii="Times New Roman" w:eastAsia="Times New Roman" w:hAnsi="Times New Roman" w:cs="Times New Roman"/>
          <w:lang w:val="lt-LT"/>
        </w:rPr>
      </w:pPr>
    </w:p>
    <w:p w:rsidR="00BA5D57" w:rsidRDefault="00BA5D57" w:rsidP="00BA5D57">
      <w:pPr>
        <w:widowControl w:val="0"/>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Registruotojas</w:t>
      </w:r>
    </w:p>
    <w:p w:rsidR="00BA5D57" w:rsidRDefault="00BA5D57" w:rsidP="00BA5D57">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Reckitt</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Benckiser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Poland</w:t>
      </w:r>
      <w:proofErr w:type="spellEnd"/>
      <w:r>
        <w:rPr>
          <w:rFonts w:ascii="Times New Roman" w:hAnsi="Times New Roman" w:cs="Times New Roman"/>
          <w:lang w:val="lt-LT"/>
        </w:rPr>
        <w:t>) S.A.</w:t>
      </w:r>
    </w:p>
    <w:p w:rsidR="00BA5D57" w:rsidRDefault="00BA5D57" w:rsidP="00BA5D57">
      <w:pPr>
        <w:widowControl w:val="0"/>
        <w:tabs>
          <w:tab w:val="left" w:pos="567"/>
        </w:tabs>
        <w:spacing w:after="0" w:line="240" w:lineRule="auto"/>
        <w:rPr>
          <w:rFonts w:ascii="Times New Roman" w:hAnsi="Times New Roman" w:cs="Times New Roman"/>
          <w:lang w:val="lt-LT"/>
        </w:rPr>
      </w:pPr>
      <w:proofErr w:type="spellStart"/>
      <w:r>
        <w:rPr>
          <w:rFonts w:ascii="Times New Roman" w:hAnsi="Times New Roman" w:cs="Times New Roman"/>
          <w:lang w:val="lt-LT"/>
        </w:rPr>
        <w:t>ul</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Okunin</w:t>
      </w:r>
      <w:proofErr w:type="spellEnd"/>
      <w:r>
        <w:rPr>
          <w:rFonts w:ascii="Times New Roman" w:hAnsi="Times New Roman" w:cs="Times New Roman"/>
          <w:lang w:val="lt-LT"/>
        </w:rPr>
        <w:t xml:space="preserve"> 1</w:t>
      </w:r>
    </w:p>
    <w:p w:rsidR="00BA5D57" w:rsidRDefault="00BA5D57" w:rsidP="00BA5D57">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 xml:space="preserve">05-100 </w:t>
      </w:r>
      <w:proofErr w:type="spellStart"/>
      <w:r>
        <w:rPr>
          <w:rFonts w:ascii="Times New Roman" w:hAnsi="Times New Roman" w:cs="Times New Roman"/>
          <w:lang w:val="lt-LT"/>
        </w:rPr>
        <w:t>Nowy</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Dwór</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Mazowiecki</w:t>
      </w:r>
      <w:proofErr w:type="spellEnd"/>
    </w:p>
    <w:p w:rsidR="00BA5D57" w:rsidRDefault="00BA5D57" w:rsidP="00BA5D57">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Lenkija</w:t>
      </w:r>
    </w:p>
    <w:p w:rsidR="00BA5D57" w:rsidRDefault="00BA5D57" w:rsidP="00BA5D57">
      <w:pPr>
        <w:widowControl w:val="0"/>
        <w:tabs>
          <w:tab w:val="left" w:pos="567"/>
        </w:tabs>
        <w:spacing w:after="0" w:line="240" w:lineRule="auto"/>
        <w:rPr>
          <w:rFonts w:ascii="Times New Roman" w:hAnsi="Times New Roman" w:cs="Times New Roman"/>
          <w:lang w:val="lt-LT"/>
        </w:rPr>
      </w:pPr>
    </w:p>
    <w:p w:rsidR="00BA5D57" w:rsidRDefault="00BA5D57" w:rsidP="00BA5D57">
      <w:pPr>
        <w:widowControl w:val="0"/>
        <w:tabs>
          <w:tab w:val="left" w:pos="567"/>
        </w:tabs>
        <w:spacing w:after="0" w:line="240" w:lineRule="auto"/>
        <w:rPr>
          <w:rFonts w:ascii="Times New Roman" w:hAnsi="Times New Roman" w:cs="Times New Roman"/>
          <w:b/>
          <w:lang w:val="lt-LT"/>
        </w:rPr>
      </w:pPr>
      <w:r>
        <w:rPr>
          <w:rFonts w:ascii="Times New Roman" w:hAnsi="Times New Roman" w:cs="Times New Roman"/>
          <w:b/>
          <w:lang w:val="lt-LT"/>
        </w:rPr>
        <w:t>Gamintojas</w:t>
      </w:r>
    </w:p>
    <w:p w:rsidR="00BA5D57" w:rsidRDefault="00BA5D57" w:rsidP="00BA5D57">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RB NL Brands B.V.</w:t>
      </w:r>
    </w:p>
    <w:p w:rsidR="00BA5D57" w:rsidRDefault="00BA5D57" w:rsidP="00BA5D57">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Schiphol Boulevard 207</w:t>
      </w:r>
    </w:p>
    <w:p w:rsidR="00BA5D57" w:rsidRDefault="00BA5D57" w:rsidP="00BA5D57">
      <w:pPr>
        <w:widowControl w:val="0"/>
        <w:tabs>
          <w:tab w:val="left" w:pos="567"/>
        </w:tabs>
        <w:spacing w:after="0" w:line="240" w:lineRule="auto"/>
        <w:ind w:left="567" w:hanging="567"/>
        <w:rPr>
          <w:rFonts w:ascii="Times New Roman" w:hAnsi="Times New Roman" w:cs="Times New Roman"/>
          <w:lang w:val="en-GB"/>
        </w:rPr>
      </w:pPr>
      <w:r>
        <w:rPr>
          <w:rFonts w:ascii="Times New Roman" w:hAnsi="Times New Roman" w:cs="Times New Roman"/>
          <w:lang w:val="en-GB"/>
        </w:rPr>
        <w:t>1118 BH Schiphol</w:t>
      </w:r>
    </w:p>
    <w:p w:rsidR="00BA5D57" w:rsidRDefault="00BA5D57" w:rsidP="00BA5D57">
      <w:pPr>
        <w:widowControl w:val="0"/>
        <w:tabs>
          <w:tab w:val="left" w:pos="567"/>
        </w:tabs>
        <w:spacing w:after="0" w:line="240" w:lineRule="auto"/>
        <w:ind w:left="567" w:hanging="567"/>
        <w:rPr>
          <w:rFonts w:ascii="Times New Roman" w:hAnsi="Times New Roman" w:cs="Times New Roman"/>
          <w:lang w:val="en-GB"/>
        </w:rPr>
      </w:pPr>
      <w:proofErr w:type="spellStart"/>
      <w:r>
        <w:rPr>
          <w:rFonts w:ascii="Times New Roman" w:hAnsi="Times New Roman" w:cs="Times New Roman"/>
          <w:lang w:val="en-GB"/>
        </w:rPr>
        <w:t>Nyderlandai</w:t>
      </w:r>
      <w:proofErr w:type="spellEnd"/>
    </w:p>
    <w:p w:rsidR="00BA5D57" w:rsidRDefault="00BA5D57" w:rsidP="00BA5D57">
      <w:pPr>
        <w:widowControl w:val="0"/>
        <w:tabs>
          <w:tab w:val="left" w:pos="567"/>
        </w:tabs>
        <w:spacing w:after="0" w:line="240" w:lineRule="auto"/>
        <w:ind w:left="567" w:hanging="567"/>
        <w:rPr>
          <w:rFonts w:ascii="Times New Roman" w:hAnsi="Times New Roman" w:cs="Times New Roman"/>
          <w:lang w:val="lt-LT"/>
        </w:rPr>
      </w:pPr>
    </w:p>
    <w:p w:rsidR="00BA5D57" w:rsidRDefault="00BA5D57" w:rsidP="00BA5D57">
      <w:pPr>
        <w:widowControl w:val="0"/>
        <w:tabs>
          <w:tab w:val="left" w:pos="567"/>
        </w:tabs>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rsidR="00BA5D57" w:rsidRDefault="00BA5D57" w:rsidP="00BA5D57">
      <w:pPr>
        <w:tabs>
          <w:tab w:val="left" w:pos="0"/>
          <w:tab w:val="left" w:pos="567"/>
        </w:tabs>
        <w:spacing w:after="0" w:line="240" w:lineRule="auto"/>
        <w:rPr>
          <w:rFonts w:ascii="Times New Roman" w:eastAsia="Times New Roman" w:hAnsi="Times New Roman" w:cs="Times New Roman"/>
          <w:lang w:val="lt-LT"/>
        </w:rPr>
      </w:pPr>
    </w:p>
    <w:p w:rsidR="00BA5D57" w:rsidRDefault="00BA5D57" w:rsidP="00BA5D57">
      <w:pPr>
        <w:tabs>
          <w:tab w:val="left" w:pos="0"/>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UAB “Baltijos Bitė”</w:t>
      </w:r>
    </w:p>
    <w:p w:rsidR="00BA5D57" w:rsidRDefault="00BA5D57" w:rsidP="00BA5D57">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Vytauto pr. 27-203</w:t>
      </w:r>
    </w:p>
    <w:p w:rsidR="00BA5D57" w:rsidRDefault="00BA5D57" w:rsidP="00BA5D57">
      <w:pPr>
        <w:tabs>
          <w:tab w:val="left" w:pos="0"/>
        </w:tabs>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LT-44352 Kaunas</w:t>
      </w:r>
    </w:p>
    <w:p w:rsidR="00BA5D57" w:rsidRDefault="00BA5D57" w:rsidP="00BA5D57">
      <w:pPr>
        <w:widowControl w:val="0"/>
        <w:tabs>
          <w:tab w:val="left" w:pos="567"/>
        </w:tabs>
        <w:spacing w:after="0" w:line="240" w:lineRule="auto"/>
        <w:ind w:right="-2"/>
        <w:rPr>
          <w:rFonts w:ascii="Times New Roman" w:eastAsia="Times New Roman" w:hAnsi="Times New Roman" w:cs="Times New Roman"/>
          <w:lang w:val="lt-LT"/>
        </w:rPr>
      </w:pPr>
      <w:r>
        <w:rPr>
          <w:rFonts w:ascii="Times New Roman" w:eastAsia="Times New Roman" w:hAnsi="Times New Roman" w:cs="Times New Roman"/>
          <w:lang w:val="lt-LT"/>
        </w:rPr>
        <w:t>Tel +370 37 204896</w:t>
      </w:r>
    </w:p>
    <w:p w:rsidR="00BA5D57" w:rsidRDefault="00BA5D57" w:rsidP="00BA5D57">
      <w:pPr>
        <w:tabs>
          <w:tab w:val="left" w:pos="567"/>
        </w:tabs>
        <w:spacing w:after="0" w:line="260" w:lineRule="exact"/>
        <w:ind w:right="-2"/>
        <w:rPr>
          <w:rFonts w:ascii="Times New Roman" w:eastAsia="Times New Roman" w:hAnsi="Times New Roman" w:cs="Times New Roman"/>
          <w:lang w:val="lt-LT"/>
        </w:rPr>
      </w:pPr>
    </w:p>
    <w:p w:rsidR="00BA5D57" w:rsidRDefault="00BA5D57" w:rsidP="00BA5D57">
      <w:pPr>
        <w:tabs>
          <w:tab w:val="left" w:pos="567"/>
        </w:tabs>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b/>
          <w:lang w:val="lt-LT"/>
        </w:rPr>
        <w:t xml:space="preserve">Šis vaistas </w:t>
      </w:r>
      <w:r w:rsidRPr="00981E09">
        <w:rPr>
          <w:rFonts w:ascii="Times New Roman" w:eastAsia="Times New Roman" w:hAnsi="Times New Roman" w:cs="Times New Roman"/>
          <w:b/>
          <w:snapToGrid w:val="0"/>
          <w:lang w:val="lt-LT"/>
        </w:rPr>
        <w:t>E</w:t>
      </w:r>
      <w:r>
        <w:rPr>
          <w:rFonts w:ascii="Times New Roman" w:eastAsia="Times New Roman" w:hAnsi="Times New Roman" w:cs="Times New Roman"/>
          <w:b/>
          <w:snapToGrid w:val="0"/>
          <w:lang w:val="lt-LT"/>
        </w:rPr>
        <w:t>uropos ekonominės erdvės</w:t>
      </w:r>
      <w:r>
        <w:rPr>
          <w:rFonts w:ascii="Times New Roman" w:eastAsia="Times New Roman" w:hAnsi="Times New Roman" w:cs="Times New Roman"/>
          <w:b/>
          <w:lang w:val="lt-LT"/>
        </w:rPr>
        <w:t xml:space="preserve"> valstybėse narėse registruotas tokiais pavadinimais</w:t>
      </w:r>
      <w:r>
        <w:rPr>
          <w:rFonts w:ascii="Times New Roman" w:eastAsia="Times New Roman" w:hAnsi="Times New Roman" w:cs="Times New Roman"/>
          <w:lang w:val="lt-LT"/>
        </w:rPr>
        <w:t>:</w:t>
      </w:r>
    </w:p>
    <w:p w:rsidR="00BA5D57" w:rsidRPr="0008548B" w:rsidRDefault="00BA5D57" w:rsidP="00BA5D57">
      <w:pPr>
        <w:tabs>
          <w:tab w:val="left" w:pos="567"/>
        </w:tabs>
        <w:spacing w:after="0" w:line="260" w:lineRule="exact"/>
        <w:ind w:left="567" w:hanging="567"/>
        <w:rPr>
          <w:rFonts w:ascii="Times New Roman" w:eastAsia="Times New Roman" w:hAnsi="Times New Roman" w:cs="Times New Roman"/>
          <w:snapToGrid w:val="0"/>
          <w:lang w:val="lt-LT"/>
        </w:rPr>
      </w:pPr>
      <w:r w:rsidRPr="0008548B">
        <w:rPr>
          <w:rFonts w:ascii="Times New Roman" w:hAnsi="Times New Roman" w:cs="Times New Roman"/>
          <w:color w:val="000000"/>
          <w:lang w:val="lt-LT"/>
        </w:rPr>
        <w:t>Nyderlandai</w:t>
      </w:r>
      <w:r w:rsidRPr="0008548B">
        <w:rPr>
          <w:rFonts w:ascii="Times New Roman" w:eastAsia="Times New Roman" w:hAnsi="Times New Roman" w:cs="Times New Roman"/>
          <w:snapToGrid w:val="0"/>
          <w:lang w:val="lt-LT"/>
        </w:rPr>
        <w:tab/>
      </w:r>
      <w:r>
        <w:rPr>
          <w:rFonts w:ascii="Times New Roman" w:eastAsia="Times New Roman" w:hAnsi="Times New Roman" w:cs="Times New Roman"/>
          <w:snapToGrid w:val="0"/>
          <w:lang w:val="lt-LT"/>
        </w:rPr>
        <w:t xml:space="preserve">  </w:t>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Duo</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bosvruchtensmaak</w:t>
      </w:r>
      <w:proofErr w:type="spellEnd"/>
      <w:r w:rsidRPr="0008548B">
        <w:rPr>
          <w:rFonts w:ascii="Times New Roman" w:hAnsi="Times New Roman" w:cs="Times New Roman"/>
          <w:color w:val="000000"/>
          <w:lang w:val="lt-LT"/>
        </w:rPr>
        <w:t xml:space="preserve"> 500 mg/ 213 mg/ 325 mg, </w:t>
      </w:r>
      <w:proofErr w:type="spellStart"/>
      <w:r w:rsidRPr="0008548B">
        <w:rPr>
          <w:rFonts w:ascii="Times New Roman" w:hAnsi="Times New Roman" w:cs="Times New Roman"/>
          <w:color w:val="000000"/>
          <w:lang w:val="lt-LT"/>
        </w:rPr>
        <w:t>suspensie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voor</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oraal</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gebruik</w:t>
      </w:r>
      <w:proofErr w:type="spellEnd"/>
    </w:p>
    <w:p w:rsidR="00BA5D57" w:rsidRPr="0008548B" w:rsidRDefault="00BA5D57" w:rsidP="00BA5D57">
      <w:pPr>
        <w:tabs>
          <w:tab w:val="left" w:pos="567"/>
        </w:tabs>
        <w:spacing w:after="0" w:line="260" w:lineRule="exact"/>
        <w:ind w:left="567" w:hanging="567"/>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Austrija</w:t>
      </w:r>
      <w:r>
        <w:rPr>
          <w:rFonts w:ascii="Times New Roman" w:eastAsia="Times New Roman" w:hAnsi="Times New Roman" w:cs="Times New Roman"/>
          <w:snapToGrid w:val="0"/>
          <w:lang w:val="lt-LT"/>
        </w:rPr>
        <w:tab/>
        <w:t xml:space="preserve">  </w:t>
      </w:r>
      <w:r w:rsidRPr="0008548B">
        <w:rPr>
          <w:rFonts w:ascii="Times New Roman" w:hAnsi="Times New Roman" w:cs="Times New Roman"/>
          <w:color w:val="000000"/>
          <w:lang w:val="lt-LT"/>
        </w:rPr>
        <w:t xml:space="preserve">GAVISCON DUAL </w:t>
      </w:r>
      <w:proofErr w:type="spellStart"/>
      <w:r w:rsidRPr="0008548B">
        <w:rPr>
          <w:rFonts w:ascii="Times New Roman" w:hAnsi="Times New Roman" w:cs="Times New Roman"/>
          <w:color w:val="000000"/>
          <w:lang w:val="lt-LT"/>
        </w:rPr>
        <w:t>Waldfrucht</w:t>
      </w:r>
      <w:proofErr w:type="spellEnd"/>
    </w:p>
    <w:p w:rsidR="00BA5D57" w:rsidRPr="0008548B" w:rsidRDefault="00BA5D57" w:rsidP="00BA5D57">
      <w:pPr>
        <w:autoSpaceDE w:val="0"/>
        <w:autoSpaceDN w:val="0"/>
        <w:adjustRightInd w:val="0"/>
        <w:spacing w:after="0"/>
        <w:ind w:left="1276" w:hanging="1299"/>
        <w:rPr>
          <w:rFonts w:ascii="Times New Roman" w:hAnsi="Times New Roman" w:cs="Times New Roman"/>
          <w:color w:val="000000"/>
          <w:lang w:val="lt-LT"/>
        </w:rPr>
      </w:pPr>
      <w:r w:rsidRPr="0008548B">
        <w:rPr>
          <w:rFonts w:ascii="Times New Roman" w:eastAsia="Times New Roman" w:hAnsi="Times New Roman" w:cs="Times New Roman"/>
          <w:snapToGrid w:val="0"/>
          <w:lang w:val="lt-LT"/>
        </w:rPr>
        <w:t>Bulgarija</w:t>
      </w:r>
      <w:r w:rsidRPr="0008548B">
        <w:rPr>
          <w:rFonts w:ascii="Times New Roman" w:eastAsia="Times New Roman" w:hAnsi="Times New Roman" w:cs="Times New Roman"/>
          <w:snapToGrid w:val="0"/>
          <w:lang w:val="lt-LT"/>
        </w:rPr>
        <w:tab/>
      </w:r>
      <w:r>
        <w:rPr>
          <w:rFonts w:ascii="Times New Roman" w:eastAsia="Times New Roman" w:hAnsi="Times New Roman" w:cs="Times New Roman"/>
          <w:snapToGrid w:val="0"/>
          <w:lang w:val="lt-LT"/>
        </w:rPr>
        <w:t xml:space="preserve">  </w:t>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Double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Action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Liquid</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raspberry</w:t>
      </w:r>
      <w:proofErr w:type="spellEnd"/>
      <w:r w:rsidRPr="0008548B">
        <w:rPr>
          <w:rFonts w:ascii="Times New Roman" w:hAnsi="Times New Roman" w:cs="Times New Roman"/>
          <w:color w:val="000000"/>
          <w:lang w:val="lt-LT"/>
        </w:rPr>
        <w:t xml:space="preserve"> 500 mg/213 mg/325 mg </w:t>
      </w:r>
      <w:proofErr w:type="spellStart"/>
      <w:r w:rsidRPr="0008548B">
        <w:rPr>
          <w:rFonts w:ascii="Times New Roman" w:hAnsi="Times New Roman" w:cs="Times New Roman"/>
          <w:color w:val="000000"/>
          <w:lang w:val="lt-LT"/>
        </w:rPr>
        <w:t>oral</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suspension</w:t>
      </w:r>
      <w:proofErr w:type="spellEnd"/>
    </w:p>
    <w:p w:rsidR="00BA5D57" w:rsidRPr="0008548B" w:rsidRDefault="00BA5D57" w:rsidP="00BA5D57">
      <w:pPr>
        <w:autoSpaceDE w:val="0"/>
        <w:autoSpaceDN w:val="0"/>
        <w:adjustRightInd w:val="0"/>
        <w:spacing w:after="0"/>
        <w:ind w:left="1418" w:hanging="142"/>
        <w:rPr>
          <w:rFonts w:ascii="Times New Roman" w:hAnsi="Times New Roman" w:cs="Times New Roman"/>
          <w:color w:val="000000"/>
          <w:lang w:val="lt-LT"/>
        </w:rPr>
      </w:pPr>
      <w:r>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Гавискон</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Двойно</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Действие</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Ликвид</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малина</w:t>
      </w:r>
      <w:proofErr w:type="spellEnd"/>
      <w:r w:rsidRPr="0008548B">
        <w:rPr>
          <w:rFonts w:ascii="Times New Roman" w:hAnsi="Times New Roman" w:cs="Times New Roman"/>
          <w:color w:val="000000"/>
          <w:lang w:val="lt-LT"/>
        </w:rPr>
        <w:t xml:space="preserve"> 500 mg/213 mg/325 mg </w:t>
      </w:r>
      <w:proofErr w:type="spellStart"/>
      <w:r w:rsidRPr="0008548B">
        <w:rPr>
          <w:rFonts w:ascii="Times New Roman" w:hAnsi="Times New Roman" w:cs="Times New Roman"/>
          <w:color w:val="000000"/>
          <w:lang w:val="lt-LT"/>
        </w:rPr>
        <w:t>перорална</w:t>
      </w:r>
      <w:proofErr w:type="spellEnd"/>
      <w:r w:rsidRPr="0008548B">
        <w:rPr>
          <w:rFonts w:ascii="Times New Roman" w:hAnsi="Times New Roman" w:cs="Times New Roman"/>
          <w:color w:val="000000"/>
          <w:lang w:val="lt-LT"/>
        </w:rPr>
        <w:t xml:space="preserve"> </w:t>
      </w:r>
      <w:r>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суспензия</w:t>
      </w:r>
      <w:proofErr w:type="spellEnd"/>
    </w:p>
    <w:p w:rsidR="00BA5D57" w:rsidRPr="0008548B" w:rsidRDefault="00BA5D57" w:rsidP="00BA5D57">
      <w:pPr>
        <w:tabs>
          <w:tab w:val="left" w:pos="567"/>
        </w:tabs>
        <w:spacing w:after="0" w:line="260" w:lineRule="exact"/>
        <w:ind w:hanging="567"/>
        <w:rPr>
          <w:rFonts w:ascii="Times New Roman" w:hAnsi="Times New Roman" w:cs="Times New Roman"/>
          <w:color w:val="333333"/>
          <w:lang w:val="lt-LT"/>
        </w:rPr>
      </w:pPr>
      <w:r>
        <w:rPr>
          <w:rFonts w:ascii="Times New Roman" w:hAnsi="Times New Roman" w:cs="Times New Roman"/>
          <w:color w:val="000000"/>
          <w:lang w:val="lt-LT"/>
        </w:rPr>
        <w:tab/>
        <w:t>Danija</w:t>
      </w:r>
      <w:r>
        <w:rPr>
          <w:rFonts w:ascii="Times New Roman" w:hAnsi="Times New Roman" w:cs="Times New Roman"/>
          <w:color w:val="000000"/>
          <w:lang w:val="lt-LT"/>
        </w:rPr>
        <w:tab/>
        <w:t xml:space="preserve">  </w:t>
      </w:r>
      <w:proofErr w:type="spellStart"/>
      <w:r w:rsidRPr="0008548B">
        <w:rPr>
          <w:rFonts w:ascii="Times New Roman" w:hAnsi="Times New Roman" w:cs="Times New Roman"/>
          <w:color w:val="000000"/>
          <w:lang w:val="lt-LT"/>
        </w:rPr>
        <w:t>Claulieve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Mixed</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Berries</w:t>
      </w:r>
      <w:proofErr w:type="spellEnd"/>
    </w:p>
    <w:p w:rsidR="00BA5D57" w:rsidRPr="0008548B" w:rsidRDefault="00BA5D57" w:rsidP="00BA5D57">
      <w:pPr>
        <w:tabs>
          <w:tab w:val="left" w:pos="567"/>
        </w:tabs>
        <w:spacing w:after="0" w:line="260" w:lineRule="exact"/>
        <w:ind w:hanging="567"/>
        <w:rPr>
          <w:rFonts w:ascii="Times New Roman" w:hAnsi="Times New Roman" w:cs="Times New Roman"/>
          <w:color w:val="000000"/>
          <w:lang w:val="lt-LT"/>
        </w:rPr>
      </w:pPr>
      <w:r>
        <w:rPr>
          <w:rFonts w:ascii="Times New Roman" w:hAnsi="Times New Roman" w:cs="Times New Roman"/>
          <w:color w:val="000000"/>
          <w:lang w:val="lt-LT"/>
        </w:rPr>
        <w:tab/>
        <w:t>Estija</w:t>
      </w:r>
      <w:r>
        <w:rPr>
          <w:rFonts w:ascii="Times New Roman" w:hAnsi="Times New Roman" w:cs="Times New Roman"/>
          <w:color w:val="000000"/>
          <w:lang w:val="lt-LT"/>
        </w:rPr>
        <w:tab/>
      </w:r>
      <w:r>
        <w:rPr>
          <w:rFonts w:ascii="Times New Roman" w:hAnsi="Times New Roman" w:cs="Times New Roman"/>
          <w:color w:val="000000"/>
          <w:lang w:val="lt-LT"/>
        </w:rPr>
        <w:tab/>
        <w:t xml:space="preserve">  </w:t>
      </w:r>
      <w:proofErr w:type="spellStart"/>
      <w:r w:rsidRPr="0008548B">
        <w:rPr>
          <w:rFonts w:ascii="Times New Roman" w:hAnsi="Times New Roman" w:cs="Times New Roman"/>
          <w:color w:val="000000"/>
          <w:lang w:val="lt-LT"/>
        </w:rPr>
        <w:t>Gaviscon</w:t>
      </w:r>
      <w:proofErr w:type="spellEnd"/>
    </w:p>
    <w:p w:rsidR="00BA5D57" w:rsidRPr="0008548B" w:rsidRDefault="00BA5D57" w:rsidP="00BA5D57">
      <w:pPr>
        <w:tabs>
          <w:tab w:val="left" w:pos="567"/>
        </w:tabs>
        <w:spacing w:after="0" w:line="260" w:lineRule="exact"/>
        <w:ind w:hanging="567"/>
        <w:rPr>
          <w:rFonts w:ascii="Times New Roman" w:hAnsi="Times New Roman" w:cs="Times New Roman"/>
          <w:color w:val="333333"/>
          <w:lang w:val="lt-LT"/>
        </w:rPr>
      </w:pPr>
      <w:r w:rsidRPr="0008548B">
        <w:rPr>
          <w:rFonts w:ascii="Times New Roman" w:hAnsi="Times New Roman" w:cs="Times New Roman"/>
          <w:color w:val="000000"/>
          <w:lang w:val="lt-LT"/>
        </w:rPr>
        <w:tab/>
        <w:t>Suomija</w:t>
      </w:r>
      <w:r w:rsidRPr="0008548B">
        <w:rPr>
          <w:rFonts w:ascii="Times New Roman" w:hAnsi="Times New Roman" w:cs="Times New Roman"/>
          <w:color w:val="000000"/>
          <w:lang w:val="lt-LT"/>
        </w:rPr>
        <w:tab/>
      </w:r>
      <w:r>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Galieve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Dual</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metsämarjat</w:t>
      </w:r>
      <w:proofErr w:type="spellEnd"/>
    </w:p>
    <w:p w:rsidR="00BA5D57" w:rsidRPr="0008548B" w:rsidRDefault="00BA5D57" w:rsidP="00BA5D57">
      <w:pPr>
        <w:tabs>
          <w:tab w:val="left" w:pos="567"/>
        </w:tabs>
        <w:spacing w:after="0" w:line="260" w:lineRule="exact"/>
        <w:ind w:left="1418" w:hanging="1418"/>
        <w:rPr>
          <w:rFonts w:ascii="Times New Roman" w:hAnsi="Times New Roman" w:cs="Times New Roman"/>
          <w:color w:val="000000"/>
          <w:lang w:val="lt-LT"/>
        </w:rPr>
      </w:pPr>
      <w:r w:rsidRPr="0008548B">
        <w:rPr>
          <w:rFonts w:ascii="Times New Roman" w:hAnsi="Times New Roman" w:cs="Times New Roman"/>
          <w:color w:val="000000"/>
          <w:lang w:val="lt-LT"/>
        </w:rPr>
        <w:lastRenderedPageBreak/>
        <w:t>Prancūzija</w:t>
      </w:r>
      <w:r w:rsidRPr="0008548B">
        <w:rPr>
          <w:rFonts w:ascii="Times New Roman" w:hAnsi="Times New Roman" w:cs="Times New Roman"/>
          <w:color w:val="000000"/>
          <w:lang w:val="lt-LT"/>
        </w:rPr>
        <w:tab/>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Antiacide</w:t>
      </w:r>
      <w:proofErr w:type="spellEnd"/>
      <w:r w:rsidRPr="0008548B">
        <w:rPr>
          <w:rFonts w:ascii="Times New Roman" w:hAnsi="Times New Roman" w:cs="Times New Roman"/>
          <w:color w:val="000000"/>
          <w:lang w:val="lt-LT"/>
        </w:rPr>
        <w:t xml:space="preserve"> – </w:t>
      </w:r>
      <w:proofErr w:type="spellStart"/>
      <w:r w:rsidRPr="0008548B">
        <w:rPr>
          <w:rFonts w:ascii="Times New Roman" w:hAnsi="Times New Roman" w:cs="Times New Roman"/>
          <w:color w:val="000000"/>
          <w:lang w:val="lt-LT"/>
        </w:rPr>
        <w:t>Antireflux</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suspension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buvable</w:t>
      </w:r>
      <w:proofErr w:type="spellEnd"/>
    </w:p>
    <w:p w:rsidR="00BA5D57" w:rsidRPr="0008548B" w:rsidRDefault="00BA5D57" w:rsidP="00BA5D57">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Vengrija</w:t>
      </w:r>
      <w:r w:rsidRPr="0008548B">
        <w:rPr>
          <w:rFonts w:ascii="Times New Roman" w:hAnsi="Times New Roman" w:cs="Times New Roman"/>
          <w:color w:val="000000"/>
          <w:lang w:val="lt-LT"/>
        </w:rPr>
        <w:tab/>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Forte </w:t>
      </w:r>
      <w:proofErr w:type="spellStart"/>
      <w:r w:rsidRPr="0008548B">
        <w:rPr>
          <w:rFonts w:ascii="Times New Roman" w:hAnsi="Times New Roman" w:cs="Times New Roman"/>
          <w:color w:val="000000"/>
          <w:lang w:val="lt-LT"/>
        </w:rPr>
        <w:t>belsőleges</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szuszpenzió</w:t>
      </w:r>
      <w:proofErr w:type="spellEnd"/>
      <w:r w:rsidRPr="0066084D">
        <w:rPr>
          <w:rFonts w:ascii="Times New Roman" w:hAnsi="Times New Roman" w:cs="Times New Roman"/>
          <w:color w:val="000000"/>
          <w:lang w:val="lt-LT"/>
        </w:rPr>
        <w:t xml:space="preserve"> </w:t>
      </w:r>
    </w:p>
    <w:p w:rsidR="00BA5D57" w:rsidRPr="0008548B" w:rsidRDefault="00BA5D57" w:rsidP="00BA5D57">
      <w:pPr>
        <w:tabs>
          <w:tab w:val="left" w:pos="567"/>
        </w:tabs>
        <w:spacing w:after="0" w:line="260" w:lineRule="exact"/>
        <w:ind w:left="1440" w:hanging="1440"/>
        <w:rPr>
          <w:rFonts w:ascii="Times New Roman" w:hAnsi="Times New Roman" w:cs="Times New Roman"/>
          <w:color w:val="333333"/>
          <w:lang w:val="lt-LT"/>
        </w:rPr>
      </w:pPr>
      <w:r w:rsidRPr="0008548B">
        <w:rPr>
          <w:rFonts w:ascii="Times New Roman" w:hAnsi="Times New Roman" w:cs="Times New Roman"/>
          <w:color w:val="000000"/>
          <w:lang w:val="lt-LT"/>
        </w:rPr>
        <w:t>Islandija</w:t>
      </w:r>
      <w:r w:rsidRPr="0008548B">
        <w:rPr>
          <w:rFonts w:ascii="Times New Roman" w:hAnsi="Times New Roman" w:cs="Times New Roman"/>
          <w:color w:val="000000"/>
          <w:lang w:val="lt-LT"/>
        </w:rPr>
        <w:tab/>
      </w:r>
      <w:proofErr w:type="spellStart"/>
      <w:r w:rsidRPr="0008548B">
        <w:rPr>
          <w:rFonts w:ascii="Times New Roman" w:hAnsi="Times New Roman" w:cs="Times New Roman"/>
          <w:color w:val="333333"/>
          <w:lang w:val="lt-LT"/>
        </w:rPr>
        <w:t>Garbalieve</w:t>
      </w:r>
      <w:proofErr w:type="spellEnd"/>
    </w:p>
    <w:p w:rsidR="00BA5D57" w:rsidRPr="0008548B" w:rsidRDefault="00BA5D57" w:rsidP="00BA5D57">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333333"/>
          <w:lang w:val="lt-LT"/>
        </w:rPr>
        <w:t>Latvija</w:t>
      </w:r>
      <w:r w:rsidRPr="0008548B">
        <w:rPr>
          <w:rFonts w:ascii="Times New Roman" w:hAnsi="Times New Roman" w:cs="Times New Roman"/>
          <w:color w:val="333333"/>
          <w:lang w:val="lt-LT"/>
        </w:rPr>
        <w:tab/>
      </w:r>
      <w:proofErr w:type="spellStart"/>
      <w:r w:rsidRPr="0008548B">
        <w:rPr>
          <w:rFonts w:ascii="Times New Roman" w:hAnsi="Times New Roman" w:cs="Times New Roman"/>
          <w:color w:val="333333"/>
          <w:lang w:val="lt-LT"/>
        </w:rPr>
        <w:t>Gaviscon</w:t>
      </w:r>
      <w:proofErr w:type="spellEnd"/>
      <w:r w:rsidRPr="0008548B">
        <w:rPr>
          <w:rFonts w:ascii="Times New Roman" w:hAnsi="Times New Roman" w:cs="Times New Roman"/>
          <w:color w:val="333333"/>
          <w:lang w:val="lt-LT"/>
        </w:rPr>
        <w:t xml:space="preserve"> 500 mg/213 mg/325 mg suspensija </w:t>
      </w:r>
      <w:proofErr w:type="spellStart"/>
      <w:r w:rsidRPr="0008548B">
        <w:rPr>
          <w:rFonts w:ascii="Times New Roman" w:hAnsi="Times New Roman" w:cs="Times New Roman"/>
          <w:color w:val="333333"/>
          <w:lang w:val="lt-LT"/>
        </w:rPr>
        <w:t>iekšķīgai</w:t>
      </w:r>
      <w:proofErr w:type="spellEnd"/>
      <w:r w:rsidRPr="0008548B">
        <w:rPr>
          <w:rFonts w:ascii="Times New Roman" w:hAnsi="Times New Roman" w:cs="Times New Roman"/>
          <w:color w:val="333333"/>
          <w:lang w:val="lt-LT"/>
        </w:rPr>
        <w:t xml:space="preserve"> </w:t>
      </w:r>
      <w:proofErr w:type="spellStart"/>
      <w:r w:rsidRPr="0008548B">
        <w:rPr>
          <w:rFonts w:ascii="Times New Roman" w:hAnsi="Times New Roman" w:cs="Times New Roman"/>
          <w:color w:val="333333"/>
          <w:lang w:val="lt-LT"/>
        </w:rPr>
        <w:t>lietošanai</w:t>
      </w:r>
      <w:proofErr w:type="spellEnd"/>
    </w:p>
    <w:p w:rsidR="00BA5D57" w:rsidRPr="0008548B" w:rsidRDefault="00BA5D57" w:rsidP="00BA5D57">
      <w:pPr>
        <w:spacing w:after="0" w:line="240" w:lineRule="auto"/>
        <w:rPr>
          <w:rFonts w:ascii="Times New Roman" w:eastAsia="Times New Roman" w:hAnsi="Times New Roman" w:cs="Times New Roman"/>
          <w:lang w:val="lt-LT" w:eastAsia="lt-LT"/>
        </w:rPr>
      </w:pPr>
      <w:r w:rsidRPr="0008548B">
        <w:rPr>
          <w:rFonts w:ascii="Times New Roman" w:hAnsi="Times New Roman" w:cs="Times New Roman"/>
          <w:color w:val="333333"/>
          <w:lang w:val="lt-LT"/>
        </w:rPr>
        <w:t>Lietuva</w:t>
      </w:r>
      <w:r>
        <w:rPr>
          <w:rFonts w:ascii="Times New Roman" w:hAnsi="Times New Roman" w:cs="Times New Roman"/>
          <w:color w:val="333333"/>
          <w:lang w:val="lt-LT"/>
        </w:rPr>
        <w:tab/>
        <w:t xml:space="preserve">  </w:t>
      </w:r>
      <w:proofErr w:type="spellStart"/>
      <w:r w:rsidRPr="0008548B">
        <w:rPr>
          <w:rFonts w:ascii="Times New Roman" w:eastAsia="Times New Roman" w:hAnsi="Times New Roman" w:cs="Times New Roman"/>
          <w:lang w:val="lt-LT" w:eastAsia="lt-LT"/>
        </w:rPr>
        <w:t>Galieve</w:t>
      </w:r>
      <w:proofErr w:type="spellEnd"/>
      <w:r w:rsidRPr="0008548B">
        <w:rPr>
          <w:rFonts w:ascii="Times New Roman" w:eastAsia="Times New Roman" w:hAnsi="Times New Roman" w:cs="Times New Roman"/>
          <w:lang w:val="lt-LT" w:eastAsia="lt-LT"/>
        </w:rPr>
        <w:t xml:space="preserve"> 500 mg/213 mg/325 mg/10 ml geriamoji suspensija</w:t>
      </w:r>
    </w:p>
    <w:p w:rsidR="00BA5D57" w:rsidRPr="0008548B" w:rsidRDefault="00BA5D57" w:rsidP="00BA5D57">
      <w:pPr>
        <w:tabs>
          <w:tab w:val="left" w:pos="567"/>
        </w:tabs>
        <w:spacing w:after="0" w:line="260" w:lineRule="exact"/>
        <w:ind w:hanging="567"/>
        <w:rPr>
          <w:rFonts w:ascii="Times New Roman" w:hAnsi="Times New Roman" w:cs="Times New Roman"/>
          <w:color w:val="333333"/>
          <w:lang w:val="lt-LT"/>
        </w:rPr>
      </w:pPr>
      <w:r w:rsidRPr="0008548B">
        <w:rPr>
          <w:rFonts w:ascii="Times New Roman" w:hAnsi="Times New Roman" w:cs="Times New Roman"/>
          <w:color w:val="000000"/>
          <w:lang w:val="lt-LT"/>
        </w:rPr>
        <w:tab/>
        <w:t>Norvegija</w:t>
      </w:r>
      <w:r w:rsidRPr="0008548B">
        <w:rPr>
          <w:rFonts w:ascii="Times New Roman" w:hAnsi="Times New Roman" w:cs="Times New Roman"/>
          <w:color w:val="000000"/>
          <w:lang w:val="lt-LT"/>
        </w:rPr>
        <w:tab/>
      </w:r>
      <w:r>
        <w:rPr>
          <w:rFonts w:ascii="Times New Roman" w:hAnsi="Times New Roman" w:cs="Times New Roman"/>
          <w:color w:val="000000"/>
          <w:lang w:val="lt-LT"/>
        </w:rPr>
        <w:t xml:space="preserve">  </w:t>
      </w:r>
      <w:proofErr w:type="spellStart"/>
      <w:r w:rsidRPr="0008548B">
        <w:rPr>
          <w:rFonts w:ascii="Times New Roman" w:hAnsi="Times New Roman" w:cs="Times New Roman"/>
          <w:color w:val="333333"/>
          <w:lang w:val="lt-LT"/>
        </w:rPr>
        <w:t>Garbalieve</w:t>
      </w:r>
      <w:proofErr w:type="spellEnd"/>
    </w:p>
    <w:p w:rsidR="00BA5D57" w:rsidRPr="0008548B" w:rsidRDefault="00BA5D57" w:rsidP="00BA5D57">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Lenkija</w:t>
      </w:r>
      <w:r w:rsidRPr="0008548B">
        <w:rPr>
          <w:rFonts w:ascii="Times New Roman" w:hAnsi="Times New Roman" w:cs="Times New Roman"/>
          <w:color w:val="000000"/>
          <w:lang w:val="lt-LT"/>
        </w:rPr>
        <w:tab/>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duo</w:t>
      </w:r>
      <w:proofErr w:type="spellEnd"/>
    </w:p>
    <w:p w:rsidR="00BA5D57" w:rsidRPr="0008548B" w:rsidRDefault="00BA5D57" w:rsidP="00BA5D57">
      <w:pPr>
        <w:tabs>
          <w:tab w:val="left" w:pos="567"/>
        </w:tabs>
        <w:spacing w:after="0" w:line="260" w:lineRule="exact"/>
        <w:ind w:left="1440" w:hanging="1440"/>
        <w:rPr>
          <w:rFonts w:ascii="Times New Roman" w:hAnsi="Times New Roman" w:cs="Times New Roman"/>
          <w:color w:val="000000"/>
          <w:lang w:val="lt-LT"/>
        </w:rPr>
      </w:pPr>
      <w:r w:rsidRPr="0008548B">
        <w:rPr>
          <w:rFonts w:ascii="Times New Roman" w:hAnsi="Times New Roman" w:cs="Times New Roman"/>
          <w:color w:val="000000"/>
          <w:lang w:val="lt-LT"/>
        </w:rPr>
        <w:t>Rumunija</w:t>
      </w:r>
      <w:r w:rsidRPr="0008548B">
        <w:rPr>
          <w:rFonts w:ascii="Times New Roman" w:hAnsi="Times New Roman" w:cs="Times New Roman"/>
          <w:color w:val="000000"/>
          <w:lang w:val="lt-LT"/>
        </w:rPr>
        <w:tab/>
      </w:r>
      <w:proofErr w:type="spellStart"/>
      <w:r w:rsidRPr="0008548B">
        <w:rPr>
          <w:rFonts w:ascii="Times New Roman" w:hAnsi="Times New Roman" w:cs="Times New Roman"/>
          <w:color w:val="000000"/>
          <w:lang w:val="lt-LT"/>
        </w:rPr>
        <w:t>Gaviscon</w:t>
      </w:r>
      <w:proofErr w:type="spellEnd"/>
      <w:r w:rsidRPr="0008548B">
        <w:rPr>
          <w:rFonts w:ascii="Times New Roman" w:hAnsi="Times New Roman" w:cs="Times New Roman"/>
          <w:color w:val="000000"/>
          <w:lang w:val="lt-LT"/>
        </w:rPr>
        <w:t xml:space="preserve"> Forte </w:t>
      </w:r>
      <w:proofErr w:type="spellStart"/>
      <w:r w:rsidRPr="0008548B">
        <w:rPr>
          <w:rFonts w:ascii="Times New Roman" w:hAnsi="Times New Roman" w:cs="Times New Roman"/>
          <w:color w:val="000000"/>
          <w:lang w:val="lt-LT"/>
        </w:rPr>
        <w:t>cu</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aromă</w:t>
      </w:r>
      <w:proofErr w:type="spellEnd"/>
      <w:r w:rsidRPr="0008548B">
        <w:rPr>
          <w:rFonts w:ascii="Times New Roman" w:hAnsi="Times New Roman" w:cs="Times New Roman"/>
          <w:color w:val="000000"/>
          <w:lang w:val="lt-LT"/>
        </w:rPr>
        <w:t xml:space="preserve"> de </w:t>
      </w:r>
      <w:proofErr w:type="spellStart"/>
      <w:r w:rsidRPr="0008548B">
        <w:rPr>
          <w:rFonts w:ascii="Times New Roman" w:hAnsi="Times New Roman" w:cs="Times New Roman"/>
          <w:color w:val="000000"/>
          <w:lang w:val="lt-LT"/>
        </w:rPr>
        <w:t>zmeură</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suspensie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orală</w:t>
      </w:r>
      <w:proofErr w:type="spellEnd"/>
    </w:p>
    <w:p w:rsidR="00BA5D57" w:rsidRPr="0008548B" w:rsidRDefault="00BA5D57" w:rsidP="00BA5D57">
      <w:pPr>
        <w:tabs>
          <w:tab w:val="left" w:pos="567"/>
        </w:tabs>
        <w:spacing w:after="0" w:line="260" w:lineRule="exact"/>
        <w:ind w:left="1440" w:hanging="1440"/>
        <w:rPr>
          <w:rFonts w:ascii="Times New Roman" w:hAnsi="Times New Roman" w:cs="Times New Roman"/>
          <w:color w:val="000000"/>
          <w:lang w:val="lt-LT"/>
        </w:rPr>
      </w:pPr>
      <w:r w:rsidRPr="0066084D">
        <w:rPr>
          <w:rFonts w:ascii="Times New Roman" w:hAnsi="Times New Roman" w:cs="Times New Roman"/>
          <w:color w:val="000000"/>
          <w:lang w:val="lt-LT"/>
        </w:rPr>
        <w:t>Švedija</w:t>
      </w:r>
      <w:r w:rsidRPr="0066084D">
        <w:rPr>
          <w:rFonts w:ascii="Times New Roman" w:hAnsi="Times New Roman" w:cs="Times New Roman"/>
          <w:color w:val="000000"/>
          <w:lang w:val="lt-LT"/>
        </w:rPr>
        <w:tab/>
      </w:r>
      <w:proofErr w:type="spellStart"/>
      <w:r w:rsidRPr="0008548B">
        <w:rPr>
          <w:rFonts w:ascii="Times New Roman" w:hAnsi="Times New Roman" w:cs="Times New Roman"/>
          <w:color w:val="000000"/>
          <w:lang w:val="lt-LT"/>
        </w:rPr>
        <w:t>Galieve</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Dual</w:t>
      </w:r>
      <w:proofErr w:type="spellEnd"/>
      <w:r w:rsidRPr="0008548B">
        <w:rPr>
          <w:rFonts w:ascii="Times New Roman" w:hAnsi="Times New Roman" w:cs="Times New Roman"/>
          <w:color w:val="000000"/>
          <w:lang w:val="lt-LT"/>
        </w:rPr>
        <w:t xml:space="preserve"> </w:t>
      </w:r>
      <w:proofErr w:type="spellStart"/>
      <w:r w:rsidRPr="0008548B">
        <w:rPr>
          <w:rFonts w:ascii="Times New Roman" w:hAnsi="Times New Roman" w:cs="Times New Roman"/>
          <w:color w:val="000000"/>
          <w:lang w:val="lt-LT"/>
        </w:rPr>
        <w:t>Skogsbär</w:t>
      </w:r>
      <w:proofErr w:type="spellEnd"/>
    </w:p>
    <w:p w:rsidR="00BA5D57" w:rsidRDefault="00BA5D57" w:rsidP="00BA5D57">
      <w:pPr>
        <w:tabs>
          <w:tab w:val="left" w:pos="567"/>
        </w:tabs>
        <w:spacing w:after="0" w:line="260" w:lineRule="exact"/>
        <w:ind w:left="567" w:hanging="567"/>
        <w:rPr>
          <w:rFonts w:ascii="Times New Roman" w:eastAsia="Times New Roman" w:hAnsi="Times New Roman" w:cs="Times New Roman"/>
          <w:lang w:val="lt-LT"/>
        </w:rPr>
      </w:pPr>
    </w:p>
    <w:p w:rsidR="00BA5D57" w:rsidRDefault="00BA5D57" w:rsidP="00BA5D57">
      <w:pPr>
        <w:spacing w:after="0" w:line="240" w:lineRule="auto"/>
        <w:ind w:right="-2"/>
        <w:rPr>
          <w:rFonts w:ascii="Times New Roman" w:eastAsia="Times New Roman" w:hAnsi="Times New Roman" w:cs="Times New Roman"/>
          <w:b/>
          <w:lang w:val="lt-LT"/>
        </w:rPr>
      </w:pPr>
      <w:r>
        <w:rPr>
          <w:rFonts w:ascii="Times New Roman" w:eastAsia="Times New Roman" w:hAnsi="Times New Roman" w:cs="Times New Roman"/>
          <w:b/>
          <w:lang w:val="lt-LT"/>
        </w:rPr>
        <w:t>Šis pakuotės lapelis paskutinį kartą peržiūrėtas 2024-11-27</w:t>
      </w:r>
      <w:r>
        <w:rPr>
          <w:rFonts w:ascii="Times New Roman" w:eastAsia="Times New Roman" w:hAnsi="Times New Roman" w:cs="Times New Roman"/>
          <w:lang w:val="lt-LT"/>
        </w:rPr>
        <w:t>.</w:t>
      </w:r>
    </w:p>
    <w:p w:rsidR="00BA5D57" w:rsidRDefault="00BA5D57" w:rsidP="00BA5D57">
      <w:pPr>
        <w:spacing w:after="0" w:line="240" w:lineRule="auto"/>
        <w:jc w:val="both"/>
        <w:rPr>
          <w:rFonts w:ascii="Times New Roman" w:eastAsia="Times New Roman" w:hAnsi="Times New Roman" w:cs="Times New Roman"/>
          <w:lang w:val="lt-LT" w:eastAsia="lt-LT"/>
        </w:rPr>
      </w:pPr>
    </w:p>
    <w:p w:rsidR="00BA5D57" w:rsidRPr="00E93CBB" w:rsidRDefault="00BA5D57" w:rsidP="00BA5D57">
      <w:pPr>
        <w:spacing w:line="240" w:lineRule="auto"/>
        <w:jc w:val="both"/>
        <w:rPr>
          <w:rFonts w:ascii="Times New Roman" w:hAnsi="Times New Roman" w:cs="Times New Roman"/>
          <w:lang w:val="lt-LT" w:eastAsia="lt-LT"/>
        </w:rPr>
      </w:pPr>
      <w:r w:rsidRPr="00E93CBB">
        <w:rPr>
          <w:rFonts w:ascii="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E93CBB">
        <w:rPr>
          <w:rFonts w:ascii="Times New Roman" w:hAnsi="Times New Roman" w:cs="Times New Roman"/>
          <w:color w:val="0000EE"/>
          <w:u w:val="single"/>
          <w:lang w:val="lt-LT" w:eastAsia="lt-LT"/>
        </w:rPr>
        <w:t>https://vvkt.lrv.lt/lt/</w:t>
      </w:r>
      <w:r w:rsidRPr="00E93CBB">
        <w:rPr>
          <w:rFonts w:ascii="Times New Roman" w:hAnsi="Times New Roman" w:cs="Times New Roman"/>
          <w:lang w:val="lt-LT" w:eastAsia="lt-LT"/>
        </w:rPr>
        <w:t>.</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81"/>
    <w:multiLevelType w:val="multilevel"/>
    <w:tmpl w:val="4CB414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1396C00"/>
    <w:multiLevelType w:val="multilevel"/>
    <w:tmpl w:val="2F5EB8EA"/>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75052EC"/>
    <w:multiLevelType w:val="multilevel"/>
    <w:tmpl w:val="CFA0BCC0"/>
    <w:lvl w:ilvl="0">
      <w:start w:val="1"/>
      <w:numFmt w:val="bullet"/>
      <w:pStyle w:val="BT-EMEASMCA"/>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3C63722"/>
    <w:multiLevelType w:val="hybridMultilevel"/>
    <w:tmpl w:val="9E9EA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57"/>
    <w:rsid w:val="00072F85"/>
    <w:rsid w:val="000A5E72"/>
    <w:rsid w:val="000A7B60"/>
    <w:rsid w:val="00181364"/>
    <w:rsid w:val="002945D9"/>
    <w:rsid w:val="00305C48"/>
    <w:rsid w:val="003362C6"/>
    <w:rsid w:val="00497D4D"/>
    <w:rsid w:val="00742EBF"/>
    <w:rsid w:val="00B4219F"/>
    <w:rsid w:val="00BA5D57"/>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06E6"/>
  <w15:chartTrackingRefBased/>
  <w15:docId w15:val="{6A22E538-5341-4CF4-A7E8-1CAD5161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5D57"/>
    <w:pPr>
      <w:suppressAutoHyphens/>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basedOn w:val="Numatytasispastraiposriftas"/>
    <w:link w:val="Pagrindiniotekstotrauka"/>
    <w:qFormat/>
    <w:rsid w:val="00BA5D57"/>
    <w:rPr>
      <w:rFonts w:ascii="Times New Roman" w:eastAsia="Calibri" w:hAnsi="Times New Roman" w:cs="Times New Roman"/>
      <w:szCs w:val="20"/>
      <w:lang w:eastAsia="lt-LT"/>
    </w:rPr>
  </w:style>
  <w:style w:type="character" w:customStyle="1" w:styleId="PagrindinistekstasDiagrama">
    <w:name w:val="Pagrindinis tekstas Diagrama"/>
    <w:basedOn w:val="Numatytasispastraiposriftas"/>
    <w:link w:val="Pagrindinistekstas"/>
    <w:qFormat/>
    <w:rsid w:val="00BA5D57"/>
    <w:rPr>
      <w:rFonts w:ascii="Times New Roman" w:eastAsia="Calibri" w:hAnsi="Times New Roman" w:cs="Times New Roman"/>
      <w:szCs w:val="20"/>
      <w:lang w:eastAsia="lt-LT"/>
    </w:rPr>
  </w:style>
  <w:style w:type="paragraph" w:styleId="Pagrindinistekstas">
    <w:name w:val="Body Text"/>
    <w:basedOn w:val="prastasis"/>
    <w:link w:val="PagrindinistekstasDiagrama"/>
    <w:rsid w:val="00BA5D57"/>
    <w:pPr>
      <w:spacing w:after="120" w:line="240" w:lineRule="auto"/>
    </w:pPr>
    <w:rPr>
      <w:rFonts w:ascii="Times New Roman" w:eastAsia="Calibri" w:hAnsi="Times New Roman" w:cs="Times New Roman"/>
      <w:szCs w:val="20"/>
      <w:lang w:val="lt-LT" w:eastAsia="lt-LT"/>
    </w:rPr>
  </w:style>
  <w:style w:type="character" w:customStyle="1" w:styleId="PagrindinistekstasDiagrama1">
    <w:name w:val="Pagrindinis tekstas Diagrama1"/>
    <w:basedOn w:val="Numatytasispastraiposriftas"/>
    <w:uiPriority w:val="99"/>
    <w:semiHidden/>
    <w:rsid w:val="00BA5D57"/>
    <w:rPr>
      <w:lang w:val="en-US"/>
    </w:rPr>
  </w:style>
  <w:style w:type="paragraph" w:styleId="Sraopastraipa">
    <w:name w:val="List Paragraph"/>
    <w:basedOn w:val="prastasis"/>
    <w:uiPriority w:val="34"/>
    <w:qFormat/>
    <w:rsid w:val="00BA5D57"/>
    <w:pPr>
      <w:ind w:left="720"/>
      <w:contextualSpacing/>
    </w:pPr>
  </w:style>
  <w:style w:type="paragraph" w:styleId="Pagrindiniotekstotrauka">
    <w:name w:val="Body Text Indent"/>
    <w:basedOn w:val="prastasis"/>
    <w:link w:val="PagrindiniotekstotraukaDiagrama"/>
    <w:rsid w:val="00BA5D57"/>
    <w:pPr>
      <w:spacing w:after="120" w:line="240" w:lineRule="auto"/>
      <w:ind w:left="283"/>
    </w:pPr>
    <w:rPr>
      <w:rFonts w:ascii="Times New Roman" w:eastAsia="Calibri" w:hAnsi="Times New Roman" w:cs="Times New Roman"/>
      <w:szCs w:val="20"/>
      <w:lang w:val="lt-LT" w:eastAsia="lt-LT"/>
    </w:rPr>
  </w:style>
  <w:style w:type="character" w:customStyle="1" w:styleId="PagrindiniotekstotraukaDiagrama1">
    <w:name w:val="Pagrindinio teksto įtrauka Diagrama1"/>
    <w:basedOn w:val="Numatytasispastraiposriftas"/>
    <w:uiPriority w:val="99"/>
    <w:semiHidden/>
    <w:rsid w:val="00BA5D57"/>
    <w:rPr>
      <w:lang w:val="en-US"/>
    </w:rPr>
  </w:style>
  <w:style w:type="paragraph" w:customStyle="1" w:styleId="BT-EMEASMCA">
    <w:name w:val="BT- EMEA_SMCA"/>
    <w:basedOn w:val="prastasis"/>
    <w:autoRedefine/>
    <w:qFormat/>
    <w:rsid w:val="00BA5D57"/>
    <w:pPr>
      <w:numPr>
        <w:numId w:val="1"/>
      </w:numPr>
      <w:tabs>
        <w:tab w:val="clear" w:pos="720"/>
        <w:tab w:val="left" w:pos="567"/>
      </w:tabs>
      <w:spacing w:after="0" w:line="240" w:lineRule="auto"/>
      <w:ind w:left="567" w:hanging="567"/>
    </w:pPr>
    <w:rPr>
      <w:rFonts w:ascii="Times New Roman" w:eastAsia="Times New Roman" w:hAnsi="Times New Roman" w:cs="Times New Roman"/>
      <w:szCs w:val="20"/>
      <w:lang w:val="lt-LT" w:eastAsia="lt-LT"/>
    </w:rPr>
  </w:style>
  <w:style w:type="paragraph" w:customStyle="1" w:styleId="BTbEMEASMCA">
    <w:name w:val="BT(b) EMEA_SMCA"/>
    <w:basedOn w:val="prastasis"/>
    <w:autoRedefine/>
    <w:qFormat/>
    <w:rsid w:val="00BA5D57"/>
    <w:pPr>
      <w:spacing w:after="0" w:line="240" w:lineRule="auto"/>
    </w:pPr>
    <w:rPr>
      <w:rFonts w:ascii="Times New Roman" w:eastAsia="Times New Roman" w:hAnsi="Times New Roman" w:cs="Times New Roman"/>
      <w:b/>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6771</Words>
  <Characters>3861</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4.	Galimas šalutinis poveikis</vt:lpstr>
      <vt:lpstr>        5.	Kaip laikyti Galieve </vt:lpstr>
      <vt:lpstr>6.	Pakuotės turinys ir kita informacija</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2024-12-18T12:06:00Z</dcterms:created>
  <dcterms:modified xsi:type="dcterms:W3CDTF">2024-12-18T12:09:00Z</dcterms:modified>
</cp:coreProperties>
</file>